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31868" w14:textId="77777777" w:rsidR="00327630" w:rsidRPr="00C666CA" w:rsidRDefault="00327630" w:rsidP="00327630">
      <w:pPr>
        <w:spacing w:before="100" w:beforeAutospacing="1" w:after="240" w:line="240" w:lineRule="auto"/>
        <w:contextualSpacing/>
        <w:jc w:val="center"/>
        <w:rPr>
          <w:rFonts w:ascii="Arial" w:eastAsiaTheme="minorEastAsia" w:hAnsi="Arial" w:cs="Arial"/>
          <w:b/>
          <w:noProof/>
          <w:sz w:val="36"/>
          <w:szCs w:val="36"/>
        </w:rPr>
      </w:pPr>
      <w:r w:rsidRPr="00C666CA">
        <w:rPr>
          <w:rFonts w:ascii="Arial" w:eastAsiaTheme="minorEastAsia" w:hAnsi="Arial" w:cs="Arial"/>
          <w:b/>
          <w:noProof/>
          <w:sz w:val="28"/>
          <w:szCs w:val="28"/>
        </w:rPr>
        <w:t>Original Research Article</w:t>
      </w:r>
    </w:p>
    <w:p w14:paraId="0F4C1664" w14:textId="77777777" w:rsidR="00327630" w:rsidRPr="00C666CA" w:rsidRDefault="00327630" w:rsidP="00BA13C1">
      <w:pPr>
        <w:spacing w:line="360" w:lineRule="auto"/>
        <w:jc w:val="center"/>
        <w:rPr>
          <w:rFonts w:ascii="Times New Roman" w:hAnsi="Times New Roman" w:cs="Times New Roman"/>
          <w:b/>
          <w:bCs/>
        </w:rPr>
      </w:pPr>
    </w:p>
    <w:p w14:paraId="7503AE2D" w14:textId="72FEC068" w:rsidR="00327630" w:rsidRPr="00C666CA" w:rsidRDefault="00327630" w:rsidP="00327630">
      <w:pPr>
        <w:pStyle w:val="Heading1"/>
        <w:spacing w:line="360" w:lineRule="auto"/>
        <w:jc w:val="center"/>
        <w:rPr>
          <w:rFonts w:ascii="Times New Roman" w:hAnsi="Times New Roman" w:cs="Times New Roman"/>
          <w:b/>
          <w:bCs/>
          <w:color w:val="auto"/>
        </w:rPr>
      </w:pPr>
      <w:bookmarkStart w:id="0" w:name="_Toc206573584"/>
      <w:r w:rsidRPr="00C666CA">
        <w:rPr>
          <w:rFonts w:ascii="Times New Roman" w:hAnsi="Times New Roman" w:cs="Times New Roman"/>
          <w:b/>
          <w:bCs/>
          <w:color w:val="auto"/>
          <w:sz w:val="32"/>
          <w:szCs w:val="32"/>
          <w:lang w:val="en-GB"/>
        </w:rPr>
        <w:t>Characterization of Botanical Starches and Plant Extracts as Raw Materials for Antioxidant-Based Edible Film Production</w:t>
      </w:r>
    </w:p>
    <w:p w14:paraId="293DE8DD" w14:textId="77777777" w:rsidR="009B55EC" w:rsidRPr="00C666CA" w:rsidRDefault="009B55EC" w:rsidP="003041D1">
      <w:pPr>
        <w:pStyle w:val="Heading1"/>
        <w:spacing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ABSTRACT</w:t>
      </w:r>
      <w:bookmarkEnd w:id="0"/>
    </w:p>
    <w:p w14:paraId="471B2B25" w14:textId="77777777" w:rsidR="004117F7" w:rsidRPr="00C666CA" w:rsidRDefault="004117F7" w:rsidP="003041D1">
      <w:pPr>
        <w:spacing w:line="240" w:lineRule="auto"/>
        <w:jc w:val="both"/>
        <w:rPr>
          <w:rFonts w:ascii="Times New Roman" w:hAnsi="Times New Roman" w:cs="Times New Roman"/>
        </w:rPr>
      </w:pPr>
      <w:r w:rsidRPr="00C666CA">
        <w:rPr>
          <w:rFonts w:ascii="Times New Roman" w:hAnsi="Times New Roman"/>
        </w:rPr>
        <w:t>This study comprehensively characterised starches from locally abundant botanical sources—plantain (</w:t>
      </w:r>
      <w:r w:rsidRPr="00C666CA">
        <w:rPr>
          <w:rFonts w:ascii="Times New Roman" w:hAnsi="Times New Roman"/>
          <w:i/>
        </w:rPr>
        <w:t>Musa paradisiaca</w:t>
      </w:r>
      <w:r w:rsidRPr="00C666CA">
        <w:rPr>
          <w:rFonts w:ascii="Times New Roman" w:hAnsi="Times New Roman"/>
        </w:rPr>
        <w:t>) and yam (</w:t>
      </w:r>
      <w:r w:rsidRPr="00C666CA">
        <w:rPr>
          <w:rFonts w:ascii="Times New Roman" w:hAnsi="Times New Roman"/>
          <w:i/>
        </w:rPr>
        <w:t>Dioscorea rotundata</w:t>
      </w:r>
      <w:r w:rsidRPr="00C666CA">
        <w:rPr>
          <w:rFonts w:ascii="Times New Roman" w:hAnsi="Times New Roman"/>
        </w:rPr>
        <w:t>), using commercial corn starch (</w:t>
      </w:r>
      <w:r w:rsidRPr="00C666CA">
        <w:rPr>
          <w:rFonts w:ascii="Times New Roman" w:hAnsi="Times New Roman"/>
          <w:i/>
        </w:rPr>
        <w:t>Zea mays</w:t>
      </w:r>
      <w:r w:rsidRPr="00C666CA">
        <w:rPr>
          <w:rFonts w:ascii="Times New Roman" w:hAnsi="Times New Roman"/>
        </w:rPr>
        <w:t>) as a control—to evaluate their suitability as biopolymer matrices for edible films. Concurrently, the antioxidant potential of extracts from avocado (</w:t>
      </w:r>
      <w:r w:rsidRPr="00C666CA">
        <w:rPr>
          <w:rFonts w:ascii="Times New Roman" w:hAnsi="Times New Roman"/>
          <w:i/>
        </w:rPr>
        <w:t>Persea americana</w:t>
      </w:r>
      <w:r w:rsidRPr="00C666CA">
        <w:rPr>
          <w:rFonts w:ascii="Times New Roman" w:hAnsi="Times New Roman"/>
        </w:rPr>
        <w:t>), ginger (</w:t>
      </w:r>
      <w:r w:rsidRPr="00C666CA">
        <w:rPr>
          <w:rFonts w:ascii="Times New Roman" w:hAnsi="Times New Roman"/>
          <w:i/>
        </w:rPr>
        <w:t>Zingiber officinale</w:t>
      </w:r>
      <w:r w:rsidRPr="00C666CA">
        <w:rPr>
          <w:rFonts w:ascii="Times New Roman" w:hAnsi="Times New Roman"/>
        </w:rPr>
        <w:t>), and garlic (</w:t>
      </w:r>
      <w:r w:rsidRPr="00C666CA">
        <w:rPr>
          <w:rFonts w:ascii="Times New Roman" w:hAnsi="Times New Roman"/>
          <w:i/>
        </w:rPr>
        <w:t>Allium sativum</w:t>
      </w:r>
      <w:r w:rsidRPr="00C666CA">
        <w:rPr>
          <w:rFonts w:ascii="Times New Roman" w:hAnsi="Times New Roman"/>
        </w:rPr>
        <w:t>) was assessed to identify effective natural additives for developing active packaging systems. Starches were isolated using a standardised aqueous sedimentation method, whereas bioactive extracts were obtained through solvent-assisted maceration and hexane extraction. The materials were subjected to physicochemical characterisation (pH, moisture content, swelling power, and solubility), structural analysis using Fourier transform infrared spectroscopy (FTIR), morphological examination using scanning electron microscopy (SEM), and antioxidant assays (DPPH, ABTS, and FRAP). The results revealed statistically significant (p &lt; 0.05) differences in the functional properties of the starches. Notably, plantain starch exhibited the lowest swelling power (1.05 mL/g) and moderately favourable solubility (10.87%), indicating a high degree of granular rigidity and potential for forming a water-resistant, cohesive film. This functional balance was supported by structural analysis; SEM micrographs showed that plantain starch granules were oval, smooth, and structurally intact, in contrast to the irregular, porous granules of yam and the smaller, polygonal granules of corn. FTIR analysis further indicated a well-ordered molecular structure in plantain starch, supporting its potential to form a cohesive and stable film matrix. Antioxidant assays indicated that all three plant extracts possessed antioxidant activity, with ginger extract showing the strongest responses in the DPPH and FRAP assays. Overall, plantain starch appeared to be a promising biopolymer candidate for edible-film production because of its balanced physicochemical properties and granular morphology. Incorporating an antioxidant extract, such as ginger extract, into a plantain-starch matrix may provide a basis for developing active, biodegradable packaging materials. This preliminary phase of raw-material characterisation provides a foundation for the valorisation of local agricultural resources and the future development of alternatives to synthetic plastics.</w:t>
      </w:r>
    </w:p>
    <w:p w14:paraId="78530181" w14:textId="77777777" w:rsidR="002710EC" w:rsidRPr="00C666CA" w:rsidRDefault="004117F7" w:rsidP="003041D1">
      <w:pPr>
        <w:spacing w:line="240" w:lineRule="auto"/>
        <w:jc w:val="both"/>
        <w:rPr>
          <w:rFonts w:ascii="Times New Roman" w:hAnsi="Times New Roman" w:cs="Times New Roman"/>
          <w:i/>
        </w:rPr>
      </w:pPr>
      <w:r w:rsidRPr="00C666CA">
        <w:rPr>
          <w:rFonts w:ascii="Times New Roman" w:hAnsi="Times New Roman" w:cs="Times New Roman"/>
          <w:b/>
          <w:bCs/>
          <w:i/>
        </w:rPr>
        <w:t>Keywords:</w:t>
      </w:r>
      <w:r w:rsidRPr="00C666CA">
        <w:rPr>
          <w:rFonts w:ascii="Times New Roman" w:hAnsi="Times New Roman" w:cs="Times New Roman"/>
          <w:i/>
        </w:rPr>
        <w:t> Starch characterization, plant extracts, antioxidant activity, plantain starch, edible film, biodegradable packaging.</w:t>
      </w:r>
    </w:p>
    <w:p w14:paraId="236DB49D" w14:textId="77777777" w:rsidR="00B82EEB" w:rsidRPr="00C666CA" w:rsidRDefault="00A21815" w:rsidP="003041D1">
      <w:pPr>
        <w:pStyle w:val="Heading1"/>
        <w:spacing w:before="0" w:line="360" w:lineRule="auto"/>
        <w:jc w:val="both"/>
        <w:rPr>
          <w:rFonts w:ascii="Times New Roman" w:eastAsia="SimSun" w:hAnsi="Times New Roman" w:cs="Times New Roman"/>
          <w:color w:val="auto"/>
          <w:sz w:val="24"/>
          <w:szCs w:val="24"/>
          <w:lang w:eastAsia="zh-CN"/>
        </w:rPr>
      </w:pPr>
      <w:r w:rsidRPr="00C666CA">
        <w:rPr>
          <w:rFonts w:ascii="Times New Roman" w:eastAsia="SimSun" w:hAnsi="Times New Roman" w:cs="Times New Roman"/>
          <w:b/>
          <w:bCs/>
          <w:color w:val="auto"/>
          <w:sz w:val="24"/>
          <w:szCs w:val="24"/>
          <w:lang w:eastAsia="zh-CN"/>
        </w:rPr>
        <w:t>Introduction</w:t>
      </w:r>
    </w:p>
    <w:p w14:paraId="42B6C387" w14:textId="77777777" w:rsidR="008E07E0" w:rsidRPr="00C666CA" w:rsidRDefault="008E07E0"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 xml:space="preserve">The 21st century is marked by substantial technological progress, but it also faces a widespread environmental problem: plastic waste. Petroleum-based synthetic plastics, such as polyethylene and polypropylene, have been major components of the global food-packaging industry for </w:t>
      </w:r>
      <w:r w:rsidRPr="00C666CA">
        <w:rPr>
          <w:rFonts w:ascii="Times New Roman" w:hAnsi="Times New Roman"/>
        </w:rPr>
        <w:lastRenderedPageBreak/>
        <w:t>decades. These materials have gained popularity because of their affordability, adaptability, and durability, which enable them to protect food products effectively (Sanyang et al., 2016). However, the same durability that makes them commercially attractive also contributes to a substantial and persistent environmental crisis. Synthetic polymers can remain in the environment for hundreds to thousands of years because they are inherently resistant to degradation.</w:t>
      </w:r>
    </w:p>
    <w:p w14:paraId="7877D95F" w14:textId="77777777" w:rsidR="008E07E0" w:rsidRPr="00C666CA" w:rsidRDefault="008E07E0"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Owing to its persistence, plastic debris has accumulated extensively in terrestrial and aquatic ecosystems, creating large oceanic garbage patches and contaminating landscapes on a broad scale (Geyer et al., 2017). These materials break down into smaller particles known as microplastics, which enter soil, water systems, and the global food chain, thereby worsening the problem and posing risks to human health and biodiversity (Sharma et al., 2021). Plastic pollution is particularly serious in developing countries such as Nigeria. Plastic waste, especially from single-use packaging, is overwhelming municipal systems because of rapid urbanisation and inadequate waste-disposal infrastructure (Salami et al., 2019).</w:t>
      </w:r>
    </w:p>
    <w:p w14:paraId="28DB0EB8" w14:textId="77777777" w:rsidR="008E07E0" w:rsidRPr="00C666CA" w:rsidRDefault="008E07E0"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Plastic packaging is a major contributor to environmental deterioration and accounts for a substantial proportion of the country's plastic consumption. Discarded plastic bags, bottles, and food wrappers clog urban drainage systems, exacerbate seasonal flooding, and create breeding grounds for disease vectors. This plastic waste eventually enters marine habitats in coastal and riverine communities, endangering aquatic life and the livelihoods of people who depend on these ecosystems (Yalwaji et al., 2022). The urgent need to address these interconnected environmental, social, and public-health consequences has prompted a global shift in scientific and industrial attention towards sustainable, environmentally friendly alternatives derived from renewable resources.</w:t>
      </w:r>
    </w:p>
    <w:p w14:paraId="76D07066" w14:textId="77777777" w:rsidR="008E07E0" w:rsidRPr="00C666CA" w:rsidRDefault="008E07E0" w:rsidP="003041D1">
      <w:pPr>
        <w:spacing w:after="0" w:line="240" w:lineRule="auto"/>
        <w:jc w:val="both"/>
        <w:rPr>
          <w:rFonts w:ascii="Times New Roman" w:eastAsia="Times New Roman" w:hAnsi="Times New Roman" w:cs="Times New Roman"/>
          <w:bCs/>
          <w:kern w:val="0"/>
          <w14:ligatures w14:val="none"/>
        </w:rPr>
      </w:pPr>
      <w:r w:rsidRPr="00C666CA">
        <w:rPr>
          <w:rFonts w:ascii="Times New Roman" w:hAnsi="Times New Roman"/>
        </w:rPr>
        <w:t>Biodegradable and edible films made from natural biopolymers have emerged as promising responses to this global need (Falguera et al., 2011). These materials, derived from biological sources such as lipids, proteins, and polysaccharides, are designed to degrade naturally and reintegrate into the environment without leaving hazardous residues. Among these biopolymers, starch has attracted considerable interest as a suitable material for environmentally friendly packaging (Bangar et al., 2021). As one of the most abundant organic substances on Earth, starch is an inexpensive and readily available raw material. Its renewable nature and inherent biodegradability align well with the principles of the circular economy and make it appropriate for packaging applications (Zhao et al., 2021). Furthermore, the molecular structure of starch provides film-forming capability, enabling it to be processed into thin, transparent, and flexible layers suitable for packaging applications (Zhao et al., 2021). Recent reviews indicate that edible films and coatings based on renewable biopolymers can reduce dependence on conventional packaging; however, moisture sensitivity, mechanical weakness, and the need for safety evaluation remain important limitations in their development and application (Basiak et al., 2018; Kumar et al., 2022; Matloob et al., 2023). Nigeria's staple crops, which are essential to national food security, provide a substantial and largely underexplored source of starch. Crops such as corn, yam, and plantain are widely cultivated throughout the country (Falade &amp; Oyeyinka, 2015). However, a considerable proportion of this agricultural produce is lost after harvest. The valorisation of these crops for non-food applications offers an opportunity to develop new value chains, reduce waste, and support rural economies (Falade &amp; Ayetigbo, 2015). The ratio of linear amylose to highly branched amylopectin determines the mechanical properties, water resistance, and overall stability of starch-based films, making botanical origin important to functional performance (Pelissari et al., 2012; Wang et al., 2015).</w:t>
      </w:r>
    </w:p>
    <w:p w14:paraId="3574E4CD" w14:textId="77777777" w:rsidR="008E07E0" w:rsidRPr="00C666CA" w:rsidRDefault="008E07E0"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Although natural starch films can serve as physical barriers, their performance can be enhanced through the development of active-packaging systems. Active packaging extends beyond passive containment by contributing to the maintenance of food quality and the extension of the shelf life of packaged products (Otoni et al., 2017). This functionality can be achieved by incorporating bioactive substances, particularly antioxidants, into the film matrix (Ofoedum et al., 2023). Oxidative deterioration is a major cause of food spoilage and can lead to off-flavours, nutrient degradation, and reduced product quality. Antioxidants inhibit this process by neutralising free radicals and interrupting oxidative chain reactions (Jongjareonrak et al., 2008).</w:t>
      </w:r>
    </w:p>
    <w:p w14:paraId="607A6E1A" w14:textId="77777777" w:rsidR="008E07E0" w:rsidRPr="00C666CA" w:rsidRDefault="008E07E0"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Growing consumer demand for clean-label and minimally processed foods has increased interest in natural antioxidants derived from plant extracts rather than synthetic alternatives. Locally available sources such as avocado (</w:t>
      </w:r>
      <w:r w:rsidRPr="00C666CA">
        <w:rPr>
          <w:rFonts w:ascii="Times New Roman" w:hAnsi="Times New Roman"/>
          <w:i/>
        </w:rPr>
        <w:t>Persea americana</w:t>
      </w:r>
      <w:r w:rsidRPr="00C666CA">
        <w:rPr>
          <w:rFonts w:ascii="Times New Roman" w:hAnsi="Times New Roman"/>
        </w:rPr>
        <w:t>), ginger (</w:t>
      </w:r>
      <w:r w:rsidRPr="00C666CA">
        <w:rPr>
          <w:rFonts w:ascii="Times New Roman" w:hAnsi="Times New Roman"/>
          <w:i/>
        </w:rPr>
        <w:t>Zingiber officinale</w:t>
      </w:r>
      <w:r w:rsidRPr="00C666CA">
        <w:rPr>
          <w:rFonts w:ascii="Times New Roman" w:hAnsi="Times New Roman"/>
        </w:rPr>
        <w:t>), and garlic (</w:t>
      </w:r>
      <w:r w:rsidRPr="00C666CA">
        <w:rPr>
          <w:rFonts w:ascii="Times New Roman" w:hAnsi="Times New Roman"/>
          <w:i/>
        </w:rPr>
        <w:t>Allium sativum</w:t>
      </w:r>
      <w:r w:rsidRPr="00C666CA">
        <w:rPr>
          <w:rFonts w:ascii="Times New Roman" w:hAnsi="Times New Roman"/>
        </w:rPr>
        <w:t>) contain antioxidant compounds. Garlic is known for its organosulphur compounds, including allicin; avocado oil contains carotenoids and tocopherols; and ginger contains phenolic compounds such as gingerols (Shang et al., 2019; Mao et al., 2019; Dugasani et al., 2010). Incorporating these extracts into starch-based films may transform a biodegradable wrapper into a delivery system that contributes to food preservation. Because processing conditions influence the recovery and measured antioxidant activity of plant-derived preparations, preliminary characterisation under defined analytical conditions is necessary before incorporation into active-film matrices (Mokhtar et al., 2025). Recent physicochemical and structural characterisation of avocado seed biomass has also demonstrated properties relevant to biodegradable polymer composites, supporting the assessment of avocado-derived resources for sustainable-material development (Okey-Onochie et al., 2026). Accordingly, this study undertook a preliminary investigation of the antioxidant capacity of avocado, ginger, and garlic extracts and systematically characterised starches from plantain, yam, and corn. Its broader purpose was to generate basic scientific information for assessing the feasibility of these locally available raw materials in the future production of antioxidant-based edible films. Replacing synthetic plastics with biodegradable starch-based films represents a potential step towards environmental sustainability. However, substantial functional and technical challenges remain. Despite their environmental advantages, native starch films often have inherent limitations that restrict their wider industrial application (Cui et al., 2021).</w:t>
      </w:r>
    </w:p>
    <w:p w14:paraId="53DECF49"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When used to package high-moisture foods, the hydrophilic nature of starch films makes them highly susceptible to moisture, resulting in loss of mechanical integrity and barrier function. They may also exhibit poor mechanical properties, including low tensile strength and brittleness, which reduce durability during handling, transport, and storage (Jiménez et al., 2012). These limitations require modification to bring their performance into line with that of synthetic counterparts. Beyond these structural constraints, both basic biopolymer films and conventional plastic packaging are functionally passive. They primarily serve as physical barriers and do not directly address the chemical and biological processes that contribute to food deterioration, such as oxidation and microbial growth (Ofoedum et al., 2025a; Ofoedum et al., 2025b).</w:t>
      </w:r>
    </w:p>
    <w:p w14:paraId="25C2F651"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 xml:space="preserve">Most packaging materials lack this active preservation capacity, although preventing oxidative deterioration is important for maintaining the nutritional value, sensory quality, and shelf life of food products. Incorporating natural antioxidant extracts into the film matrix provides a practical means of adding this functionality. Despite their potential, the systematic and comparative characterisation of starches from important Nigerian agricultural staples—plantain, yam, and corn—for this specific application remains limited. Selecting an appropriate biopolymer matrix for a particular application is difficult because the distinct physicochemical and structural </w:t>
      </w:r>
      <w:r w:rsidRPr="00C666CA">
        <w:rPr>
          <w:rFonts w:ascii="Times New Roman" w:hAnsi="Times New Roman"/>
        </w:rPr>
        <w:lastRenderedPageBreak/>
        <w:t>properties of starches from these sources have not been well documented within a comparative framework (Alagbaoso et al., 2026; Uzoukwu et al., 2025).</w:t>
      </w:r>
    </w:p>
    <w:p w14:paraId="43705040"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Furthermore, limited information is available on the compatibility and potential interactions between these starches and locally relevant antioxidant extracts, including those from avocado, ginger, and garlic. Understanding how the inherent properties of the starch matrix influence the stability and effectiveness of incorporated antioxidants is essential. By providing a systematic assessment of these raw materials, this study addresses this evidence gap. Such an assessment is a necessary preliminary step towards formulating functional, bioactive edible films that utilise local resources. The study therefore aimed to assess the antioxidant capacity of avocado, ginger, and garlic extracts for potential use in antioxidant-based edible films and to characterise the physicochemical and structural properties of starches derived from plantain, yam, and corn.</w:t>
      </w:r>
    </w:p>
    <w:p w14:paraId="46C38463"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This investigation focused on the characterisation and assessment of raw materials intended for the development of antioxidant-based edible films. Specifically, the study examined extracts from avocado (</w:t>
      </w:r>
      <w:r w:rsidRPr="00C666CA">
        <w:rPr>
          <w:rFonts w:ascii="Times New Roman" w:hAnsi="Times New Roman"/>
          <w:i/>
        </w:rPr>
        <w:t>Persea americana</w:t>
      </w:r>
      <w:r w:rsidRPr="00C666CA">
        <w:rPr>
          <w:rFonts w:ascii="Times New Roman" w:hAnsi="Times New Roman"/>
        </w:rPr>
        <w:t>), ginger (</w:t>
      </w:r>
      <w:r w:rsidRPr="00C666CA">
        <w:rPr>
          <w:rFonts w:ascii="Times New Roman" w:hAnsi="Times New Roman"/>
          <w:i/>
        </w:rPr>
        <w:t>Zingiber officinale</w:t>
      </w:r>
      <w:r w:rsidRPr="00C666CA">
        <w:rPr>
          <w:rFonts w:ascii="Times New Roman" w:hAnsi="Times New Roman"/>
        </w:rPr>
        <w:t>), and garlic (</w:t>
      </w:r>
      <w:r w:rsidRPr="00C666CA">
        <w:rPr>
          <w:rFonts w:ascii="Times New Roman" w:hAnsi="Times New Roman"/>
          <w:i/>
        </w:rPr>
        <w:t>Allium sativum</w:t>
      </w:r>
      <w:r w:rsidRPr="00C666CA">
        <w:rPr>
          <w:rFonts w:ascii="Times New Roman" w:hAnsi="Times New Roman"/>
        </w:rPr>
        <w:t>), together with starches obtained from plantain (</w:t>
      </w:r>
      <w:r w:rsidRPr="00C666CA">
        <w:rPr>
          <w:rFonts w:ascii="Times New Roman" w:hAnsi="Times New Roman"/>
          <w:i/>
        </w:rPr>
        <w:t>Musa paradisiaca</w:t>
      </w:r>
      <w:r w:rsidRPr="00C666CA">
        <w:rPr>
          <w:rFonts w:ascii="Times New Roman" w:hAnsi="Times New Roman"/>
        </w:rPr>
        <w:t>), yam (</w:t>
      </w:r>
      <w:r w:rsidRPr="00C666CA">
        <w:rPr>
          <w:rFonts w:ascii="Times New Roman" w:hAnsi="Times New Roman"/>
          <w:i/>
        </w:rPr>
        <w:t>Dioscorea rotundata</w:t>
      </w:r>
      <w:r w:rsidRPr="00C666CA">
        <w:rPr>
          <w:rFonts w:ascii="Times New Roman" w:hAnsi="Times New Roman"/>
        </w:rPr>
        <w:t>), and corn (</w:t>
      </w:r>
      <w:r w:rsidRPr="00C666CA">
        <w:rPr>
          <w:rFonts w:ascii="Times New Roman" w:hAnsi="Times New Roman"/>
          <w:i/>
        </w:rPr>
        <w:t>Zea mays</w:t>
      </w:r>
      <w:r w:rsidRPr="00C666CA">
        <w:rPr>
          <w:rFonts w:ascii="Times New Roman" w:hAnsi="Times New Roman"/>
        </w:rPr>
        <w:t>).</w:t>
      </w:r>
    </w:p>
    <w:p w14:paraId="55BA9B56" w14:textId="77777777" w:rsidR="00061061" w:rsidRPr="00C666CA" w:rsidRDefault="00000000">
      <w:pPr>
        <w:spacing w:after="200" w:line="360" w:lineRule="auto"/>
        <w:jc w:val="both"/>
        <w:rPr>
          <w:rFonts w:ascii="Times New Roman" w:hAnsi="Times New Roman" w:cs="Times New Roman"/>
        </w:rPr>
      </w:pPr>
      <w:r w:rsidRPr="00C666CA">
        <w:rPr>
          <w:rFonts w:ascii="Times New Roman" w:hAnsi="Times New Roman"/>
          <w:b/>
        </w:rPr>
        <w:t>Research Gap</w:t>
      </w:r>
    </w:p>
    <w:p w14:paraId="72E6161E" w14:textId="77777777" w:rsidR="00061061" w:rsidRPr="00C666CA" w:rsidRDefault="00000000">
      <w:pPr>
        <w:spacing w:after="0" w:line="240" w:lineRule="auto"/>
        <w:jc w:val="both"/>
        <w:rPr>
          <w:rFonts w:ascii="Times New Roman" w:hAnsi="Times New Roman"/>
          <w:bCs/>
        </w:rPr>
      </w:pPr>
      <w:r w:rsidRPr="00C666CA">
        <w:rPr>
          <w:rFonts w:ascii="Times New Roman" w:hAnsi="Times New Roman"/>
        </w:rPr>
        <w:t>Although starch-based films and plant-derived antioxidants have been widely investigated, direct comparative evidence remains limited for plantain, yam, and corn starches evaluated alongside avocado, ginger, and garlic extracts within a common analytical framework. This evidence gap limits the rational selection of locally available starch matrices and antioxidant sources for subsequent edible-film formulation.</w:t>
      </w:r>
    </w:p>
    <w:p w14:paraId="7FEB81F8" w14:textId="77777777" w:rsidR="00E044E2" w:rsidRPr="00C666CA" w:rsidRDefault="00E044E2">
      <w:pPr>
        <w:spacing w:after="0" w:line="240" w:lineRule="auto"/>
        <w:jc w:val="both"/>
        <w:rPr>
          <w:rFonts w:ascii="Times New Roman" w:eastAsia="Times New Roman" w:hAnsi="Times New Roman" w:cs="Times New Roman"/>
          <w:bCs/>
          <w:kern w:val="0"/>
          <w14:ligatures w14:val="none"/>
        </w:rPr>
      </w:pPr>
    </w:p>
    <w:p w14:paraId="08E5F7B7" w14:textId="77777777" w:rsidR="00061061" w:rsidRPr="00C666CA" w:rsidRDefault="00000000">
      <w:pPr>
        <w:spacing w:after="200" w:line="360" w:lineRule="auto"/>
        <w:jc w:val="both"/>
        <w:rPr>
          <w:rFonts w:ascii="Times New Roman" w:hAnsi="Times New Roman" w:cs="Times New Roman"/>
        </w:rPr>
      </w:pPr>
      <w:r w:rsidRPr="00C666CA">
        <w:rPr>
          <w:rFonts w:ascii="Times New Roman" w:hAnsi="Times New Roman"/>
          <w:b/>
        </w:rPr>
        <w:t>Objectives</w:t>
      </w:r>
    </w:p>
    <w:p w14:paraId="795CDB41" w14:textId="77777777" w:rsidR="00061061" w:rsidRPr="00C666CA" w:rsidRDefault="00000000">
      <w:pPr>
        <w:spacing w:after="0" w:line="240" w:lineRule="auto"/>
        <w:jc w:val="both"/>
        <w:rPr>
          <w:rFonts w:ascii="Times New Roman" w:hAnsi="Times New Roman"/>
          <w:bCs/>
        </w:rPr>
      </w:pPr>
      <w:r w:rsidRPr="00C666CA">
        <w:rPr>
          <w:rFonts w:ascii="Times New Roman" w:hAnsi="Times New Roman"/>
        </w:rPr>
        <w:t>The objective of this study was to characterise the physicochemical, structural, and morphological properties of plantain, yam, and corn starches and to evaluate the antioxidant activities of avocado, ginger, and garlic extracts as preliminary raw materials for the future development of antioxidant-based edible films.</w:t>
      </w:r>
    </w:p>
    <w:p w14:paraId="7A543A28" w14:textId="77777777" w:rsidR="00E044E2" w:rsidRPr="00C666CA" w:rsidRDefault="00E044E2">
      <w:pPr>
        <w:spacing w:after="0" w:line="240" w:lineRule="auto"/>
        <w:jc w:val="both"/>
        <w:rPr>
          <w:rFonts w:ascii="Times New Roman" w:eastAsia="Times New Roman" w:hAnsi="Times New Roman" w:cs="Times New Roman"/>
          <w:bCs/>
          <w:kern w:val="0"/>
          <w14:ligatures w14:val="none"/>
        </w:rPr>
      </w:pPr>
    </w:p>
    <w:p w14:paraId="0C47FFF4" w14:textId="77777777" w:rsidR="00D95F95" w:rsidRPr="00C666CA" w:rsidRDefault="00A21815" w:rsidP="003041D1">
      <w:pPr>
        <w:spacing w:after="200" w:line="360" w:lineRule="auto"/>
        <w:jc w:val="both"/>
        <w:rPr>
          <w:rFonts w:ascii="Times New Roman" w:hAnsi="Times New Roman" w:cs="Times New Roman"/>
        </w:rPr>
      </w:pPr>
      <w:r w:rsidRPr="00C666CA">
        <w:rPr>
          <w:rFonts w:ascii="Times New Roman" w:hAnsi="Times New Roman" w:cs="Times New Roman"/>
          <w:b/>
          <w:bCs/>
        </w:rPr>
        <w:t>Materials and Methods</w:t>
      </w:r>
    </w:p>
    <w:p w14:paraId="4132EB03" w14:textId="77777777" w:rsidR="00D95F95" w:rsidRPr="00C666CA" w:rsidRDefault="00D95F95"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Materials</w:t>
      </w:r>
    </w:p>
    <w:p w14:paraId="596EB4D8" w14:textId="77777777" w:rsidR="00D95F95" w:rsidRPr="00C666CA" w:rsidRDefault="00D95F95" w:rsidP="003041D1">
      <w:pPr>
        <w:spacing w:line="360" w:lineRule="auto"/>
        <w:jc w:val="both"/>
        <w:rPr>
          <w:rFonts w:ascii="Times New Roman" w:hAnsi="Times New Roman" w:cs="Times New Roman"/>
        </w:rPr>
      </w:pPr>
      <w:r w:rsidRPr="00C666CA">
        <w:rPr>
          <w:rFonts w:ascii="Times New Roman" w:hAnsi="Times New Roman"/>
        </w:rPr>
        <w:t>Fresh unripe plantain fingers (</w:t>
      </w:r>
      <w:r w:rsidRPr="00C666CA">
        <w:rPr>
          <w:rFonts w:ascii="Times New Roman" w:hAnsi="Times New Roman"/>
          <w:i/>
        </w:rPr>
        <w:t>Musa paradisiaca</w:t>
      </w:r>
      <w:r w:rsidRPr="00C666CA">
        <w:rPr>
          <w:rFonts w:ascii="Times New Roman" w:hAnsi="Times New Roman"/>
        </w:rPr>
        <w:t>), white yam tubers (</w:t>
      </w:r>
      <w:r w:rsidRPr="00C666CA">
        <w:rPr>
          <w:rFonts w:ascii="Times New Roman" w:hAnsi="Times New Roman"/>
          <w:i/>
        </w:rPr>
        <w:t>Dioscorea rotundata</w:t>
      </w:r>
      <w:r w:rsidRPr="00C666CA">
        <w:rPr>
          <w:rFonts w:ascii="Times New Roman" w:hAnsi="Times New Roman"/>
        </w:rPr>
        <w:t>), and dry corn grains (</w:t>
      </w:r>
      <w:r w:rsidRPr="00C666CA">
        <w:rPr>
          <w:rFonts w:ascii="Times New Roman" w:hAnsi="Times New Roman"/>
          <w:i/>
        </w:rPr>
        <w:t>Zea mays</w:t>
      </w:r>
      <w:r w:rsidRPr="00C666CA">
        <w:rPr>
          <w:rFonts w:ascii="Times New Roman" w:hAnsi="Times New Roman"/>
        </w:rPr>
        <w:t>) were procured from Eziobodo Market, a major local market in Owerri, Imo State, Nigeria. After procurement, all samples were carefully sorted and selected according to uniform physiological maturity, freshness, and the absence of physical damage or microbial decay. Fresh garlic bulbs (</w:t>
      </w:r>
      <w:r w:rsidRPr="00C666CA">
        <w:rPr>
          <w:rFonts w:ascii="Times New Roman" w:hAnsi="Times New Roman"/>
          <w:i/>
        </w:rPr>
        <w:t>Allium sativum</w:t>
      </w:r>
      <w:r w:rsidRPr="00C666CA">
        <w:rPr>
          <w:rFonts w:ascii="Times New Roman" w:hAnsi="Times New Roman"/>
        </w:rPr>
        <w:t>), ginger rhizomes (</w:t>
      </w:r>
      <w:r w:rsidRPr="00C666CA">
        <w:rPr>
          <w:rFonts w:ascii="Times New Roman" w:hAnsi="Times New Roman"/>
          <w:i/>
        </w:rPr>
        <w:t>Zingiber officinale</w:t>
      </w:r>
      <w:r w:rsidRPr="00C666CA">
        <w:rPr>
          <w:rFonts w:ascii="Times New Roman" w:hAnsi="Times New Roman"/>
        </w:rPr>
        <w:t>), and ripe avocado fruits (</w:t>
      </w:r>
      <w:r w:rsidRPr="00C666CA">
        <w:rPr>
          <w:rFonts w:ascii="Times New Roman" w:hAnsi="Times New Roman"/>
          <w:i/>
        </w:rPr>
        <w:t>Persea americana</w:t>
      </w:r>
      <w:r w:rsidRPr="00C666CA">
        <w:rPr>
          <w:rFonts w:ascii="Times New Roman" w:hAnsi="Times New Roman"/>
        </w:rPr>
        <w:t xml:space="preserve">) were purchased from Onitsha Main Market, Anambra State, Nigeria. These </w:t>
      </w:r>
      <w:r w:rsidRPr="00C666CA">
        <w:rPr>
          <w:rFonts w:ascii="Times New Roman" w:hAnsi="Times New Roman"/>
        </w:rPr>
        <w:lastRenderedPageBreak/>
        <w:t>materials were similarly selected for quality and freshness and served as sources of the natural bioactive extracts.</w:t>
      </w:r>
    </w:p>
    <w:p w14:paraId="071CABBF" w14:textId="77777777" w:rsidR="00D95F95" w:rsidRPr="00C666CA" w:rsidRDefault="00D95F95" w:rsidP="003041D1">
      <w:pPr>
        <w:spacing w:line="360" w:lineRule="auto"/>
        <w:jc w:val="both"/>
        <w:rPr>
          <w:rFonts w:ascii="Times New Roman" w:hAnsi="Times New Roman" w:cs="Times New Roman"/>
        </w:rPr>
      </w:pPr>
      <w:r w:rsidRPr="00C666CA">
        <w:rPr>
          <w:rFonts w:ascii="Times New Roman" w:hAnsi="Times New Roman" w:cs="Times New Roman"/>
        </w:rPr>
        <w:t>All chemicals and reagents used in this study were of analytical grade to ensure the accuracy of the experimental results. Food-grade ethanol (95%) and n-hexane (99%) were obtained from the central repository of the Food Science and Technology Laboratory, Federal University of Technology, Owerri (FUTO). Reagents for the antioxidant assays, including 2,2-diphenyl-1-picrylhydrazyl (DPPH), 2,2'-azino-bis(3-ethylbenzothiazoline-6-sulfonic acid) (ABTS), and components of the Ferric Reducing Antioxidant Power (FRAP) reagent, were procured from certified chemical suppliers. Distilled water was used as the solvent and dispersing medium for all aqueous preparations. All glassware was meticulously cleaned, rinsed with distilled water, and oven-dried at 105 °C prior to use to prevent any potential contamination. The methodologies for sourcing and preparing raw materials were consistent with established protocols reported in similar studies (Bello-Pérez et al., 1999; Zhang et al., 2005).</w:t>
      </w:r>
      <w:r w:rsidR="004B64D7" w:rsidRPr="00C666CA">
        <w:rPr>
          <w:rFonts w:ascii="Times New Roman" w:hAnsi="Times New Roman" w:cs="Times New Roman"/>
          <w:i/>
        </w:rPr>
      </w:r>
      <w:r w:rsidRPr="00C666CA">
        <w:rPr>
          <w:rFonts w:ascii="Times New Roman" w:hAnsi="Times New Roman" w:cs="Times New Roman"/>
        </w:rPr>
      </w:r>
      <w:r w:rsidR="004B64D7" w:rsidRPr="00C666CA">
        <w:rPr>
          <w:rFonts w:ascii="Times New Roman" w:hAnsi="Times New Roman" w:cs="Times New Roman"/>
          <w:i/>
        </w:rPr>
      </w:r>
      <w:r w:rsidRPr="00C666CA">
        <w:rPr>
          <w:rFonts w:ascii="Times New Roman" w:hAnsi="Times New Roman" w:cs="Times New Roman"/>
        </w:rPr>
      </w:r>
    </w:p>
    <w:p w14:paraId="71F579BA"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A combination of general and specialised laboratory equipment was used in the experiment. The basic equipment comprised a magnetic stirrer with an integrated hot plate (VELP Scientifica, Italy) for controlled heating and mixing, a high-speed blender (Binatone, Nigeria) for homogenising plant tissues, a hot-air oven (Memmert UN55, Germany) for drying samples, and a precision analytical balance (Mettler Toledo, Switzerland) for gravimetric measurements.</w:t>
      </w:r>
    </w:p>
    <w:p w14:paraId="714BCF60" w14:textId="77777777" w:rsidR="00D95F95" w:rsidRPr="00C666CA" w:rsidRDefault="00D95F95" w:rsidP="003041D1">
      <w:pPr>
        <w:spacing w:line="360" w:lineRule="auto"/>
        <w:jc w:val="both"/>
        <w:rPr>
          <w:rFonts w:ascii="Times New Roman" w:hAnsi="Times New Roman" w:cs="Times New Roman"/>
        </w:rPr>
      </w:pPr>
      <w:r w:rsidRPr="00C666CA">
        <w:rPr>
          <w:rFonts w:ascii="Times New Roman" w:hAnsi="Times New Roman"/>
        </w:rPr>
        <w:t>Specialised analytical instruments were employed for structural and functional characterisation. Molecular functional-group analysis was performed using a Fourier transform infrared (FTIR) spectrophotometer (PerkinElmer Spectrum 100, USA). The surface morphology of the starch granules was visualised using a scanning electron microscope (SEM) (Zeiss EVO MA10, Germany). Antioxidant activity was determined using a UV–visible spectrophotometer (Shimadzu UV-1800, Japan).</w:t>
      </w:r>
    </w:p>
    <w:p w14:paraId="045F8AFE" w14:textId="77777777" w:rsidR="00D95F95" w:rsidRPr="00C666CA" w:rsidRDefault="00D95F95" w:rsidP="003041D1">
      <w:pPr>
        <w:spacing w:line="360" w:lineRule="auto"/>
        <w:jc w:val="both"/>
        <w:rPr>
          <w:rFonts w:ascii="Times New Roman" w:hAnsi="Times New Roman" w:cs="Times New Roman"/>
        </w:rPr>
      </w:pPr>
      <w:r w:rsidRPr="00C666CA">
        <w:rPr>
          <w:rFonts w:ascii="Times New Roman" w:hAnsi="Times New Roman" w:cs="Times New Roman"/>
        </w:rPr>
        <w:t>All FTIR and SEM analyses were conducted at the state-of-the-art facilities of the African Centre of Excellence in Future Energies and Electrochemical Systems (ACE-FUELS), FUTO, Nigeria. The antioxidant assays were performed at the Biochemistry and Food Chemistry Research Laboratory, Michael Okpara University of Agriculture, Umudike (MOUAU), Nigeria.</w:t>
      </w:r>
    </w:p>
    <w:p w14:paraId="6063E227" w14:textId="77777777" w:rsidR="00D95F95" w:rsidRPr="00C666CA" w:rsidRDefault="00D95F95"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lastRenderedPageBreak/>
        <w:t>Preparation and Extraction of Starches</w:t>
      </w:r>
    </w:p>
    <w:p w14:paraId="72E7CEA0" w14:textId="77777777" w:rsidR="00D95F95" w:rsidRPr="00C666CA" w:rsidRDefault="00D95F95" w:rsidP="003041D1">
      <w:pPr>
        <w:spacing w:line="360" w:lineRule="auto"/>
        <w:jc w:val="both"/>
        <w:rPr>
          <w:rFonts w:ascii="Times New Roman" w:hAnsi="Times New Roman" w:cs="Times New Roman"/>
        </w:rPr>
      </w:pPr>
      <w:r w:rsidRPr="00C666CA">
        <w:rPr>
          <w:rFonts w:ascii="Times New Roman" w:hAnsi="Times New Roman"/>
        </w:rPr>
        <w:t>Native starches were extracted from plantain and yam using a modified aqueous sedimentation method designed to maximise purity while preserving the native granular structure. The protocols were adapted from Zhang et al. (2005), as follows:</w:t>
      </w:r>
      <w:r w:rsidRPr="00C666CA">
        <w:rPr>
          <w:rFonts w:ascii="Times New Roman" w:hAnsi="Times New Roman"/>
          <w:i/>
        </w:rPr>
      </w:r>
      <w:r w:rsidRPr="00C666CA">
        <w:rPr>
          <w:rFonts w:ascii="Times New Roman" w:hAnsi="Times New Roman"/>
        </w:rPr>
      </w:r>
    </w:p>
    <w:p w14:paraId="41EED5DF"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Preparation: Freshly purchased unripe plantain fingers and yam tubers were thoroughly washed under running tap water to remove soil and surface impurities. They were then peeled and cut into small cubes or slices approximately 2–3 mm thick to increase the surface area for effective mixing.</w:t>
      </w:r>
      <w:r w:rsidRPr="00C666CA">
        <w:rPr>
          <w:rFonts w:ascii="Times New Roman" w:hAnsi="Times New Roman"/>
        </w:rPr>
        <w:br/>
        <w:t>Homogenisation: The sliced material was homogenised with distilled water at a 1:2 (w/v) ratio in a high-speed blender for five minutes to produce a fine, uniform slurry. This step disrupted the plant cell walls and released the intracellular starch granules.</w:t>
      </w:r>
      <w:r w:rsidRPr="00C666CA">
        <w:rPr>
          <w:rFonts w:ascii="Times New Roman" w:hAnsi="Times New Roman"/>
        </w:rPr>
        <w:br/>
        <w:t>Filtration: The resulting slurry was filtered through two layers of muslin cloth to separate the starch-rich aqueous filtrate from the coarse fibrous residue.</w:t>
      </w:r>
    </w:p>
    <w:p w14:paraId="028FAEB2"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Sedimentation and Purification: The filtrate was collected in large beakers and left undisturbed at room temperature for six hours. During this period, gravity caused the denser starch granules to settle at the bottom. The supernatant, which contained proteins, soluble carbohydrates, and other contaminants, was carefully decanted and discarded. This washing and decantation procedure was repeated three times using fresh distilled water to improve the purity of the starch sediment.</w:t>
      </w:r>
      <w:r w:rsidRPr="00C666CA">
        <w:rPr>
          <w:rFonts w:ascii="Times New Roman" w:hAnsi="Times New Roman"/>
        </w:rPr>
        <w:br/>
        <w:t>Drying and Pulverisation: The final purified starch sediment was spread thinly on stainless-steel trays and dried for 24 hours in a hot-air oven at a controlled temperature of 50 °C.</w:t>
      </w:r>
    </w:p>
    <w:p w14:paraId="5D2D9E9B"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This relatively low temperature was selected to prevent premature gelatinisation and thermal deterioration of the starch. The dried starch cake was then ground into a fine powder using a clean ceramic mortar and pestle and sieved through a 250 µm mesh to ensure a uniform particle size. The final starch powder was stored at room temperature in airtight, labelled plastic containers until required for analysis.</w:t>
      </w:r>
    </w:p>
    <w:p w14:paraId="3A2A8624"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p>
    <w:p w14:paraId="0C68D7CA" w14:textId="77777777" w:rsidR="00867B2D" w:rsidRPr="00C666CA" w:rsidRDefault="005E3765" w:rsidP="003041D1">
      <w:pPr>
        <w:spacing w:line="360" w:lineRule="auto"/>
        <w:jc w:val="both"/>
        <w:rPr>
          <w:rFonts w:ascii="Times New Roman" w:hAnsi="Times New Roman" w:cs="Times New Roman"/>
        </w:rPr>
      </w:pPr>
      <w:r w:rsidRPr="00C666CA">
        <w:rPr>
          <w:rFonts w:ascii="Times New Roman" w:hAnsi="Times New Roman" w:cs="Times New Roman"/>
          <w:noProof/>
        </w:rPr>
        <w:lastRenderedPageBreak/>
        <w:drawing>
          <wp:inline distT="0" distB="0" distL="0" distR="0" wp14:anchorId="5A1654EB" wp14:editId="15AC43F4">
            <wp:extent cx="5756910" cy="3722914"/>
            <wp:effectExtent l="19050" t="19050" r="15240" b="11430"/>
            <wp:docPr id="2033553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53020" name="Picture 2033553020"/>
                    <pic:cNvPicPr/>
                  </pic:nvPicPr>
                  <pic:blipFill>
                    <a:blip r:embed="rId8">
                      <a:extLst>
                        <a:ext uri="{28A0092B-C50C-407E-A947-70E740481C1C}">
                          <a14:useLocalDpi xmlns:a14="http://schemas.microsoft.com/office/drawing/2010/main" val="0"/>
                        </a:ext>
                      </a:extLst>
                    </a:blip>
                    <a:stretch>
                      <a:fillRect/>
                    </a:stretch>
                  </pic:blipFill>
                  <pic:spPr>
                    <a:xfrm>
                      <a:off x="0" y="0"/>
                      <a:ext cx="5905937" cy="3819288"/>
                    </a:xfrm>
                    <a:prstGeom prst="rect">
                      <a:avLst/>
                    </a:prstGeom>
                    <a:ln>
                      <a:solidFill>
                        <a:schemeClr val="tx1"/>
                      </a:solidFill>
                    </a:ln>
                  </pic:spPr>
                </pic:pic>
              </a:graphicData>
            </a:graphic>
          </wp:inline>
        </w:drawing>
      </w:r>
    </w:p>
    <w:p w14:paraId="2D2B2984" w14:textId="77777777" w:rsidR="005E3765" w:rsidRPr="00C666CA" w:rsidRDefault="005E3765" w:rsidP="003041D1">
      <w:pPr>
        <w:pStyle w:val="Heading3"/>
        <w:spacing w:before="0" w:line="360" w:lineRule="auto"/>
        <w:jc w:val="both"/>
        <w:rPr>
          <w:rFonts w:ascii="Times New Roman" w:hAnsi="Times New Roman" w:cs="Times New Roman"/>
          <w:b/>
          <w:bCs/>
          <w:i/>
          <w:iCs/>
          <w:color w:val="auto"/>
          <w:sz w:val="24"/>
          <w:szCs w:val="24"/>
        </w:rPr>
      </w:pPr>
      <w:r w:rsidRPr="00C666CA">
        <w:rPr>
          <w:rFonts w:ascii="Times New Roman" w:hAnsi="Times New Roman" w:cs="Times New Roman"/>
          <w:b/>
          <w:bCs/>
          <w:i/>
          <w:iCs/>
          <w:color w:val="auto"/>
          <w:sz w:val="24"/>
          <w:szCs w:val="24"/>
        </w:rPr>
        <w:t>Figure.1: Starch Preparation and Extraction</w:t>
      </w:r>
    </w:p>
    <w:p w14:paraId="6BE46B37" w14:textId="77777777" w:rsidR="001E75A8" w:rsidRPr="00C666CA" w:rsidRDefault="0086221D" w:rsidP="003041D1">
      <w:pPr>
        <w:jc w:val="both"/>
        <w:rPr>
          <w:rFonts w:ascii="Times New Roman" w:eastAsia="Times New Roman" w:hAnsi="Times New Roman" w:cs="Times New Roman"/>
          <w:kern w:val="0"/>
          <w14:ligatures w14:val="none"/>
        </w:rPr>
      </w:pPr>
      <w:r w:rsidRPr="00C666CA">
        <w:rPr>
          <w:rFonts w:ascii="Times New Roman" w:hAnsi="Times New Roman"/>
        </w:rPr>
        <w:t>Commercially available food-grade maize starch (</w:t>
      </w:r>
      <w:r w:rsidRPr="00C666CA">
        <w:rPr>
          <w:rFonts w:ascii="Times New Roman" w:hAnsi="Times New Roman"/>
          <w:i/>
        </w:rPr>
        <w:t>Zea mays</w:t>
      </w:r>
      <w:r w:rsidRPr="00C666CA">
        <w:rPr>
          <w:rFonts w:ascii="Times New Roman" w:hAnsi="Times New Roman"/>
        </w:rPr>
        <w:t>) served as the control sample in this comparative investigation. It was purchased from a commercial supplier and used directly without further extraction or modification. Corn starch was selected as the control because it is widely studied and used industrially, enabling the properties of the less conventional plantain and yam starches to be compared and assessed.</w:t>
      </w:r>
    </w:p>
    <w:p w14:paraId="34F21B03" w14:textId="77777777" w:rsidR="00D95F95" w:rsidRPr="00C666CA" w:rsidRDefault="00D95F95" w:rsidP="003041D1">
      <w:pPr>
        <w:jc w:val="both"/>
        <w:rPr>
          <w:rFonts w:ascii="Times New Roman" w:hAnsi="Times New Roman" w:cs="Times New Roman"/>
          <w:b/>
          <w:bCs/>
        </w:rPr>
      </w:pPr>
      <w:r w:rsidRPr="00C666CA">
        <w:rPr>
          <w:rFonts w:ascii="Times New Roman" w:hAnsi="Times New Roman" w:cs="Times New Roman"/>
          <w:b/>
          <w:bCs/>
        </w:rPr>
        <w:t>Extraction of Plant-Based Bioactive Extracts</w:t>
      </w:r>
    </w:p>
    <w:p w14:paraId="470309A5" w14:textId="77777777" w:rsidR="001E75A8" w:rsidRPr="00C666CA" w:rsidRDefault="000452D6"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methods described by Ofoedum et al. (2026) and Odeyemi et al. (2026) were adopted for the extraction process. Bioactive compounds were recovered from avocado, garlic, and ginger using solvent-assisted maceration and hexane extraction techniques to isolate target antioxidant compounds while minimising their degradation. An ethanolic maceration method, modified from Kuttan and Thejass (2009) and Varakumar et al. (2017), was used to extract polar and semi-polar bioactive compounds from ginger and garlic. Garlic cloves and fresh ginger rhizomes were cleaned, peeled, and ground into a fine paste. A weighed quantity of each paste (1250 g of ginger and 1000 g of garlic) was soaked in 95% food-grade ethanol at a 1:5 (w/v) ratio. To improve solvent penetration and promote the mass transfer of bioactive compounds, the mixtures were kept in sealed containers at room temperature for 72 hours with periodic stirring.</w:t>
      </w:r>
    </w:p>
    <w:p w14:paraId="5A95EAB0" w14:textId="77777777" w:rsidR="00D90A29" w:rsidRPr="00C666CA" w:rsidRDefault="005F1B14" w:rsidP="003041D1">
      <w:pPr>
        <w:spacing w:line="360" w:lineRule="auto"/>
        <w:jc w:val="both"/>
        <w:rPr>
          <w:rFonts w:ascii="Times New Roman" w:hAnsi="Times New Roman" w:cs="Times New Roman"/>
          <w:b/>
          <w:bCs/>
          <w:i/>
          <w:iCs/>
        </w:rPr>
      </w:pPr>
      <w:r w:rsidRPr="00C666CA">
        <w:rPr>
          <w:rFonts w:ascii="Times New Roman" w:hAnsi="Times New Roman" w:cs="Times New Roman"/>
          <w:noProof/>
        </w:rPr>
        <w:lastRenderedPageBreak/>
        <w:drawing>
          <wp:inline distT="0" distB="0" distL="0" distR="0" wp14:anchorId="47319CA8" wp14:editId="32283DEF">
            <wp:extent cx="2510287" cy="3203835"/>
            <wp:effectExtent l="19050" t="19050" r="23495" b="15875"/>
            <wp:docPr id="1481917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17461" name="Picture 14819174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0287" cy="3203835"/>
                    </a:xfrm>
                    <a:prstGeom prst="rect">
                      <a:avLst/>
                    </a:prstGeom>
                    <a:ln>
                      <a:solidFill>
                        <a:schemeClr val="tx1"/>
                      </a:solidFill>
                    </a:ln>
                  </pic:spPr>
                </pic:pic>
              </a:graphicData>
            </a:graphic>
          </wp:inline>
        </w:drawing>
      </w:r>
      <w:r w:rsidR="00A21815" w:rsidRPr="00C666CA">
        <w:rPr>
          <w:rFonts w:ascii="Times New Roman" w:hAnsi="Times New Roman" w:cs="Times New Roman"/>
          <w:b/>
          <w:bCs/>
          <w:i/>
          <w:iCs/>
        </w:rPr>
        <w:t xml:space="preserve">    </w:t>
      </w:r>
      <w:r w:rsidR="00A21815" w:rsidRPr="00C666CA">
        <w:rPr>
          <w:rFonts w:ascii="Times New Roman" w:hAnsi="Times New Roman" w:cs="Times New Roman"/>
          <w:noProof/>
        </w:rPr>
        <w:t xml:space="preserve"> </w:t>
      </w:r>
      <w:r w:rsidR="00A21815" w:rsidRPr="00C666CA">
        <w:rPr>
          <w:rFonts w:ascii="Times New Roman" w:hAnsi="Times New Roman" w:cs="Times New Roman"/>
          <w:noProof/>
        </w:rPr>
        <w:drawing>
          <wp:inline distT="0" distB="0" distL="0" distR="0" wp14:anchorId="2AAE5D0D" wp14:editId="1418DA18">
            <wp:extent cx="2743200" cy="3199513"/>
            <wp:effectExtent l="19050" t="19050" r="19050" b="20320"/>
            <wp:docPr id="589811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11869" name="Picture 589811869"/>
                    <pic:cNvPicPr/>
                  </pic:nvPicPr>
                  <pic:blipFill rotWithShape="1">
                    <a:blip r:embed="rId10" cstate="print">
                      <a:extLst>
                        <a:ext uri="{28A0092B-C50C-407E-A947-70E740481C1C}">
                          <a14:useLocalDpi xmlns:a14="http://schemas.microsoft.com/office/drawing/2010/main" val="0"/>
                        </a:ext>
                      </a:extLst>
                    </a:blip>
                    <a:srcRect b="20831"/>
                    <a:stretch>
                      <a:fillRect/>
                    </a:stretch>
                  </pic:blipFill>
                  <pic:spPr bwMode="auto">
                    <a:xfrm>
                      <a:off x="0" y="0"/>
                      <a:ext cx="2823749" cy="32934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A21815" w:rsidRPr="00C666CA">
        <w:rPr>
          <w:rFonts w:ascii="Times New Roman" w:hAnsi="Times New Roman" w:cs="Times New Roman"/>
          <w:b/>
          <w:bCs/>
          <w:i/>
          <w:iCs/>
        </w:rPr>
        <w:t xml:space="preserve"> </w:t>
      </w:r>
    </w:p>
    <w:p w14:paraId="4459436B" w14:textId="77777777" w:rsidR="0086221D" w:rsidRPr="00C666CA" w:rsidRDefault="00A21815" w:rsidP="003041D1">
      <w:pPr>
        <w:spacing w:line="360" w:lineRule="auto"/>
        <w:jc w:val="both"/>
        <w:rPr>
          <w:rFonts w:ascii="Times New Roman" w:hAnsi="Times New Roman" w:cs="Times New Roman"/>
        </w:rPr>
      </w:pPr>
      <w:r w:rsidRPr="00C666CA">
        <w:rPr>
          <w:rFonts w:ascii="Times New Roman" w:hAnsi="Times New Roman" w:cs="Times New Roman"/>
          <w:b/>
          <w:bCs/>
          <w:i/>
          <w:iCs/>
        </w:rPr>
        <w:t xml:space="preserve">Figure 2. </w:t>
      </w:r>
      <w:r w:rsidR="005F1B14" w:rsidRPr="00C666CA">
        <w:rPr>
          <w:rFonts w:ascii="Times New Roman" w:hAnsi="Times New Roman" w:cs="Times New Roman"/>
          <w:b/>
          <w:bCs/>
          <w:i/>
          <w:iCs/>
        </w:rPr>
        <w:t>Ginger extract</w:t>
      </w:r>
      <w:r w:rsidRPr="00C666CA">
        <w:rPr>
          <w:rFonts w:ascii="Times New Roman" w:hAnsi="Times New Roman" w:cs="Times New Roman"/>
          <w:b/>
          <w:bCs/>
          <w:i/>
          <w:iCs/>
        </w:rPr>
        <w:tab/>
      </w:r>
      <w:r w:rsidRPr="00C666CA">
        <w:rPr>
          <w:rFonts w:ascii="Times New Roman" w:hAnsi="Times New Roman" w:cs="Times New Roman"/>
          <w:b/>
          <w:bCs/>
          <w:i/>
          <w:iCs/>
        </w:rPr>
        <w:tab/>
      </w:r>
      <w:r w:rsidRPr="00C666CA">
        <w:rPr>
          <w:rFonts w:ascii="Times New Roman" w:hAnsi="Times New Roman" w:cs="Times New Roman"/>
          <w:b/>
          <w:bCs/>
          <w:i/>
          <w:iCs/>
        </w:rPr>
        <w:tab/>
        <w:t xml:space="preserve">Figure </w:t>
      </w:r>
      <w:r w:rsidR="005F1B14" w:rsidRPr="00C666CA">
        <w:rPr>
          <w:rFonts w:ascii="Times New Roman" w:hAnsi="Times New Roman" w:cs="Times New Roman"/>
          <w:b/>
          <w:bCs/>
          <w:i/>
          <w:iCs/>
        </w:rPr>
        <w:t>3: Garlic extract</w:t>
      </w:r>
    </w:p>
    <w:p w14:paraId="2F7C45C6"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After maceration, the mixtures were filtered to separate the solid plant residue from the ethanolic extract. The resulting filtrate was concentrated under reduced pressure using a rotary evaporator operated at 40 °C. The remaining traces of solvent were removed by gently heating the water bath to 60 °C. The viscous, concentrated extracts were transferred to sealed amber-glass bottles and stored at 4 °C until required for antioxidant analysis to minimise photodegradation and thermal degradation of labile bioactive compounds. The lipid-soluble fraction, mainly oil, was extracted from ripe avocado fruit using hexane, a non-polar solvent, according to a method modified from Dreher and Davenport (2013). To reduce surface moisture, the pulp was removed from ripe avocados, spread thinly on a tray, and briefly air-dried.</w:t>
      </w:r>
    </w:p>
    <w:p w14:paraId="4D8D97F8" w14:textId="77777777" w:rsidR="001E75A8" w:rsidRPr="00C666CA" w:rsidRDefault="001E75A8"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A known mass of the pulp was then soaked in analytical-grade n-hexane at a 1:2 (w/v) ratio for 48 hours. The mixture was filtered, and the solvent was removed from the filtrate using a rotary evaporator to recover crude avocado oil. The oil was stored under the same conditions as the other extracts.</w:t>
      </w:r>
    </w:p>
    <w:p w14:paraId="4C0BD32B" w14:textId="77777777" w:rsidR="005F1B14" w:rsidRPr="00C666CA" w:rsidRDefault="005F1B14" w:rsidP="003041D1">
      <w:pPr>
        <w:spacing w:after="0" w:line="360" w:lineRule="auto"/>
        <w:jc w:val="both"/>
        <w:rPr>
          <w:rFonts w:ascii="Times New Roman" w:hAnsi="Times New Roman" w:cs="Times New Roman"/>
        </w:rPr>
      </w:pPr>
      <w:r w:rsidRPr="00C666CA">
        <w:rPr>
          <w:rFonts w:ascii="Times New Roman" w:hAnsi="Times New Roman" w:cs="Times New Roman"/>
          <w:noProof/>
        </w:rPr>
        <w:lastRenderedPageBreak/>
        <w:drawing>
          <wp:inline distT="0" distB="0" distL="0" distR="0" wp14:anchorId="152D0E7A" wp14:editId="04218185">
            <wp:extent cx="4076700" cy="3405673"/>
            <wp:effectExtent l="19050" t="19050" r="19050" b="23495"/>
            <wp:docPr id="17379060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06066" name="Picture 17379060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39577" cy="3458201"/>
                    </a:xfrm>
                    <a:prstGeom prst="rect">
                      <a:avLst/>
                    </a:prstGeom>
                    <a:ln>
                      <a:solidFill>
                        <a:schemeClr val="tx1"/>
                      </a:solidFill>
                    </a:ln>
                  </pic:spPr>
                </pic:pic>
              </a:graphicData>
            </a:graphic>
          </wp:inline>
        </w:drawing>
      </w:r>
    </w:p>
    <w:p w14:paraId="7CB0FCCC" w14:textId="77777777" w:rsidR="00C57B76" w:rsidRPr="00C666CA" w:rsidRDefault="004C694E" w:rsidP="003041D1">
      <w:pPr>
        <w:pStyle w:val="Heading3"/>
        <w:spacing w:before="0" w:line="360" w:lineRule="auto"/>
        <w:jc w:val="both"/>
        <w:rPr>
          <w:rFonts w:ascii="Times New Roman" w:hAnsi="Times New Roman" w:cs="Times New Roman"/>
          <w:b/>
          <w:bCs/>
          <w:i/>
          <w:iCs/>
          <w:color w:val="auto"/>
          <w:sz w:val="24"/>
          <w:szCs w:val="24"/>
        </w:rPr>
      </w:pPr>
      <w:r w:rsidRPr="00C666CA">
        <w:rPr>
          <w:rFonts w:ascii="Times New Roman" w:hAnsi="Times New Roman" w:cs="Times New Roman"/>
          <w:b/>
          <w:bCs/>
          <w:i/>
          <w:iCs/>
          <w:color w:val="auto"/>
          <w:sz w:val="24"/>
          <w:szCs w:val="24"/>
        </w:rPr>
        <w:t>Figure 4: Avocado extract</w:t>
      </w:r>
    </w:p>
    <w:p w14:paraId="2CDF18B2" w14:textId="77777777" w:rsidR="00D95F95" w:rsidRPr="00C666CA" w:rsidRDefault="00D95F95"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Physicochemical Characterization of Starch Samples</w:t>
      </w:r>
    </w:p>
    <w:p w14:paraId="05C31E70" w14:textId="77777777" w:rsidR="00C453BC" w:rsidRPr="00C666CA" w:rsidRDefault="00C453BC"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pH of the starch samples was determined according to AOAC International (2016) official method. A 10% (w/v) starch slurry was prepared by dispersing 10 g of each starch sample in 100 mL of distilled water. The suspension was stirred continuously for 30 minutes and allowed to equilibrate at room temperature for one hour. The pH of the supernatant was measured using a calibrated digital pH meter (Hanna Instruments, HI 2211).</w:t>
      </w:r>
      <w:r w:rsidRPr="00C666CA">
        <w:rPr>
          <w:rFonts w:ascii="Times New Roman" w:hAnsi="Times New Roman"/>
        </w:rPr>
        <w:br/>
        <w:t>The moisture content of the starch samples was determined using the conventional oven-drying gravimetric method (AOAC International, 2016). Precisely 2 g of each starch sample was placed in a pre-dried, tared crucible. The samples were then dried in a hot-air oven at 105 °C for approximately 24 hours until a constant mass was obtained.</w:t>
      </w:r>
    </w:p>
    <w:p w14:paraId="297363E3" w14:textId="77777777" w:rsidR="00D95F95" w:rsidRPr="00C666CA" w:rsidRDefault="00D95F95" w:rsidP="003041D1">
      <w:pPr>
        <w:spacing w:line="360" w:lineRule="auto"/>
        <w:jc w:val="both"/>
        <w:rPr>
          <w:rFonts w:ascii="Times New Roman" w:hAnsi="Times New Roman" w:cs="Times New Roman"/>
        </w:rPr>
      </w:pPr>
      <w:r w:rsidRPr="00C666CA">
        <w:rPr>
          <w:rFonts w:ascii="Times New Roman" w:hAnsi="Times New Roman"/>
        </w:rPr>
        <w:t>The crucibles were cooled to room temperature in a desiccator before final weighing. Moisture content was calculated as the percentage loss in mass.</w:t>
      </w:r>
    </w:p>
    <w:p w14:paraId="4ACBD3F4" w14:textId="77777777" w:rsidR="00C453BC" w:rsidRPr="00C666CA" w:rsidRDefault="00D95F95" w:rsidP="003041D1">
      <w:pPr>
        <w:jc w:val="both"/>
        <w:rPr>
          <w:rFonts w:ascii="Times New Roman" w:eastAsia="Times New Roman" w:hAnsi="Times New Roman" w:cs="Times New Roman"/>
          <w:kern w:val="0"/>
          <w14:ligatures w14:val="none"/>
        </w:rPr>
      </w:pPr>
      <w:r w:rsidRPr="00C666CA">
        <w:rPr>
          <w:rFonts w:ascii="Times New Roman" w:hAnsi="Times New Roman"/>
        </w:rPr>
        <w:t xml:space="preserve">The swelling power and solubility of the starch samples were determined simultaneously using the method described by Leach </w:t>
      </w:r>
      <w:r w:rsidRPr="00C666CA">
        <w:rPr>
          <w:rFonts w:ascii="Times New Roman" w:hAnsi="Times New Roman"/>
          <w:i/>
        </w:rPr>
        <w:t>et al.</w:t>
      </w:r>
      <w:r w:rsidRPr="00C666CA">
        <w:rPr>
          <w:rFonts w:ascii="Times New Roman" w:hAnsi="Times New Roman"/>
        </w:rPr>
        <w:t xml:space="preserve"> (1959), with slight modifications. A 1% (w/v) aqueous starch suspension (1 g in 100 mL of distilled water) was prepared in a centrifuge tube. The suspension was heated at 85 °C for 30 minutes in a thermostatically controlled water bath with continuous gentle stirring. After cooling to room temperature, the tubes were centrifuged at 3000 rpm for 15 minutes. The supernatant was carefully decanted into a pre-weighed evaporating dish, and the mass of the swollen sediment was recorded. Swelling power (g/g) was calculated by dividing the mass of the swollen sediment by the initial dry mass of starch. The decanted supernatant was then evaporated to dryness in an oven at 105 °C. The mass of the dried residue represented the </w:t>
      </w:r>
      <w:r w:rsidRPr="00C666CA">
        <w:rPr>
          <w:rFonts w:ascii="Times New Roman" w:hAnsi="Times New Roman"/>
        </w:rPr>
        <w:lastRenderedPageBreak/>
        <w:t>solubilised starch. Solubility (%) was calculated as the percentage of this residue relative to the initial dry mass of starch.</w:t>
      </w:r>
    </w:p>
    <w:p w14:paraId="088F2557" w14:textId="77777777" w:rsidR="00D95F95" w:rsidRPr="00C666CA" w:rsidRDefault="00D95F95" w:rsidP="003041D1">
      <w:pPr>
        <w:spacing w:line="360" w:lineRule="auto"/>
        <w:jc w:val="both"/>
        <w:rPr>
          <w:rFonts w:ascii="Times New Roman" w:hAnsi="Times New Roman" w:cs="Times New Roman"/>
          <w:b/>
          <w:bCs/>
        </w:rPr>
      </w:pPr>
      <w:r w:rsidRPr="00C666CA">
        <w:rPr>
          <w:rFonts w:ascii="Times New Roman" w:hAnsi="Times New Roman" w:cs="Times New Roman"/>
          <w:b/>
          <w:bCs/>
        </w:rPr>
        <w:t>Structural and Morphological Analysis</w:t>
      </w:r>
    </w:p>
    <w:p w14:paraId="76982B15" w14:textId="77777777" w:rsidR="00C453BC" w:rsidRPr="00C666CA" w:rsidRDefault="00C453BC"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A PerkinElmer Spectrum 100 FTIR spectrophotometer was used to examine the molecular functional groups and chemical structure of the native starch samples. For analysis, approximately 2 mg of dry starch powder was thoroughly mixed with 200 mg of spectroscopic-grade potassium bromide (KBr). The mixture was then compressed into a thin, transparent pellet using a hydraulic press. The FTIR spectrum of each sample was recorded at a resolution of 4 cm⁻¹ over the mid-infrared range of 4000–400 cm⁻¹. The resulting spectra were analysed to identify the characteristic absorption bands corresponding to the functional groups present in starch.</w:t>
      </w:r>
    </w:p>
    <w:p w14:paraId="46B9B279" w14:textId="77777777" w:rsidR="00C453BC" w:rsidRPr="00C666CA" w:rsidRDefault="00C453BC"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A Zeiss EVO MA10 scanning electron microscope was used to analyse the surface morphology, size, and shape of the native starch granules. Dry starch powder was mounted on an aluminium stub using double-sided adhesive carbon tape. The samples were then sputter-coated with a thin layer of gold under vacuum to make them electrically conductive and prevent charging under the electron beam. The coated samples were examined using an accelerating voltage of 15 kV. High-resolution digital micrographs were captured at magnifications ranging from ×500 to ×2000 to visualise the granular architecture in detail.</w:t>
      </w:r>
    </w:p>
    <w:p w14:paraId="5D00B0E2" w14:textId="77777777" w:rsidR="00D95F95" w:rsidRPr="00C666CA" w:rsidRDefault="00D95F95"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Determination of Antioxidant Activity</w:t>
      </w:r>
    </w:p>
    <w:p w14:paraId="7E8EC1A3" w14:textId="77777777" w:rsidR="009B049D" w:rsidRPr="00C666CA" w:rsidRDefault="009B049D"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antioxidant capacity of the ginger, garlic, and avocado extracts was evaluated using three complementary spectrophotometric assays: DPPH, ABTS, and FRAP.</w:t>
      </w:r>
      <w:r w:rsidRPr="00C666CA">
        <w:rPr>
          <w:rFonts w:ascii="Times New Roman" w:hAnsi="Times New Roman"/>
        </w:rPr>
        <w:br/>
        <w:t>The ability of the extracts to scavenge the stable 2,2-diphenyl-1-picrylhydrazyl (DPPH) free radical was evaluated using the method described by Brand-Williams et al. (1995). Briefly, 1 mL of each appropriately diluted extract was mixed with 1 mL of a 0.1 mM methanolic DPPH solution. The mixture was vortexed and incubated in the dark at room temperature for 30 minutes. The reduction in the DPPH radical was determined by measuring absorbance at 517 nm against a methanol blank. Scavenging activity was calculated as the percentage inhibition of the DPPH radical.</w:t>
      </w:r>
    </w:p>
    <w:p w14:paraId="45A78DDD" w14:textId="77777777" w:rsidR="009B049D" w:rsidRPr="00C666CA" w:rsidRDefault="009B049D"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ABTS assay was conducted using the method of Re et al. (1999). The ABTS radical cation (ABTS•⁺) was generated by mixing an aqueous ABTS solution with potassium persulphate and allowing the mixture to stand in the dark for 12–16 hours. The resulting blue-green ABTS•⁺ solution was diluted with methanol to obtain an absorbance of 0.70 ± 0.02 at 734 nm. One millilitre of each extract was reacted with 1 mL of the diluted ABTS•⁺ solution, and absorbance was measured after six minutes. Scavenging activity was calculated as percentage inhibition.</w:t>
      </w:r>
    </w:p>
    <w:p w14:paraId="47FA36AB" w14:textId="77777777" w:rsidR="00C453BC" w:rsidRPr="00C666CA" w:rsidRDefault="00C453BC"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reducing power of the extracts was determined using the FRAP assay described by Benzie and Strain (1996). The FRAP reagent was prepared by combining acetate buffer (300 mM, pH 3.6), 10 mM TPTZ in 40 mM HCl, and 20 mM FeCl₃•6H₂O in a 10:1:1 ratio. The freshly prepared reagent was preheated to 37 °C. For the assay, 0.1 mL of each extract was mixed with 3.0 mL of the FRAP reagent. After incubation for four minutes, the absorbance of the reaction mixture was measured at 593 nm. The results were expressed as molar equivalents of a standard antioxidant, such as Trolox or FeSO</w:t>
      </w:r>
      <w:r w:rsidRPr="00C666CA">
        <w:rPr>
          <w:rFonts w:ascii="Times New Roman" w:hAnsi="Times New Roman"/>
          <w:vertAlign w:val="subscript"/>
        </w:rPr>
        <w:t>4</w:t>
      </w:r>
      <w:r w:rsidRPr="00C666CA">
        <w:rPr>
          <w:rFonts w:ascii="Times New Roman" w:hAnsi="Times New Roman"/>
        </w:rPr>
        <w:t>.</w:t>
      </w:r>
    </w:p>
    <w:p w14:paraId="651020BA" w14:textId="77777777" w:rsidR="00D95F95" w:rsidRPr="00C666CA" w:rsidRDefault="00D95F95"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Statistical Analysis</w:t>
      </w:r>
    </w:p>
    <w:p w14:paraId="36C45AE9" w14:textId="77777777" w:rsidR="009B049D" w:rsidRPr="00C666CA" w:rsidRDefault="009B049D"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 xml:space="preserve">Each experiment was conducted in triplicate (n = 3), and the results were expressed as mean ± standard deviation (SD). The data were statistically analysed using IBM SPSS Statistics software </w:t>
      </w:r>
      <w:r w:rsidRPr="00C666CA">
        <w:rPr>
          <w:rFonts w:ascii="Times New Roman" w:hAnsi="Times New Roman"/>
        </w:rPr>
        <w:lastRenderedPageBreak/>
        <w:t>(Version 25). One-way analysis of variance (ANOVA) was used to determine whether the means of the sample groups differed significantly. When significant differences were identified, post hoc pairwise comparisons were performed using Tukey's honestly significant difference (HSD) test. A p value of less than 0.05 (p &lt; 0.05) was considered statistically significant.</w:t>
      </w:r>
    </w:p>
    <w:p w14:paraId="25E0603B" w14:textId="77777777" w:rsidR="00C453BC" w:rsidRPr="00C666CA" w:rsidRDefault="00C453BC" w:rsidP="003041D1">
      <w:pPr>
        <w:pStyle w:val="Heading1"/>
        <w:spacing w:before="0" w:line="360" w:lineRule="auto"/>
        <w:jc w:val="both"/>
        <w:rPr>
          <w:rFonts w:ascii="Times New Roman" w:hAnsi="Times New Roman" w:cs="Times New Roman"/>
          <w:b/>
          <w:bCs/>
          <w:color w:val="auto"/>
          <w:sz w:val="24"/>
          <w:szCs w:val="24"/>
        </w:rPr>
      </w:pPr>
    </w:p>
    <w:p w14:paraId="2BD88B21" w14:textId="77777777" w:rsidR="005B57CE" w:rsidRPr="00C666CA" w:rsidRDefault="00A21815" w:rsidP="003041D1">
      <w:pPr>
        <w:pStyle w:val="Heading1"/>
        <w:spacing w:before="0" w:line="360" w:lineRule="auto"/>
        <w:jc w:val="both"/>
        <w:rPr>
          <w:rFonts w:ascii="Times New Roman" w:hAnsi="Times New Roman" w:cs="Times New Roman"/>
          <w:color w:val="auto"/>
          <w:sz w:val="24"/>
          <w:szCs w:val="24"/>
        </w:rPr>
      </w:pPr>
      <w:r w:rsidRPr="00C666CA">
        <w:rPr>
          <w:rFonts w:ascii="Times New Roman" w:hAnsi="Times New Roman" w:cs="Times New Roman"/>
          <w:b/>
          <w:bCs/>
          <w:color w:val="auto"/>
          <w:sz w:val="24"/>
          <w:szCs w:val="24"/>
        </w:rPr>
        <w:t>Results and Discussion</w:t>
      </w:r>
    </w:p>
    <w:p w14:paraId="2D5E46B5" w14:textId="77777777" w:rsidR="005B57CE" w:rsidRPr="00C666CA" w:rsidRDefault="00917080" w:rsidP="003041D1">
      <w:pPr>
        <w:spacing w:line="360" w:lineRule="auto"/>
        <w:jc w:val="both"/>
        <w:rPr>
          <w:rFonts w:ascii="Times New Roman" w:hAnsi="Times New Roman" w:cs="Times New Roman"/>
        </w:rPr>
      </w:pPr>
      <w:r w:rsidRPr="00C666CA">
        <w:rPr>
          <w:rFonts w:ascii="Times New Roman" w:hAnsi="Times New Roman"/>
        </w:rPr>
        <w:t>This section presents the experimental findings from the characterisation of starches extracted from plantain (</w:t>
      </w:r>
      <w:r w:rsidRPr="00C666CA">
        <w:rPr>
          <w:rFonts w:ascii="Times New Roman" w:hAnsi="Times New Roman"/>
          <w:i/>
        </w:rPr>
        <w:t>Musa paradisiaca</w:t>
      </w:r>
      <w:r w:rsidRPr="00C666CA">
        <w:rPr>
          <w:rFonts w:ascii="Times New Roman" w:hAnsi="Times New Roman"/>
        </w:rPr>
        <w:t>), yam (</w:t>
      </w:r>
      <w:r w:rsidRPr="00C666CA">
        <w:rPr>
          <w:rFonts w:ascii="Times New Roman" w:hAnsi="Times New Roman"/>
          <w:i/>
        </w:rPr>
        <w:t>Dioscorea rotundata</w:t>
      </w:r>
      <w:r w:rsidRPr="00C666CA">
        <w:rPr>
          <w:rFonts w:ascii="Times New Roman" w:hAnsi="Times New Roman"/>
        </w:rPr>
        <w:t>), and corn (</w:t>
      </w:r>
      <w:r w:rsidRPr="00C666CA">
        <w:rPr>
          <w:rFonts w:ascii="Times New Roman" w:hAnsi="Times New Roman"/>
          <w:i/>
        </w:rPr>
        <w:t>Zea mays</w:t>
      </w:r>
      <w:r w:rsidRPr="00C666CA">
        <w:rPr>
          <w:rFonts w:ascii="Times New Roman" w:hAnsi="Times New Roman"/>
        </w:rPr>
        <w:t>), together with the evaluation of the antioxidant properties of extracts from avocado (</w:t>
      </w:r>
      <w:r w:rsidRPr="00C666CA">
        <w:rPr>
          <w:rFonts w:ascii="Times New Roman" w:hAnsi="Times New Roman"/>
          <w:i/>
        </w:rPr>
        <w:t>Persea americana</w:t>
      </w:r>
      <w:r w:rsidRPr="00C666CA">
        <w:rPr>
          <w:rFonts w:ascii="Times New Roman" w:hAnsi="Times New Roman"/>
        </w:rPr>
        <w:t>), ginger (</w:t>
      </w:r>
      <w:r w:rsidRPr="00C666CA">
        <w:rPr>
          <w:rFonts w:ascii="Times New Roman" w:hAnsi="Times New Roman"/>
          <w:i/>
        </w:rPr>
        <w:t>Zingiber officinale</w:t>
      </w:r>
      <w:r w:rsidRPr="00C666CA">
        <w:rPr>
          <w:rFonts w:ascii="Times New Roman" w:hAnsi="Times New Roman"/>
        </w:rPr>
        <w:t>), and garlic (</w:t>
      </w:r>
      <w:r w:rsidRPr="00C666CA">
        <w:rPr>
          <w:rFonts w:ascii="Times New Roman" w:hAnsi="Times New Roman"/>
          <w:i/>
        </w:rPr>
        <w:t>Allium sativum</w:t>
      </w:r>
      <w:r w:rsidRPr="00C666CA">
        <w:rPr>
          <w:rFonts w:ascii="Times New Roman" w:hAnsi="Times New Roman"/>
        </w:rPr>
        <w:t>). The results are presented systematically, interpreted, and discussed in relation to their implications for the development of antioxidant-based edible films. All analyses were performed in triplicate, and the data were subjected to one-way analysis of variance (ANOVA) to determine statistical significance (p &lt; 0.05).</w:t>
      </w:r>
    </w:p>
    <w:p w14:paraId="14CB5FCE" w14:textId="77777777" w:rsidR="005B57CE" w:rsidRPr="00C666CA" w:rsidRDefault="005B57CE"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Physicochemical Properties of Starch Samples</w:t>
      </w:r>
    </w:p>
    <w:p w14:paraId="59271157" w14:textId="77777777" w:rsidR="005B57CE" w:rsidRPr="00C666CA" w:rsidRDefault="005B57CE" w:rsidP="003041D1">
      <w:pPr>
        <w:spacing w:line="360" w:lineRule="auto"/>
        <w:jc w:val="both"/>
        <w:rPr>
          <w:rFonts w:ascii="Times New Roman" w:hAnsi="Times New Roman" w:cs="Times New Roman"/>
          <w:b/>
          <w:bCs/>
        </w:rPr>
      </w:pPr>
      <w:r w:rsidRPr="00C666CA">
        <w:rPr>
          <w:rFonts w:ascii="Times New Roman" w:hAnsi="Times New Roman" w:cs="Times New Roman"/>
          <w:b/>
          <w:bCs/>
        </w:rPr>
        <w:t>pH</w:t>
      </w:r>
      <w:r w:rsidR="00917080" w:rsidRPr="00C666CA">
        <w:rPr>
          <w:rFonts w:ascii="Times New Roman" w:hAnsi="Times New Roman" w:cs="Times New Roman"/>
          <w:b/>
          <w:bCs/>
        </w:rPr>
        <w:t xml:space="preserve"> and Moisture Content</w:t>
      </w:r>
    </w:p>
    <w:p w14:paraId="4AD11697" w14:textId="77777777" w:rsidR="005B57CE" w:rsidRPr="00C666CA" w:rsidRDefault="00917080" w:rsidP="003041D1">
      <w:pPr>
        <w:spacing w:line="360" w:lineRule="auto"/>
        <w:jc w:val="both"/>
        <w:rPr>
          <w:rFonts w:ascii="Times New Roman" w:hAnsi="Times New Roman" w:cs="Times New Roman"/>
        </w:rPr>
      </w:pPr>
      <w:r w:rsidRPr="00C666CA">
        <w:rPr>
          <w:rFonts w:ascii="Times New Roman" w:hAnsi="Times New Roman"/>
        </w:rPr>
        <w:t>The pH of a starch slurry and the moisture content of the dry powder are fundamental indicators of purity, stability, and suitability for processing. The mean values of these two physicochemical parameters for the plantain (SPS), yam (SYS), and corn (SCS) starch samples are presented in Table 1.</w:t>
      </w:r>
    </w:p>
    <w:p w14:paraId="525C6C7B" w14:textId="77777777" w:rsidR="00050055" w:rsidRPr="00C666CA" w:rsidRDefault="00050055" w:rsidP="003041D1">
      <w:pPr>
        <w:spacing w:line="360" w:lineRule="auto"/>
        <w:jc w:val="both"/>
        <w:rPr>
          <w:rFonts w:ascii="Times New Roman" w:hAnsi="Times New Roman" w:cs="Times New Roman"/>
        </w:rPr>
      </w:pPr>
    </w:p>
    <w:p w14:paraId="3EBA8B6B" w14:textId="77777777" w:rsidR="00050055" w:rsidRPr="00C666CA" w:rsidRDefault="00050055" w:rsidP="003041D1">
      <w:pPr>
        <w:spacing w:line="360" w:lineRule="auto"/>
        <w:jc w:val="both"/>
        <w:rPr>
          <w:rFonts w:ascii="Times New Roman" w:hAnsi="Times New Roman" w:cs="Times New Roman"/>
        </w:rPr>
      </w:pPr>
    </w:p>
    <w:p w14:paraId="15834E75" w14:textId="77777777" w:rsidR="00917080" w:rsidRPr="00C666CA" w:rsidRDefault="00205851" w:rsidP="003041D1">
      <w:pPr>
        <w:pStyle w:val="Heading3"/>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 xml:space="preserve">Table </w:t>
      </w:r>
      <w:r w:rsidR="005B57CE" w:rsidRPr="00C666CA">
        <w:rPr>
          <w:rFonts w:ascii="Times New Roman" w:hAnsi="Times New Roman" w:cs="Times New Roman"/>
          <w:b/>
          <w:bCs/>
          <w:color w:val="auto"/>
          <w:sz w:val="24"/>
          <w:szCs w:val="24"/>
        </w:rPr>
        <w:t xml:space="preserve">1: </w:t>
      </w:r>
      <w:r w:rsidR="00917080" w:rsidRPr="00C666CA">
        <w:rPr>
          <w:rFonts w:ascii="Times New Roman" w:hAnsi="Times New Roman" w:cs="Times New Roman"/>
          <w:b/>
          <w:bCs/>
          <w:color w:val="auto"/>
          <w:sz w:val="24"/>
          <w:szCs w:val="24"/>
        </w:rPr>
        <w:t>Physicochemical Properties of Starch Samples</w:t>
      </w:r>
    </w:p>
    <w:tbl>
      <w:tblPr>
        <w:tblStyle w:val="ListTable6Colorful"/>
        <w:tblW w:w="9360" w:type="dxa"/>
        <w:tblLayout w:type="fixed"/>
        <w:tblLook w:val="0600" w:firstRow="0" w:lastRow="0" w:firstColumn="0" w:lastColumn="0" w:noHBand="1" w:noVBand="1"/>
      </w:tblPr>
      <w:tblGrid>
        <w:gridCol w:w="3120"/>
        <w:gridCol w:w="3120"/>
        <w:gridCol w:w="3120"/>
      </w:tblGrid>
      <w:tr w:rsidR="00917080" w:rsidRPr="00C666CA" w14:paraId="072F1888" w14:textId="77777777" w:rsidTr="00917080">
        <w:tc>
          <w:tcPr>
            <w:tcW w:w="3120" w:type="dxa"/>
          </w:tcPr>
          <w:p w14:paraId="69659606" w14:textId="77777777" w:rsidR="00917080" w:rsidRPr="00C666CA" w:rsidRDefault="00917080"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Starch samples</w:t>
            </w:r>
          </w:p>
        </w:tc>
        <w:tc>
          <w:tcPr>
            <w:tcW w:w="3120" w:type="dxa"/>
          </w:tcPr>
          <w:p w14:paraId="793954DE" w14:textId="77777777" w:rsidR="00917080" w:rsidRPr="00C666CA" w:rsidRDefault="00917080"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pH</w:t>
            </w:r>
          </w:p>
        </w:tc>
        <w:tc>
          <w:tcPr>
            <w:tcW w:w="3120" w:type="dxa"/>
          </w:tcPr>
          <w:p w14:paraId="2779D00C" w14:textId="77777777" w:rsidR="00917080" w:rsidRPr="00C666CA" w:rsidRDefault="00917080"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Moisture (%)</w:t>
            </w:r>
          </w:p>
        </w:tc>
      </w:tr>
      <w:tr w:rsidR="00917080" w:rsidRPr="00C666CA" w14:paraId="63C0ED36" w14:textId="77777777" w:rsidTr="00917080">
        <w:tc>
          <w:tcPr>
            <w:tcW w:w="3120" w:type="dxa"/>
          </w:tcPr>
          <w:p w14:paraId="34CCC76A" w14:textId="77777777" w:rsidR="00917080" w:rsidRPr="00C666CA" w:rsidRDefault="00917080" w:rsidP="003041D1">
            <w:pPr>
              <w:spacing w:line="360" w:lineRule="auto"/>
              <w:jc w:val="both"/>
              <w:rPr>
                <w:rFonts w:ascii="Times New Roman" w:eastAsia="Times New Roman" w:hAnsi="Times New Roman" w:cs="Times New Roman"/>
                <w:b/>
                <w:color w:val="auto"/>
              </w:rPr>
            </w:pPr>
            <w:r w:rsidRPr="00C666CA">
              <w:rPr>
                <w:rFonts w:ascii="Times New Roman" w:eastAsia="Times New Roman" w:hAnsi="Times New Roman" w:cs="Times New Roman"/>
                <w:b/>
                <w:color w:val="auto"/>
              </w:rPr>
              <w:t>Plantain Starch</w:t>
            </w:r>
          </w:p>
        </w:tc>
        <w:tc>
          <w:tcPr>
            <w:tcW w:w="3120" w:type="dxa"/>
          </w:tcPr>
          <w:p w14:paraId="2F0AF537" w14:textId="77777777" w:rsidR="00917080" w:rsidRPr="00C666CA" w:rsidRDefault="00917080"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6.68</w:t>
            </w:r>
            <w:r w:rsidRPr="00C666CA">
              <w:rPr>
                <w:rFonts w:ascii="Times New Roman" w:eastAsia="Times New Roman" w:hAnsi="Times New Roman" w:cs="Times New Roman"/>
                <w:color w:val="auto"/>
                <w:vertAlign w:val="superscript"/>
              </w:rPr>
              <w:t>a</w:t>
            </w:r>
            <w:r w:rsidRPr="00C666CA">
              <w:rPr>
                <w:rFonts w:ascii="Times New Roman" w:eastAsia="Times New Roman" w:hAnsi="Times New Roman" w:cs="Times New Roman"/>
                <w:color w:val="auto"/>
              </w:rPr>
              <w:t xml:space="preserve"> </w:t>
            </w:r>
            <w:r w:rsidR="003061EC" w:rsidRPr="00C666CA">
              <w:rPr>
                <w:rFonts w:ascii="Times New Roman" w:eastAsia="Times New Roman" w:hAnsi="Times New Roman" w:cs="Times New Roman"/>
                <w:color w:val="auto"/>
              </w:rPr>
              <w:t>±</w:t>
            </w:r>
            <w:r w:rsidRPr="00C666CA">
              <w:rPr>
                <w:rFonts w:ascii="Times New Roman" w:eastAsia="Times New Roman" w:hAnsi="Times New Roman" w:cs="Times New Roman"/>
                <w:color w:val="auto"/>
              </w:rPr>
              <w:t xml:space="preserve"> 0.04</w:t>
            </w:r>
          </w:p>
        </w:tc>
        <w:tc>
          <w:tcPr>
            <w:tcW w:w="3120" w:type="dxa"/>
          </w:tcPr>
          <w:p w14:paraId="526E124D" w14:textId="77777777" w:rsidR="00917080" w:rsidRPr="00C666CA" w:rsidRDefault="00917080"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15.50</w:t>
            </w:r>
            <w:r w:rsidRPr="00C666CA">
              <w:rPr>
                <w:rFonts w:ascii="Times New Roman" w:eastAsia="Times New Roman" w:hAnsi="Times New Roman" w:cs="Times New Roman"/>
                <w:color w:val="auto"/>
                <w:vertAlign w:val="superscript"/>
              </w:rPr>
              <w:t>a</w:t>
            </w:r>
            <w:r w:rsidRPr="00C666CA">
              <w:rPr>
                <w:rFonts w:ascii="Times New Roman" w:eastAsia="Times New Roman" w:hAnsi="Times New Roman" w:cs="Times New Roman"/>
                <w:color w:val="auto"/>
              </w:rPr>
              <w:t xml:space="preserve"> </w:t>
            </w:r>
            <w:r w:rsidR="003061EC" w:rsidRPr="00C666CA">
              <w:rPr>
                <w:rFonts w:ascii="Times New Roman" w:eastAsia="Times New Roman" w:hAnsi="Times New Roman" w:cs="Times New Roman"/>
                <w:color w:val="auto"/>
              </w:rPr>
              <w:t>±</w:t>
            </w:r>
            <w:r w:rsidRPr="00C666CA">
              <w:rPr>
                <w:rFonts w:ascii="Times New Roman" w:eastAsia="Times New Roman" w:hAnsi="Times New Roman" w:cs="Times New Roman"/>
                <w:color w:val="auto"/>
              </w:rPr>
              <w:t xml:space="preserve"> 0.71</w:t>
            </w:r>
          </w:p>
        </w:tc>
      </w:tr>
      <w:tr w:rsidR="00917080" w:rsidRPr="00C666CA" w14:paraId="1D814A6E" w14:textId="77777777" w:rsidTr="00917080">
        <w:tc>
          <w:tcPr>
            <w:tcW w:w="3120" w:type="dxa"/>
          </w:tcPr>
          <w:p w14:paraId="7B591744" w14:textId="77777777" w:rsidR="00917080" w:rsidRPr="00C666CA" w:rsidRDefault="00917080" w:rsidP="003041D1">
            <w:pPr>
              <w:spacing w:line="360" w:lineRule="auto"/>
              <w:jc w:val="both"/>
              <w:rPr>
                <w:rFonts w:ascii="Times New Roman" w:eastAsia="Times New Roman" w:hAnsi="Times New Roman" w:cs="Times New Roman"/>
                <w:b/>
                <w:color w:val="auto"/>
              </w:rPr>
            </w:pPr>
            <w:r w:rsidRPr="00C666CA">
              <w:rPr>
                <w:rFonts w:ascii="Times New Roman" w:eastAsia="Times New Roman" w:hAnsi="Times New Roman" w:cs="Times New Roman"/>
                <w:b/>
                <w:color w:val="auto"/>
              </w:rPr>
              <w:t>Yam starch</w:t>
            </w:r>
          </w:p>
        </w:tc>
        <w:tc>
          <w:tcPr>
            <w:tcW w:w="3120" w:type="dxa"/>
          </w:tcPr>
          <w:p w14:paraId="23DE8610" w14:textId="77777777" w:rsidR="00917080" w:rsidRPr="00C666CA" w:rsidRDefault="00917080"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7.38</w:t>
            </w:r>
            <w:r w:rsidRPr="00C666CA">
              <w:rPr>
                <w:rFonts w:ascii="Times New Roman" w:eastAsia="Times New Roman" w:hAnsi="Times New Roman" w:cs="Times New Roman"/>
                <w:color w:val="auto"/>
                <w:vertAlign w:val="superscript"/>
              </w:rPr>
              <w:t>a</w:t>
            </w:r>
            <w:r w:rsidRPr="00C666CA">
              <w:rPr>
                <w:rFonts w:ascii="Times New Roman" w:eastAsia="Times New Roman" w:hAnsi="Times New Roman" w:cs="Times New Roman"/>
                <w:color w:val="auto"/>
              </w:rPr>
              <w:t xml:space="preserve"> </w:t>
            </w:r>
            <w:r w:rsidR="003061EC" w:rsidRPr="00C666CA">
              <w:rPr>
                <w:rFonts w:ascii="Times New Roman" w:eastAsia="Times New Roman" w:hAnsi="Times New Roman" w:cs="Times New Roman"/>
                <w:color w:val="auto"/>
              </w:rPr>
              <w:t xml:space="preserve">± </w:t>
            </w:r>
            <w:r w:rsidRPr="00C666CA">
              <w:rPr>
                <w:rFonts w:ascii="Times New Roman" w:eastAsia="Times New Roman" w:hAnsi="Times New Roman" w:cs="Times New Roman"/>
                <w:color w:val="auto"/>
              </w:rPr>
              <w:t>0.04</w:t>
            </w:r>
          </w:p>
        </w:tc>
        <w:tc>
          <w:tcPr>
            <w:tcW w:w="3120" w:type="dxa"/>
          </w:tcPr>
          <w:p w14:paraId="2AC9DF1E" w14:textId="77777777" w:rsidR="00917080" w:rsidRPr="00C666CA" w:rsidRDefault="00917080"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12.50</w:t>
            </w:r>
            <w:r w:rsidRPr="00C666CA">
              <w:rPr>
                <w:rFonts w:ascii="Times New Roman" w:eastAsia="Times New Roman" w:hAnsi="Times New Roman" w:cs="Times New Roman"/>
                <w:color w:val="auto"/>
                <w:vertAlign w:val="superscript"/>
              </w:rPr>
              <w:t>b</w:t>
            </w:r>
            <w:r w:rsidRPr="00C666CA">
              <w:rPr>
                <w:rFonts w:ascii="Times New Roman" w:eastAsia="Times New Roman" w:hAnsi="Times New Roman" w:cs="Times New Roman"/>
                <w:color w:val="auto"/>
              </w:rPr>
              <w:t xml:space="preserve"> </w:t>
            </w:r>
            <w:r w:rsidR="003061EC" w:rsidRPr="00C666CA">
              <w:rPr>
                <w:rFonts w:ascii="Times New Roman" w:eastAsia="Times New Roman" w:hAnsi="Times New Roman" w:cs="Times New Roman"/>
                <w:color w:val="auto"/>
              </w:rPr>
              <w:t>±</w:t>
            </w:r>
            <w:r w:rsidRPr="00C666CA">
              <w:rPr>
                <w:rFonts w:ascii="Times New Roman" w:eastAsia="Times New Roman" w:hAnsi="Times New Roman" w:cs="Times New Roman"/>
                <w:color w:val="auto"/>
              </w:rPr>
              <w:t xml:space="preserve"> 0.71</w:t>
            </w:r>
          </w:p>
        </w:tc>
      </w:tr>
      <w:tr w:rsidR="00917080" w:rsidRPr="00C666CA" w14:paraId="55D6E8C2" w14:textId="77777777" w:rsidTr="00917080">
        <w:tc>
          <w:tcPr>
            <w:tcW w:w="3120" w:type="dxa"/>
          </w:tcPr>
          <w:p w14:paraId="04113136" w14:textId="77777777" w:rsidR="00917080" w:rsidRPr="00C666CA" w:rsidRDefault="00917080" w:rsidP="003041D1">
            <w:pPr>
              <w:spacing w:line="360" w:lineRule="auto"/>
              <w:jc w:val="both"/>
              <w:rPr>
                <w:rFonts w:ascii="Times New Roman" w:eastAsia="Times New Roman" w:hAnsi="Times New Roman" w:cs="Times New Roman"/>
                <w:b/>
                <w:color w:val="auto"/>
              </w:rPr>
            </w:pPr>
            <w:r w:rsidRPr="00C666CA">
              <w:rPr>
                <w:rFonts w:ascii="Times New Roman" w:eastAsia="Times New Roman" w:hAnsi="Times New Roman" w:cs="Times New Roman"/>
                <w:b/>
                <w:color w:val="auto"/>
              </w:rPr>
              <w:t>Control</w:t>
            </w:r>
          </w:p>
        </w:tc>
        <w:tc>
          <w:tcPr>
            <w:tcW w:w="3120" w:type="dxa"/>
          </w:tcPr>
          <w:p w14:paraId="22999087" w14:textId="77777777" w:rsidR="00917080" w:rsidRPr="00C666CA" w:rsidRDefault="00917080"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6.88</w:t>
            </w:r>
            <w:r w:rsidRPr="00C666CA">
              <w:rPr>
                <w:rFonts w:ascii="Times New Roman" w:eastAsia="Times New Roman" w:hAnsi="Times New Roman" w:cs="Times New Roman"/>
                <w:color w:val="auto"/>
                <w:vertAlign w:val="superscript"/>
              </w:rPr>
              <w:t>a</w:t>
            </w:r>
            <w:r w:rsidRPr="00C666CA">
              <w:rPr>
                <w:rFonts w:ascii="Times New Roman" w:eastAsia="Times New Roman" w:hAnsi="Times New Roman" w:cs="Times New Roman"/>
                <w:color w:val="auto"/>
              </w:rPr>
              <w:t xml:space="preserve"> </w:t>
            </w:r>
            <w:r w:rsidR="003061EC" w:rsidRPr="00C666CA">
              <w:rPr>
                <w:rFonts w:ascii="Times New Roman" w:eastAsia="Times New Roman" w:hAnsi="Times New Roman" w:cs="Times New Roman"/>
                <w:color w:val="auto"/>
              </w:rPr>
              <w:t xml:space="preserve">± </w:t>
            </w:r>
            <w:r w:rsidRPr="00C666CA">
              <w:rPr>
                <w:rFonts w:ascii="Times New Roman" w:eastAsia="Times New Roman" w:hAnsi="Times New Roman" w:cs="Times New Roman"/>
                <w:color w:val="auto"/>
              </w:rPr>
              <w:t>0.04</w:t>
            </w:r>
          </w:p>
        </w:tc>
        <w:tc>
          <w:tcPr>
            <w:tcW w:w="3120" w:type="dxa"/>
          </w:tcPr>
          <w:p w14:paraId="784A4F73" w14:textId="77777777" w:rsidR="00917080" w:rsidRPr="00C666CA" w:rsidRDefault="00917080"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15.50</w:t>
            </w:r>
            <w:r w:rsidRPr="00C666CA">
              <w:rPr>
                <w:rFonts w:ascii="Times New Roman" w:eastAsia="Times New Roman" w:hAnsi="Times New Roman" w:cs="Times New Roman"/>
                <w:color w:val="auto"/>
                <w:vertAlign w:val="superscript"/>
              </w:rPr>
              <w:t>a</w:t>
            </w:r>
            <w:r w:rsidRPr="00C666CA">
              <w:rPr>
                <w:rFonts w:ascii="Times New Roman" w:eastAsia="Times New Roman" w:hAnsi="Times New Roman" w:cs="Times New Roman"/>
                <w:color w:val="auto"/>
              </w:rPr>
              <w:t xml:space="preserve"> </w:t>
            </w:r>
            <w:r w:rsidR="003061EC" w:rsidRPr="00C666CA">
              <w:rPr>
                <w:rFonts w:ascii="Times New Roman" w:eastAsia="Times New Roman" w:hAnsi="Times New Roman" w:cs="Times New Roman"/>
                <w:color w:val="auto"/>
              </w:rPr>
              <w:t>±</w:t>
            </w:r>
            <w:r w:rsidRPr="00C666CA">
              <w:rPr>
                <w:rFonts w:ascii="Times New Roman" w:eastAsia="Times New Roman" w:hAnsi="Times New Roman" w:cs="Times New Roman"/>
                <w:color w:val="auto"/>
              </w:rPr>
              <w:t xml:space="preserve"> 0.71</w:t>
            </w:r>
          </w:p>
        </w:tc>
      </w:tr>
      <w:tr w:rsidR="00917080" w:rsidRPr="00C666CA" w14:paraId="6DAE92FD" w14:textId="77777777" w:rsidTr="00917080">
        <w:tc>
          <w:tcPr>
            <w:tcW w:w="3120" w:type="dxa"/>
          </w:tcPr>
          <w:p w14:paraId="30AC4F97" w14:textId="77777777" w:rsidR="00917080" w:rsidRPr="00C666CA" w:rsidRDefault="00917080"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LSD</w:t>
            </w:r>
          </w:p>
        </w:tc>
        <w:tc>
          <w:tcPr>
            <w:tcW w:w="3120" w:type="dxa"/>
          </w:tcPr>
          <w:p w14:paraId="5D762A06" w14:textId="77777777" w:rsidR="00917080" w:rsidRPr="00C666CA" w:rsidRDefault="00917080"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1.05</w:t>
            </w:r>
          </w:p>
        </w:tc>
        <w:tc>
          <w:tcPr>
            <w:tcW w:w="3120" w:type="dxa"/>
          </w:tcPr>
          <w:p w14:paraId="1936FDAD" w14:textId="77777777" w:rsidR="00917080" w:rsidRPr="00C666CA" w:rsidRDefault="00917080"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1.66</w:t>
            </w:r>
          </w:p>
        </w:tc>
      </w:tr>
    </w:tbl>
    <w:p w14:paraId="5D49D624" w14:textId="77777777" w:rsidR="005B57CE" w:rsidRPr="00C666CA" w:rsidRDefault="005B57CE" w:rsidP="003041D1">
      <w:pPr>
        <w:spacing w:line="360" w:lineRule="auto"/>
        <w:jc w:val="both"/>
        <w:rPr>
          <w:rFonts w:ascii="Times New Roman" w:hAnsi="Times New Roman" w:cs="Times New Roman"/>
        </w:rPr>
      </w:pPr>
      <w:r w:rsidRPr="00C666CA">
        <w:rPr>
          <w:rFonts w:ascii="Times New Roman" w:hAnsi="Times New Roman" w:cs="Times New Roman"/>
          <w:i/>
          <w:iCs/>
        </w:rPr>
        <w:t>Mean values in the same column followed by different superscript letters (a, b, c) are significantly different (p &lt; 0.05).</w:t>
      </w:r>
    </w:p>
    <w:p w14:paraId="74A90202" w14:textId="77777777" w:rsidR="00917080" w:rsidRPr="00C666CA" w:rsidRDefault="00917080" w:rsidP="003041D1">
      <w:pPr>
        <w:spacing w:line="360" w:lineRule="auto"/>
        <w:jc w:val="both"/>
        <w:rPr>
          <w:rFonts w:ascii="Times New Roman" w:hAnsi="Times New Roman" w:cs="Times New Roman"/>
        </w:rPr>
      </w:pPr>
      <w:r w:rsidRPr="00C666CA">
        <w:rPr>
          <w:rFonts w:ascii="Times New Roman" w:hAnsi="Times New Roman"/>
        </w:rPr>
        <w:lastRenderedPageBreak/>
        <w:t>The results indicate statistically significant differences among the samples for both parameters. Regarding pH, yam starch (SYS) was slightly alkaline (7.38), whereas corn (SCS) and plantain (SPS) starches were near neutral to slightly acidic (6.88 and 6.68, respectively). Plantain and corn starches had significantly higher moisture contents (15.50%) than yam starch (12.50%).</w:t>
      </w:r>
    </w:p>
    <w:p w14:paraId="12BF0C40" w14:textId="77777777" w:rsidR="00F65B72" w:rsidRPr="00C666CA" w:rsidRDefault="00F65B72"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One-way analysis of variance (ANOVA) was used to assess the statistical significance of these observations; the results are presented in Table B-3 in the Appendix. P values below 0.05 indicate statistically significant differences among group means. The ANOVA results indicate that starch source had a significant effect on both pH (F(2,3) = 208.000, p = 0.001) and moisture content (F(2,3) = 49.333, p = 0.005). All samples exhibited near-neutral to slightly alkaline pH values, which may indicate good purity and suggest that acidic contaminants were removed during extraction and washing (Olatunde et al., 2017).</w:t>
      </w:r>
    </w:p>
    <w:p w14:paraId="4645C11A" w14:textId="77777777" w:rsidR="00F65B72" w:rsidRPr="00C666CA" w:rsidRDefault="00F65B72"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For edible-film production, a near-neutral pH is desirable because it supports the chemical stability of starch glycosidic linkages and limits acid-catalysed hydrolytic degradation during heat-intensive gelatinisation (Bello-Pérez et al., 1999). The statistically significant differences may be attributable to the botanical origins of the starches. Findings for some tuber starches indicate that trace mineral ions may influence pH, which could explain the slight alkalinity of yam starch (Riley et al., 2008). Fruit-derived starches, including plantain starch, are often slightly acidic. Functionally, the slightly acidic to neutral pH of plantain and maize starches may favour the incorporation of pH-sensitive bioactive substances such as gingerols, which are more stable under these conditions.</w:t>
      </w:r>
    </w:p>
    <w:p w14:paraId="7D0DD1B7" w14:textId="77777777" w:rsidR="00F65B72" w:rsidRPr="00C666CA" w:rsidRDefault="00F65B72"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stability of these phenolic compounds may be adversely affected by the slightly alkaline nature of yam starch (Zhu, 2015b). Consequently, plantain and maize starches exhibit more favourable pH characteristics for developing stable, antioxidant-rich edible films. To reduce the risk of microbial contamination and subsequent starch degradation during storage, a moisture content below 15% is generally recommended (Lawal, 2004). Yam starch (12.50%) was within this range, whereas plantain and corn starches (15.50%) were slightly above it. This finding suggests that plantain and maize starch powders may require stricter control of ambient humidity during long-term storage to prevent deterioration.</w:t>
      </w:r>
    </w:p>
    <w:p w14:paraId="1633606E" w14:textId="77777777" w:rsidR="00F65B72" w:rsidRPr="00C666CA" w:rsidRDefault="00F65B72"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Functionally, the higher intrinsic moisture contents of corn and plantain starches have important implications for film properties. Water acts as a natural plasticiser in starch. A higher initial moisture content can lower the glass-transition temperature (Tg) of the final film matrix, suggesting that films produced from corn and plantain starches may exhibit greater elongation at break and inherent flexibility (Zeleznak &amp; Hoseney, 1987). However, this increased molecular mobility often produces a less dense polymer network, which may lead to poorer barrier properties, particularly a higher water-vapour transmission rate (WVTR), which is undesirable for many food-packaging applications (Zhu, 2015a). The lower moisture content of yam starch suggests that it may produce a denser and more rigid film with improved barrier properties.</w:t>
      </w:r>
    </w:p>
    <w:p w14:paraId="4C0714AE" w14:textId="77777777" w:rsidR="005B57CE" w:rsidRPr="00C666CA" w:rsidRDefault="005B57CE"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Physicochemical Properties: Swelling Power and Solubility</w:t>
      </w:r>
    </w:p>
    <w:p w14:paraId="46B1444E" w14:textId="77777777" w:rsidR="00582389" w:rsidRPr="00C666CA" w:rsidRDefault="00582389" w:rsidP="003041D1">
      <w:pPr>
        <w:spacing w:line="360" w:lineRule="auto"/>
        <w:jc w:val="both"/>
        <w:rPr>
          <w:rFonts w:ascii="Times New Roman" w:hAnsi="Times New Roman" w:cs="Times New Roman"/>
          <w:b/>
          <w:bCs/>
        </w:rPr>
      </w:pPr>
      <w:r w:rsidRPr="00C666CA">
        <w:rPr>
          <w:rFonts w:ascii="Times New Roman" w:hAnsi="Times New Roman" w:cs="Times New Roman"/>
          <w:b/>
          <w:bCs/>
        </w:rPr>
        <w:t>Swelling Power</w:t>
      </w:r>
      <w:r w:rsidR="00A95061" w:rsidRPr="00C666CA">
        <w:rPr>
          <w:rFonts w:ascii="Times New Roman" w:hAnsi="Times New Roman" w:cs="Times New Roman"/>
          <w:b/>
          <w:bCs/>
        </w:rPr>
        <w:t xml:space="preserve"> and Solubility</w:t>
      </w:r>
    </w:p>
    <w:p w14:paraId="19965029" w14:textId="77777777" w:rsidR="00F65B72" w:rsidRPr="00C666CA" w:rsidRDefault="00F65B72"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 xml:space="preserve">Functionally, the higher intrinsic moisture contents of corn and plantain starches have important implications for film properties. Water acts as a natural plasticiser in starch. A higher initial moisture content can lower the glass-transition temperature (Tg) of the final film matrix, </w:t>
      </w:r>
      <w:r w:rsidRPr="00C666CA">
        <w:rPr>
          <w:rFonts w:ascii="Times New Roman" w:hAnsi="Times New Roman"/>
        </w:rPr>
        <w:t>suggesting that films produced from corn and plantain starches may exhibit greater elongation at break and inherent flexibility (Zeleznak &amp; Hoseney, 1987). However, this increased molecular mobility often produces a less dense polymer network, which may lead to poorer barrier properties, particularly a higher water-vapour transmission rate (WVTR), which is undesirable for many food-packaging applications (Zhu, 2015a). The lower moisture content of yam starch suggests that it may produce a denser and more rigid film with improved barrier properties.</w:t>
      </w:r>
    </w:p>
    <w:p w14:paraId="368DF6FB" w14:textId="77777777" w:rsidR="00582389" w:rsidRPr="00C666CA" w:rsidRDefault="00205851" w:rsidP="003041D1">
      <w:pPr>
        <w:pStyle w:val="Heading3"/>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 xml:space="preserve">Table </w:t>
      </w:r>
      <w:r w:rsidR="00F739D6" w:rsidRPr="00C666CA">
        <w:rPr>
          <w:rFonts w:ascii="Times New Roman" w:hAnsi="Times New Roman" w:cs="Times New Roman"/>
          <w:b/>
          <w:bCs/>
          <w:color w:val="auto"/>
          <w:sz w:val="24"/>
          <w:szCs w:val="24"/>
        </w:rPr>
        <w:t>2</w:t>
      </w:r>
      <w:r w:rsidR="005B57CE" w:rsidRPr="00C666CA">
        <w:rPr>
          <w:rFonts w:ascii="Times New Roman" w:hAnsi="Times New Roman" w:cs="Times New Roman"/>
          <w:b/>
          <w:bCs/>
          <w:color w:val="auto"/>
          <w:sz w:val="24"/>
          <w:szCs w:val="24"/>
        </w:rPr>
        <w:t xml:space="preserve">: </w:t>
      </w:r>
      <w:r w:rsidR="00C20246" w:rsidRPr="00C666CA">
        <w:rPr>
          <w:rFonts w:ascii="Times New Roman" w:hAnsi="Times New Roman" w:cs="Times New Roman"/>
          <w:b/>
          <w:bCs/>
          <w:color w:val="auto"/>
          <w:sz w:val="24"/>
          <w:szCs w:val="24"/>
        </w:rPr>
        <w:t>Physicochemical Properties (Swelling Power and Solubility) of Starch Samples</w:t>
      </w:r>
    </w:p>
    <w:tbl>
      <w:tblPr>
        <w:tblStyle w:val="ListTable6Colorful"/>
        <w:tblW w:w="0" w:type="auto"/>
        <w:tblLook w:val="04A0" w:firstRow="1" w:lastRow="0" w:firstColumn="1" w:lastColumn="0" w:noHBand="0" w:noVBand="1"/>
      </w:tblPr>
      <w:tblGrid>
        <w:gridCol w:w="1570"/>
        <w:gridCol w:w="2323"/>
        <w:gridCol w:w="3112"/>
        <w:gridCol w:w="2310"/>
      </w:tblGrid>
      <w:tr w:rsidR="00A95061" w:rsidRPr="00C666CA" w14:paraId="4AD8CFB6" w14:textId="77777777" w:rsidTr="00A95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48DCF6" w14:textId="77777777" w:rsidR="00A95061" w:rsidRPr="00C666CA" w:rsidRDefault="00A95061" w:rsidP="003041D1">
            <w:pPr>
              <w:spacing w:after="160" w:line="278" w:lineRule="auto"/>
              <w:jc w:val="both"/>
              <w:rPr>
                <w:rFonts w:ascii="Times New Roman" w:hAnsi="Times New Roman" w:cs="Times New Roman"/>
                <w:color w:val="auto"/>
              </w:rPr>
            </w:pPr>
            <w:r w:rsidRPr="00C666CA">
              <w:rPr>
                <w:rFonts w:ascii="Times New Roman" w:hAnsi="Times New Roman" w:cs="Times New Roman"/>
                <w:color w:val="auto"/>
              </w:rPr>
              <w:t>Sample Code</w:t>
            </w:r>
          </w:p>
        </w:tc>
        <w:tc>
          <w:tcPr>
            <w:tcW w:w="0" w:type="auto"/>
            <w:hideMark/>
          </w:tcPr>
          <w:p w14:paraId="2951CB25" w14:textId="77777777" w:rsidR="00A95061" w:rsidRPr="00C666CA" w:rsidRDefault="00A95061" w:rsidP="003041D1">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Starch Source</w:t>
            </w:r>
          </w:p>
        </w:tc>
        <w:tc>
          <w:tcPr>
            <w:tcW w:w="0" w:type="auto"/>
            <w:hideMark/>
          </w:tcPr>
          <w:p w14:paraId="41EB14FF" w14:textId="77777777" w:rsidR="00A95061" w:rsidRPr="00C666CA" w:rsidRDefault="003E59B6" w:rsidP="003041D1">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Mean Swelling Power (ml</w:t>
            </w:r>
            <w:r w:rsidR="00A95061" w:rsidRPr="00C666CA">
              <w:rPr>
                <w:rFonts w:ascii="Times New Roman" w:hAnsi="Times New Roman" w:cs="Times New Roman"/>
                <w:color w:val="auto"/>
              </w:rPr>
              <w:t>/g)</w:t>
            </w:r>
          </w:p>
        </w:tc>
        <w:tc>
          <w:tcPr>
            <w:tcW w:w="0" w:type="auto"/>
            <w:hideMark/>
          </w:tcPr>
          <w:p w14:paraId="72914A35" w14:textId="77777777" w:rsidR="00A95061" w:rsidRPr="00C666CA" w:rsidRDefault="00A95061" w:rsidP="003041D1">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Mean Solubility (%)</w:t>
            </w:r>
          </w:p>
        </w:tc>
      </w:tr>
      <w:tr w:rsidR="00A95061" w:rsidRPr="00C666CA" w14:paraId="348F6A5E" w14:textId="77777777" w:rsidTr="00A95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AA547B7" w14:textId="77777777" w:rsidR="00A95061" w:rsidRPr="00C666CA" w:rsidRDefault="00A95061" w:rsidP="003041D1">
            <w:pPr>
              <w:spacing w:after="160" w:line="278" w:lineRule="auto"/>
              <w:jc w:val="both"/>
              <w:rPr>
                <w:rFonts w:ascii="Times New Roman" w:hAnsi="Times New Roman" w:cs="Times New Roman"/>
                <w:color w:val="auto"/>
              </w:rPr>
            </w:pPr>
            <w:r w:rsidRPr="00C666CA">
              <w:rPr>
                <w:rFonts w:ascii="Times New Roman" w:hAnsi="Times New Roman" w:cs="Times New Roman"/>
                <w:color w:val="auto"/>
              </w:rPr>
              <w:t>SYS</w:t>
            </w:r>
          </w:p>
        </w:tc>
        <w:tc>
          <w:tcPr>
            <w:tcW w:w="0" w:type="auto"/>
            <w:shd w:val="clear" w:color="auto" w:fill="auto"/>
            <w:hideMark/>
          </w:tcPr>
          <w:p w14:paraId="31BD2613" w14:textId="77777777" w:rsidR="00A95061" w:rsidRPr="00C666C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Yam Starch</w:t>
            </w:r>
          </w:p>
        </w:tc>
        <w:tc>
          <w:tcPr>
            <w:tcW w:w="0" w:type="auto"/>
            <w:shd w:val="clear" w:color="auto" w:fill="auto"/>
            <w:hideMark/>
          </w:tcPr>
          <w:p w14:paraId="406A84A3" w14:textId="77777777" w:rsidR="00A95061" w:rsidRPr="00C666C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1.40ᵃ ± 0.14</w:t>
            </w:r>
          </w:p>
        </w:tc>
        <w:tc>
          <w:tcPr>
            <w:tcW w:w="0" w:type="auto"/>
            <w:shd w:val="clear" w:color="auto" w:fill="auto"/>
            <w:hideMark/>
          </w:tcPr>
          <w:p w14:paraId="516F43F8" w14:textId="77777777" w:rsidR="00A95061" w:rsidRPr="00C666C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9.63ᶜ ± 0.05</w:t>
            </w:r>
          </w:p>
        </w:tc>
      </w:tr>
      <w:tr w:rsidR="00A95061" w:rsidRPr="00C666CA" w14:paraId="7ADCE8E1" w14:textId="77777777" w:rsidTr="00A95061">
        <w:tc>
          <w:tcPr>
            <w:cnfStyle w:val="001000000000" w:firstRow="0" w:lastRow="0" w:firstColumn="1" w:lastColumn="0" w:oddVBand="0" w:evenVBand="0" w:oddHBand="0" w:evenHBand="0" w:firstRowFirstColumn="0" w:firstRowLastColumn="0" w:lastRowFirstColumn="0" w:lastRowLastColumn="0"/>
            <w:tcW w:w="0" w:type="auto"/>
            <w:hideMark/>
          </w:tcPr>
          <w:p w14:paraId="7CF079DA" w14:textId="77777777" w:rsidR="00A95061" w:rsidRPr="00C666CA" w:rsidRDefault="00A95061" w:rsidP="003041D1">
            <w:pPr>
              <w:spacing w:after="160" w:line="278" w:lineRule="auto"/>
              <w:jc w:val="both"/>
              <w:rPr>
                <w:rFonts w:ascii="Times New Roman" w:hAnsi="Times New Roman" w:cs="Times New Roman"/>
                <w:color w:val="auto"/>
              </w:rPr>
            </w:pPr>
            <w:r w:rsidRPr="00C666CA">
              <w:rPr>
                <w:rFonts w:ascii="Times New Roman" w:hAnsi="Times New Roman" w:cs="Times New Roman"/>
                <w:color w:val="auto"/>
              </w:rPr>
              <w:t>SCS</w:t>
            </w:r>
          </w:p>
        </w:tc>
        <w:tc>
          <w:tcPr>
            <w:tcW w:w="0" w:type="auto"/>
            <w:hideMark/>
          </w:tcPr>
          <w:p w14:paraId="307F9B01" w14:textId="77777777" w:rsidR="00A95061" w:rsidRPr="00C666CA" w:rsidRDefault="00A95061" w:rsidP="003041D1">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Corn Starch (Control)</w:t>
            </w:r>
          </w:p>
        </w:tc>
        <w:tc>
          <w:tcPr>
            <w:tcW w:w="0" w:type="auto"/>
            <w:hideMark/>
          </w:tcPr>
          <w:p w14:paraId="2A6A441D" w14:textId="77777777" w:rsidR="00A95061" w:rsidRPr="00C666CA" w:rsidRDefault="00A95061" w:rsidP="003041D1">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1.15ᵇ ± 0.07</w:t>
            </w:r>
          </w:p>
        </w:tc>
        <w:tc>
          <w:tcPr>
            <w:tcW w:w="0" w:type="auto"/>
            <w:hideMark/>
          </w:tcPr>
          <w:p w14:paraId="49C3E2B4" w14:textId="77777777" w:rsidR="00A95061" w:rsidRPr="00C666CA" w:rsidRDefault="00A95061" w:rsidP="003041D1">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12.45ᵃ ± 0.03</w:t>
            </w:r>
          </w:p>
        </w:tc>
      </w:tr>
      <w:tr w:rsidR="00A95061" w:rsidRPr="00C666CA" w14:paraId="2C09C00E" w14:textId="77777777" w:rsidTr="00A95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7DF099C" w14:textId="77777777" w:rsidR="00A95061" w:rsidRPr="00C666CA" w:rsidRDefault="00A95061" w:rsidP="003041D1">
            <w:pPr>
              <w:spacing w:after="160" w:line="278" w:lineRule="auto"/>
              <w:jc w:val="both"/>
              <w:rPr>
                <w:rFonts w:ascii="Times New Roman" w:hAnsi="Times New Roman" w:cs="Times New Roman"/>
                <w:color w:val="auto"/>
              </w:rPr>
            </w:pPr>
            <w:r w:rsidRPr="00C666CA">
              <w:rPr>
                <w:rFonts w:ascii="Times New Roman" w:hAnsi="Times New Roman" w:cs="Times New Roman"/>
                <w:color w:val="auto"/>
              </w:rPr>
              <w:t>SPS</w:t>
            </w:r>
          </w:p>
        </w:tc>
        <w:tc>
          <w:tcPr>
            <w:tcW w:w="0" w:type="auto"/>
            <w:shd w:val="clear" w:color="auto" w:fill="auto"/>
            <w:hideMark/>
          </w:tcPr>
          <w:p w14:paraId="1280618B" w14:textId="77777777" w:rsidR="00A95061" w:rsidRPr="00C666C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Plantain Starch</w:t>
            </w:r>
          </w:p>
        </w:tc>
        <w:tc>
          <w:tcPr>
            <w:tcW w:w="0" w:type="auto"/>
            <w:shd w:val="clear" w:color="auto" w:fill="auto"/>
            <w:hideMark/>
          </w:tcPr>
          <w:p w14:paraId="622AC9FE" w14:textId="77777777" w:rsidR="00A95061" w:rsidRPr="00C666C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1.05ᶜ ± 0.07</w:t>
            </w:r>
          </w:p>
        </w:tc>
        <w:tc>
          <w:tcPr>
            <w:tcW w:w="0" w:type="auto"/>
            <w:shd w:val="clear" w:color="auto" w:fill="auto"/>
            <w:hideMark/>
          </w:tcPr>
          <w:p w14:paraId="1E93ED77" w14:textId="77777777" w:rsidR="00A95061" w:rsidRPr="00C666C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10.87ᵇ ± 0.04</w:t>
            </w:r>
          </w:p>
        </w:tc>
      </w:tr>
    </w:tbl>
    <w:p w14:paraId="0D199A0D" w14:textId="77777777" w:rsidR="005B57CE" w:rsidRPr="00C666CA" w:rsidRDefault="005B57CE" w:rsidP="003041D1">
      <w:pPr>
        <w:spacing w:line="360" w:lineRule="auto"/>
        <w:jc w:val="both"/>
        <w:rPr>
          <w:rFonts w:ascii="Times New Roman" w:hAnsi="Times New Roman" w:cs="Times New Roman"/>
        </w:rPr>
      </w:pPr>
      <w:r w:rsidRPr="00C666CA">
        <w:rPr>
          <w:rFonts w:ascii="Times New Roman" w:hAnsi="Times New Roman" w:cs="Times New Roman"/>
          <w:i/>
          <w:iCs/>
        </w:rPr>
        <w:t>Mean values in the same column followed by different superscript letters (a, b, c) are significantly different (p &lt; 0.05).</w:t>
      </w:r>
    </w:p>
    <w:p w14:paraId="2A37AAB5" w14:textId="77777777" w:rsidR="005E165F" w:rsidRPr="00C666CA" w:rsidRDefault="005E165F"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results demonstrate a distinct hierarchy for both properties. Plantain starch (SPS) had the lowest swelling power (1.05 mL/g), whereas yam starch (SYS) had the highest value (1.40 mL/g). The starches showed the opposite trend for solubility, with yam starch being the least soluble (9.63%) and maize starch (SCS) the most soluble (12.45%). One-way analysis of variance (ANOVA) was used to assess the statistical significance of these observations. The ANOVA indicated that solubility differed significantly among starch sources (p &lt; 0.001). Although the p value for swelling power (0.081) was slightly above the conventional 0.05 threshold, post hoc testing supported the reported categories (see Table 3).</w:t>
      </w:r>
    </w:p>
    <w:p w14:paraId="349CAE42" w14:textId="77777777" w:rsidR="005E165F" w:rsidRPr="00C666CA" w:rsidRDefault="005E165F"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interaction among granular architecture, amylose content, and crystalline structure controls the swelling and solubility properties of starch (Hoover, 2001). The findings provide a comparison of the functional differences among the three starches. In contrast to the dense A-type structure of maize starch, the more open and hydrated B-type crystalline structure of yam starch permits greater water penetration and may explain its higher swelling power (Zavareze &amp; Dias, 2011). Its lower solubility, however, suggests a strong internal granular network that limits the leaching of amylose chains despite swelling. By contrast, plantain starch had the lowest swelling power (1.05 mL/g), which was an important functional finding.</w:t>
      </w:r>
    </w:p>
    <w:p w14:paraId="79D5DEE8" w14:textId="77777777" w:rsidR="005E165F" w:rsidRPr="00C666CA" w:rsidRDefault="005E165F"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Among the three samples, this finding indicates the greatest granular rigidity and resistance to thermal disruption. Strong intermolecular interactions, which are characteristic of starches with high amylose contents and well-organised B/C-type crystalline structures, may account for this integrity (Otegbayo et al., 2010). Low swelling power may indicate favourable film-forming behaviour. It suggests that the granules may retain sufficient structure to form a dense, interconnected polymer network after drying rather than disintegrating completely into a weak paste. Such density may reduce free volume in the final film and contribute to mechanical strength and low water-vapour permeability.</w:t>
      </w:r>
    </w:p>
    <w:p w14:paraId="1CD56EAF" w14:textId="77777777" w:rsidR="005E165F" w:rsidRPr="00C666CA" w:rsidRDefault="005E165F"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 xml:space="preserve">The relatively low swelling power of plantain starch was complemented by its moderate solubility (10.87%). Although low solubility is desirable for water resistance, some amylose must leach from the granules to form the continuous polymer network that gives the film its structure. The intermediate solubility of plantain starch suggests a balance between releasing sufficient amylose </w:t>
      </w:r>
      <w:r w:rsidRPr="00C666CA">
        <w:rPr>
          <w:rFonts w:ascii="Times New Roman" w:hAnsi="Times New Roman"/>
        </w:rPr>
        <w:t>to form a cohesive film matrix and avoiding excessive water sensitivity, which is a common limitation of more soluble starches (Mali et al., 2004). In summary, the combination of low swelling power and moderate solubility indicates that plantain starch may be a promising option for producing edible films with favourable mechanical and barrier properties relative to yam and maize starches.</w:t>
      </w:r>
    </w:p>
    <w:p w14:paraId="4303E18D" w14:textId="77777777" w:rsidR="005B57CE" w:rsidRPr="00C666CA" w:rsidRDefault="005B57CE"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Structural and Morphological Analysis</w:t>
      </w:r>
    </w:p>
    <w:p w14:paraId="06F0BDFC" w14:textId="77777777" w:rsidR="005B57CE" w:rsidRPr="00C666CA" w:rsidRDefault="00BD3505" w:rsidP="003041D1">
      <w:pPr>
        <w:spacing w:line="360" w:lineRule="auto"/>
        <w:jc w:val="both"/>
        <w:rPr>
          <w:rFonts w:ascii="Times New Roman" w:hAnsi="Times New Roman" w:cs="Times New Roman"/>
          <w:b/>
          <w:bCs/>
        </w:rPr>
      </w:pPr>
      <w:r w:rsidRPr="00C666CA">
        <w:rPr>
          <w:rFonts w:ascii="Times New Roman" w:hAnsi="Times New Roman" w:cs="Times New Roman"/>
          <w:b/>
          <w:bCs/>
        </w:rPr>
        <w:t>Fourier Transform Infrared (FTIR) Spectroscopy Analysis</w:t>
      </w:r>
    </w:p>
    <w:p w14:paraId="5CB52544" w14:textId="77777777" w:rsidR="00933865" w:rsidRPr="00C666CA" w:rsidRDefault="00933865"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The FTIR spectra of all three starch samples displayed characteristic bands for O–H, C–H, and C–O–C glycosidic bonds, confirming their typical polysaccharide structures. The ratio of absorbance at 1047 cm⁻¹, which represents ordered crystalline structure, to that at 1022 cm⁻¹, which represents amorphous structure, is an analytical indicator of short-range molecular order.</w:t>
      </w:r>
    </w:p>
    <w:p w14:paraId="2C638ECD" w14:textId="77777777" w:rsidR="005B57CE" w:rsidRPr="00C666CA" w:rsidRDefault="00A94464" w:rsidP="003041D1">
      <w:pPr>
        <w:spacing w:line="360" w:lineRule="auto"/>
        <w:jc w:val="both"/>
        <w:rPr>
          <w:rFonts w:ascii="Times New Roman" w:hAnsi="Times New Roman" w:cs="Times New Roman"/>
        </w:rPr>
      </w:pPr>
      <w:r w:rsidRPr="00C666CA">
        <w:rPr>
          <w:rFonts w:ascii="Times New Roman" w:hAnsi="Times New Roman" w:cs="Times New Roman"/>
          <w:noProof/>
        </w:rPr>
        <w:drawing>
          <wp:inline distT="0" distB="0" distL="0" distR="0" wp14:anchorId="5BD144F0" wp14:editId="1A506545">
            <wp:extent cx="6018218" cy="3457903"/>
            <wp:effectExtent l="19050" t="19050" r="20955" b="28575"/>
            <wp:docPr id="1742365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65974" name="Picture 1742365974"/>
                    <pic:cNvPicPr/>
                  </pic:nvPicPr>
                  <pic:blipFill>
                    <a:blip r:embed="rId12">
                      <a:extLst>
                        <a:ext uri="{28A0092B-C50C-407E-A947-70E740481C1C}">
                          <a14:useLocalDpi xmlns:a14="http://schemas.microsoft.com/office/drawing/2010/main" val="0"/>
                        </a:ext>
                      </a:extLst>
                    </a:blip>
                    <a:stretch>
                      <a:fillRect/>
                    </a:stretch>
                  </pic:blipFill>
                  <pic:spPr>
                    <a:xfrm>
                      <a:off x="0" y="0"/>
                      <a:ext cx="6045107" cy="3473352"/>
                    </a:xfrm>
                    <a:prstGeom prst="rect">
                      <a:avLst/>
                    </a:prstGeom>
                    <a:ln>
                      <a:solidFill>
                        <a:schemeClr val="tx1"/>
                      </a:solidFill>
                    </a:ln>
                  </pic:spPr>
                </pic:pic>
              </a:graphicData>
            </a:graphic>
          </wp:inline>
        </w:drawing>
      </w:r>
    </w:p>
    <w:p w14:paraId="026A13EF" w14:textId="77777777" w:rsidR="00655603" w:rsidRPr="00C666CA" w:rsidRDefault="00205851" w:rsidP="003041D1">
      <w:pPr>
        <w:pStyle w:val="Heading3"/>
        <w:spacing w:before="0" w:line="360" w:lineRule="auto"/>
        <w:jc w:val="both"/>
        <w:rPr>
          <w:rFonts w:ascii="Times New Roman" w:hAnsi="Times New Roman" w:cs="Times New Roman"/>
          <w:b/>
          <w:bCs/>
          <w:i/>
          <w:iCs/>
          <w:color w:val="auto"/>
          <w:sz w:val="24"/>
          <w:szCs w:val="24"/>
        </w:rPr>
      </w:pPr>
      <w:r w:rsidRPr="00C666CA">
        <w:rPr>
          <w:rFonts w:ascii="Times New Roman" w:hAnsi="Times New Roman" w:cs="Times New Roman"/>
          <w:b/>
          <w:bCs/>
          <w:i/>
          <w:iCs/>
          <w:color w:val="auto"/>
          <w:sz w:val="24"/>
          <w:szCs w:val="24"/>
        </w:rPr>
        <w:t xml:space="preserve">Figure </w:t>
      </w:r>
      <w:r w:rsidR="00D90A29" w:rsidRPr="00C666CA">
        <w:rPr>
          <w:rFonts w:ascii="Times New Roman" w:hAnsi="Times New Roman" w:cs="Times New Roman"/>
          <w:b/>
          <w:bCs/>
          <w:i/>
          <w:iCs/>
          <w:color w:val="auto"/>
          <w:sz w:val="24"/>
          <w:szCs w:val="24"/>
        </w:rPr>
        <w:t>5</w:t>
      </w:r>
      <w:r w:rsidR="00A94464" w:rsidRPr="00C666CA">
        <w:rPr>
          <w:rFonts w:ascii="Times New Roman" w:hAnsi="Times New Roman" w:cs="Times New Roman"/>
          <w:b/>
          <w:bCs/>
          <w:i/>
          <w:iCs/>
          <w:color w:val="auto"/>
          <w:sz w:val="24"/>
          <w:szCs w:val="24"/>
        </w:rPr>
        <w:t>: FTIR Analysis of Corn Starch, Yam Starch and Plantain Starch</w:t>
      </w:r>
    </w:p>
    <w:p w14:paraId="3A8B79E9" w14:textId="77777777" w:rsidR="00933865" w:rsidRPr="00C666CA" w:rsidRDefault="00933865"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Visual inspection of the spectra (Figure 5) suggested that corn starch had the highest intensity ratio, followed by yam starch and plantain starch. This pattern may indicate that corn starch, which has a dense A-type crystalline arrangement, had the highest degree of short-range order. Plantain and yam starches, which have B/C-type structures, appeared to have lower initial molecular order. This lower order may reduce the energy required for gelatinisation. However, because the more mobile polymer chains can reassociate more strongly, it may also be associated with more rapid retrogradation during cooling (Wang et al., 2015).</w:t>
      </w:r>
    </w:p>
    <w:p w14:paraId="13D0C16E" w14:textId="77777777" w:rsidR="00933865" w:rsidRPr="00C666CA" w:rsidRDefault="00933865"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For film formation, this retrogradation behaviour suggests that plantain and yam starches may produce films that are stronger and more rigid and have better barrier properties than films produced from maize starch.</w:t>
      </w:r>
    </w:p>
    <w:p w14:paraId="4A996503" w14:textId="77777777" w:rsidR="005B57CE" w:rsidRPr="00C666CA" w:rsidRDefault="0074263A" w:rsidP="003041D1">
      <w:pPr>
        <w:spacing w:line="360" w:lineRule="auto"/>
        <w:jc w:val="both"/>
        <w:rPr>
          <w:rFonts w:ascii="Times New Roman" w:hAnsi="Times New Roman" w:cs="Times New Roman"/>
        </w:rPr>
      </w:pPr>
      <w:r w:rsidRPr="00C666CA">
        <w:rPr>
          <w:rFonts w:ascii="Times New Roman" w:hAnsi="Times New Roman" w:cs="Times New Roman"/>
          <w:b/>
          <w:bCs/>
        </w:rPr>
        <w:t>Scanning Electron Microscopy (SEM) Analysis</w:t>
      </w:r>
    </w:p>
    <w:p w14:paraId="79C50BF0" w14:textId="77777777" w:rsidR="005B57CE" w:rsidRPr="00C666CA" w:rsidRDefault="007A6CCE"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lastRenderedPageBreak/>
        <w:t>SEM examination confirmed substantial morphological differences among the botanical sources. Corn starch contained uniformly small, distinctly polygonal granules, whereas yam starch contained large, oval, and frequently clustered granules. Figures 6(a)–(c) show the SEM micrographs of corn, plantain, and yam starches, and Table 3 summarises their morphological characteristics.</w:t>
      </w:r>
    </w:p>
    <w:p w14:paraId="1767ECF4" w14:textId="77777777" w:rsidR="009257A7" w:rsidRPr="00C666CA" w:rsidRDefault="00554835" w:rsidP="003041D1">
      <w:pPr>
        <w:spacing w:line="360" w:lineRule="auto"/>
        <w:jc w:val="both"/>
        <w:rPr>
          <w:rFonts w:ascii="Times New Roman" w:hAnsi="Times New Roman" w:cs="Times New Roman"/>
          <w:b/>
          <w:bCs/>
        </w:rPr>
      </w:pPr>
      <w:r w:rsidRPr="00C666CA">
        <w:rPr>
          <w:rFonts w:ascii="Times New Roman" w:hAnsi="Times New Roman" w:cs="Times New Roman"/>
          <w:b/>
          <w:bCs/>
          <w:noProof/>
        </w:rPr>
        <w:drawing>
          <wp:inline distT="0" distB="0" distL="0" distR="0" wp14:anchorId="2EF8A7D1" wp14:editId="578C4472">
            <wp:extent cx="5416828" cy="3257717"/>
            <wp:effectExtent l="19050" t="19050" r="15875" b="25400"/>
            <wp:docPr id="1254295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95250" name="Picture 1254295250"/>
                    <pic:cNvPicPr/>
                  </pic:nvPicPr>
                  <pic:blipFill>
                    <a:blip r:embed="rId13">
                      <a:extLst>
                        <a:ext uri="{28A0092B-C50C-407E-A947-70E740481C1C}">
                          <a14:useLocalDpi xmlns:a14="http://schemas.microsoft.com/office/drawing/2010/main" val="0"/>
                        </a:ext>
                      </a:extLst>
                    </a:blip>
                    <a:stretch>
                      <a:fillRect/>
                    </a:stretch>
                  </pic:blipFill>
                  <pic:spPr>
                    <a:xfrm>
                      <a:off x="0" y="0"/>
                      <a:ext cx="5416828" cy="3257717"/>
                    </a:xfrm>
                    <a:prstGeom prst="rect">
                      <a:avLst/>
                    </a:prstGeom>
                    <a:ln>
                      <a:solidFill>
                        <a:schemeClr val="tx1"/>
                      </a:solidFill>
                    </a:ln>
                  </pic:spPr>
                </pic:pic>
              </a:graphicData>
            </a:graphic>
          </wp:inline>
        </w:drawing>
      </w:r>
    </w:p>
    <w:p w14:paraId="08F9FC60" w14:textId="77777777" w:rsidR="00554835" w:rsidRPr="00C666CA" w:rsidRDefault="00205851" w:rsidP="003041D1">
      <w:pPr>
        <w:pStyle w:val="Heading3"/>
        <w:spacing w:line="360" w:lineRule="auto"/>
        <w:jc w:val="both"/>
        <w:rPr>
          <w:rFonts w:ascii="Times New Roman" w:hAnsi="Times New Roman" w:cs="Times New Roman"/>
          <w:b/>
          <w:bCs/>
          <w:i/>
          <w:iCs/>
          <w:color w:val="auto"/>
          <w:sz w:val="24"/>
          <w:szCs w:val="24"/>
        </w:rPr>
      </w:pPr>
      <w:r w:rsidRPr="00C666CA">
        <w:rPr>
          <w:rFonts w:ascii="Times New Roman" w:hAnsi="Times New Roman" w:cs="Times New Roman"/>
          <w:b/>
          <w:bCs/>
          <w:i/>
          <w:iCs/>
          <w:color w:val="auto"/>
          <w:sz w:val="24"/>
          <w:szCs w:val="24"/>
        </w:rPr>
        <w:t xml:space="preserve">Figure </w:t>
      </w:r>
      <w:r w:rsidR="00D90A29" w:rsidRPr="00C666CA">
        <w:rPr>
          <w:rFonts w:ascii="Times New Roman" w:hAnsi="Times New Roman" w:cs="Times New Roman"/>
          <w:b/>
          <w:bCs/>
          <w:i/>
          <w:iCs/>
          <w:color w:val="auto"/>
          <w:sz w:val="24"/>
          <w:szCs w:val="24"/>
        </w:rPr>
        <w:t>6</w:t>
      </w:r>
      <w:r w:rsidR="00554835" w:rsidRPr="00C666CA">
        <w:rPr>
          <w:rFonts w:ascii="Times New Roman" w:hAnsi="Times New Roman" w:cs="Times New Roman"/>
          <w:b/>
          <w:bCs/>
          <w:i/>
          <w:iCs/>
          <w:color w:val="auto"/>
          <w:sz w:val="24"/>
          <w:szCs w:val="24"/>
        </w:rPr>
        <w:t>a: SEM Micrographs for Corn</w:t>
      </w:r>
    </w:p>
    <w:p w14:paraId="79539709" w14:textId="77777777" w:rsidR="00B41631" w:rsidRPr="00C666CA" w:rsidRDefault="00B41631" w:rsidP="003041D1">
      <w:pPr>
        <w:spacing w:line="360" w:lineRule="auto"/>
        <w:jc w:val="both"/>
        <w:rPr>
          <w:rFonts w:ascii="Times New Roman" w:hAnsi="Times New Roman" w:cs="Times New Roman"/>
        </w:rPr>
      </w:pPr>
    </w:p>
    <w:p w14:paraId="16D61BE6" w14:textId="77777777" w:rsidR="00554835" w:rsidRPr="00C666CA" w:rsidRDefault="00024A28" w:rsidP="003041D1">
      <w:pPr>
        <w:spacing w:line="360" w:lineRule="auto"/>
        <w:jc w:val="both"/>
        <w:rPr>
          <w:rFonts w:ascii="Times New Roman" w:hAnsi="Times New Roman" w:cs="Times New Roman"/>
          <w:b/>
          <w:bCs/>
        </w:rPr>
      </w:pPr>
      <w:r w:rsidRPr="00C666CA">
        <w:rPr>
          <w:rFonts w:ascii="Times New Roman" w:hAnsi="Times New Roman" w:cs="Times New Roman"/>
          <w:b/>
          <w:bCs/>
          <w:noProof/>
        </w:rPr>
        <w:drawing>
          <wp:inline distT="0" distB="0" distL="0" distR="0" wp14:anchorId="633FD53F" wp14:editId="7C2D07A4">
            <wp:extent cx="5245370" cy="2838596"/>
            <wp:effectExtent l="0" t="0" r="0" b="0"/>
            <wp:docPr id="15549074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07442" name="Picture 1554907442"/>
                    <pic:cNvPicPr/>
                  </pic:nvPicPr>
                  <pic:blipFill>
                    <a:blip r:embed="rId14">
                      <a:extLst>
                        <a:ext uri="{28A0092B-C50C-407E-A947-70E740481C1C}">
                          <a14:useLocalDpi xmlns:a14="http://schemas.microsoft.com/office/drawing/2010/main" val="0"/>
                        </a:ext>
                      </a:extLst>
                    </a:blip>
                    <a:stretch>
                      <a:fillRect/>
                    </a:stretch>
                  </pic:blipFill>
                  <pic:spPr>
                    <a:xfrm>
                      <a:off x="0" y="0"/>
                      <a:ext cx="5245370" cy="2838596"/>
                    </a:xfrm>
                    <a:prstGeom prst="rect">
                      <a:avLst/>
                    </a:prstGeom>
                  </pic:spPr>
                </pic:pic>
              </a:graphicData>
            </a:graphic>
          </wp:inline>
        </w:drawing>
      </w:r>
    </w:p>
    <w:p w14:paraId="2EF90220" w14:textId="77777777" w:rsidR="00024A28" w:rsidRPr="00C666CA" w:rsidRDefault="00205851" w:rsidP="003041D1">
      <w:pPr>
        <w:pStyle w:val="Heading3"/>
        <w:spacing w:before="0" w:line="360" w:lineRule="auto"/>
        <w:jc w:val="both"/>
        <w:rPr>
          <w:rFonts w:ascii="Times New Roman" w:hAnsi="Times New Roman" w:cs="Times New Roman"/>
          <w:b/>
          <w:bCs/>
          <w:i/>
          <w:iCs/>
          <w:color w:val="auto"/>
          <w:sz w:val="24"/>
          <w:szCs w:val="24"/>
        </w:rPr>
      </w:pPr>
      <w:r w:rsidRPr="00C666CA">
        <w:rPr>
          <w:rFonts w:ascii="Times New Roman" w:hAnsi="Times New Roman" w:cs="Times New Roman"/>
          <w:b/>
          <w:bCs/>
          <w:i/>
          <w:iCs/>
          <w:color w:val="auto"/>
          <w:sz w:val="24"/>
          <w:szCs w:val="24"/>
        </w:rPr>
        <w:lastRenderedPageBreak/>
        <w:t xml:space="preserve">Figure </w:t>
      </w:r>
      <w:r w:rsidR="00D90A29" w:rsidRPr="00C666CA">
        <w:rPr>
          <w:rFonts w:ascii="Times New Roman" w:hAnsi="Times New Roman" w:cs="Times New Roman"/>
          <w:b/>
          <w:bCs/>
          <w:i/>
          <w:iCs/>
          <w:color w:val="auto"/>
          <w:sz w:val="24"/>
          <w:szCs w:val="24"/>
        </w:rPr>
        <w:t>6</w:t>
      </w:r>
      <w:r w:rsidR="00024A28" w:rsidRPr="00C666CA">
        <w:rPr>
          <w:rFonts w:ascii="Times New Roman" w:hAnsi="Times New Roman" w:cs="Times New Roman"/>
          <w:b/>
          <w:bCs/>
          <w:i/>
          <w:iCs/>
          <w:color w:val="auto"/>
          <w:sz w:val="24"/>
          <w:szCs w:val="24"/>
        </w:rPr>
        <w:t>b: SEM Micrographs for Plantain</w:t>
      </w:r>
    </w:p>
    <w:p w14:paraId="21D3489D" w14:textId="77777777" w:rsidR="00024A28" w:rsidRPr="00C666CA" w:rsidRDefault="00024A28" w:rsidP="003041D1">
      <w:pPr>
        <w:spacing w:line="360" w:lineRule="auto"/>
        <w:jc w:val="both"/>
        <w:rPr>
          <w:rFonts w:ascii="Times New Roman" w:hAnsi="Times New Roman" w:cs="Times New Roman"/>
          <w:b/>
          <w:bCs/>
        </w:rPr>
      </w:pPr>
    </w:p>
    <w:p w14:paraId="41957159" w14:textId="77777777" w:rsidR="00F739D6" w:rsidRPr="00C666CA" w:rsidRDefault="00F94FEB" w:rsidP="003041D1">
      <w:pPr>
        <w:spacing w:line="360" w:lineRule="auto"/>
        <w:jc w:val="both"/>
        <w:rPr>
          <w:rFonts w:ascii="Times New Roman" w:hAnsi="Times New Roman" w:cs="Times New Roman"/>
          <w:b/>
          <w:bCs/>
          <w:i/>
          <w:iCs/>
        </w:rPr>
      </w:pPr>
      <w:r w:rsidRPr="00C666CA">
        <w:rPr>
          <w:rFonts w:ascii="Times New Roman" w:hAnsi="Times New Roman" w:cs="Times New Roman"/>
          <w:b/>
          <w:bCs/>
          <w:noProof/>
        </w:rPr>
        <w:drawing>
          <wp:inline distT="0" distB="0" distL="0" distR="0" wp14:anchorId="172C47A3" wp14:editId="0CB2C824">
            <wp:extent cx="5245100" cy="2846530"/>
            <wp:effectExtent l="0" t="0" r="0" b="0"/>
            <wp:docPr id="1101834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34309" name=""/>
                    <pic:cNvPicPr/>
                  </pic:nvPicPr>
                  <pic:blipFill>
                    <a:blip r:embed="rId15"/>
                    <a:stretch>
                      <a:fillRect/>
                    </a:stretch>
                  </pic:blipFill>
                  <pic:spPr>
                    <a:xfrm>
                      <a:off x="0" y="0"/>
                      <a:ext cx="5277051" cy="2863870"/>
                    </a:xfrm>
                    <a:prstGeom prst="rect">
                      <a:avLst/>
                    </a:prstGeom>
                  </pic:spPr>
                </pic:pic>
              </a:graphicData>
            </a:graphic>
          </wp:inline>
        </w:drawing>
      </w:r>
    </w:p>
    <w:p w14:paraId="1D2A33A8" w14:textId="77777777" w:rsidR="00B41631" w:rsidRPr="00C666CA" w:rsidRDefault="00205851" w:rsidP="003041D1">
      <w:pPr>
        <w:spacing w:line="360" w:lineRule="auto"/>
        <w:jc w:val="both"/>
        <w:rPr>
          <w:rFonts w:ascii="Times New Roman" w:hAnsi="Times New Roman" w:cs="Times New Roman"/>
          <w:b/>
          <w:bCs/>
        </w:rPr>
      </w:pPr>
      <w:r w:rsidRPr="00C666CA">
        <w:rPr>
          <w:rFonts w:ascii="Times New Roman" w:hAnsi="Times New Roman" w:cs="Times New Roman"/>
          <w:b/>
          <w:bCs/>
          <w:i/>
          <w:iCs/>
        </w:rPr>
        <w:t xml:space="preserve">Figure </w:t>
      </w:r>
      <w:r w:rsidR="00D90A29" w:rsidRPr="00C666CA">
        <w:rPr>
          <w:rFonts w:ascii="Times New Roman" w:hAnsi="Times New Roman" w:cs="Times New Roman"/>
          <w:b/>
          <w:bCs/>
          <w:i/>
          <w:iCs/>
        </w:rPr>
        <w:t>6</w:t>
      </w:r>
      <w:r w:rsidR="00F94FEB" w:rsidRPr="00C666CA">
        <w:rPr>
          <w:rFonts w:ascii="Times New Roman" w:hAnsi="Times New Roman" w:cs="Times New Roman"/>
          <w:b/>
          <w:bCs/>
          <w:i/>
          <w:iCs/>
        </w:rPr>
        <w:t>c: SEM Micrographs for Yam</w:t>
      </w:r>
    </w:p>
    <w:p w14:paraId="770C8314" w14:textId="77777777" w:rsidR="00F739D6" w:rsidRPr="00C666CA" w:rsidRDefault="00F739D6" w:rsidP="003041D1">
      <w:pPr>
        <w:jc w:val="both"/>
        <w:rPr>
          <w:rFonts w:ascii="Times New Roman" w:hAnsi="Times New Roman" w:cs="Times New Roman"/>
        </w:rPr>
      </w:pPr>
    </w:p>
    <w:p w14:paraId="360D884F" w14:textId="77777777" w:rsidR="005B57CE" w:rsidRPr="00C666CA" w:rsidRDefault="00205851" w:rsidP="003041D1">
      <w:pPr>
        <w:pStyle w:val="Heading3"/>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 xml:space="preserve">Table </w:t>
      </w:r>
      <w:r w:rsidR="00EC3BAA" w:rsidRPr="00C666CA">
        <w:rPr>
          <w:rFonts w:ascii="Times New Roman" w:hAnsi="Times New Roman" w:cs="Times New Roman"/>
          <w:b/>
          <w:bCs/>
          <w:color w:val="auto"/>
          <w:sz w:val="24"/>
          <w:szCs w:val="24"/>
        </w:rPr>
        <w:t>3</w:t>
      </w:r>
      <w:r w:rsidR="005B57CE" w:rsidRPr="00C666CA">
        <w:rPr>
          <w:rFonts w:ascii="Times New Roman" w:hAnsi="Times New Roman" w:cs="Times New Roman"/>
          <w:b/>
          <w:bCs/>
          <w:color w:val="auto"/>
          <w:sz w:val="24"/>
          <w:szCs w:val="24"/>
        </w:rPr>
        <w:t>: Summary of SEM Observations of Starch Granules</w:t>
      </w:r>
    </w:p>
    <w:tbl>
      <w:tblPr>
        <w:tblStyle w:val="ListTable6Colorful"/>
        <w:tblW w:w="9360" w:type="dxa"/>
        <w:tblLayout w:type="fixed"/>
        <w:tblLook w:val="0600" w:firstRow="0" w:lastRow="0" w:firstColumn="0" w:lastColumn="0" w:noHBand="1" w:noVBand="1"/>
      </w:tblPr>
      <w:tblGrid>
        <w:gridCol w:w="3120"/>
        <w:gridCol w:w="3120"/>
        <w:gridCol w:w="3120"/>
      </w:tblGrid>
      <w:tr w:rsidR="00290E1B" w:rsidRPr="00C666CA" w14:paraId="25D00E56" w14:textId="77777777" w:rsidTr="00290E1B">
        <w:tc>
          <w:tcPr>
            <w:tcW w:w="3120" w:type="dxa"/>
          </w:tcPr>
          <w:p w14:paraId="403303DC" w14:textId="77777777" w:rsidR="00290E1B" w:rsidRPr="00C666CA" w:rsidRDefault="00290E1B"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Sample</w:t>
            </w:r>
          </w:p>
        </w:tc>
        <w:tc>
          <w:tcPr>
            <w:tcW w:w="3120" w:type="dxa"/>
          </w:tcPr>
          <w:p w14:paraId="0027DB81" w14:textId="77777777" w:rsidR="00290E1B" w:rsidRPr="00C666CA" w:rsidRDefault="00290E1B"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Source</w:t>
            </w:r>
          </w:p>
        </w:tc>
        <w:tc>
          <w:tcPr>
            <w:tcW w:w="3120" w:type="dxa"/>
          </w:tcPr>
          <w:p w14:paraId="141C8968" w14:textId="77777777" w:rsidR="00290E1B" w:rsidRPr="00C666CA" w:rsidRDefault="00290E1B"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Morphology Description</w:t>
            </w:r>
          </w:p>
        </w:tc>
      </w:tr>
      <w:tr w:rsidR="00290E1B" w:rsidRPr="00C666CA" w14:paraId="48C80574" w14:textId="77777777" w:rsidTr="00290E1B">
        <w:tc>
          <w:tcPr>
            <w:tcW w:w="3120" w:type="dxa"/>
          </w:tcPr>
          <w:p w14:paraId="39C2B9E3" w14:textId="77777777" w:rsidR="00290E1B" w:rsidRPr="00C666CA" w:rsidRDefault="00290E1B"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SPS</w:t>
            </w:r>
          </w:p>
        </w:tc>
        <w:tc>
          <w:tcPr>
            <w:tcW w:w="3120" w:type="dxa"/>
          </w:tcPr>
          <w:p w14:paraId="7E6211CD" w14:textId="77777777" w:rsidR="00290E1B" w:rsidRPr="00C666CA" w:rsidRDefault="00290E1B"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Plantain Starch</w:t>
            </w:r>
          </w:p>
        </w:tc>
        <w:tc>
          <w:tcPr>
            <w:tcW w:w="3120" w:type="dxa"/>
          </w:tcPr>
          <w:p w14:paraId="1351EB99" w14:textId="77777777" w:rsidR="00290E1B" w:rsidRPr="00C666CA" w:rsidRDefault="00290E1B"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Predominantly small, irregular, oval, or kidney-shaped granules.</w:t>
            </w:r>
          </w:p>
        </w:tc>
      </w:tr>
      <w:tr w:rsidR="00290E1B" w:rsidRPr="00C666CA" w14:paraId="523EF683" w14:textId="77777777" w:rsidTr="00290E1B">
        <w:tc>
          <w:tcPr>
            <w:tcW w:w="3120" w:type="dxa"/>
          </w:tcPr>
          <w:p w14:paraId="3C8607CF" w14:textId="77777777" w:rsidR="00290E1B" w:rsidRPr="00C666CA" w:rsidRDefault="00290E1B"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SYS</w:t>
            </w:r>
          </w:p>
        </w:tc>
        <w:tc>
          <w:tcPr>
            <w:tcW w:w="3120" w:type="dxa"/>
          </w:tcPr>
          <w:p w14:paraId="7CE673C7" w14:textId="77777777" w:rsidR="00290E1B" w:rsidRPr="00C666CA" w:rsidRDefault="00290E1B"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Yam Starch</w:t>
            </w:r>
          </w:p>
        </w:tc>
        <w:tc>
          <w:tcPr>
            <w:tcW w:w="3120" w:type="dxa"/>
          </w:tcPr>
          <w:p w14:paraId="2FF4827E" w14:textId="77777777" w:rsidR="00290E1B" w:rsidRPr="00C666CA" w:rsidRDefault="00290E1B"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Large, oval, or kidney-shaped granules, often appearing clustered.</w:t>
            </w:r>
          </w:p>
        </w:tc>
      </w:tr>
      <w:tr w:rsidR="00290E1B" w:rsidRPr="00C666CA" w14:paraId="2437174E" w14:textId="77777777" w:rsidTr="00290E1B">
        <w:tc>
          <w:tcPr>
            <w:tcW w:w="3120" w:type="dxa"/>
          </w:tcPr>
          <w:p w14:paraId="5483D827" w14:textId="77777777" w:rsidR="00290E1B" w:rsidRPr="00C666CA" w:rsidRDefault="00290E1B" w:rsidP="003041D1">
            <w:pPr>
              <w:spacing w:line="360" w:lineRule="auto"/>
              <w:jc w:val="both"/>
              <w:rPr>
                <w:rFonts w:ascii="Times New Roman" w:eastAsia="Times New Roman" w:hAnsi="Times New Roman" w:cs="Times New Roman"/>
                <w:b/>
                <w:bCs/>
                <w:color w:val="auto"/>
              </w:rPr>
            </w:pPr>
            <w:r w:rsidRPr="00C666CA">
              <w:rPr>
                <w:rFonts w:ascii="Times New Roman" w:eastAsia="Times New Roman" w:hAnsi="Times New Roman" w:cs="Times New Roman"/>
                <w:b/>
                <w:bCs/>
                <w:color w:val="auto"/>
              </w:rPr>
              <w:t>SCS</w:t>
            </w:r>
          </w:p>
        </w:tc>
        <w:tc>
          <w:tcPr>
            <w:tcW w:w="3120" w:type="dxa"/>
          </w:tcPr>
          <w:p w14:paraId="610844D4" w14:textId="77777777" w:rsidR="00290E1B" w:rsidRPr="00C666CA" w:rsidRDefault="00290E1B"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Corn Starch (Control)</w:t>
            </w:r>
          </w:p>
        </w:tc>
        <w:tc>
          <w:tcPr>
            <w:tcW w:w="3120" w:type="dxa"/>
          </w:tcPr>
          <w:p w14:paraId="1545721A" w14:textId="77777777" w:rsidR="00290E1B" w:rsidRPr="00C666CA" w:rsidRDefault="00290E1B" w:rsidP="003041D1">
            <w:pPr>
              <w:spacing w:line="360" w:lineRule="auto"/>
              <w:jc w:val="both"/>
              <w:rPr>
                <w:rFonts w:ascii="Times New Roman" w:eastAsia="Times New Roman" w:hAnsi="Times New Roman" w:cs="Times New Roman"/>
                <w:color w:val="auto"/>
              </w:rPr>
            </w:pPr>
            <w:r w:rsidRPr="00C666CA">
              <w:rPr>
                <w:rFonts w:ascii="Times New Roman" w:eastAsia="Times New Roman" w:hAnsi="Times New Roman" w:cs="Times New Roman"/>
                <w:color w:val="auto"/>
              </w:rPr>
              <w:t>Small, polygonal (mostly angular) granules.</w:t>
            </w:r>
          </w:p>
        </w:tc>
      </w:tr>
    </w:tbl>
    <w:p w14:paraId="7085C63A" w14:textId="77777777" w:rsidR="00F94FEB" w:rsidRPr="00C666CA" w:rsidRDefault="00F94FEB" w:rsidP="003041D1">
      <w:pPr>
        <w:spacing w:line="360" w:lineRule="auto"/>
        <w:jc w:val="both"/>
        <w:rPr>
          <w:rFonts w:ascii="Times New Roman" w:hAnsi="Times New Roman" w:cs="Times New Roman"/>
        </w:rPr>
      </w:pPr>
    </w:p>
    <w:p w14:paraId="5712966E" w14:textId="77777777" w:rsidR="00687C75" w:rsidRPr="00C666CA" w:rsidRDefault="00687C75" w:rsidP="003041D1">
      <w:pPr>
        <w:spacing w:after="0" w:line="240" w:lineRule="auto"/>
        <w:jc w:val="both"/>
        <w:rPr>
          <w:rFonts w:ascii="Times New Roman" w:eastAsia="Times New Roman" w:hAnsi="Times New Roman" w:cs="Times New Roman"/>
          <w:kern w:val="0"/>
          <w14:ligatures w14:val="none"/>
        </w:rPr>
      </w:pPr>
      <w:r w:rsidRPr="00C666CA">
        <w:rPr>
          <w:rFonts w:ascii="Times New Roman" w:hAnsi="Times New Roman"/>
        </w:rPr>
        <w:t xml:space="preserve">Most notably, the plantain-starch granules were small, irregular, and frequently oval or kidney-shaped. This morphology may be favourable for film development. Smaller and more irregularly shaped granules may pack more efficiently during film drying, thereby reducing interstitial gaps. After gelatinisation and retrogradation, this packing behaviour may support the formation of a </w:t>
      </w:r>
      <w:r w:rsidRPr="00C666CA">
        <w:rPr>
          <w:rFonts w:ascii="Times New Roman" w:hAnsi="Times New Roman"/>
        </w:rPr>
        <w:lastRenderedPageBreak/>
        <w:t>cohesive, uniform, and continuous film matrix. By reducing potential structural discontinuities, improved packing efficiency may contribute to mechanical integrity and barrier performance (Zavareze &amp; Dias, 2011). The combination of this packing morphology and the high inherent granular rigidity indicated by the low swelling power supports the potential use of plantain starch in dense film matrices.</w:t>
      </w:r>
    </w:p>
    <w:p w14:paraId="7F21E16F" w14:textId="77777777" w:rsidR="005B57CE" w:rsidRPr="00C666CA" w:rsidRDefault="005B57CE" w:rsidP="003041D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Antioxidant Properties of Plant-Based Extracts</w:t>
      </w:r>
    </w:p>
    <w:p w14:paraId="51D2599B" w14:textId="77777777" w:rsidR="005B57CE" w:rsidRPr="00C666CA" w:rsidRDefault="005B57CE" w:rsidP="003041D1">
      <w:pPr>
        <w:spacing w:line="360" w:lineRule="auto"/>
        <w:jc w:val="both"/>
        <w:rPr>
          <w:rFonts w:ascii="Times New Roman" w:hAnsi="Times New Roman" w:cs="Times New Roman"/>
        </w:rPr>
      </w:pPr>
      <w:r w:rsidRPr="00C666CA">
        <w:rPr>
          <w:rFonts w:ascii="Times New Roman" w:hAnsi="Times New Roman" w:cs="Times New Roman"/>
        </w:rPr>
        <w:t>The antioxidant capacities of the avocado (AQA), ginger (GOA), and garlic (GRA) extracts were evaluated using three complementary assays: DPPH, ABTS, and FRAP. The results, expressed as mg/mL (with lower values indicating higher activity for DPPH and ABTS, and higher values for F</w:t>
      </w:r>
      <w:r w:rsidR="00050055" w:rsidRPr="00C666CA">
        <w:rPr>
          <w:rFonts w:ascii="Times New Roman" w:hAnsi="Times New Roman" w:cs="Times New Roman"/>
        </w:rPr>
        <w:t>RAP), are summarized in Table 4.</w:t>
      </w:r>
    </w:p>
    <w:p w14:paraId="0DC479EF" w14:textId="77777777" w:rsidR="00E62C99" w:rsidRPr="00C666CA" w:rsidRDefault="00205851" w:rsidP="003041D1">
      <w:pPr>
        <w:pStyle w:val="Heading3"/>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 xml:space="preserve">Table </w:t>
      </w:r>
      <w:r w:rsidR="00EC3BAA" w:rsidRPr="00C666CA">
        <w:rPr>
          <w:rFonts w:ascii="Times New Roman" w:hAnsi="Times New Roman" w:cs="Times New Roman"/>
          <w:b/>
          <w:bCs/>
          <w:color w:val="auto"/>
          <w:sz w:val="24"/>
          <w:szCs w:val="24"/>
        </w:rPr>
        <w:t>4</w:t>
      </w:r>
      <w:r w:rsidR="005B57CE" w:rsidRPr="00C666CA">
        <w:rPr>
          <w:rFonts w:ascii="Times New Roman" w:hAnsi="Times New Roman" w:cs="Times New Roman"/>
          <w:b/>
          <w:bCs/>
          <w:color w:val="auto"/>
          <w:sz w:val="24"/>
          <w:szCs w:val="24"/>
        </w:rPr>
        <w:t>: Antioxidant Properties of Plant-Based Extracts</w:t>
      </w:r>
    </w:p>
    <w:tbl>
      <w:tblPr>
        <w:tblStyle w:val="ListTable6Colorful"/>
        <w:tblW w:w="0" w:type="auto"/>
        <w:tblLook w:val="04A0" w:firstRow="1" w:lastRow="0" w:firstColumn="1" w:lastColumn="0" w:noHBand="0" w:noVBand="1"/>
      </w:tblPr>
      <w:tblGrid>
        <w:gridCol w:w="2307"/>
        <w:gridCol w:w="1845"/>
        <w:gridCol w:w="1699"/>
        <w:gridCol w:w="1623"/>
      </w:tblGrid>
      <w:tr w:rsidR="00290E1B" w:rsidRPr="00C666CA" w14:paraId="50B7C03A" w14:textId="77777777" w:rsidTr="00F737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868B82" w14:textId="77777777" w:rsidR="00290E1B" w:rsidRPr="00C666CA" w:rsidRDefault="00290E1B" w:rsidP="003041D1">
            <w:pPr>
              <w:spacing w:after="160" w:line="360" w:lineRule="auto"/>
              <w:jc w:val="both"/>
              <w:rPr>
                <w:rFonts w:ascii="Times New Roman" w:hAnsi="Times New Roman" w:cs="Times New Roman"/>
                <w:color w:val="auto"/>
              </w:rPr>
            </w:pPr>
            <w:r w:rsidRPr="00C666CA">
              <w:rPr>
                <w:rFonts w:ascii="Times New Roman" w:hAnsi="Times New Roman" w:cs="Times New Roman"/>
                <w:color w:val="auto"/>
              </w:rPr>
              <w:t>Assay</w:t>
            </w:r>
          </w:p>
        </w:tc>
        <w:tc>
          <w:tcPr>
            <w:tcW w:w="0" w:type="auto"/>
            <w:hideMark/>
          </w:tcPr>
          <w:p w14:paraId="55A2D138" w14:textId="77777777" w:rsidR="00290E1B" w:rsidRPr="00C666CA" w:rsidRDefault="00290E1B" w:rsidP="003041D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Avocado (AOA)</w:t>
            </w:r>
          </w:p>
        </w:tc>
        <w:tc>
          <w:tcPr>
            <w:tcW w:w="0" w:type="auto"/>
            <w:hideMark/>
          </w:tcPr>
          <w:p w14:paraId="624126C3" w14:textId="77777777" w:rsidR="00290E1B" w:rsidRPr="00C666CA" w:rsidRDefault="00290E1B" w:rsidP="003041D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Ginger (GOA)</w:t>
            </w:r>
          </w:p>
        </w:tc>
        <w:tc>
          <w:tcPr>
            <w:tcW w:w="0" w:type="auto"/>
            <w:hideMark/>
          </w:tcPr>
          <w:p w14:paraId="7878E360" w14:textId="77777777" w:rsidR="00290E1B" w:rsidRPr="00C666CA" w:rsidRDefault="00290E1B" w:rsidP="003041D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Garlic (GRA)</w:t>
            </w:r>
          </w:p>
        </w:tc>
      </w:tr>
      <w:tr w:rsidR="00290E1B" w:rsidRPr="00C666CA" w14:paraId="64C3ED68" w14:textId="77777777" w:rsidTr="00F73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4564FB5" w14:textId="77777777" w:rsidR="00290E1B" w:rsidRPr="00C666CA" w:rsidRDefault="00290E1B" w:rsidP="003041D1">
            <w:pPr>
              <w:spacing w:after="160" w:line="360" w:lineRule="auto"/>
              <w:jc w:val="both"/>
              <w:rPr>
                <w:rFonts w:ascii="Times New Roman" w:hAnsi="Times New Roman" w:cs="Times New Roman"/>
                <w:color w:val="auto"/>
              </w:rPr>
            </w:pPr>
            <w:r w:rsidRPr="00C666CA">
              <w:rPr>
                <w:rFonts w:ascii="Times New Roman" w:hAnsi="Times New Roman" w:cs="Times New Roman"/>
                <w:color w:val="auto"/>
              </w:rPr>
              <w:t>DPPH (IC₅₀ mg/mL)</w:t>
            </w:r>
          </w:p>
        </w:tc>
        <w:tc>
          <w:tcPr>
            <w:tcW w:w="0" w:type="auto"/>
            <w:shd w:val="clear" w:color="auto" w:fill="auto"/>
            <w:hideMark/>
          </w:tcPr>
          <w:p w14:paraId="6E3C9609" w14:textId="77777777" w:rsidR="00290E1B" w:rsidRPr="00C666C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71.47 ± 0.40ᵇ</w:t>
            </w:r>
          </w:p>
        </w:tc>
        <w:tc>
          <w:tcPr>
            <w:tcW w:w="0" w:type="auto"/>
            <w:shd w:val="clear" w:color="auto" w:fill="auto"/>
            <w:hideMark/>
          </w:tcPr>
          <w:p w14:paraId="2554DBD2" w14:textId="77777777" w:rsidR="00290E1B" w:rsidRPr="00C666C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46.79 ± 0.69ᵃ</w:t>
            </w:r>
          </w:p>
        </w:tc>
        <w:tc>
          <w:tcPr>
            <w:tcW w:w="0" w:type="auto"/>
            <w:shd w:val="clear" w:color="auto" w:fill="auto"/>
            <w:hideMark/>
          </w:tcPr>
          <w:p w14:paraId="4381C734" w14:textId="77777777" w:rsidR="00290E1B" w:rsidRPr="00C666C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78.75 ± 0.04ᶜ</w:t>
            </w:r>
          </w:p>
        </w:tc>
      </w:tr>
      <w:tr w:rsidR="00290E1B" w:rsidRPr="00C666CA" w14:paraId="32861F07" w14:textId="77777777" w:rsidTr="00F73793">
        <w:tc>
          <w:tcPr>
            <w:cnfStyle w:val="001000000000" w:firstRow="0" w:lastRow="0" w:firstColumn="1" w:lastColumn="0" w:oddVBand="0" w:evenVBand="0" w:oddHBand="0" w:evenHBand="0" w:firstRowFirstColumn="0" w:firstRowLastColumn="0" w:lastRowFirstColumn="0" w:lastRowLastColumn="0"/>
            <w:tcW w:w="0" w:type="auto"/>
            <w:hideMark/>
          </w:tcPr>
          <w:p w14:paraId="4B778E9D" w14:textId="77777777" w:rsidR="00290E1B" w:rsidRPr="00C666CA" w:rsidRDefault="00290E1B" w:rsidP="003041D1">
            <w:pPr>
              <w:spacing w:after="160" w:line="360" w:lineRule="auto"/>
              <w:jc w:val="both"/>
              <w:rPr>
                <w:rFonts w:ascii="Times New Roman" w:hAnsi="Times New Roman" w:cs="Times New Roman"/>
                <w:color w:val="auto"/>
              </w:rPr>
            </w:pPr>
            <w:r w:rsidRPr="00C666CA">
              <w:rPr>
                <w:rFonts w:ascii="Times New Roman" w:hAnsi="Times New Roman" w:cs="Times New Roman"/>
                <w:color w:val="auto"/>
              </w:rPr>
              <w:t>ABTS (IC₅₀ mg/mL)</w:t>
            </w:r>
          </w:p>
        </w:tc>
        <w:tc>
          <w:tcPr>
            <w:tcW w:w="0" w:type="auto"/>
            <w:hideMark/>
          </w:tcPr>
          <w:p w14:paraId="44A70316" w14:textId="77777777" w:rsidR="00290E1B" w:rsidRPr="00C666CA" w:rsidRDefault="00290E1B" w:rsidP="003041D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48.59 ± 0.06ᵃ</w:t>
            </w:r>
          </w:p>
        </w:tc>
        <w:tc>
          <w:tcPr>
            <w:tcW w:w="0" w:type="auto"/>
            <w:hideMark/>
          </w:tcPr>
          <w:p w14:paraId="562E4BF7" w14:textId="77777777" w:rsidR="00290E1B" w:rsidRPr="00C666CA" w:rsidRDefault="00290E1B" w:rsidP="003041D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50.60 ± 0.21ᵇ</w:t>
            </w:r>
          </w:p>
        </w:tc>
        <w:tc>
          <w:tcPr>
            <w:tcW w:w="0" w:type="auto"/>
            <w:hideMark/>
          </w:tcPr>
          <w:p w14:paraId="49252EED" w14:textId="77777777" w:rsidR="00290E1B" w:rsidRPr="00C666CA" w:rsidRDefault="00290E1B" w:rsidP="003041D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50.56 ± 0.05ᵇ</w:t>
            </w:r>
          </w:p>
        </w:tc>
      </w:tr>
      <w:tr w:rsidR="00290E1B" w:rsidRPr="00C666CA" w14:paraId="725F5858" w14:textId="77777777" w:rsidTr="00F73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E611CB8" w14:textId="77777777" w:rsidR="00290E1B" w:rsidRPr="00C666CA" w:rsidRDefault="00290E1B" w:rsidP="003041D1">
            <w:pPr>
              <w:spacing w:after="160" w:line="360" w:lineRule="auto"/>
              <w:jc w:val="both"/>
              <w:rPr>
                <w:rFonts w:ascii="Times New Roman" w:hAnsi="Times New Roman" w:cs="Times New Roman"/>
                <w:color w:val="auto"/>
              </w:rPr>
            </w:pPr>
            <w:r w:rsidRPr="00C666CA">
              <w:rPr>
                <w:rFonts w:ascii="Times New Roman" w:hAnsi="Times New Roman" w:cs="Times New Roman"/>
                <w:color w:val="auto"/>
              </w:rPr>
              <w:t>FRAP (IC₅₀ mg/mL)</w:t>
            </w:r>
          </w:p>
        </w:tc>
        <w:tc>
          <w:tcPr>
            <w:tcW w:w="0" w:type="auto"/>
            <w:shd w:val="clear" w:color="auto" w:fill="auto"/>
            <w:hideMark/>
          </w:tcPr>
          <w:p w14:paraId="4E979C21" w14:textId="77777777" w:rsidR="00290E1B" w:rsidRPr="00C666C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22.72 ± 0.61ᶜ</w:t>
            </w:r>
          </w:p>
        </w:tc>
        <w:tc>
          <w:tcPr>
            <w:tcW w:w="0" w:type="auto"/>
            <w:shd w:val="clear" w:color="auto" w:fill="auto"/>
            <w:hideMark/>
          </w:tcPr>
          <w:p w14:paraId="294D7D4C" w14:textId="77777777" w:rsidR="00290E1B" w:rsidRPr="00C666C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16.39 ± 0.26ᵃ</w:t>
            </w:r>
          </w:p>
        </w:tc>
        <w:tc>
          <w:tcPr>
            <w:tcW w:w="0" w:type="auto"/>
            <w:shd w:val="clear" w:color="auto" w:fill="auto"/>
            <w:hideMark/>
          </w:tcPr>
          <w:p w14:paraId="1CCCA840" w14:textId="77777777" w:rsidR="00290E1B" w:rsidRPr="00C666C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C666CA">
              <w:rPr>
                <w:rFonts w:ascii="Times New Roman" w:hAnsi="Times New Roman" w:cs="Times New Roman"/>
                <w:color w:val="auto"/>
              </w:rPr>
              <w:t>21.09 ± 0.21ᵇ</w:t>
            </w:r>
          </w:p>
        </w:tc>
      </w:tr>
    </w:tbl>
    <w:p w14:paraId="4ECD118B" w14:textId="77777777" w:rsidR="00C57B76" w:rsidRPr="00C666CA" w:rsidRDefault="00F73793" w:rsidP="003041D1">
      <w:pPr>
        <w:spacing w:line="360" w:lineRule="auto"/>
        <w:jc w:val="both"/>
        <w:rPr>
          <w:rFonts w:ascii="Times New Roman" w:hAnsi="Times New Roman" w:cs="Times New Roman"/>
          <w:i/>
          <w:iCs/>
        </w:rPr>
      </w:pPr>
      <w:r w:rsidRPr="00C666CA">
        <w:rPr>
          <w:rFonts w:ascii="Times New Roman" w:hAnsi="Times New Roman" w:cs="Times New Roman"/>
          <w:i/>
          <w:iCs/>
        </w:rPr>
        <w:t>For all assays, lower IC₅₀ values indicate higher antioxidant efficacy. Mean values in the same row followed by different superscript letters are significantly different (p &lt; 0.05) according to post-hoc analysis.</w:t>
      </w:r>
    </w:p>
    <w:p w14:paraId="2C26D8CA" w14:textId="77777777" w:rsidR="00F736F2" w:rsidRPr="00C666CA" w:rsidRDefault="00050055" w:rsidP="003041D1">
      <w:pPr>
        <w:spacing w:line="360" w:lineRule="auto"/>
        <w:jc w:val="both"/>
        <w:rPr>
          <w:rFonts w:ascii="Times New Roman" w:hAnsi="Times New Roman" w:cs="Times New Roman"/>
          <w:i/>
          <w:iCs/>
        </w:rPr>
      </w:pPr>
      <w:r w:rsidRPr="00C666CA">
        <w:rPr>
          <w:rFonts w:ascii="Times New Roman" w:hAnsi="Times New Roman" w:cs="Times New Roman"/>
          <w:b/>
          <w:bCs/>
          <w:i/>
          <w:iCs/>
        </w:rPr>
        <w:t>Key</w:t>
      </w:r>
      <w:r w:rsidR="00F736F2" w:rsidRPr="00C666CA">
        <w:rPr>
          <w:rFonts w:ascii="Times New Roman" w:hAnsi="Times New Roman" w:cs="Times New Roman"/>
          <w:b/>
          <w:bCs/>
          <w:i/>
          <w:iCs/>
        </w:rPr>
        <w:t>:</w:t>
      </w:r>
      <w:r w:rsidR="00F736F2" w:rsidRPr="00C666CA">
        <w:rPr>
          <w:rFonts w:ascii="Times New Roman" w:hAnsi="Times New Roman" w:cs="Times New Roman"/>
          <w:i/>
          <w:iCs/>
        </w:rPr>
        <w:t xml:space="preserve"> </w:t>
      </w:r>
      <w:r w:rsidR="00F736F2" w:rsidRPr="00C666CA">
        <w:rPr>
          <w:rFonts w:ascii="Times New Roman" w:hAnsi="Times New Roman" w:cs="Times New Roman"/>
          <w:i/>
          <w:iCs/>
        </w:rPr>
        <w:tab/>
      </w:r>
      <w:r w:rsidR="00F736F2" w:rsidRPr="00C666CA">
        <w:rPr>
          <w:rFonts w:ascii="Times New Roman" w:hAnsi="Times New Roman" w:cs="Times New Roman"/>
          <w:b/>
          <w:bCs/>
          <w:i/>
          <w:iCs/>
        </w:rPr>
        <w:t>DPPH -</w:t>
      </w:r>
      <w:r w:rsidR="00F736F2" w:rsidRPr="00C666CA">
        <w:rPr>
          <w:rFonts w:ascii="Times New Roman" w:hAnsi="Times New Roman" w:cs="Times New Roman"/>
          <w:i/>
          <w:iCs/>
        </w:rPr>
        <w:tab/>
        <w:t>2-Diphenyl-1-picrylhydrazyl Radical Scavenging Activity</w:t>
      </w:r>
    </w:p>
    <w:p w14:paraId="6957884F" w14:textId="77777777" w:rsidR="00F736F2" w:rsidRPr="00C666CA" w:rsidRDefault="00F736F2" w:rsidP="003041D1">
      <w:pPr>
        <w:spacing w:line="360" w:lineRule="auto"/>
        <w:ind w:firstLine="720"/>
        <w:jc w:val="both"/>
        <w:rPr>
          <w:rFonts w:ascii="Times New Roman" w:hAnsi="Times New Roman" w:cs="Times New Roman"/>
          <w:i/>
          <w:iCs/>
        </w:rPr>
      </w:pPr>
      <w:r w:rsidRPr="00C666CA">
        <w:rPr>
          <w:rFonts w:ascii="Times New Roman" w:hAnsi="Times New Roman" w:cs="Times New Roman"/>
          <w:b/>
          <w:bCs/>
          <w:i/>
          <w:iCs/>
        </w:rPr>
        <w:t>ABTS -</w:t>
      </w:r>
      <w:r w:rsidRPr="00C666CA">
        <w:rPr>
          <w:rFonts w:ascii="Times New Roman" w:hAnsi="Times New Roman" w:cs="Times New Roman"/>
          <w:i/>
          <w:iCs/>
        </w:rPr>
        <w:tab/>
        <w:t>2,2’-Azino-bis(3-ethylbenzothiazoline-6-sulphonic acid) Radical Cation</w:t>
      </w:r>
    </w:p>
    <w:p w14:paraId="5E15311D" w14:textId="77777777" w:rsidR="00F736F2" w:rsidRPr="00C666CA" w:rsidRDefault="00F736F2" w:rsidP="003041D1">
      <w:pPr>
        <w:spacing w:line="360" w:lineRule="auto"/>
        <w:ind w:firstLine="720"/>
        <w:jc w:val="both"/>
        <w:rPr>
          <w:rFonts w:ascii="Times New Roman" w:hAnsi="Times New Roman" w:cs="Times New Roman"/>
          <w:i/>
          <w:iCs/>
        </w:rPr>
      </w:pPr>
      <w:r w:rsidRPr="00C666CA">
        <w:rPr>
          <w:rFonts w:ascii="Times New Roman" w:hAnsi="Times New Roman" w:cs="Times New Roman"/>
          <w:b/>
          <w:bCs/>
          <w:i/>
          <w:iCs/>
        </w:rPr>
        <w:t>FRAPS -</w:t>
      </w:r>
      <w:r w:rsidRPr="00C666CA">
        <w:rPr>
          <w:rFonts w:ascii="Times New Roman" w:hAnsi="Times New Roman" w:cs="Times New Roman"/>
          <w:i/>
          <w:iCs/>
        </w:rPr>
        <w:tab/>
        <w:t>Ferric Reducing Antioxidant Power</w:t>
      </w:r>
    </w:p>
    <w:p w14:paraId="6E0A0D62" w14:textId="77777777" w:rsidR="00F736F2" w:rsidRPr="00C666CA" w:rsidRDefault="00F736F2" w:rsidP="003041D1">
      <w:pPr>
        <w:spacing w:line="360" w:lineRule="auto"/>
        <w:jc w:val="both"/>
        <w:rPr>
          <w:rFonts w:ascii="Times New Roman" w:hAnsi="Times New Roman" w:cs="Times New Roman"/>
          <w:i/>
          <w:iCs/>
        </w:rPr>
      </w:pPr>
      <w:r w:rsidRPr="00C666CA">
        <w:rPr>
          <w:rFonts w:ascii="Times New Roman" w:hAnsi="Times New Roman" w:cs="Times New Roman"/>
          <w:i/>
          <w:iCs/>
        </w:rPr>
        <w:tab/>
      </w:r>
      <w:r w:rsidRPr="00C666CA">
        <w:rPr>
          <w:rFonts w:ascii="Times New Roman" w:hAnsi="Times New Roman" w:cs="Times New Roman"/>
          <w:b/>
          <w:bCs/>
          <w:i/>
          <w:iCs/>
        </w:rPr>
        <w:t>AQA-</w:t>
      </w:r>
      <w:r w:rsidRPr="00C666CA">
        <w:rPr>
          <w:rFonts w:ascii="Times New Roman" w:hAnsi="Times New Roman" w:cs="Times New Roman"/>
          <w:i/>
          <w:iCs/>
        </w:rPr>
        <w:t xml:space="preserve"> </w:t>
      </w:r>
      <w:r w:rsidRPr="00C666CA">
        <w:rPr>
          <w:rFonts w:ascii="Times New Roman" w:hAnsi="Times New Roman" w:cs="Times New Roman"/>
          <w:i/>
          <w:iCs/>
        </w:rPr>
        <w:tab/>
        <w:t>Oil extracted from Avocado fruit</w:t>
      </w:r>
    </w:p>
    <w:p w14:paraId="12B05F5E" w14:textId="77777777" w:rsidR="00F736F2" w:rsidRPr="00C666CA" w:rsidRDefault="00F736F2" w:rsidP="003041D1">
      <w:pPr>
        <w:spacing w:line="360" w:lineRule="auto"/>
        <w:jc w:val="both"/>
        <w:rPr>
          <w:rFonts w:ascii="Times New Roman" w:hAnsi="Times New Roman" w:cs="Times New Roman"/>
          <w:i/>
          <w:iCs/>
        </w:rPr>
      </w:pPr>
      <w:r w:rsidRPr="00C666CA">
        <w:rPr>
          <w:rFonts w:ascii="Times New Roman" w:hAnsi="Times New Roman" w:cs="Times New Roman"/>
          <w:i/>
          <w:iCs/>
        </w:rPr>
        <w:tab/>
      </w:r>
      <w:r w:rsidRPr="00C666CA">
        <w:rPr>
          <w:rFonts w:ascii="Times New Roman" w:hAnsi="Times New Roman" w:cs="Times New Roman"/>
          <w:b/>
          <w:bCs/>
          <w:i/>
          <w:iCs/>
        </w:rPr>
        <w:t>GOA-</w:t>
      </w:r>
      <w:r w:rsidRPr="00C666CA">
        <w:rPr>
          <w:rFonts w:ascii="Times New Roman" w:hAnsi="Times New Roman" w:cs="Times New Roman"/>
          <w:i/>
          <w:iCs/>
        </w:rPr>
        <w:t xml:space="preserve"> </w:t>
      </w:r>
      <w:r w:rsidRPr="00C666CA">
        <w:rPr>
          <w:rFonts w:ascii="Times New Roman" w:hAnsi="Times New Roman" w:cs="Times New Roman"/>
          <w:i/>
          <w:iCs/>
        </w:rPr>
        <w:tab/>
      </w:r>
      <w:r w:rsidR="003E59B6" w:rsidRPr="00C666CA">
        <w:rPr>
          <w:rFonts w:ascii="Times New Roman" w:hAnsi="Times New Roman" w:cs="Times New Roman"/>
          <w:i/>
          <w:iCs/>
        </w:rPr>
        <w:t xml:space="preserve">ethanolic </w:t>
      </w:r>
      <w:r w:rsidRPr="00C666CA">
        <w:rPr>
          <w:rFonts w:ascii="Times New Roman" w:hAnsi="Times New Roman" w:cs="Times New Roman"/>
          <w:i/>
          <w:iCs/>
        </w:rPr>
        <w:t>extract</w:t>
      </w:r>
      <w:r w:rsidR="003E59B6" w:rsidRPr="00C666CA">
        <w:rPr>
          <w:rFonts w:ascii="Times New Roman" w:hAnsi="Times New Roman" w:cs="Times New Roman"/>
          <w:i/>
          <w:iCs/>
        </w:rPr>
        <w:t>s</w:t>
      </w:r>
      <w:r w:rsidRPr="00C666CA">
        <w:rPr>
          <w:rFonts w:ascii="Times New Roman" w:hAnsi="Times New Roman" w:cs="Times New Roman"/>
          <w:i/>
          <w:iCs/>
        </w:rPr>
        <w:t xml:space="preserve"> from Ginger</w:t>
      </w:r>
    </w:p>
    <w:p w14:paraId="134748E1" w14:textId="77777777" w:rsidR="00F736F2" w:rsidRPr="00C666CA" w:rsidRDefault="00F736F2" w:rsidP="003041D1">
      <w:pPr>
        <w:spacing w:line="360" w:lineRule="auto"/>
        <w:jc w:val="both"/>
        <w:rPr>
          <w:rFonts w:ascii="Times New Roman" w:hAnsi="Times New Roman" w:cs="Times New Roman"/>
          <w:i/>
          <w:iCs/>
        </w:rPr>
      </w:pPr>
      <w:r w:rsidRPr="00C666CA">
        <w:rPr>
          <w:rFonts w:ascii="Times New Roman" w:hAnsi="Times New Roman" w:cs="Times New Roman"/>
          <w:i/>
          <w:iCs/>
        </w:rPr>
        <w:tab/>
      </w:r>
      <w:r w:rsidRPr="00C666CA">
        <w:rPr>
          <w:rFonts w:ascii="Times New Roman" w:hAnsi="Times New Roman" w:cs="Times New Roman"/>
          <w:b/>
          <w:bCs/>
          <w:i/>
          <w:iCs/>
        </w:rPr>
        <w:t>GRA-</w:t>
      </w:r>
      <w:r w:rsidRPr="00C666CA">
        <w:rPr>
          <w:rFonts w:ascii="Times New Roman" w:hAnsi="Times New Roman" w:cs="Times New Roman"/>
          <w:i/>
          <w:iCs/>
        </w:rPr>
        <w:t xml:space="preserve"> </w:t>
      </w:r>
      <w:r w:rsidRPr="00C666CA">
        <w:rPr>
          <w:rFonts w:ascii="Times New Roman" w:hAnsi="Times New Roman" w:cs="Times New Roman"/>
          <w:i/>
          <w:iCs/>
        </w:rPr>
        <w:tab/>
      </w:r>
      <w:r w:rsidR="003E59B6" w:rsidRPr="00C666CA">
        <w:rPr>
          <w:rFonts w:ascii="Times New Roman" w:hAnsi="Times New Roman" w:cs="Times New Roman"/>
          <w:i/>
          <w:iCs/>
        </w:rPr>
        <w:t xml:space="preserve">ethanolic extracts </w:t>
      </w:r>
      <w:r w:rsidRPr="00C666CA">
        <w:rPr>
          <w:rFonts w:ascii="Times New Roman" w:hAnsi="Times New Roman" w:cs="Times New Roman"/>
          <w:i/>
          <w:iCs/>
        </w:rPr>
        <w:t>from Garlic</w:t>
      </w:r>
    </w:p>
    <w:p w14:paraId="30C3AE44" w14:textId="77777777" w:rsidR="00A21815" w:rsidRPr="00C666CA" w:rsidRDefault="00A21815" w:rsidP="003041D1">
      <w:pPr>
        <w:spacing w:line="360" w:lineRule="auto"/>
        <w:jc w:val="both"/>
        <w:rPr>
          <w:rFonts w:ascii="Times New Roman" w:hAnsi="Times New Roman" w:cs="Times New Roman"/>
        </w:rPr>
      </w:pPr>
      <w:r w:rsidRPr="00C666CA">
        <w:rPr>
          <w:rFonts w:ascii="Times New Roman" w:hAnsi="Times New Roman"/>
        </w:rPr>
        <w:t xml:space="preserve">The results indicate that ginger extract (GOA) exhibited the strongest antioxidant activity across the assays, with the lowest IC₅₀ values reported for DPPH (46.79 ± 0.69 mg/mL), ABTS (50.60 ± 0.21 mg/mL), and FRAP (16.39 ± 0.26 mg/mL). Avocado (AOA) and garlic (GRA) had </w:t>
      </w:r>
      <w:r w:rsidRPr="00C666CA">
        <w:rPr>
          <w:rFonts w:ascii="Times New Roman" w:hAnsi="Times New Roman"/>
        </w:rPr>
        <w:lastRenderedPageBreak/>
        <w:t>comparatively higher IC₅₀ values, indicating lower antioxidant activity. The statistical differences (</w:t>
      </w:r>
      <w:r w:rsidRPr="00C666CA">
        <w:rPr>
          <w:rFonts w:ascii="Times New Roman" w:hAnsi="Times New Roman"/>
          <w:i/>
        </w:rPr>
        <w:t>p</w:t>
      </w:r>
      <w:r w:rsidRPr="00C666CA">
        <w:rPr>
          <w:rFonts w:ascii="Times New Roman" w:hAnsi="Times New Roman"/>
        </w:rPr>
        <w:t xml:space="preserve"> &lt; 0.05) confirm variation in antioxidant efficacy among the extracts.</w:t>
      </w:r>
    </w:p>
    <w:p w14:paraId="5E0127F7" w14:textId="77777777" w:rsidR="00687C75" w:rsidRPr="00C666CA" w:rsidRDefault="006F7EBC" w:rsidP="003041D1">
      <w:pPr>
        <w:jc w:val="both"/>
        <w:rPr>
          <w:rFonts w:ascii="Times New Roman" w:eastAsia="Times New Roman" w:hAnsi="Times New Roman" w:cs="Times New Roman"/>
          <w:kern w:val="0"/>
          <w14:ligatures w14:val="none"/>
        </w:rPr>
      </w:pPr>
      <w:r w:rsidRPr="00C666CA">
        <w:rPr>
          <w:rFonts w:ascii="Times New Roman" w:hAnsi="Times New Roman"/>
        </w:rPr>
        <w:t xml:space="preserve">The antioxidant analysis indicated that ginger extract (GOA) possessed broad antioxidant activity. It outperformed the other extracts in the DPPH assay, which measures hydrogen-atom transfer (HAT), and the FRAP assay, which measures electron transfer (ET) (Prior </w:t>
      </w:r>
      <w:r w:rsidRPr="00C666CA">
        <w:rPr>
          <w:rFonts w:ascii="Times New Roman" w:hAnsi="Times New Roman"/>
          <w:i/>
        </w:rPr>
        <w:t>et al.</w:t>
      </w:r>
      <w:r w:rsidRPr="00C666CA">
        <w:rPr>
          <w:rFonts w:ascii="Times New Roman" w:hAnsi="Times New Roman"/>
        </w:rPr>
        <w:t>, 2005). This performance may be attributable to its phenolic compounds, including gingerols and shogaols, which contain hydroxyl groups capable of donating hydrogen atoms and electrons. In the ABTS assay, avocado oil showed substantial activity, which may reflect its capacity to limit oxidation in systems containing lipid and aqueous phases. This profile may be associated with fat-soluble antioxidants, particularly α-tocopherol. The comparatively weaker direct radical-scavenging response of garlic oil suggests that its protective effects may involve other antioxidant or antimicrobial mechanisms. Overall, the findings indicated that ginger extract had the broadest antioxidant activity among the three extracts and may therefore be suitable for further evaluation in active-film formulations.</w:t>
      </w:r>
    </w:p>
    <w:p w14:paraId="6D671096" w14:textId="77777777" w:rsidR="00CB7309" w:rsidRPr="00C666CA" w:rsidRDefault="00CB7309" w:rsidP="00CB730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6CA">
        <w:rPr>
          <w:rFonts w:ascii="Times New Roman" w:eastAsia="Times New Roman" w:hAnsi="Times New Roman" w:cs="Times New Roman"/>
          <w:b/>
          <w:bCs/>
          <w:kern w:val="0"/>
          <w:sz w:val="36"/>
          <w:szCs w:val="36"/>
          <w14:ligatures w14:val="none"/>
        </w:rPr>
        <w:t>Conclusions</w:t>
      </w:r>
    </w:p>
    <w:p w14:paraId="77FF4D8F" w14:textId="581144BD" w:rsidR="00DE0165" w:rsidRDefault="00DE0165" w:rsidP="00DE0165">
      <w:pPr>
        <w:pStyle w:val="pdq2pgselectionanchorcontainer"/>
      </w:pPr>
      <w:r>
        <w:t>The study demonstrated that plantain, yam, and corn starches differed in their physicochemical and morphological characteristics, while avocado, ginger, and garlic extracts showed different antioxidant responses. Plantain starch combined the lowest swelling power with intermediate solubility, whereas yam starch had the highest swelling power and lowest solubility. Corn starch showed the highest solubility. FTIR spectra confirmed the characteristic functional groups of starch, and SEM examination showed source-dependent differences in granule shape and organisation. Ginger extract produced the strongest responses in the DPPH and FRAP assays, while avocado extract showed the strongest ABTS response. These findings provide preliminary evidence for selecting starch matrices and antioxidant sources for further edible-film development. Subsequent research should determine mechanical strength, water-vapour and gas-barrier properties, optical and thermal behaviour, antioxidant retention, migration, food-contact safety, sensory acceptability, and preservation performance in relevant food systems.</w:t>
      </w:r>
    </w:p>
    <w:p w14:paraId="236A53E2" w14:textId="77777777" w:rsidR="00C90C41" w:rsidRPr="00C666CA" w:rsidRDefault="00C90C41" w:rsidP="00C90C41">
      <w:pPr>
        <w:pStyle w:val="Heading2"/>
        <w:spacing w:before="0" w:line="360" w:lineRule="auto"/>
        <w:jc w:val="both"/>
        <w:rPr>
          <w:rFonts w:ascii="Times New Roman" w:hAnsi="Times New Roman" w:cs="Times New Roman"/>
          <w:b/>
          <w:bCs/>
          <w:color w:val="auto"/>
          <w:sz w:val="24"/>
          <w:szCs w:val="24"/>
        </w:rPr>
      </w:pPr>
      <w:r w:rsidRPr="00C666CA">
        <w:rPr>
          <w:rFonts w:ascii="Times New Roman" w:hAnsi="Times New Roman" w:cs="Times New Roman"/>
          <w:b/>
          <w:bCs/>
          <w:color w:val="auto"/>
          <w:sz w:val="24"/>
          <w:szCs w:val="24"/>
        </w:rPr>
        <w:t>Recommendations</w:t>
      </w:r>
    </w:p>
    <w:p w14:paraId="4120DC05" w14:textId="77777777" w:rsidR="00C90C41" w:rsidRPr="00C666CA" w:rsidRDefault="00C90C41" w:rsidP="00C90C41">
      <w:pPr>
        <w:spacing w:line="360" w:lineRule="auto"/>
        <w:jc w:val="both"/>
        <w:rPr>
          <w:rFonts w:ascii="Times New Roman" w:hAnsi="Times New Roman" w:cs="Times New Roman"/>
        </w:rPr>
      </w:pPr>
      <w:r w:rsidRPr="00C666CA">
        <w:rPr>
          <w:rFonts w:ascii="Times New Roman" w:hAnsi="Times New Roman"/>
        </w:rPr>
        <w:t>The findings of this preliminary characterisation study support further research and development. Future work should prioritise plantain starch for film formulation; comprehensively characterise composite films in terms of mechanical, barrier, optical, and physical properties; optimise plasticiser and antioxidant-extract concentrations; evaluate the films in real food systems through shelf-life studies; and investigate advanced characterisation and enhancement strategies.</w:t>
      </w:r>
    </w:p>
    <w:p w14:paraId="24A57A45" w14:textId="77777777" w:rsidR="00C90C41" w:rsidRPr="00C666CA" w:rsidRDefault="00C90C41" w:rsidP="00CB7309">
      <w:pPr>
        <w:spacing w:before="100" w:beforeAutospacing="1" w:after="100" w:afterAutospacing="1" w:line="240" w:lineRule="auto"/>
        <w:rPr>
          <w:rFonts w:ascii="Times New Roman" w:eastAsia="Times New Roman" w:hAnsi="Times New Roman" w:cs="Times New Roman"/>
          <w:kern w:val="0"/>
          <w14:ligatures w14:val="none"/>
        </w:rPr>
      </w:pPr>
    </w:p>
    <w:p w14:paraId="7B50635B" w14:textId="77777777" w:rsidR="00CB7309" w:rsidRPr="00C666CA" w:rsidRDefault="00CB7309" w:rsidP="00CB730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6CA">
        <w:rPr>
          <w:rFonts w:ascii="Times New Roman" w:eastAsia="Times New Roman" w:hAnsi="Times New Roman" w:cs="Times New Roman"/>
          <w:b/>
          <w:bCs/>
          <w:kern w:val="0"/>
          <w:sz w:val="36"/>
          <w:szCs w:val="36"/>
          <w14:ligatures w14:val="none"/>
        </w:rPr>
        <w:lastRenderedPageBreak/>
        <w:t>Limitations</w:t>
      </w:r>
    </w:p>
    <w:p w14:paraId="5600A666" w14:textId="77777777" w:rsidR="00CB7309" w:rsidRPr="00C666CA" w:rsidRDefault="00CB7309" w:rsidP="00CB7309">
      <w:pPr>
        <w:spacing w:before="100" w:beforeAutospacing="1" w:after="100" w:afterAutospacing="1" w:line="240" w:lineRule="auto"/>
        <w:rPr>
          <w:rFonts w:ascii="Times New Roman" w:eastAsia="Times New Roman" w:hAnsi="Times New Roman" w:cs="Times New Roman"/>
          <w:kern w:val="0"/>
          <w14:ligatures w14:val="none"/>
        </w:rPr>
      </w:pPr>
      <w:r w:rsidRPr="00C666CA">
        <w:rPr>
          <w:rFonts w:ascii="Times New Roman" w:hAnsi="Times New Roman"/>
        </w:rPr>
        <w:t>The study evaluated starches and plant extracts separately and did not formulate or test edible films. Mechanical, barrier, optical, thermal, sensory, and shelf-life properties were therefore not determined. Amylose content, crystalline structure, total phenolic content, and extract yield were also not measured. The extracts were obtained using different solvents, which limits direct comparison of their antioxidant values. In addition, residual solvent, migration, and food-contact safety were not assessed. The findings should therefore be regarded as preliminary raw-material characterisation rather than confirmation of edible-film performance.</w:t>
      </w:r>
    </w:p>
    <w:p w14:paraId="71FC7922" w14:textId="77777777" w:rsidR="00CB7309" w:rsidRPr="00C666CA" w:rsidRDefault="00CB7309" w:rsidP="003041D1">
      <w:pPr>
        <w:pStyle w:val="Heading2"/>
        <w:spacing w:before="0" w:line="360" w:lineRule="auto"/>
        <w:jc w:val="both"/>
        <w:rPr>
          <w:rFonts w:ascii="Times New Roman" w:hAnsi="Times New Roman" w:cs="Times New Roman"/>
          <w:b/>
          <w:bCs/>
          <w:color w:val="auto"/>
          <w:sz w:val="24"/>
          <w:szCs w:val="24"/>
        </w:rPr>
      </w:pPr>
    </w:p>
    <w:p w14:paraId="7DC004A2" w14:textId="77777777" w:rsidR="00CB7309" w:rsidRPr="00C666CA" w:rsidRDefault="00CB7309" w:rsidP="003041D1">
      <w:pPr>
        <w:pStyle w:val="Heading2"/>
        <w:spacing w:before="0" w:line="360" w:lineRule="auto"/>
        <w:jc w:val="both"/>
        <w:rPr>
          <w:rFonts w:ascii="Times New Roman" w:hAnsi="Times New Roman" w:cs="Times New Roman"/>
          <w:b/>
          <w:bCs/>
          <w:color w:val="auto"/>
          <w:sz w:val="24"/>
          <w:szCs w:val="24"/>
        </w:rPr>
      </w:pPr>
    </w:p>
    <w:p w14:paraId="4A7EC1A6" w14:textId="77777777" w:rsidR="00C90C41" w:rsidRPr="00C666CA" w:rsidRDefault="00C90C41" w:rsidP="00C90C41">
      <w:pPr>
        <w:spacing w:after="0" w:line="240" w:lineRule="auto"/>
        <w:rPr>
          <w:rFonts w:ascii="Times New Roman" w:eastAsia="Calibri" w:hAnsi="Times New Roman" w:cs="Times New Roman"/>
          <w:b/>
          <w:kern w:val="0"/>
          <w:sz w:val="22"/>
          <w:szCs w:val="22"/>
          <w14:ligatures w14:val="none"/>
        </w:rPr>
      </w:pPr>
      <w:r w:rsidRPr="00C666CA">
        <w:rPr>
          <w:rFonts w:ascii="Times New Roman" w:eastAsia="Calibri" w:hAnsi="Times New Roman" w:cs="Times New Roman"/>
          <w:b/>
          <w:kern w:val="0"/>
          <w:sz w:val="22"/>
          <w:szCs w:val="22"/>
          <w14:ligatures w14:val="none"/>
        </w:rPr>
        <w:t>Declaration of AI Use</w:t>
      </w:r>
    </w:p>
    <w:p w14:paraId="7BD7CE73" w14:textId="77777777" w:rsidR="00C90C41" w:rsidRPr="00C666CA" w:rsidRDefault="00C90C41" w:rsidP="00C90C41">
      <w:pPr>
        <w:spacing w:after="0" w:line="240" w:lineRule="auto"/>
        <w:rPr>
          <w:rFonts w:ascii="Times New Roman" w:eastAsia="Calibri" w:hAnsi="Times New Roman" w:cs="Times New Roman"/>
          <w:kern w:val="0"/>
          <w:sz w:val="22"/>
          <w:szCs w:val="22"/>
          <w14:ligatures w14:val="none"/>
        </w:rPr>
      </w:pPr>
    </w:p>
    <w:p w14:paraId="2118071E" w14:textId="77777777" w:rsidR="00C90C41" w:rsidRPr="00C666CA" w:rsidRDefault="00C90C41" w:rsidP="00C90C41">
      <w:pPr>
        <w:spacing w:after="0" w:line="240" w:lineRule="auto"/>
        <w:jc w:val="both"/>
        <w:rPr>
          <w:rFonts w:ascii="Times New Roman" w:eastAsia="Calibri" w:hAnsi="Times New Roman" w:cs="Times New Roman"/>
          <w:kern w:val="0"/>
          <w:sz w:val="22"/>
          <w:szCs w:val="22"/>
          <w14:ligatures w14:val="none"/>
        </w:rPr>
      </w:pPr>
      <w:r w:rsidRPr="00C666CA">
        <w:rPr>
          <w:rFonts w:ascii="Times New Roman" w:eastAsia="Calibri" w:hAnsi="Times New Roman" w:cs="Times New Roman"/>
          <w:kern w:val="0"/>
          <w:sz w:val="22"/>
          <w:szCs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1D5CEC2" w14:textId="77777777" w:rsidR="00C90C41" w:rsidRPr="00C666CA" w:rsidRDefault="00C90C41" w:rsidP="003041D1">
      <w:pPr>
        <w:spacing w:line="360" w:lineRule="auto"/>
        <w:jc w:val="both"/>
        <w:rPr>
          <w:rFonts w:ascii="Times New Roman" w:hAnsi="Times New Roman" w:cs="Times New Roman"/>
        </w:rPr>
      </w:pPr>
    </w:p>
    <w:p w14:paraId="7269BF8A" w14:textId="77777777" w:rsidR="006056F3" w:rsidRPr="00C666CA" w:rsidRDefault="00A460A3" w:rsidP="003041D1">
      <w:pPr>
        <w:spacing w:line="360" w:lineRule="auto"/>
        <w:jc w:val="both"/>
        <w:rPr>
          <w:rFonts w:ascii="Times New Roman" w:hAnsi="Times New Roman" w:cs="Times New Roman"/>
          <w:b/>
          <w:lang w:val="es-US"/>
        </w:rPr>
      </w:pPr>
      <w:r w:rsidRPr="00C666CA">
        <w:rPr>
          <w:rFonts w:ascii="Times New Roman" w:hAnsi="Times New Roman" w:cs="Times New Roman"/>
          <w:b/>
          <w:color w:val="000000"/>
          <w:lang w:val="es-US"/>
        </w:rPr>
        <w:t>References</w:t>
      </w:r>
    </w:p>
    <w:p>
      <w:pPr>
        <w:spacing w:before="0" w:after="60" w:line="240" w:lineRule="auto"/>
        <w:ind w:left="720" w:hanging="720"/>
      </w:pPr>
      <w:r>
        <w:rPr>
          <w:rFonts w:ascii="Times New Roman" w:hAnsi="Times New Roman"/>
          <w:i w:val="0"/>
          <w:color w:val="000000"/>
        </w:rPr>
        <w:t>Alagbaoso, S. O., Ofoedum, A. F., Njoku, N. E., Uzoukwu, A. E., Eluchie, C. N., Nwakaudu, A. A., Akajiaku, L. O., Iroagba, L. N., &amp; Mmuoasinam, B. C. (2026). Shelf-life extension of roasted breadfruit seed (</w:t>
      </w:r>
      <w:r>
        <w:rPr>
          <w:rFonts w:ascii="Times New Roman" w:hAnsi="Times New Roman"/>
          <w:i/>
          <w:color w:val="000000"/>
        </w:rPr>
        <w:t>Artocarpus altilis</w:t>
      </w:r>
      <w:r>
        <w:rPr>
          <w:rFonts w:ascii="Times New Roman" w:hAnsi="Times New Roman"/>
          <w:i w:val="0"/>
          <w:color w:val="000000"/>
        </w:rPr>
        <w:t>) using acha (</w:t>
      </w:r>
      <w:r>
        <w:rPr>
          <w:rFonts w:ascii="Times New Roman" w:hAnsi="Times New Roman"/>
          <w:i/>
          <w:color w:val="000000"/>
        </w:rPr>
        <w:t>Digitaria exilis</w:t>
      </w:r>
      <w:r>
        <w:rPr>
          <w:rFonts w:ascii="Times New Roman" w:hAnsi="Times New Roman"/>
          <w:i w:val="0"/>
          <w:color w:val="000000"/>
        </w:rPr>
        <w:t xml:space="preserve">) and finger millet composite based edible coating. </w:t>
      </w:r>
      <w:r>
        <w:rPr>
          <w:rFonts w:ascii="Times New Roman" w:hAnsi="Times New Roman"/>
          <w:i/>
          <w:color w:val="000000"/>
        </w:rPr>
        <w:t>Asian Journal of Dairy and Food Research</w:t>
      </w:r>
      <w:r>
        <w:rPr>
          <w:rFonts w:ascii="Times New Roman" w:hAnsi="Times New Roman"/>
          <w:i w:val="0"/>
          <w:color w:val="000000"/>
        </w:rPr>
        <w:t>. Advance online publication.</w:t>
      </w:r>
      <w:r>
        <w:t xml:space="preserve"> </w:t>
      </w:r>
      <w:hyperlink r:id="rId24">
        <w:r>
          <w:rPr>
            <w:rFonts w:ascii="Times New Roman" w:hAnsi="Times New Roman" w:cs="Times New Roman"/>
            <w:color w:val="000000"/>
            <w:u w:val="none"/>
          </w:rPr>
          <w:t xml:space="preserve">https://doi.org/10.18805/ajdfr.DRF-678</w:t>
        </w:r>
      </w:hyperlink>
    </w:p>
    <w:p>
      <w:pPr>
        <w:spacing w:before="0" w:after="60" w:line="240" w:lineRule="auto"/>
        <w:ind w:left="720" w:hanging="720"/>
      </w:pPr>
      <w:r>
        <w:rPr>
          <w:rFonts w:ascii="Times New Roman" w:hAnsi="Times New Roman"/>
          <w:i w:val="0"/>
          <w:color w:val="000000"/>
        </w:rPr>
        <w:t xml:space="preserve">AOAC International. (2016). </w:t>
      </w:r>
      <w:r>
        <w:rPr>
          <w:rFonts w:ascii="Times New Roman" w:hAnsi="Times New Roman"/>
          <w:i/>
          <w:color w:val="000000"/>
        </w:rPr>
        <w:t>Official methods of analysis of AOAC International</w:t>
      </w:r>
      <w:r>
        <w:rPr>
          <w:rFonts w:ascii="Times New Roman" w:hAnsi="Times New Roman"/>
          <w:i w:val="0"/>
          <w:color w:val="000000"/>
        </w:rPr>
        <w:t xml:space="preserve"> (20th ed.). AOAC International.</w:t>
      </w:r>
      <w:r>
        <w:t xml:space="preserve"> </w:t>
      </w:r>
      <w:hyperlink r:id="rId25">
        <w:r>
          <w:rPr>
            <w:rFonts w:ascii="Times New Roman" w:hAnsi="Times New Roman" w:cs="Times New Roman"/>
            <w:color w:val="000000"/>
            <w:u w:val="none"/>
          </w:rPr>
          <w:t xml:space="preserve">https://www.aoac.org/official-methods-of-analysis/</w:t>
        </w:r>
      </w:hyperlink>
    </w:p>
    <w:p>
      <w:pPr>
        <w:spacing w:before="0" w:after="60" w:line="240" w:lineRule="auto"/>
        <w:ind w:left="720" w:hanging="720"/>
      </w:pPr>
      <w:r>
        <w:rPr>
          <w:rFonts w:ascii="Times New Roman" w:hAnsi="Times New Roman"/>
          <w:i w:val="0"/>
          <w:color w:val="000000"/>
        </w:rPr>
        <w:t xml:space="preserve">Bangar, S. P., Purewal, S. S., Trif, M., Maqsood, S., Kumar, M., Manjunatha, V., &amp; Rusu, A. V. (2021). Functionality and applicability of starch-based films: An eco-friendly approach. </w:t>
      </w:r>
      <w:r>
        <w:rPr>
          <w:rFonts w:ascii="Times New Roman" w:hAnsi="Times New Roman"/>
          <w:i/>
          <w:color w:val="000000"/>
        </w:rPr>
        <w:t>Foods, 10</w:t>
      </w:r>
      <w:r>
        <w:rPr>
          <w:rFonts w:ascii="Times New Roman" w:hAnsi="Times New Roman"/>
          <w:i w:val="0"/>
          <w:color w:val="000000"/>
        </w:rPr>
        <w:t>(9), 2181.</w:t>
      </w:r>
      <w:r>
        <w:t xml:space="preserve"> </w:t>
      </w:r>
      <w:hyperlink r:id="rId26">
        <w:r>
          <w:rPr>
            <w:rFonts w:ascii="Times New Roman" w:hAnsi="Times New Roman" w:cs="Times New Roman"/>
            <w:color w:val="000000"/>
            <w:u w:val="none"/>
          </w:rPr>
          <w:t xml:space="preserve">https://doi.org/10.3390/foods10092181</w:t>
        </w:r>
      </w:hyperlink>
    </w:p>
    <w:p>
      <w:pPr>
        <w:spacing w:before="0" w:after="60" w:line="240" w:lineRule="auto"/>
        <w:ind w:left="720" w:hanging="720"/>
      </w:pPr>
      <w:r>
        <w:rPr>
          <w:rFonts w:ascii="Times New Roman" w:hAnsi="Times New Roman"/>
          <w:i w:val="0"/>
          <w:color w:val="000000"/>
        </w:rPr>
        <w:t xml:space="preserve">Basiak, E., Lenart, A., &amp; Debeaufort, F. (2018). How glycerol and water contents affect the structural and functional properties of starch-based edible films. </w:t>
      </w:r>
      <w:r>
        <w:rPr>
          <w:rFonts w:ascii="Times New Roman" w:hAnsi="Times New Roman"/>
          <w:i/>
          <w:color w:val="000000"/>
        </w:rPr>
        <w:t>Polymers, 10</w:t>
      </w:r>
      <w:r>
        <w:rPr>
          <w:rFonts w:ascii="Times New Roman" w:hAnsi="Times New Roman"/>
          <w:i w:val="0"/>
          <w:color w:val="000000"/>
        </w:rPr>
        <w:t>(4), 412.</w:t>
      </w:r>
      <w:r>
        <w:t xml:space="preserve"> </w:t>
      </w:r>
      <w:hyperlink r:id="rId27">
        <w:r>
          <w:rPr>
            <w:rFonts w:ascii="Times New Roman" w:hAnsi="Times New Roman" w:cs="Times New Roman"/>
            <w:color w:val="000000"/>
            <w:u w:val="none"/>
          </w:rPr>
          <w:t xml:space="preserve">https://doi.org/10.3390/polym10040412</w:t>
        </w:r>
      </w:hyperlink>
    </w:p>
    <w:p>
      <w:pPr>
        <w:spacing w:before="0" w:after="60" w:line="240" w:lineRule="auto"/>
        <w:ind w:left="720" w:hanging="720"/>
      </w:pPr>
      <w:r>
        <w:rPr>
          <w:rFonts w:ascii="Times New Roman" w:hAnsi="Times New Roman"/>
          <w:i w:val="0"/>
          <w:color w:val="000000"/>
        </w:rPr>
        <w:t xml:space="preserve">Bello-Pérez, L. A., Agama-Acevedo, E., Sánchez-Hernández, L., &amp; Paredes-López, O. (1999). Isolation and partial characterization of banana starches. </w:t>
      </w:r>
      <w:r>
        <w:rPr>
          <w:rFonts w:ascii="Times New Roman" w:hAnsi="Times New Roman"/>
          <w:i/>
          <w:color w:val="000000"/>
        </w:rPr>
        <w:t>Journal of Agricultural and Food Chemistry, 47</w:t>
      </w:r>
      <w:r>
        <w:rPr>
          <w:rFonts w:ascii="Times New Roman" w:hAnsi="Times New Roman"/>
          <w:i w:val="0"/>
          <w:color w:val="000000"/>
        </w:rPr>
        <w:t>(3), 854–857.</w:t>
      </w:r>
      <w:r>
        <w:t xml:space="preserve"> </w:t>
      </w:r>
      <w:hyperlink r:id="rId28">
        <w:r>
          <w:rPr>
            <w:rFonts w:ascii="Times New Roman" w:hAnsi="Times New Roman" w:cs="Times New Roman"/>
            <w:color w:val="000000"/>
            <w:u w:val="none"/>
          </w:rPr>
          <w:t xml:space="preserve">https://doi.org/10.1021/jf980828t</w:t>
        </w:r>
      </w:hyperlink>
    </w:p>
    <w:p>
      <w:pPr>
        <w:spacing w:before="0" w:after="60" w:line="240" w:lineRule="auto"/>
        <w:ind w:left="720" w:hanging="720"/>
      </w:pPr>
      <w:r>
        <w:rPr>
          <w:rFonts w:ascii="Times New Roman" w:hAnsi="Times New Roman"/>
          <w:i w:val="0"/>
          <w:color w:val="000000"/>
        </w:rPr>
        <w:t xml:space="preserve">Benzie, I. F. F., &amp; Strain, J. J. (1996). The ferric reducing ability of plasma (FRAP) as a measure of ‘antioxidant power’: The FRAP assay. </w:t>
      </w:r>
      <w:r>
        <w:rPr>
          <w:rFonts w:ascii="Times New Roman" w:hAnsi="Times New Roman"/>
          <w:i/>
          <w:color w:val="000000"/>
        </w:rPr>
        <w:t>Analytical Biochemistry, 239</w:t>
      </w:r>
      <w:r>
        <w:rPr>
          <w:rFonts w:ascii="Times New Roman" w:hAnsi="Times New Roman"/>
          <w:i w:val="0"/>
          <w:color w:val="000000"/>
        </w:rPr>
        <w:t>(1), 70–76.</w:t>
      </w:r>
      <w:r>
        <w:t xml:space="preserve"> </w:t>
      </w:r>
      <w:hyperlink r:id="rId29">
        <w:r>
          <w:rPr>
            <w:rFonts w:ascii="Times New Roman" w:hAnsi="Times New Roman" w:cs="Times New Roman"/>
            <w:color w:val="000000"/>
            <w:u w:val="none"/>
          </w:rPr>
          <w:t xml:space="preserve">https://doi.org/10.1006/abio.1996.0292</w:t>
        </w:r>
      </w:hyperlink>
    </w:p>
    <w:p>
      <w:pPr>
        <w:spacing w:before="0" w:after="60" w:line="240" w:lineRule="auto"/>
        <w:ind w:left="720" w:hanging="720"/>
      </w:pPr>
      <w:r>
        <w:rPr>
          <w:rFonts w:ascii="Times New Roman" w:hAnsi="Times New Roman"/>
          <w:i w:val="0"/>
          <w:color w:val="000000"/>
        </w:rPr>
        <w:t xml:space="preserve">Brand-Williams, W., Cuvelier, M. E., &amp; Berset, C. (1995). Use of a free radical method to evaluate antioxidant activity. </w:t>
      </w:r>
      <w:r>
        <w:rPr>
          <w:rFonts w:ascii="Times New Roman" w:hAnsi="Times New Roman"/>
          <w:i/>
          <w:color w:val="000000"/>
        </w:rPr>
        <w:t>LWT—Food Science and Technology, 28</w:t>
      </w:r>
      <w:r>
        <w:rPr>
          <w:rFonts w:ascii="Times New Roman" w:hAnsi="Times New Roman"/>
          <w:i w:val="0"/>
          <w:color w:val="000000"/>
        </w:rPr>
        <w:t>(1), 25–30.</w:t>
      </w:r>
      <w:r>
        <w:t xml:space="preserve"> </w:t>
      </w:r>
      <w:hyperlink r:id="rId30">
        <w:r>
          <w:rPr>
            <w:rFonts w:ascii="Times New Roman" w:hAnsi="Times New Roman" w:cs="Times New Roman"/>
            <w:color w:val="000000"/>
            <w:u w:val="none"/>
          </w:rPr>
          <w:t xml:space="preserve">https://doi.org/10.1016/S0023-6438(95)80008-5</w:t>
        </w:r>
      </w:hyperlink>
    </w:p>
    <w:p>
      <w:pPr>
        <w:spacing w:before="0" w:after="60" w:line="240" w:lineRule="auto"/>
        <w:ind w:left="720" w:hanging="720"/>
      </w:pPr>
      <w:r>
        <w:rPr>
          <w:rFonts w:ascii="Times New Roman" w:hAnsi="Times New Roman"/>
          <w:i w:val="0"/>
          <w:color w:val="000000"/>
        </w:rPr>
        <w:t xml:space="preserve">Cui, C., Ji, N., Wang, Y., Liu, X., &amp; Sun, Q. (2021). Bioactive and intelligent starch-based films: A review. </w:t>
      </w:r>
      <w:r>
        <w:rPr>
          <w:rFonts w:ascii="Times New Roman" w:hAnsi="Times New Roman"/>
          <w:i/>
          <w:color w:val="000000"/>
        </w:rPr>
        <w:t>Trends in Food Science &amp; Technology, 116</w:t>
      </w:r>
      <w:r>
        <w:rPr>
          <w:rFonts w:ascii="Times New Roman" w:hAnsi="Times New Roman"/>
          <w:i w:val="0"/>
          <w:color w:val="000000"/>
        </w:rPr>
        <w:t>, 854–869.</w:t>
      </w:r>
      <w:r>
        <w:t xml:space="preserve"> </w:t>
      </w:r>
      <w:hyperlink r:id="rId31">
        <w:r>
          <w:rPr>
            <w:rFonts w:ascii="Times New Roman" w:hAnsi="Times New Roman" w:cs="Times New Roman"/>
            <w:color w:val="000000"/>
            <w:u w:val="none"/>
          </w:rPr>
          <w:t xml:space="preserve">https://doi.org/10.1016/j.tifs.2021.08.024</w:t>
        </w:r>
      </w:hyperlink>
    </w:p>
    <w:p>
      <w:pPr>
        <w:spacing w:before="0" w:after="60" w:line="240" w:lineRule="auto"/>
        <w:ind w:left="720" w:hanging="720"/>
      </w:pPr>
      <w:r>
        <w:rPr>
          <w:rFonts w:ascii="Times New Roman" w:hAnsi="Times New Roman"/>
          <w:i w:val="0"/>
          <w:color w:val="000000"/>
        </w:rPr>
        <w:t xml:space="preserve">Dreher, M. L., &amp; Davenport, A. J. (2013). Hass avocado composition and potential health effects. </w:t>
      </w:r>
      <w:r>
        <w:rPr>
          <w:rFonts w:ascii="Times New Roman" w:hAnsi="Times New Roman"/>
          <w:i/>
          <w:color w:val="000000"/>
        </w:rPr>
        <w:t>Critical Reviews in Food Science and Nutrition, 53</w:t>
      </w:r>
      <w:r>
        <w:rPr>
          <w:rFonts w:ascii="Times New Roman" w:hAnsi="Times New Roman"/>
          <w:i w:val="0"/>
          <w:color w:val="000000"/>
        </w:rPr>
        <w:t>(7), 738–750.</w:t>
      </w:r>
      <w:r>
        <w:t xml:space="preserve"> </w:t>
      </w:r>
      <w:hyperlink r:id="rId32">
        <w:r>
          <w:rPr>
            <w:rFonts w:ascii="Times New Roman" w:hAnsi="Times New Roman" w:cs="Times New Roman"/>
            <w:color w:val="000000"/>
            <w:u w:val="none"/>
          </w:rPr>
          <w:t xml:space="preserve">https://doi.org/10.1080/10408398.2011.556759</w:t>
        </w:r>
      </w:hyperlink>
    </w:p>
    <w:p>
      <w:pPr>
        <w:spacing w:before="0" w:after="60" w:line="240" w:lineRule="auto"/>
        <w:ind w:left="720" w:hanging="720"/>
      </w:pPr>
      <w:r>
        <w:rPr>
          <w:rFonts w:ascii="Times New Roman" w:hAnsi="Times New Roman"/>
          <w:i w:val="0"/>
          <w:color w:val="000000"/>
        </w:rPr>
        <w:t xml:space="preserve">Dugasani, S., Pichika, M. R., Nadarajah, V. D., Balijepalli, M. K., Tandra, S., &amp; Korlakunta, J. N. (2010). Comparative antioxidant and anti-inflammatory effects of [6]-gingerol, [8]-gingerol, [10]-gingerol and [6]-shogaol. </w:t>
      </w:r>
      <w:r>
        <w:rPr>
          <w:rFonts w:ascii="Times New Roman" w:hAnsi="Times New Roman"/>
          <w:i/>
          <w:color w:val="000000"/>
        </w:rPr>
        <w:t>Journal of Ethnopharmacology, 127</w:t>
      </w:r>
      <w:r>
        <w:rPr>
          <w:rFonts w:ascii="Times New Roman" w:hAnsi="Times New Roman"/>
          <w:i w:val="0"/>
          <w:color w:val="000000"/>
        </w:rPr>
        <w:t>(2), 515–520.</w:t>
      </w:r>
      <w:r>
        <w:t xml:space="preserve"> </w:t>
      </w:r>
      <w:hyperlink r:id="rId33">
        <w:r>
          <w:rPr>
            <w:rFonts w:ascii="Times New Roman" w:hAnsi="Times New Roman" w:cs="Times New Roman"/>
            <w:color w:val="000000"/>
            <w:u w:val="none"/>
          </w:rPr>
          <w:t xml:space="preserve">https://doi.org/10.1016/j.jep.2009.10.004</w:t>
        </w:r>
      </w:hyperlink>
    </w:p>
    <w:p>
      <w:pPr>
        <w:spacing w:before="0" w:after="60" w:line="240" w:lineRule="auto"/>
        <w:ind w:left="720" w:hanging="720"/>
      </w:pPr>
      <w:r>
        <w:rPr>
          <w:rFonts w:ascii="Times New Roman" w:hAnsi="Times New Roman"/>
          <w:i w:val="0"/>
          <w:color w:val="000000"/>
        </w:rPr>
        <w:t>Falade, K. O., &amp; Ayetigbo, O. E. (2015). Effects of annealing, acid hydrolysis and citric acid modifications on physical and functional properties of starches from four yam (</w:t>
      </w:r>
      <w:r>
        <w:rPr>
          <w:rFonts w:ascii="Times New Roman" w:hAnsi="Times New Roman"/>
          <w:i/>
          <w:color w:val="000000"/>
        </w:rPr>
        <w:t>Dioscorea</w:t>
      </w:r>
      <w:r>
        <w:rPr>
          <w:rFonts w:ascii="Times New Roman" w:hAnsi="Times New Roman"/>
          <w:i w:val="0"/>
          <w:color w:val="000000"/>
        </w:rPr>
        <w:t xml:space="preserve"> spp.) cultivars. </w:t>
      </w:r>
      <w:r>
        <w:rPr>
          <w:rFonts w:ascii="Times New Roman" w:hAnsi="Times New Roman"/>
          <w:i/>
          <w:color w:val="000000"/>
        </w:rPr>
        <w:t>Food Hydrocolloids, 43</w:t>
      </w:r>
      <w:r>
        <w:rPr>
          <w:rFonts w:ascii="Times New Roman" w:hAnsi="Times New Roman"/>
          <w:i w:val="0"/>
          <w:color w:val="000000"/>
        </w:rPr>
        <w:t>, 529–539.</w:t>
      </w:r>
      <w:r>
        <w:t xml:space="preserve"> </w:t>
      </w:r>
      <w:hyperlink r:id="rId34">
        <w:r>
          <w:rPr>
            <w:rFonts w:ascii="Times New Roman" w:hAnsi="Times New Roman" w:cs="Times New Roman"/>
            <w:color w:val="000000"/>
            <w:u w:val="none"/>
          </w:rPr>
          <w:t xml:space="preserve">https://doi.org/10.1016/j.foodhyd.2014.07.008</w:t>
        </w:r>
      </w:hyperlink>
    </w:p>
    <w:p>
      <w:pPr>
        <w:spacing w:before="0" w:after="60" w:line="240" w:lineRule="auto"/>
        <w:ind w:left="720" w:hanging="720"/>
      </w:pPr>
      <w:r>
        <w:rPr>
          <w:rFonts w:ascii="Times New Roman" w:hAnsi="Times New Roman"/>
          <w:i w:val="0"/>
          <w:color w:val="000000"/>
        </w:rPr>
        <w:t xml:space="preserve">Falade, K. O., &amp; Oyeyinka, S. A. (2015). Color, chemical and functional properties of plantain cultivars and cooking banana flour as affected by drying method and maturity. </w:t>
      </w:r>
      <w:r>
        <w:rPr>
          <w:rFonts w:ascii="Times New Roman" w:hAnsi="Times New Roman"/>
          <w:i/>
          <w:color w:val="000000"/>
        </w:rPr>
        <w:t>Journal of Food Processing and Preservation, 39</w:t>
      </w:r>
      <w:r>
        <w:rPr>
          <w:rFonts w:ascii="Times New Roman" w:hAnsi="Times New Roman"/>
          <w:i w:val="0"/>
          <w:color w:val="000000"/>
        </w:rPr>
        <w:t>(6), 816–828.</w:t>
      </w:r>
      <w:r>
        <w:t xml:space="preserve"> </w:t>
      </w:r>
      <w:hyperlink r:id="rId35">
        <w:r>
          <w:rPr>
            <w:rFonts w:ascii="Times New Roman" w:hAnsi="Times New Roman" w:cs="Times New Roman"/>
            <w:color w:val="000000"/>
            <w:u w:val="none"/>
          </w:rPr>
          <w:t xml:space="preserve">https://doi.org/10.1111/jfpp.12292</w:t>
        </w:r>
      </w:hyperlink>
    </w:p>
    <w:p>
      <w:pPr>
        <w:spacing w:before="0" w:after="60" w:line="240" w:lineRule="auto"/>
        <w:ind w:left="720" w:hanging="720"/>
      </w:pPr>
      <w:r>
        <w:rPr>
          <w:rFonts w:ascii="Times New Roman" w:hAnsi="Times New Roman"/>
          <w:i w:val="0"/>
          <w:color w:val="000000"/>
        </w:rPr>
        <w:t xml:space="preserve">Falguera, V., Quintero, J. P., Jiménez, A., Muñoz, J. A., &amp; Ibarz, A. (2011). Edible films and coatings: Structures, active functions and trends in their use. </w:t>
      </w:r>
      <w:r>
        <w:rPr>
          <w:rFonts w:ascii="Times New Roman" w:hAnsi="Times New Roman"/>
          <w:i/>
          <w:color w:val="000000"/>
        </w:rPr>
        <w:t>Trends in Food Science &amp; Technology, 22</w:t>
      </w:r>
      <w:r>
        <w:rPr>
          <w:rFonts w:ascii="Times New Roman" w:hAnsi="Times New Roman"/>
          <w:i w:val="0"/>
          <w:color w:val="000000"/>
        </w:rPr>
        <w:t>(6), 292–303.</w:t>
      </w:r>
      <w:r>
        <w:t xml:space="preserve"> </w:t>
      </w:r>
      <w:hyperlink r:id="rId36">
        <w:r>
          <w:rPr>
            <w:rFonts w:ascii="Times New Roman" w:hAnsi="Times New Roman" w:cs="Times New Roman"/>
            <w:color w:val="000000"/>
            <w:u w:val="none"/>
          </w:rPr>
          <w:t xml:space="preserve">https://doi.org/10.1016/j.tifs.2011.02.004</w:t>
        </w:r>
      </w:hyperlink>
    </w:p>
    <w:p>
      <w:pPr>
        <w:spacing w:before="0" w:after="60" w:line="240" w:lineRule="auto"/>
        <w:ind w:left="720" w:hanging="720"/>
      </w:pPr>
      <w:r>
        <w:rPr>
          <w:rFonts w:ascii="Times New Roman" w:hAnsi="Times New Roman"/>
          <w:i w:val="0"/>
          <w:color w:val="000000"/>
        </w:rPr>
        <w:t xml:space="preserve">Geyer, R., Jambeck, J. R., &amp; Law, K. L. (2017). Production, use, and fate of all plastics ever made. </w:t>
      </w:r>
      <w:r>
        <w:rPr>
          <w:rFonts w:ascii="Times New Roman" w:hAnsi="Times New Roman"/>
          <w:i/>
          <w:color w:val="000000"/>
        </w:rPr>
        <w:t>Science Advances, 3</w:t>
      </w:r>
      <w:r>
        <w:rPr>
          <w:rFonts w:ascii="Times New Roman" w:hAnsi="Times New Roman"/>
          <w:i w:val="0"/>
          <w:color w:val="000000"/>
        </w:rPr>
        <w:t>(7), e1700782.</w:t>
      </w:r>
      <w:r>
        <w:t xml:space="preserve"> </w:t>
      </w:r>
      <w:hyperlink r:id="rId37">
        <w:r>
          <w:rPr>
            <w:rFonts w:ascii="Times New Roman" w:hAnsi="Times New Roman" w:cs="Times New Roman"/>
            <w:color w:val="000000"/>
            <w:u w:val="none"/>
          </w:rPr>
          <w:t xml:space="preserve">https://doi.org/10.1126/sciadv.1700782</w:t>
        </w:r>
      </w:hyperlink>
    </w:p>
    <w:p>
      <w:pPr>
        <w:spacing w:before="0" w:after="60" w:line="240" w:lineRule="auto"/>
        <w:ind w:left="720" w:hanging="720"/>
      </w:pPr>
      <w:r>
        <w:rPr>
          <w:rFonts w:ascii="Times New Roman" w:hAnsi="Times New Roman"/>
          <w:i w:val="0"/>
          <w:color w:val="000000"/>
        </w:rPr>
        <w:t xml:space="preserve">Hoover, R. (2001). Composition, molecular structure, and physicochemical properties of tuber and root starches: A review. </w:t>
      </w:r>
      <w:r>
        <w:rPr>
          <w:rFonts w:ascii="Times New Roman" w:hAnsi="Times New Roman"/>
          <w:i/>
          <w:color w:val="000000"/>
        </w:rPr>
        <w:t>Carbohydrate Polymers, 45</w:t>
      </w:r>
      <w:r>
        <w:rPr>
          <w:rFonts w:ascii="Times New Roman" w:hAnsi="Times New Roman"/>
          <w:i w:val="0"/>
          <w:color w:val="000000"/>
        </w:rPr>
        <w:t>(3), 253–267.</w:t>
      </w:r>
      <w:r>
        <w:t xml:space="preserve"> </w:t>
      </w:r>
      <w:hyperlink r:id="rId38">
        <w:r>
          <w:rPr>
            <w:rFonts w:ascii="Times New Roman" w:hAnsi="Times New Roman" w:cs="Times New Roman"/>
            <w:color w:val="000000"/>
            <w:u w:val="none"/>
          </w:rPr>
          <w:t xml:space="preserve">https://doi.org/10.1016/S0144-8617(00)00260-5</w:t>
        </w:r>
      </w:hyperlink>
    </w:p>
    <w:p>
      <w:pPr>
        <w:spacing w:before="0" w:after="60" w:line="240" w:lineRule="auto"/>
        <w:ind w:left="720" w:hanging="720"/>
      </w:pPr>
      <w:r>
        <w:rPr>
          <w:rFonts w:ascii="Times New Roman" w:hAnsi="Times New Roman"/>
          <w:i w:val="0"/>
          <w:color w:val="000000"/>
        </w:rPr>
        <w:t xml:space="preserve">Jiménez, A., Fabra, M. J., Talens, P., &amp; Chiralt, A. (2012). Edible and biodegradable starch films: A review. </w:t>
      </w:r>
      <w:r>
        <w:rPr>
          <w:rFonts w:ascii="Times New Roman" w:hAnsi="Times New Roman"/>
          <w:i/>
          <w:color w:val="000000"/>
        </w:rPr>
        <w:t>Food and Bioprocess Technology, 5</w:t>
      </w:r>
      <w:r>
        <w:rPr>
          <w:rFonts w:ascii="Times New Roman" w:hAnsi="Times New Roman"/>
          <w:i w:val="0"/>
          <w:color w:val="000000"/>
        </w:rPr>
        <w:t>(6), 2058–2076.</w:t>
      </w:r>
      <w:r>
        <w:t xml:space="preserve"> </w:t>
      </w:r>
      <w:hyperlink r:id="rId39">
        <w:r>
          <w:rPr>
            <w:rFonts w:ascii="Times New Roman" w:hAnsi="Times New Roman" w:cs="Times New Roman"/>
            <w:color w:val="000000"/>
            <w:u w:val="none"/>
          </w:rPr>
          <w:t xml:space="preserve">https://doi.org/10.1007/s11947-012-0835-4</w:t>
        </w:r>
      </w:hyperlink>
    </w:p>
    <w:p>
      <w:pPr>
        <w:spacing w:before="0" w:after="60" w:line="240" w:lineRule="auto"/>
        <w:ind w:left="720" w:hanging="720"/>
      </w:pPr>
      <w:r>
        <w:rPr>
          <w:rFonts w:ascii="Times New Roman" w:hAnsi="Times New Roman"/>
          <w:i w:val="0"/>
          <w:color w:val="000000"/>
        </w:rPr>
        <w:t xml:space="preserve">Jongjareonrak, A., Benjakul, S., Visessanguan, W., &amp; Tanaka, M. (2008). Antioxidative activity and properties of fish skin gelatin films incorporated with BHT and α-tocopherol. </w:t>
      </w:r>
      <w:r>
        <w:rPr>
          <w:rFonts w:ascii="Times New Roman" w:hAnsi="Times New Roman"/>
          <w:i/>
          <w:color w:val="000000"/>
        </w:rPr>
        <w:t>Food Hydrocolloids, 22</w:t>
      </w:r>
      <w:r>
        <w:rPr>
          <w:rFonts w:ascii="Times New Roman" w:hAnsi="Times New Roman"/>
          <w:i w:val="0"/>
          <w:color w:val="000000"/>
        </w:rPr>
        <w:t>(3), 449–458.</w:t>
      </w:r>
      <w:r>
        <w:t xml:space="preserve"> </w:t>
      </w:r>
      <w:hyperlink r:id="rId40">
        <w:r>
          <w:rPr>
            <w:rFonts w:ascii="Times New Roman" w:hAnsi="Times New Roman" w:cs="Times New Roman"/>
            <w:color w:val="000000"/>
            <w:u w:val="none"/>
          </w:rPr>
          <w:t xml:space="preserve">https://doi.org/10.1016/j.foodhyd.2007.01.002</w:t>
        </w:r>
      </w:hyperlink>
    </w:p>
    <w:p>
      <w:pPr>
        <w:spacing w:before="0" w:after="60" w:line="240" w:lineRule="auto"/>
        <w:ind w:left="720" w:hanging="720"/>
      </w:pPr>
      <w:r>
        <w:rPr>
          <w:rFonts w:ascii="Times New Roman" w:hAnsi="Times New Roman"/>
          <w:i w:val="0"/>
          <w:color w:val="000000"/>
        </w:rPr>
        <w:t xml:space="preserve">Kumar, L., Ramakanth, D., Akhila, K., &amp; Gaikwad, K. K. (2022). Edible films and coatings for food packaging applications: A review. </w:t>
      </w:r>
      <w:r>
        <w:rPr>
          <w:rFonts w:ascii="Times New Roman" w:hAnsi="Times New Roman"/>
          <w:i/>
          <w:color w:val="000000"/>
        </w:rPr>
        <w:t>Environmental Chemistry Letters, 20</w:t>
      </w:r>
      <w:r>
        <w:rPr>
          <w:rFonts w:ascii="Times New Roman" w:hAnsi="Times New Roman"/>
          <w:i w:val="0"/>
          <w:color w:val="000000"/>
        </w:rPr>
        <w:t>, 875–900.</w:t>
      </w:r>
      <w:r>
        <w:t xml:space="preserve"> </w:t>
      </w:r>
      <w:hyperlink r:id="rId41">
        <w:r>
          <w:rPr>
            <w:rFonts w:ascii="Times New Roman" w:hAnsi="Times New Roman" w:cs="Times New Roman"/>
            <w:color w:val="000000"/>
            <w:u w:val="none"/>
          </w:rPr>
          <w:t xml:space="preserve">https://doi.org/10.1007/s10311-021-01339-z</w:t>
        </w:r>
      </w:hyperlink>
    </w:p>
    <w:p>
      <w:pPr>
        <w:spacing w:before="0" w:after="60" w:line="240" w:lineRule="auto"/>
        <w:ind w:left="720" w:hanging="720"/>
      </w:pPr>
      <w:r>
        <w:rPr>
          <w:rFonts w:ascii="Times New Roman" w:hAnsi="Times New Roman"/>
          <w:i w:val="0"/>
          <w:color w:val="000000"/>
        </w:rPr>
        <w:t xml:space="preserve">Kuttan, G., &amp; Thejass, P. (2009). Diallyl sulfide from garlic. In B. B. Aggarwal &amp; A. B. Kunnumakkara (Eds.), </w:t>
      </w:r>
      <w:r>
        <w:rPr>
          <w:rFonts w:ascii="Times New Roman" w:hAnsi="Times New Roman"/>
          <w:i/>
          <w:color w:val="000000"/>
        </w:rPr>
        <w:t>Molecular targets and therapeutic uses of spices: Modern uses for ancient medicine</w:t>
      </w:r>
      <w:r>
        <w:rPr>
          <w:rFonts w:ascii="Times New Roman" w:hAnsi="Times New Roman"/>
          <w:i w:val="0"/>
          <w:color w:val="000000"/>
        </w:rPr>
        <w:t xml:space="preserve"> (pp. 197–224). World Scientific.</w:t>
      </w:r>
      <w:r>
        <w:t xml:space="preserve"> </w:t>
      </w:r>
      <w:hyperlink r:id="rId42">
        <w:r>
          <w:rPr>
            <w:rFonts w:ascii="Times New Roman" w:hAnsi="Times New Roman" w:cs="Times New Roman"/>
            <w:color w:val="000000"/>
            <w:u w:val="none"/>
          </w:rPr>
          <w:t xml:space="preserve">https://doi.org/10.1142/9789812837912_0008</w:t>
        </w:r>
      </w:hyperlink>
    </w:p>
    <w:p>
      <w:pPr>
        <w:spacing w:before="0" w:after="60" w:line="240" w:lineRule="auto"/>
        <w:ind w:left="720" w:hanging="720"/>
      </w:pPr>
      <w:r>
        <w:rPr>
          <w:rFonts w:ascii="Times New Roman" w:hAnsi="Times New Roman"/>
          <w:i w:val="0"/>
          <w:color w:val="000000"/>
        </w:rPr>
        <w:t>Lawal, O. S. (2004). Composition, physicochemical properties and retrogradation characteristics of native, oxidised, acetylated and acid-thinned new cocoyam (</w:t>
      </w:r>
      <w:r>
        <w:rPr>
          <w:rFonts w:ascii="Times New Roman" w:hAnsi="Times New Roman"/>
          <w:i/>
          <w:color w:val="000000"/>
        </w:rPr>
        <w:t>Xanthosoma sagittifolium</w:t>
      </w:r>
      <w:r>
        <w:rPr>
          <w:rFonts w:ascii="Times New Roman" w:hAnsi="Times New Roman"/>
          <w:i w:val="0"/>
          <w:color w:val="000000"/>
        </w:rPr>
        <w:t xml:space="preserve">) starch. </w:t>
      </w:r>
      <w:r>
        <w:rPr>
          <w:rFonts w:ascii="Times New Roman" w:hAnsi="Times New Roman"/>
          <w:i/>
          <w:color w:val="000000"/>
        </w:rPr>
        <w:t>Food Chemistry, 87</w:t>
      </w:r>
      <w:r>
        <w:rPr>
          <w:rFonts w:ascii="Times New Roman" w:hAnsi="Times New Roman"/>
          <w:i w:val="0"/>
          <w:color w:val="000000"/>
        </w:rPr>
        <w:t>(2), 205–218.</w:t>
      </w:r>
      <w:r>
        <w:t xml:space="preserve"> </w:t>
      </w:r>
      <w:hyperlink r:id="rId43">
        <w:r>
          <w:rPr>
            <w:rFonts w:ascii="Times New Roman" w:hAnsi="Times New Roman" w:cs="Times New Roman"/>
            <w:color w:val="000000"/>
            <w:u w:val="none"/>
          </w:rPr>
          <w:t xml:space="preserve">https://doi.org/10.1016/j.foodchem.2003.11.013</w:t>
        </w:r>
      </w:hyperlink>
    </w:p>
    <w:p>
      <w:pPr>
        <w:spacing w:before="0" w:after="60" w:line="240" w:lineRule="auto"/>
        <w:ind w:left="720" w:hanging="720"/>
      </w:pPr>
      <w:r>
        <w:rPr>
          <w:rFonts w:ascii="Times New Roman" w:hAnsi="Times New Roman"/>
          <w:i w:val="0"/>
          <w:color w:val="000000"/>
        </w:rPr>
        <w:t xml:space="preserve">Leach, H. W., McCowen, L. D., &amp; Schoch, T. J. (1959). Structure of the starch granule. I. Swelling and solubility patterns of various starches. </w:t>
      </w:r>
      <w:r>
        <w:rPr>
          <w:rFonts w:ascii="Times New Roman" w:hAnsi="Times New Roman"/>
          <w:i/>
          <w:color w:val="000000"/>
        </w:rPr>
        <w:t>Cereal Chemistry, 36</w:t>
      </w:r>
      <w:r>
        <w:rPr>
          <w:rFonts w:ascii="Times New Roman" w:hAnsi="Times New Roman"/>
          <w:i w:val="0"/>
          <w:color w:val="000000"/>
        </w:rPr>
        <w:t>(6), 534–544.</w:t>
      </w:r>
      <w:r>
        <w:t xml:space="preserve"> </w:t>
      </w:r>
      <w:hyperlink r:id="rId44">
        <w:r>
          <w:rPr>
            <w:rFonts w:ascii="Times New Roman" w:hAnsi="Times New Roman" w:cs="Times New Roman"/>
            <w:color w:val="000000"/>
            <w:u w:val="none"/>
          </w:rPr>
          <w:t xml:space="preserve">https://onlinelibrary.wiley.com/page/journal/19433638/homepage/classic-papers.html</w:t>
        </w:r>
      </w:hyperlink>
    </w:p>
    <w:p>
      <w:pPr>
        <w:spacing w:before="0" w:after="60" w:line="240" w:lineRule="auto"/>
        <w:ind w:left="720" w:hanging="720"/>
      </w:pPr>
      <w:r>
        <w:rPr>
          <w:rFonts w:ascii="Times New Roman" w:hAnsi="Times New Roman"/>
          <w:i w:val="0"/>
          <w:color w:val="000000"/>
        </w:rPr>
        <w:t xml:space="preserve">Mali, S., Grossmann, M. V. E., García, M. A., Martino, M. N., &amp; Zaritzky, N. E. (2004). Barrier, mechanical and optical properties of plasticized yam starch films. </w:t>
      </w:r>
      <w:r>
        <w:rPr>
          <w:rFonts w:ascii="Times New Roman" w:hAnsi="Times New Roman"/>
          <w:i/>
          <w:color w:val="000000"/>
        </w:rPr>
        <w:t>Carbohydrate Polymers, 56</w:t>
      </w:r>
      <w:r>
        <w:rPr>
          <w:rFonts w:ascii="Times New Roman" w:hAnsi="Times New Roman"/>
          <w:i w:val="0"/>
          <w:color w:val="000000"/>
        </w:rPr>
        <w:t>(2), 129–135.</w:t>
      </w:r>
      <w:r>
        <w:t xml:space="preserve"> </w:t>
      </w:r>
      <w:hyperlink r:id="rId45">
        <w:r>
          <w:rPr>
            <w:rFonts w:ascii="Times New Roman" w:hAnsi="Times New Roman" w:cs="Times New Roman"/>
            <w:color w:val="000000"/>
            <w:u w:val="none"/>
          </w:rPr>
          <w:t xml:space="preserve">https://doi.org/10.1016/j.carbpol.2004.01.004</w:t>
        </w:r>
      </w:hyperlink>
    </w:p>
    <w:p>
      <w:pPr>
        <w:spacing w:before="0" w:after="60" w:line="240" w:lineRule="auto"/>
        <w:ind w:left="720" w:hanging="720"/>
      </w:pPr>
      <w:r>
        <w:rPr>
          <w:rFonts w:ascii="Times New Roman" w:hAnsi="Times New Roman"/>
          <w:i w:val="0"/>
          <w:color w:val="000000"/>
        </w:rPr>
        <w:t>Mao, Q.-Q., Xu, X.-Y., Cao, S.-Y., Gan, R.-Y., Corke, H., Beta, T., &amp; Li, H.-B. (2019). Bioactive compounds and bioactivities of ginger (</w:t>
      </w:r>
      <w:r>
        <w:rPr>
          <w:rFonts w:ascii="Times New Roman" w:hAnsi="Times New Roman"/>
          <w:i/>
          <w:color w:val="000000"/>
        </w:rPr>
        <w:t>Zingiber officinale</w:t>
      </w:r>
      <w:r>
        <w:rPr>
          <w:rFonts w:ascii="Times New Roman" w:hAnsi="Times New Roman"/>
          <w:i w:val="0"/>
          <w:color w:val="000000"/>
        </w:rPr>
        <w:t xml:space="preserve"> Roscoe). </w:t>
      </w:r>
      <w:r>
        <w:rPr>
          <w:rFonts w:ascii="Times New Roman" w:hAnsi="Times New Roman"/>
          <w:i/>
          <w:color w:val="000000"/>
        </w:rPr>
        <w:t>Foods, 8</w:t>
      </w:r>
      <w:r>
        <w:rPr>
          <w:rFonts w:ascii="Times New Roman" w:hAnsi="Times New Roman"/>
          <w:i w:val="0"/>
          <w:color w:val="000000"/>
        </w:rPr>
        <w:t>(6), 185.</w:t>
      </w:r>
      <w:r>
        <w:t xml:space="preserve"> </w:t>
      </w:r>
      <w:hyperlink r:id="rId46">
        <w:r>
          <w:rPr>
            <w:rFonts w:ascii="Times New Roman" w:hAnsi="Times New Roman" w:cs="Times New Roman"/>
            <w:color w:val="000000"/>
            <w:u w:val="none"/>
          </w:rPr>
          <w:t xml:space="preserve">https://doi.org/10.3390/foods8060185</w:t>
        </w:r>
      </w:hyperlink>
    </w:p>
    <w:p>
      <w:pPr>
        <w:spacing w:before="0" w:after="60" w:line="240" w:lineRule="auto"/>
        <w:ind w:left="720" w:hanging="720"/>
      </w:pPr>
      <w:r>
        <w:rPr>
          <w:rFonts w:ascii="Times New Roman" w:hAnsi="Times New Roman"/>
          <w:i w:val="0"/>
          <w:color w:val="000000"/>
        </w:rPr>
        <w:t xml:space="preserve">Matloob, A., Ayub, H., Mohsin, M., Ambreen, S., &amp; Khan, F. A. (2023). A review on edible coatings and films: Advances, composition, production methods, and safety concerns. </w:t>
      </w:r>
      <w:r>
        <w:rPr>
          <w:rFonts w:ascii="Times New Roman" w:hAnsi="Times New Roman"/>
          <w:i/>
          <w:color w:val="000000"/>
        </w:rPr>
        <w:t>ACS Omega, 8</w:t>
      </w:r>
      <w:r>
        <w:rPr>
          <w:rFonts w:ascii="Times New Roman" w:hAnsi="Times New Roman"/>
          <w:i w:val="0"/>
          <w:color w:val="000000"/>
        </w:rPr>
        <w:t>(32), 28985–29006.</w:t>
      </w:r>
      <w:r>
        <w:t xml:space="preserve"> </w:t>
      </w:r>
      <w:hyperlink r:id="rId47">
        <w:r>
          <w:rPr>
            <w:rFonts w:ascii="Times New Roman" w:hAnsi="Times New Roman" w:cs="Times New Roman"/>
            <w:color w:val="000000"/>
            <w:u w:val="none"/>
          </w:rPr>
          <w:t xml:space="preserve">https://doi.org/10.1021/acsomega.3c03459</w:t>
        </w:r>
      </w:hyperlink>
    </w:p>
    <w:p>
      <w:pPr>
        <w:spacing w:before="0" w:after="60" w:line="240" w:lineRule="auto"/>
        <w:ind w:left="720" w:hanging="720"/>
      </w:pPr>
      <w:r>
        <w:rPr>
          <w:rFonts w:ascii="Times New Roman" w:hAnsi="Times New Roman"/>
          <w:i w:val="0"/>
          <w:color w:val="000000"/>
        </w:rPr>
        <w:t xml:space="preserve">Mokhtar, T. N., Ismail, N., Mohd Arshad, M. H., &amp; Salahuddin, M. A. H. (2025). Impact of infusion time on the physical characteristics, antioxidant properties, and in vitro antidiabetic activity of roselle tisane herbal drink blends. </w:t>
      </w:r>
      <w:r>
        <w:rPr>
          <w:rFonts w:ascii="Times New Roman" w:hAnsi="Times New Roman"/>
          <w:i/>
          <w:color w:val="000000"/>
        </w:rPr>
        <w:t>Asian Food Science Journal, 24</w:t>
      </w:r>
      <w:r>
        <w:rPr>
          <w:rFonts w:ascii="Times New Roman" w:hAnsi="Times New Roman"/>
          <w:i w:val="0"/>
          <w:color w:val="000000"/>
        </w:rPr>
        <w:t>(10), 34–45.</w:t>
      </w:r>
      <w:r>
        <w:t xml:space="preserve"> </w:t>
      </w:r>
      <w:hyperlink r:id="rId48">
        <w:r>
          <w:rPr>
            <w:rFonts w:ascii="Times New Roman" w:hAnsi="Times New Roman" w:cs="Times New Roman"/>
            <w:color w:val="000000"/>
            <w:u w:val="none"/>
          </w:rPr>
          <w:t xml:space="preserve">https://doi.org/10.9734/afsj/2025/v24i10821</w:t>
        </w:r>
      </w:hyperlink>
    </w:p>
    <w:p>
      <w:pPr>
        <w:spacing w:before="0" w:after="60" w:line="240" w:lineRule="auto"/>
        <w:ind w:left="720" w:hanging="720"/>
      </w:pPr>
      <w:r>
        <w:rPr>
          <w:rFonts w:ascii="Times New Roman" w:hAnsi="Times New Roman"/>
          <w:i w:val="0"/>
          <w:color w:val="000000"/>
        </w:rPr>
        <w:t xml:space="preserve">Odeyemi, T. A., Owuamanam, C. I., Ofoedum, A. F., Ugwoezuonu, J. N., Elemuo, G. K., Iroagba, L. N., Okezie, F. P., &amp; Eze, O. J. (2026). Characterization of cellulose and assessment of plant extracts for antioxidant-based edible film. </w:t>
      </w:r>
      <w:r>
        <w:rPr>
          <w:rFonts w:ascii="Times New Roman" w:hAnsi="Times New Roman"/>
          <w:i/>
          <w:color w:val="000000"/>
        </w:rPr>
        <w:t>Journal of Food and Biotechnology, 7</w:t>
      </w:r>
      <w:r>
        <w:rPr>
          <w:rFonts w:ascii="Times New Roman" w:hAnsi="Times New Roman"/>
          <w:i w:val="0"/>
          <w:color w:val="000000"/>
        </w:rPr>
        <w:t>(1), 48–57.</w:t>
      </w:r>
      <w:r>
        <w:t xml:space="preserve"> </w:t>
      </w:r>
      <w:hyperlink r:id="rId49">
        <w:r>
          <w:rPr>
            <w:rFonts w:ascii="Times New Roman" w:hAnsi="Times New Roman" w:cs="Times New Roman"/>
            <w:color w:val="000000"/>
            <w:u w:val="none"/>
          </w:rPr>
          <w:t xml:space="preserve">https://doi.org/10.51470/FAB.2026.7.1.48</w:t>
        </w:r>
      </w:hyperlink>
    </w:p>
    <w:p>
      <w:pPr>
        <w:spacing w:before="0" w:after="60" w:line="240" w:lineRule="auto"/>
        <w:ind w:left="720" w:hanging="720"/>
      </w:pPr>
      <w:r>
        <w:rPr>
          <w:rFonts w:ascii="Times New Roman" w:hAnsi="Times New Roman"/>
          <w:i w:val="0"/>
          <w:color w:val="000000"/>
        </w:rPr>
        <w:t xml:space="preserve">Ofoedum, A. F., Owuamanam, C. I., Ndukauba, O. E., Iroagba, L. N., Ugwoezuonu, J. N., Abbah, E. C., &amp; Anaeke, J. E. (2023). Phytochemicals from selected tropical spices and agro-food wastes: Utilization and applications in health sectors—A review. </w:t>
      </w:r>
      <w:r>
        <w:rPr>
          <w:rFonts w:ascii="Times New Roman" w:hAnsi="Times New Roman"/>
          <w:i/>
          <w:color w:val="000000"/>
        </w:rPr>
        <w:t>European Journal of Theoretical and Applied Sciences, 1</w:t>
      </w:r>
      <w:r>
        <w:rPr>
          <w:rFonts w:ascii="Times New Roman" w:hAnsi="Times New Roman"/>
          <w:i w:val="0"/>
          <w:color w:val="000000"/>
        </w:rPr>
        <w:t>(5), 681–696.</w:t>
      </w:r>
      <w:r>
        <w:t xml:space="preserve"> </w:t>
      </w:r>
      <w:hyperlink r:id="rId50">
        <w:r>
          <w:rPr>
            <w:rFonts w:ascii="Times New Roman" w:hAnsi="Times New Roman" w:cs="Times New Roman"/>
            <w:color w:val="000000"/>
            <w:u w:val="none"/>
          </w:rPr>
          <w:t xml:space="preserve">https://doi.org/10.59324/ejtas.2023.1(5).58</w:t>
        </w:r>
      </w:hyperlink>
    </w:p>
    <w:p>
      <w:pPr>
        <w:spacing w:before="0" w:after="60" w:line="240" w:lineRule="auto"/>
        <w:ind w:left="720" w:hanging="720"/>
      </w:pPr>
      <w:r>
        <w:rPr>
          <w:rFonts w:ascii="Times New Roman" w:hAnsi="Times New Roman"/>
          <w:i w:val="0"/>
          <w:color w:val="000000"/>
        </w:rPr>
        <w:t>Ofoedum, A. F., Owuamanam, C. I., Iwouno, J. O., Olawuni, I. A., Abbah, E. C., Uyanwa, N. C., Anaeke, E. J., &amp; Ofoedum, S. L. (2025a). Functional and storage stabilities of functional beverages developed from crude extracts from tropical spices (</w:t>
      </w:r>
      <w:r>
        <w:rPr>
          <w:rFonts w:ascii="Times New Roman" w:hAnsi="Times New Roman"/>
          <w:i/>
          <w:color w:val="000000"/>
        </w:rPr>
        <w:t>Zingiber officinale, Monodora myristica</w:t>
      </w:r>
      <w:r>
        <w:rPr>
          <w:rFonts w:ascii="Times New Roman" w:hAnsi="Times New Roman"/>
          <w:i w:val="0"/>
          <w:color w:val="000000"/>
        </w:rPr>
        <w:t xml:space="preserve"> and </w:t>
      </w:r>
      <w:r>
        <w:rPr>
          <w:rFonts w:ascii="Times New Roman" w:hAnsi="Times New Roman"/>
          <w:i/>
          <w:color w:val="000000"/>
        </w:rPr>
        <w:t>Tetrapluera tetraptera</w:t>
      </w:r>
      <w:r>
        <w:rPr>
          <w:rFonts w:ascii="Times New Roman" w:hAnsi="Times New Roman"/>
          <w:i w:val="0"/>
          <w:color w:val="000000"/>
        </w:rPr>
        <w:t xml:space="preserve">). </w:t>
      </w:r>
      <w:r>
        <w:rPr>
          <w:rFonts w:ascii="Times New Roman" w:hAnsi="Times New Roman"/>
          <w:i/>
          <w:color w:val="000000"/>
        </w:rPr>
        <w:t>Journal of Food Legumes, 38</w:t>
      </w:r>
      <w:r>
        <w:rPr>
          <w:rFonts w:ascii="Times New Roman" w:hAnsi="Times New Roman"/>
          <w:i w:val="0"/>
          <w:color w:val="000000"/>
        </w:rPr>
        <w:t>(4), 624–632.</w:t>
      </w:r>
      <w:r>
        <w:t xml:space="preserve"> </w:t>
      </w:r>
      <w:hyperlink r:id="rId51">
        <w:r>
          <w:rPr>
            <w:rFonts w:ascii="Times New Roman" w:hAnsi="Times New Roman" w:cs="Times New Roman"/>
            <w:color w:val="000000"/>
            <w:u w:val="none"/>
          </w:rPr>
          <w:t xml:space="preserve">https://doi.org/10.53550/jfl.v38i4.2169</w:t>
        </w:r>
      </w:hyperlink>
    </w:p>
    <w:p>
      <w:pPr>
        <w:spacing w:before="0" w:after="60" w:line="240" w:lineRule="auto"/>
        <w:ind w:left="720" w:hanging="720"/>
      </w:pPr>
      <w:r>
        <w:rPr>
          <w:rFonts w:ascii="Times New Roman" w:hAnsi="Times New Roman"/>
          <w:i w:val="0"/>
          <w:color w:val="000000"/>
        </w:rPr>
        <w:t>Ofoedum, A. F., Owuamanam, C. I., Iwouno, J. O., Ofoedu, C. E., Chikelu, E. C., Odimegwu, E. N., Alagbaoso, S. O., Njoku, N. E., &amp; Anaeke, E. J. (2025b). Physicochemical and shelf life studies of functional beverages developed from crude extracts from tropical spices (</w:t>
      </w:r>
      <w:r>
        <w:rPr>
          <w:rFonts w:ascii="Times New Roman" w:hAnsi="Times New Roman"/>
          <w:i/>
          <w:color w:val="000000"/>
        </w:rPr>
        <w:t>Zingiber officinale, Monodora myristica</w:t>
      </w:r>
      <w:r>
        <w:rPr>
          <w:rFonts w:ascii="Times New Roman" w:hAnsi="Times New Roman"/>
          <w:i w:val="0"/>
          <w:color w:val="000000"/>
        </w:rPr>
        <w:t xml:space="preserve"> and </w:t>
      </w:r>
      <w:r>
        <w:rPr>
          <w:rFonts w:ascii="Times New Roman" w:hAnsi="Times New Roman"/>
          <w:i/>
          <w:color w:val="000000"/>
        </w:rPr>
        <w:t>Tetrapluera tetraptera</w:t>
      </w:r>
      <w:r>
        <w:rPr>
          <w:rFonts w:ascii="Times New Roman" w:hAnsi="Times New Roman"/>
          <w:i w:val="0"/>
          <w:color w:val="000000"/>
        </w:rPr>
        <w:t xml:space="preserve">). </w:t>
      </w:r>
      <w:r>
        <w:rPr>
          <w:rFonts w:ascii="Times New Roman" w:hAnsi="Times New Roman"/>
          <w:i/>
          <w:color w:val="000000"/>
        </w:rPr>
        <w:t>Asian Journal of Dairy and Food Research, 44</w:t>
      </w:r>
      <w:r>
        <w:rPr>
          <w:rFonts w:ascii="Times New Roman" w:hAnsi="Times New Roman"/>
          <w:i w:val="0"/>
          <w:color w:val="000000"/>
        </w:rPr>
        <w:t>(5), 799–806.</w:t>
      </w:r>
      <w:r>
        <w:t xml:space="preserve"> </w:t>
      </w:r>
      <w:hyperlink r:id="rId52">
        <w:r>
          <w:rPr>
            <w:rFonts w:ascii="Times New Roman" w:hAnsi="Times New Roman" w:cs="Times New Roman"/>
            <w:color w:val="000000"/>
            <w:u w:val="none"/>
          </w:rPr>
          <w:t xml:space="preserve">https://doi.org/10.18805/ajdfr.DRF-478</w:t>
        </w:r>
      </w:hyperlink>
    </w:p>
    <w:p>
      <w:pPr>
        <w:spacing w:before="0" w:after="60" w:line="240" w:lineRule="auto"/>
        <w:ind w:left="720" w:hanging="720"/>
      </w:pPr>
      <w:r>
        <w:rPr>
          <w:rFonts w:ascii="Times New Roman" w:hAnsi="Times New Roman"/>
          <w:i w:val="0"/>
          <w:color w:val="000000"/>
        </w:rPr>
        <w:t xml:space="preserve">Ofoedum, A. F., Owuamanam, C. I., Iwouno, J. O., Olawuni, I. A., Anaeke, E. J., Emejulu, C. O., Mofunanya, G. N., &amp; Abbah, E. C. (2026). Evaluation of bioactive compounds from selected tropical spices extracted using microwave-assisted extraction technology. </w:t>
      </w:r>
      <w:r>
        <w:rPr>
          <w:rFonts w:ascii="Times New Roman" w:hAnsi="Times New Roman"/>
          <w:i/>
          <w:color w:val="000000"/>
        </w:rPr>
        <w:t>Journal of Advances in Food Science &amp; Technology, 13</w:t>
      </w:r>
      <w:r>
        <w:rPr>
          <w:rFonts w:ascii="Times New Roman" w:hAnsi="Times New Roman"/>
          <w:i w:val="0"/>
          <w:color w:val="000000"/>
        </w:rPr>
        <w:t>(3), 187–203.</w:t>
      </w:r>
      <w:r>
        <w:t xml:space="preserve"> </w:t>
      </w:r>
      <w:hyperlink r:id="rId53">
        <w:r>
          <w:rPr>
            <w:rFonts w:ascii="Times New Roman" w:hAnsi="Times New Roman" w:cs="Times New Roman"/>
            <w:color w:val="000000"/>
            <w:u w:val="none"/>
          </w:rPr>
          <w:t xml:space="preserve">https://doi.org/10.56557/jafsat/2026/v13i310816</w:t>
        </w:r>
      </w:hyperlink>
    </w:p>
    <w:p>
      <w:pPr>
        <w:spacing w:before="0" w:after="60" w:line="240" w:lineRule="auto"/>
        <w:ind w:left="720" w:hanging="720"/>
      </w:pPr>
      <w:r>
        <w:rPr>
          <w:rFonts w:ascii="Times New Roman" w:hAnsi="Times New Roman"/>
          <w:i w:val="0"/>
          <w:color w:val="000000"/>
        </w:rPr>
        <w:t>Okey-Onochie, N. O., Onuegbu, T. U., &amp; Muofunanya, E. O. (2026). Comprehensive characterization of avocado pear (</w:t>
      </w:r>
      <w:r>
        <w:rPr>
          <w:rFonts w:ascii="Times New Roman" w:hAnsi="Times New Roman"/>
          <w:i/>
          <w:color w:val="000000"/>
        </w:rPr>
        <w:t>Persea americana</w:t>
      </w:r>
      <w:r>
        <w:rPr>
          <w:rFonts w:ascii="Times New Roman" w:hAnsi="Times New Roman"/>
          <w:i w:val="0"/>
          <w:color w:val="000000"/>
        </w:rPr>
        <w:t xml:space="preserve">) seed powder for application in biodegradable polymer composites and functional materials. </w:t>
      </w:r>
      <w:r>
        <w:rPr>
          <w:rFonts w:ascii="Times New Roman" w:hAnsi="Times New Roman"/>
          <w:i/>
          <w:color w:val="000000"/>
        </w:rPr>
        <w:t>Journal of Applied Chemical Science International, 17</w:t>
      </w:r>
      <w:r>
        <w:rPr>
          <w:rFonts w:ascii="Times New Roman" w:hAnsi="Times New Roman"/>
          <w:i w:val="0"/>
          <w:color w:val="000000"/>
        </w:rPr>
        <w:t>(1), 48–58.</w:t>
      </w:r>
      <w:r>
        <w:t xml:space="preserve"> </w:t>
      </w:r>
      <w:hyperlink r:id="rId54">
        <w:r>
          <w:rPr>
            <w:rFonts w:ascii="Times New Roman" w:hAnsi="Times New Roman" w:cs="Times New Roman"/>
            <w:color w:val="000000"/>
            <w:u w:val="none"/>
          </w:rPr>
          <w:t xml:space="preserve">https://doi.org/10.56557/jacsi/2026/v17i110239</w:t>
        </w:r>
      </w:hyperlink>
    </w:p>
    <w:p>
      <w:pPr>
        <w:spacing w:before="0" w:after="60" w:line="240" w:lineRule="auto"/>
        <w:ind w:left="720" w:hanging="720"/>
      </w:pPr>
      <w:r>
        <w:rPr>
          <w:rFonts w:ascii="Times New Roman" w:hAnsi="Times New Roman"/>
          <w:i w:val="0"/>
          <w:color w:val="000000"/>
        </w:rPr>
        <w:t xml:space="preserve">Olatunde, G. O., Arogundade, L. K., &amp; Orija, O. I. (2017). Chemical, functional and pasting properties of banana and plantain starches modified by pre-gelatinization, oxidation and acetylation. </w:t>
      </w:r>
      <w:r>
        <w:rPr>
          <w:rFonts w:ascii="Times New Roman" w:hAnsi="Times New Roman"/>
          <w:i/>
          <w:color w:val="000000"/>
        </w:rPr>
        <w:t>Cogent Food &amp; Agriculture, 3</w:t>
      </w:r>
      <w:r>
        <w:rPr>
          <w:rFonts w:ascii="Times New Roman" w:hAnsi="Times New Roman"/>
          <w:i w:val="0"/>
          <w:color w:val="000000"/>
        </w:rPr>
        <w:t>(1), 1283079.</w:t>
      </w:r>
      <w:r>
        <w:t xml:space="preserve"> </w:t>
      </w:r>
      <w:hyperlink r:id="rId55">
        <w:r>
          <w:rPr>
            <w:rFonts w:ascii="Times New Roman" w:hAnsi="Times New Roman" w:cs="Times New Roman"/>
            <w:color w:val="000000"/>
            <w:u w:val="none"/>
          </w:rPr>
          <w:t xml:space="preserve">https://doi.org/10.1080/23311932.2017.1283079</w:t>
        </w:r>
      </w:hyperlink>
    </w:p>
    <w:p>
      <w:pPr>
        <w:spacing w:before="0" w:after="60" w:line="240" w:lineRule="auto"/>
        <w:ind w:left="720" w:hanging="720"/>
      </w:pPr>
      <w:r>
        <w:rPr>
          <w:rFonts w:ascii="Times New Roman" w:hAnsi="Times New Roman"/>
          <w:i w:val="0"/>
          <w:color w:val="000000"/>
        </w:rPr>
        <w:t>Otegbayo, B., Lana, O., &amp; Ibitoye, W. (2010). Isolation and physicochemical characterization of starches isolated from plantain (</w:t>
      </w:r>
      <w:r>
        <w:rPr>
          <w:rFonts w:ascii="Times New Roman" w:hAnsi="Times New Roman"/>
          <w:i/>
          <w:color w:val="000000"/>
        </w:rPr>
        <w:t>Musa paradisiaca</w:t>
      </w:r>
      <w:r>
        <w:rPr>
          <w:rFonts w:ascii="Times New Roman" w:hAnsi="Times New Roman"/>
          <w:i w:val="0"/>
          <w:color w:val="000000"/>
        </w:rPr>
        <w:t>) and cooking banana (</w:t>
      </w:r>
      <w:r>
        <w:rPr>
          <w:rFonts w:ascii="Times New Roman" w:hAnsi="Times New Roman"/>
          <w:i/>
          <w:color w:val="000000"/>
        </w:rPr>
        <w:t>Musa sapientum</w:t>
      </w:r>
      <w:r>
        <w:rPr>
          <w:rFonts w:ascii="Times New Roman" w:hAnsi="Times New Roman"/>
          <w:i w:val="0"/>
          <w:color w:val="000000"/>
        </w:rPr>
        <w:t xml:space="preserve">). </w:t>
      </w:r>
      <w:r>
        <w:rPr>
          <w:rFonts w:ascii="Times New Roman" w:hAnsi="Times New Roman"/>
          <w:i/>
          <w:color w:val="000000"/>
        </w:rPr>
        <w:t>Journal of Food Biochemistry, 34</w:t>
      </w:r>
      <w:r>
        <w:rPr>
          <w:rFonts w:ascii="Times New Roman" w:hAnsi="Times New Roman"/>
          <w:i w:val="0"/>
          <w:color w:val="000000"/>
        </w:rPr>
        <w:t>(6), 1303–1318.</w:t>
      </w:r>
      <w:r>
        <w:t xml:space="preserve"> </w:t>
      </w:r>
      <w:hyperlink r:id="rId56">
        <w:r>
          <w:rPr>
            <w:rFonts w:ascii="Times New Roman" w:hAnsi="Times New Roman" w:cs="Times New Roman"/>
            <w:color w:val="000000"/>
            <w:u w:val="none"/>
          </w:rPr>
          <w:t xml:space="preserve">https://doi.org/10.1111/j.1745-4514.2010.00354.x</w:t>
        </w:r>
      </w:hyperlink>
    </w:p>
    <w:p>
      <w:pPr>
        <w:spacing w:before="0" w:after="60" w:line="240" w:lineRule="auto"/>
        <w:ind w:left="720" w:hanging="720"/>
      </w:pPr>
      <w:r>
        <w:rPr>
          <w:rFonts w:ascii="Times New Roman" w:hAnsi="Times New Roman"/>
          <w:i w:val="0"/>
          <w:color w:val="000000"/>
        </w:rPr>
        <w:t xml:space="preserve">Otoni, C. G., Avena-Bustillos, R. J., Azeredo, H. M. C., Lorevice, M. V., Moura, M. R. de, Mattoso, L. H. C., &amp; McHugh, T. H. (2017). Recent advances on edible films based on fruits and vegetables—A review. </w:t>
      </w:r>
      <w:r>
        <w:rPr>
          <w:rFonts w:ascii="Times New Roman" w:hAnsi="Times New Roman"/>
          <w:i/>
          <w:color w:val="000000"/>
        </w:rPr>
        <w:t>Comprehensive Reviews in Food Science and Food Safety, 16</w:t>
      </w:r>
      <w:r>
        <w:rPr>
          <w:rFonts w:ascii="Times New Roman" w:hAnsi="Times New Roman"/>
          <w:i w:val="0"/>
          <w:color w:val="000000"/>
        </w:rPr>
        <w:t>(5), 1151–1169.</w:t>
      </w:r>
      <w:r>
        <w:t xml:space="preserve"> </w:t>
      </w:r>
      <w:hyperlink r:id="rId57">
        <w:r>
          <w:rPr>
            <w:rFonts w:ascii="Times New Roman" w:hAnsi="Times New Roman" w:cs="Times New Roman"/>
            <w:color w:val="000000"/>
            <w:u w:val="none"/>
          </w:rPr>
          <w:t xml:space="preserve">https://doi.org/10.1111/1541-4337.12281</w:t>
        </w:r>
      </w:hyperlink>
    </w:p>
    <w:p>
      <w:pPr>
        <w:spacing w:before="0" w:after="60" w:line="240" w:lineRule="auto"/>
        <w:ind w:left="720" w:hanging="720"/>
      </w:pPr>
      <w:r>
        <w:rPr>
          <w:rFonts w:ascii="Times New Roman" w:hAnsi="Times New Roman"/>
          <w:i w:val="0"/>
          <w:color w:val="000000"/>
        </w:rPr>
        <w:t>Pelissari, F. M., Andrade-Mahecha, M. M., Sobral, P. J. do A., &amp; Menegalli, F. C. (2012). Isolation and characterization of the flour and starch of plantain bananas (</w:t>
      </w:r>
      <w:r>
        <w:rPr>
          <w:rFonts w:ascii="Times New Roman" w:hAnsi="Times New Roman"/>
          <w:i/>
          <w:color w:val="000000"/>
        </w:rPr>
        <w:t>Musa paradisiaca</w:t>
      </w:r>
      <w:r>
        <w:rPr>
          <w:rFonts w:ascii="Times New Roman" w:hAnsi="Times New Roman"/>
          <w:i w:val="0"/>
          <w:color w:val="000000"/>
        </w:rPr>
        <w:t xml:space="preserve">). </w:t>
      </w:r>
      <w:r>
        <w:rPr>
          <w:rFonts w:ascii="Times New Roman" w:hAnsi="Times New Roman"/>
          <w:i/>
          <w:color w:val="000000"/>
        </w:rPr>
        <w:t>Starch/Stärke, 64</w:t>
      </w:r>
      <w:r>
        <w:rPr>
          <w:rFonts w:ascii="Times New Roman" w:hAnsi="Times New Roman"/>
          <w:i w:val="0"/>
          <w:color w:val="000000"/>
        </w:rPr>
        <w:t>(5), 382–391.</w:t>
      </w:r>
      <w:r>
        <w:t xml:space="preserve"> </w:t>
      </w:r>
      <w:hyperlink r:id="rId58">
        <w:r>
          <w:rPr>
            <w:rFonts w:ascii="Times New Roman" w:hAnsi="Times New Roman" w:cs="Times New Roman"/>
            <w:color w:val="000000"/>
            <w:u w:val="none"/>
          </w:rPr>
          <w:t xml:space="preserve">https://doi.org/10.1002/star.201100133</w:t>
        </w:r>
      </w:hyperlink>
    </w:p>
    <w:p>
      <w:pPr>
        <w:spacing w:before="0" w:after="60" w:line="240" w:lineRule="auto"/>
        <w:ind w:left="720" w:hanging="720"/>
      </w:pPr>
      <w:r>
        <w:rPr>
          <w:rFonts w:ascii="Times New Roman" w:hAnsi="Times New Roman"/>
          <w:i w:val="0"/>
          <w:color w:val="000000"/>
        </w:rPr>
        <w:t xml:space="preserve">Prior, R. L., Wu, X., &amp; Schaich, K. (2005). Standardized methods for the determination of antioxidant capacity and phenolics in foods and dietary supplements. </w:t>
      </w:r>
      <w:r>
        <w:rPr>
          <w:rFonts w:ascii="Times New Roman" w:hAnsi="Times New Roman"/>
          <w:i/>
          <w:color w:val="000000"/>
        </w:rPr>
        <w:t>Journal of Agricultural and Food Chemistry, 53</w:t>
      </w:r>
      <w:r>
        <w:rPr>
          <w:rFonts w:ascii="Times New Roman" w:hAnsi="Times New Roman"/>
          <w:i w:val="0"/>
          <w:color w:val="000000"/>
        </w:rPr>
        <w:t>(10), 4290–4302.</w:t>
      </w:r>
      <w:r>
        <w:t xml:space="preserve"> </w:t>
      </w:r>
      <w:hyperlink r:id="rId59">
        <w:r>
          <w:rPr>
            <w:rFonts w:ascii="Times New Roman" w:hAnsi="Times New Roman" w:cs="Times New Roman"/>
            <w:color w:val="000000"/>
            <w:u w:val="none"/>
          </w:rPr>
          <w:t xml:space="preserve">https://doi.org/10.1021/jf0502698</w:t>
        </w:r>
      </w:hyperlink>
    </w:p>
    <w:p>
      <w:pPr>
        <w:spacing w:before="0" w:after="60" w:line="240" w:lineRule="auto"/>
        <w:ind w:left="720" w:hanging="720"/>
      </w:pPr>
      <w:r>
        <w:rPr>
          <w:rFonts w:ascii="Times New Roman" w:hAnsi="Times New Roman"/>
          <w:i w:val="0"/>
          <w:color w:val="000000"/>
        </w:rPr>
        <w:t xml:space="preserve">Re, R., Pellegrini, N., Proteggente, A., Pannala, A., Yang, M., &amp; Rice-Evans, C. (1999). Antioxidant activity applying an improved ABTS radical cation decolorization assay. </w:t>
      </w:r>
      <w:r>
        <w:rPr>
          <w:rFonts w:ascii="Times New Roman" w:hAnsi="Times New Roman"/>
          <w:i/>
          <w:color w:val="000000"/>
        </w:rPr>
        <w:t>Free Radical Biology and Medicine, 26</w:t>
      </w:r>
      <w:r>
        <w:rPr>
          <w:rFonts w:ascii="Times New Roman" w:hAnsi="Times New Roman"/>
          <w:i w:val="0"/>
          <w:color w:val="000000"/>
        </w:rPr>
        <w:t>(9–10), 1231–1237.</w:t>
      </w:r>
      <w:r>
        <w:t xml:space="preserve"> </w:t>
      </w:r>
      <w:hyperlink r:id="rId60">
        <w:r>
          <w:rPr>
            <w:rFonts w:ascii="Times New Roman" w:hAnsi="Times New Roman" w:cs="Times New Roman"/>
            <w:color w:val="000000"/>
            <w:u w:val="none"/>
          </w:rPr>
          <w:t xml:space="preserve">https://doi.org/10.1016/S0891-5849(98)00315-3</w:t>
        </w:r>
      </w:hyperlink>
    </w:p>
    <w:p>
      <w:pPr>
        <w:spacing w:before="0" w:after="60" w:line="240" w:lineRule="auto"/>
        <w:ind w:left="720" w:hanging="720"/>
      </w:pPr>
      <w:r>
        <w:rPr>
          <w:rFonts w:ascii="Times New Roman" w:hAnsi="Times New Roman"/>
          <w:i w:val="0"/>
          <w:color w:val="000000"/>
        </w:rPr>
        <w:t>Riley, C. K., Adebayo, S. A., Wheatley, A. O., &amp; Asemota, H. N. (2008). Surface properties of yam (</w:t>
      </w:r>
      <w:r>
        <w:rPr>
          <w:rFonts w:ascii="Times New Roman" w:hAnsi="Times New Roman"/>
          <w:i/>
          <w:color w:val="000000"/>
        </w:rPr>
        <w:t>Dioscorea</w:t>
      </w:r>
      <w:r>
        <w:rPr>
          <w:rFonts w:ascii="Times New Roman" w:hAnsi="Times New Roman"/>
          <w:i w:val="0"/>
          <w:color w:val="000000"/>
        </w:rPr>
        <w:t xml:space="preserve"> sp.) starch powders and potential for use as binders and disintegrants in drug formulations. </w:t>
      </w:r>
      <w:r>
        <w:rPr>
          <w:rFonts w:ascii="Times New Roman" w:hAnsi="Times New Roman"/>
          <w:i/>
          <w:color w:val="000000"/>
        </w:rPr>
        <w:t>Powder Technology, 185</w:t>
      </w:r>
      <w:r>
        <w:rPr>
          <w:rFonts w:ascii="Times New Roman" w:hAnsi="Times New Roman"/>
          <w:i w:val="0"/>
          <w:color w:val="000000"/>
        </w:rPr>
        <w:t>(3), 280–285.</w:t>
      </w:r>
      <w:r>
        <w:t xml:space="preserve"> </w:t>
      </w:r>
      <w:hyperlink r:id="rId61">
        <w:r>
          <w:rPr>
            <w:rFonts w:ascii="Times New Roman" w:hAnsi="Times New Roman" w:cs="Times New Roman"/>
            <w:color w:val="000000"/>
            <w:u w:val="none"/>
          </w:rPr>
          <w:t xml:space="preserve">https://doi.org/10.1016/j.powtec.2007.10.028</w:t>
        </w:r>
      </w:hyperlink>
    </w:p>
    <w:p>
      <w:pPr>
        <w:spacing w:before="0" w:after="60" w:line="240" w:lineRule="auto"/>
        <w:ind w:left="720" w:hanging="720"/>
      </w:pPr>
      <w:r>
        <w:rPr>
          <w:rFonts w:ascii="Times New Roman" w:hAnsi="Times New Roman"/>
          <w:i w:val="0"/>
          <w:color w:val="000000"/>
        </w:rPr>
        <w:t xml:space="preserve">Salami, H. A., Adegite, J. O., Bademosi, T. T., Lawal, S. O., Olutayo, O. O., &amp; Olowosokedile, O. (2019). A review on the current status of municipal solid waste management in Nigeria: Problems and solutions. </w:t>
      </w:r>
      <w:r>
        <w:rPr>
          <w:rFonts w:ascii="Times New Roman" w:hAnsi="Times New Roman"/>
          <w:i/>
          <w:color w:val="000000"/>
        </w:rPr>
        <w:t>Journal of Engineering Research and Reports, 3</w:t>
      </w:r>
      <w:r>
        <w:rPr>
          <w:rFonts w:ascii="Times New Roman" w:hAnsi="Times New Roman"/>
          <w:i w:val="0"/>
          <w:color w:val="000000"/>
        </w:rPr>
        <w:t>(4), 1–16.</w:t>
      </w:r>
      <w:r>
        <w:t xml:space="preserve"> </w:t>
      </w:r>
      <w:hyperlink r:id="rId62">
        <w:r>
          <w:rPr>
            <w:rFonts w:ascii="Times New Roman" w:hAnsi="Times New Roman" w:cs="Times New Roman"/>
            <w:color w:val="000000"/>
            <w:u w:val="none"/>
          </w:rPr>
          <w:t xml:space="preserve">https://doi.org/10.9734/JERR/2018/v3i416884</w:t>
        </w:r>
      </w:hyperlink>
    </w:p>
    <w:p>
      <w:pPr>
        <w:spacing w:before="0" w:after="60" w:line="240" w:lineRule="auto"/>
        <w:ind w:left="720" w:hanging="720"/>
      </w:pPr>
      <w:r>
        <w:rPr>
          <w:rFonts w:ascii="Times New Roman" w:hAnsi="Times New Roman"/>
          <w:i w:val="0"/>
          <w:color w:val="000000"/>
        </w:rPr>
        <w:t>Sanyang, M. L., Sapuan, S. M., Jawaid, M., Ishak, M. R., &amp; Sahari, J. (2016). Recent developments in sugar palm (</w:t>
      </w:r>
      <w:r>
        <w:rPr>
          <w:rFonts w:ascii="Times New Roman" w:hAnsi="Times New Roman"/>
          <w:i/>
          <w:color w:val="000000"/>
        </w:rPr>
        <w:t>Arenga pinnata</w:t>
      </w:r>
      <w:r>
        <w:rPr>
          <w:rFonts w:ascii="Times New Roman" w:hAnsi="Times New Roman"/>
          <w:i w:val="0"/>
          <w:color w:val="000000"/>
        </w:rPr>
        <w:t xml:space="preserve">) based biocomposites and their potential industrial applications: A review. </w:t>
      </w:r>
      <w:r>
        <w:rPr>
          <w:rFonts w:ascii="Times New Roman" w:hAnsi="Times New Roman"/>
          <w:i/>
          <w:color w:val="000000"/>
        </w:rPr>
        <w:t>Renewable and Sustainable Energy Reviews, 54</w:t>
      </w:r>
      <w:r>
        <w:rPr>
          <w:rFonts w:ascii="Times New Roman" w:hAnsi="Times New Roman"/>
          <w:i w:val="0"/>
          <w:color w:val="000000"/>
        </w:rPr>
        <w:t>, 533–549.</w:t>
      </w:r>
      <w:r>
        <w:t xml:space="preserve"> </w:t>
      </w:r>
      <w:hyperlink r:id="rId63">
        <w:r>
          <w:rPr>
            <w:rFonts w:ascii="Times New Roman" w:hAnsi="Times New Roman" w:cs="Times New Roman"/>
            <w:color w:val="000000"/>
            <w:u w:val="none"/>
          </w:rPr>
          <w:t xml:space="preserve">https://doi.org/10.1016/j.rser.2015.10.037</w:t>
        </w:r>
      </w:hyperlink>
    </w:p>
    <w:p>
      <w:pPr>
        <w:spacing w:before="0" w:after="60" w:line="240" w:lineRule="auto"/>
        <w:ind w:left="720" w:hanging="720"/>
      </w:pPr>
      <w:r>
        <w:rPr>
          <w:rFonts w:ascii="Times New Roman" w:hAnsi="Times New Roman"/>
          <w:i w:val="0"/>
          <w:color w:val="000000"/>
        </w:rPr>
        <w:t>Shang, A., Cao, S.-Y., Xu, X.-Y., Gan, R.-Y., Tang, G.-Y., Corke, H., Mavumengwana, V., &amp; Li, H.-B. (2019). Bioactive compounds and biological functions of garlic (</w:t>
      </w:r>
      <w:r>
        <w:rPr>
          <w:rFonts w:ascii="Times New Roman" w:hAnsi="Times New Roman"/>
          <w:i/>
          <w:color w:val="000000"/>
        </w:rPr>
        <w:t>Allium sativum</w:t>
      </w:r>
      <w:r>
        <w:rPr>
          <w:rFonts w:ascii="Times New Roman" w:hAnsi="Times New Roman"/>
          <w:i w:val="0"/>
          <w:color w:val="000000"/>
        </w:rPr>
        <w:t xml:space="preserve"> L.). </w:t>
      </w:r>
      <w:r>
        <w:rPr>
          <w:rFonts w:ascii="Times New Roman" w:hAnsi="Times New Roman"/>
          <w:i/>
          <w:color w:val="000000"/>
        </w:rPr>
        <w:t>Foods, 8</w:t>
      </w:r>
      <w:r>
        <w:rPr>
          <w:rFonts w:ascii="Times New Roman" w:hAnsi="Times New Roman"/>
          <w:i w:val="0"/>
          <w:color w:val="000000"/>
        </w:rPr>
        <w:t>(7), 246.</w:t>
      </w:r>
      <w:r>
        <w:t xml:space="preserve"> </w:t>
      </w:r>
      <w:hyperlink r:id="rId64">
        <w:r>
          <w:rPr>
            <w:rFonts w:ascii="Times New Roman" w:hAnsi="Times New Roman" w:cs="Times New Roman"/>
            <w:color w:val="000000"/>
            <w:u w:val="none"/>
          </w:rPr>
          <w:t xml:space="preserve">https://doi.org/10.3390/foods8070246</w:t>
        </w:r>
      </w:hyperlink>
    </w:p>
    <w:p>
      <w:pPr>
        <w:spacing w:before="0" w:after="60" w:line="240" w:lineRule="auto"/>
        <w:ind w:left="720" w:hanging="720"/>
      </w:pPr>
      <w:r>
        <w:rPr>
          <w:rFonts w:ascii="Times New Roman" w:hAnsi="Times New Roman"/>
          <w:i w:val="0"/>
          <w:color w:val="000000"/>
        </w:rPr>
        <w:t xml:space="preserve">Sharma, S., Basu, S., Shetti, N. P., Nadagouda, M. N., &amp; Aminabhavi, T. M. (2021). Microplastics in the environment: Occurrence, perils, and eradication. </w:t>
      </w:r>
      <w:r>
        <w:rPr>
          <w:rFonts w:ascii="Times New Roman" w:hAnsi="Times New Roman"/>
          <w:i/>
          <w:color w:val="000000"/>
        </w:rPr>
        <w:t>Chemical Engineering Journal, 408</w:t>
      </w:r>
      <w:r>
        <w:rPr>
          <w:rFonts w:ascii="Times New Roman" w:hAnsi="Times New Roman"/>
          <w:i w:val="0"/>
          <w:color w:val="000000"/>
        </w:rPr>
        <w:t>, 127317.</w:t>
      </w:r>
      <w:r>
        <w:t xml:space="preserve"> </w:t>
      </w:r>
      <w:hyperlink r:id="rId65">
        <w:r>
          <w:rPr>
            <w:rFonts w:ascii="Times New Roman" w:hAnsi="Times New Roman" w:cs="Times New Roman"/>
            <w:color w:val="000000"/>
            <w:u w:val="none"/>
          </w:rPr>
          <w:t xml:space="preserve">https://doi.org/10.1016/j.cej.2020.127317</w:t>
        </w:r>
      </w:hyperlink>
    </w:p>
    <w:p>
      <w:pPr>
        <w:spacing w:before="0" w:after="60" w:line="240" w:lineRule="auto"/>
        <w:ind w:left="720" w:hanging="720"/>
      </w:pPr>
      <w:r>
        <w:rPr>
          <w:rFonts w:ascii="Times New Roman" w:hAnsi="Times New Roman"/>
          <w:i w:val="0"/>
          <w:color w:val="000000"/>
        </w:rPr>
        <w:t xml:space="preserve">Uzoukwu, A. E., Uzomah, A., Akunna, I. C., Nnorom, O. O., Udemba, C. O., Emena, E. E., Odimegwu, E. N., Njoku, N. E., &amp; Ofoedum, A. F. (2025). Valorization of plantain and banana biomass for production of sodium carboxymethyl cellulose. </w:t>
      </w:r>
      <w:r>
        <w:rPr>
          <w:rFonts w:ascii="Times New Roman" w:hAnsi="Times New Roman"/>
          <w:i/>
          <w:color w:val="000000"/>
        </w:rPr>
        <w:t>Asian Journal of Dairy and Food Research</w:t>
      </w:r>
      <w:r>
        <w:rPr>
          <w:rFonts w:ascii="Times New Roman" w:hAnsi="Times New Roman"/>
          <w:i w:val="0"/>
          <w:color w:val="000000"/>
        </w:rPr>
        <w:t>. Advance online publication.</w:t>
      </w:r>
      <w:r>
        <w:t xml:space="preserve"> </w:t>
      </w:r>
      <w:hyperlink r:id="rId66">
        <w:r>
          <w:rPr>
            <w:rFonts w:ascii="Times New Roman" w:hAnsi="Times New Roman" w:cs="Times New Roman"/>
            <w:color w:val="000000"/>
            <w:u w:val="none"/>
          </w:rPr>
          <w:t xml:space="preserve">https://doi.org/10.18805/ajdfr.DRF-592</w:t>
        </w:r>
      </w:hyperlink>
    </w:p>
    <w:p>
      <w:pPr>
        <w:spacing w:before="0" w:after="60" w:line="240" w:lineRule="auto"/>
        <w:ind w:left="720" w:hanging="720"/>
      </w:pPr>
      <w:r>
        <w:rPr>
          <w:rFonts w:ascii="Times New Roman" w:hAnsi="Times New Roman"/>
          <w:i w:val="0"/>
          <w:color w:val="000000"/>
        </w:rPr>
        <w:t>Varakumar, S., Umesh, K. V., &amp; Singhal, R. S. (2017). Enhanced extraction of oleoresin from ginger (</w:t>
      </w:r>
      <w:r>
        <w:rPr>
          <w:rFonts w:ascii="Times New Roman" w:hAnsi="Times New Roman"/>
          <w:i/>
          <w:color w:val="000000"/>
        </w:rPr>
        <w:t>Zingiber officinale</w:t>
      </w:r>
      <w:r>
        <w:rPr>
          <w:rFonts w:ascii="Times New Roman" w:hAnsi="Times New Roman"/>
          <w:i w:val="0"/>
          <w:color w:val="000000"/>
        </w:rPr>
        <w:t xml:space="preserve">) rhizome powder using enzyme-assisted three phase partitioning. </w:t>
      </w:r>
      <w:r>
        <w:rPr>
          <w:rFonts w:ascii="Times New Roman" w:hAnsi="Times New Roman"/>
          <w:i/>
          <w:color w:val="000000"/>
        </w:rPr>
        <w:t>Food Chemistry, 216</w:t>
      </w:r>
      <w:r>
        <w:rPr>
          <w:rFonts w:ascii="Times New Roman" w:hAnsi="Times New Roman"/>
          <w:i w:val="0"/>
          <w:color w:val="000000"/>
        </w:rPr>
        <w:t>, 27–36.</w:t>
      </w:r>
      <w:r>
        <w:t xml:space="preserve"> </w:t>
      </w:r>
      <w:hyperlink r:id="rId67">
        <w:r>
          <w:rPr>
            <w:rFonts w:ascii="Times New Roman" w:hAnsi="Times New Roman" w:cs="Times New Roman"/>
            <w:color w:val="000000"/>
            <w:u w:val="none"/>
          </w:rPr>
          <w:t xml:space="preserve">https://doi.org/10.1016/j.foodchem.2016.07.180</w:t>
        </w:r>
      </w:hyperlink>
    </w:p>
    <w:p>
      <w:pPr>
        <w:spacing w:before="0" w:after="60" w:line="240" w:lineRule="auto"/>
        <w:ind w:left="720" w:hanging="720"/>
      </w:pPr>
      <w:r>
        <w:rPr>
          <w:rFonts w:ascii="Times New Roman" w:hAnsi="Times New Roman"/>
          <w:i w:val="0"/>
          <w:color w:val="000000"/>
        </w:rPr>
        <w:t xml:space="preserve">Wang, S., Li, C., Copeland, L., Niu, Q., &amp; Wang, S. (2015). Starch retrogradation: A comprehensive review. </w:t>
      </w:r>
      <w:r>
        <w:rPr>
          <w:rFonts w:ascii="Times New Roman" w:hAnsi="Times New Roman"/>
          <w:i/>
          <w:color w:val="000000"/>
        </w:rPr>
        <w:t>Comprehensive Reviews in Food Science and Food Safety, 14</w:t>
      </w:r>
      <w:r>
        <w:rPr>
          <w:rFonts w:ascii="Times New Roman" w:hAnsi="Times New Roman"/>
          <w:i w:val="0"/>
          <w:color w:val="000000"/>
        </w:rPr>
        <w:t>(5), 568–585.</w:t>
      </w:r>
      <w:r>
        <w:t xml:space="preserve"> </w:t>
      </w:r>
      <w:hyperlink r:id="rId68">
        <w:r>
          <w:rPr>
            <w:rFonts w:ascii="Times New Roman" w:hAnsi="Times New Roman" w:cs="Times New Roman"/>
            <w:color w:val="000000"/>
            <w:u w:val="none"/>
          </w:rPr>
          <w:t xml:space="preserve">https://doi.org/10.1111/1541-4337.12143</w:t>
        </w:r>
      </w:hyperlink>
    </w:p>
    <w:p>
      <w:pPr>
        <w:spacing w:before="0" w:after="60" w:line="240" w:lineRule="auto"/>
        <w:ind w:left="720" w:hanging="720"/>
      </w:pPr>
      <w:r>
        <w:rPr>
          <w:rFonts w:ascii="Times New Roman" w:hAnsi="Times New Roman"/>
          <w:i w:val="0"/>
          <w:color w:val="000000"/>
        </w:rPr>
        <w:t xml:space="preserve">Yalwaji, B., John-Nwagwu, H. O., &amp; Sogbanmu, T. O. (2022). Plastic pollution in the environment in Nigeria: A rapid systematic review of the sources, distribution, research gaps and policy needs. </w:t>
      </w:r>
      <w:r>
        <w:rPr>
          <w:rFonts w:ascii="Times New Roman" w:hAnsi="Times New Roman"/>
          <w:i/>
          <w:color w:val="000000"/>
        </w:rPr>
        <w:t>Scientific African, 16</w:t>
      </w:r>
      <w:r>
        <w:rPr>
          <w:rFonts w:ascii="Times New Roman" w:hAnsi="Times New Roman"/>
          <w:i w:val="0"/>
          <w:color w:val="000000"/>
        </w:rPr>
        <w:t>, e01220.</w:t>
      </w:r>
      <w:r>
        <w:t xml:space="preserve"> </w:t>
      </w:r>
      <w:hyperlink r:id="rId69">
        <w:r>
          <w:rPr>
            <w:rFonts w:ascii="Times New Roman" w:hAnsi="Times New Roman" w:cs="Times New Roman"/>
            <w:color w:val="000000"/>
            <w:u w:val="none"/>
          </w:rPr>
          <w:t xml:space="preserve">https://doi.org/10.1016/j.sciaf.2022.e01220</w:t>
        </w:r>
      </w:hyperlink>
    </w:p>
    <w:p>
      <w:pPr>
        <w:spacing w:before="0" w:after="60" w:line="240" w:lineRule="auto"/>
        <w:ind w:left="720" w:hanging="720"/>
      </w:pPr>
      <w:r>
        <w:rPr>
          <w:rFonts w:ascii="Times New Roman" w:hAnsi="Times New Roman"/>
          <w:i w:val="0"/>
          <w:color w:val="000000"/>
        </w:rPr>
        <w:t xml:space="preserve">Zavareze, E. da R., &amp; Dias, A. R. G. (2011). Impact of heat-moisture treatment and annealing in starches: A review. </w:t>
      </w:r>
      <w:r>
        <w:rPr>
          <w:rFonts w:ascii="Times New Roman" w:hAnsi="Times New Roman"/>
          <w:i/>
          <w:color w:val="000000"/>
        </w:rPr>
        <w:t>Carbohydrate Polymers, 83</w:t>
      </w:r>
      <w:r>
        <w:rPr>
          <w:rFonts w:ascii="Times New Roman" w:hAnsi="Times New Roman"/>
          <w:i w:val="0"/>
          <w:color w:val="000000"/>
        </w:rPr>
        <w:t>(2), 317–328.</w:t>
      </w:r>
      <w:r>
        <w:t xml:space="preserve"> </w:t>
      </w:r>
      <w:hyperlink r:id="rId70">
        <w:r>
          <w:rPr>
            <w:rFonts w:ascii="Times New Roman" w:hAnsi="Times New Roman" w:cs="Times New Roman"/>
            <w:color w:val="000000"/>
            <w:u w:val="none"/>
          </w:rPr>
          <w:t xml:space="preserve">https://doi.org/10.1016/j.carbpol.2010.08.064</w:t>
        </w:r>
      </w:hyperlink>
    </w:p>
    <w:p>
      <w:pPr>
        <w:spacing w:before="0" w:after="60" w:line="240" w:lineRule="auto"/>
        <w:ind w:left="720" w:hanging="720"/>
      </w:pPr>
      <w:r>
        <w:rPr>
          <w:rFonts w:ascii="Times New Roman" w:hAnsi="Times New Roman"/>
          <w:i w:val="0"/>
          <w:color w:val="000000"/>
        </w:rPr>
        <w:t xml:space="preserve">Zeleznak, K. J., &amp; Hoseney, R. C. (1987). The glass transition in starch. </w:t>
      </w:r>
      <w:r>
        <w:rPr>
          <w:rFonts w:ascii="Times New Roman" w:hAnsi="Times New Roman"/>
          <w:i/>
          <w:color w:val="000000"/>
        </w:rPr>
        <w:t>Cereal Chemistry, 64</w:t>
      </w:r>
      <w:r>
        <w:rPr>
          <w:rFonts w:ascii="Times New Roman" w:hAnsi="Times New Roman"/>
          <w:i w:val="0"/>
          <w:color w:val="000000"/>
        </w:rPr>
        <w:t>(2), 121–124.</w:t>
      </w:r>
      <w:r>
        <w:t xml:space="preserve"> </w:t>
      </w:r>
      <w:hyperlink r:id="rId44">
        <w:r>
          <w:rPr>
            <w:rFonts w:ascii="Times New Roman" w:hAnsi="Times New Roman" w:cs="Times New Roman"/>
            <w:color w:val="000000"/>
            <w:u w:val="none"/>
          </w:rPr>
          <w:t xml:space="preserve">https://onlinelibrary.wiley.com/page/journal/19433638/homepage/classic-papers.html</w:t>
        </w:r>
      </w:hyperlink>
    </w:p>
    <w:p>
      <w:pPr>
        <w:spacing w:before="0" w:after="60" w:line="240" w:lineRule="auto"/>
        <w:ind w:left="720" w:hanging="720"/>
      </w:pPr>
      <w:r>
        <w:rPr>
          <w:rFonts w:ascii="Times New Roman" w:hAnsi="Times New Roman"/>
          <w:i w:val="0"/>
          <w:color w:val="000000"/>
        </w:rPr>
        <w:t xml:space="preserve">Zhang, P., Whistler, R. L., BeMiller, J. N., &amp; Hamaker, B. R. (2005). Banana starch: Production, physicochemical properties, and digestibility—A review. </w:t>
      </w:r>
      <w:r>
        <w:rPr>
          <w:rFonts w:ascii="Times New Roman" w:hAnsi="Times New Roman"/>
          <w:i/>
          <w:color w:val="000000"/>
        </w:rPr>
        <w:t>Carbohydrate Polymers, 59</w:t>
      </w:r>
      <w:r>
        <w:rPr>
          <w:rFonts w:ascii="Times New Roman" w:hAnsi="Times New Roman"/>
          <w:i w:val="0"/>
          <w:color w:val="000000"/>
        </w:rPr>
        <w:t>(4), 443–458.</w:t>
      </w:r>
      <w:r>
        <w:t xml:space="preserve"> </w:t>
      </w:r>
      <w:hyperlink r:id="rId71">
        <w:r>
          <w:rPr>
            <w:rFonts w:ascii="Times New Roman" w:hAnsi="Times New Roman" w:cs="Times New Roman"/>
            <w:color w:val="000000"/>
            <w:u w:val="none"/>
          </w:rPr>
          <w:t xml:space="preserve">https://doi.org/10.1016/j.carbpol.2004.10.014</w:t>
        </w:r>
      </w:hyperlink>
    </w:p>
    <w:p>
      <w:pPr>
        <w:spacing w:before="0" w:after="60" w:line="240" w:lineRule="auto"/>
        <w:ind w:left="720" w:hanging="720"/>
      </w:pPr>
      <w:r>
        <w:rPr>
          <w:rFonts w:ascii="Times New Roman" w:hAnsi="Times New Roman"/>
          <w:i w:val="0"/>
          <w:color w:val="000000"/>
        </w:rPr>
        <w:t xml:space="preserve">Zhao, Y., Li, B., Li, C., Xu, Y., Luo, Y., Liang, D., &amp; Huang, C. (2021). Comprehensive review of polysaccharide-based materials in edible packaging: A sustainable approach. </w:t>
      </w:r>
      <w:r>
        <w:rPr>
          <w:rFonts w:ascii="Times New Roman" w:hAnsi="Times New Roman"/>
          <w:i/>
          <w:color w:val="000000"/>
        </w:rPr>
        <w:t>Foods, 10</w:t>
      </w:r>
      <w:r>
        <w:rPr>
          <w:rFonts w:ascii="Times New Roman" w:hAnsi="Times New Roman"/>
          <w:i w:val="0"/>
          <w:color w:val="000000"/>
        </w:rPr>
        <w:t>(8), 1845.</w:t>
      </w:r>
      <w:r>
        <w:t xml:space="preserve"> </w:t>
      </w:r>
      <w:hyperlink r:id="rId72">
        <w:r>
          <w:rPr>
            <w:rFonts w:ascii="Times New Roman" w:hAnsi="Times New Roman" w:cs="Times New Roman"/>
            <w:color w:val="000000"/>
            <w:u w:val="none"/>
          </w:rPr>
          <w:t xml:space="preserve">https://doi.org/10.3390/foods10081845</w:t>
        </w:r>
      </w:hyperlink>
    </w:p>
    <w:p>
      <w:pPr>
        <w:spacing w:before="0" w:after="60" w:line="240" w:lineRule="auto"/>
        <w:ind w:left="720" w:hanging="720"/>
      </w:pPr>
      <w:r>
        <w:rPr>
          <w:rFonts w:ascii="Times New Roman" w:hAnsi="Times New Roman"/>
          <w:i w:val="0"/>
          <w:color w:val="000000"/>
        </w:rPr>
        <w:t xml:space="preserve">Zhu, F. (2015a). Composition, structure, physicochemical properties, and modifications of cassava starch. </w:t>
      </w:r>
      <w:r>
        <w:rPr>
          <w:rFonts w:ascii="Times New Roman" w:hAnsi="Times New Roman"/>
          <w:i/>
          <w:color w:val="000000"/>
        </w:rPr>
        <w:t>Carbohydrate Polymers, 122</w:t>
      </w:r>
      <w:r>
        <w:rPr>
          <w:rFonts w:ascii="Times New Roman" w:hAnsi="Times New Roman"/>
          <w:i w:val="0"/>
          <w:color w:val="000000"/>
        </w:rPr>
        <w:t>, 456–480.</w:t>
      </w:r>
      <w:r>
        <w:t xml:space="preserve"> </w:t>
      </w:r>
      <w:hyperlink r:id="rId73">
        <w:r>
          <w:rPr>
            <w:rFonts w:ascii="Times New Roman" w:hAnsi="Times New Roman" w:cs="Times New Roman"/>
            <w:color w:val="000000"/>
            <w:u w:val="none"/>
          </w:rPr>
          <w:t xml:space="preserve">https://doi.org/10.1016/j.carbpol.2014.10.063</w:t>
        </w:r>
      </w:hyperlink>
    </w:p>
    <w:p>
      <w:pPr>
        <w:spacing w:before="0" w:after="60" w:line="240" w:lineRule="auto"/>
        <w:ind w:left="720" w:hanging="720"/>
      </w:pPr>
      <w:r>
        <w:rPr>
          <w:rFonts w:ascii="Times New Roman" w:hAnsi="Times New Roman"/>
          <w:i w:val="0"/>
          <w:color w:val="000000"/>
        </w:rPr>
        <w:t xml:space="preserve">Zhu, F. (2015b). Interactions between starch and phenolic compound. </w:t>
      </w:r>
      <w:r>
        <w:rPr>
          <w:rFonts w:ascii="Times New Roman" w:hAnsi="Times New Roman"/>
          <w:i/>
          <w:color w:val="000000"/>
        </w:rPr>
        <w:t>Trends in Food Science &amp; Technology, 43</w:t>
      </w:r>
      <w:r>
        <w:rPr>
          <w:rFonts w:ascii="Times New Roman" w:hAnsi="Times New Roman"/>
          <w:i w:val="0"/>
          <w:color w:val="000000"/>
        </w:rPr>
        <w:t>(2), 129–143.</w:t>
      </w:r>
      <w:r>
        <w:t xml:space="preserve"> </w:t>
      </w:r>
      <w:hyperlink r:id="rId74">
        <w:r>
          <w:rPr>
            <w:rFonts w:ascii="Times New Roman" w:hAnsi="Times New Roman" w:cs="Times New Roman"/>
            <w:color w:val="000000"/>
            <w:u w:val="none"/>
          </w:rPr>
          <w:t xml:space="preserve">https://doi.org/10.1016/j.tifs.2015.02.003</w:t>
        </w:r>
      </w:hyperlink>
    </w:p>
    <w:sectPr w:rsidR="002D5757" w:rsidSect="007A194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CBE3" w14:textId="77777777" w:rsidR="00EE6229" w:rsidRDefault="00EE6229" w:rsidP="00A85940">
      <w:pPr>
        <w:spacing w:after="0" w:line="240" w:lineRule="auto"/>
      </w:pPr>
      <w:r>
        <w:separator/>
      </w:r>
    </w:p>
  </w:endnote>
  <w:endnote w:type="continuationSeparator" w:id="0">
    <w:p w14:paraId="1C6332F5" w14:textId="77777777" w:rsidR="00EE6229" w:rsidRDefault="00EE6229" w:rsidP="00A85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A432" w14:textId="77777777" w:rsidR="00A470B0" w:rsidRDefault="00A47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827935"/>
      <w:docPartObj>
        <w:docPartGallery w:val="Page Numbers (Bottom of Page)"/>
        <w:docPartUnique/>
      </w:docPartObj>
    </w:sdtPr>
    <w:sdtEndPr>
      <w:rPr>
        <w:noProof/>
      </w:rPr>
    </w:sdtEndPr>
    <w:sdtContent>
      <w:p w14:paraId="503650AD" w14:textId="77777777" w:rsidR="0086221D" w:rsidRDefault="0086221D">
        <w:pPr>
          <w:pStyle w:val="Footer"/>
          <w:jc w:val="center"/>
        </w:pPr>
        <w:r>
          <w:fldChar w:fldCharType="begin"/>
        </w:r>
        <w:r>
          <w:instrText xml:space="preserve"> PAGE   \* MERGEFORMAT </w:instrText>
        </w:r>
        <w:r>
          <w:fldChar w:fldCharType="separate"/>
        </w:r>
        <w:r w:rsidR="00DD2783">
          <w:rPr>
            <w:noProof/>
          </w:rPr>
          <w:t>20</w:t>
        </w:r>
        <w:r>
          <w:rPr>
            <w:noProof/>
          </w:rPr>
          <w:fldChar w:fldCharType="end"/>
        </w:r>
      </w:p>
    </w:sdtContent>
  </w:sdt>
  <w:p w14:paraId="4EC1CCA5" w14:textId="77777777" w:rsidR="0086221D" w:rsidRDefault="008622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164745"/>
      <w:docPartObj>
        <w:docPartGallery w:val="Page Numbers (Bottom of Page)"/>
        <w:docPartUnique/>
      </w:docPartObj>
    </w:sdtPr>
    <w:sdtEndPr>
      <w:rPr>
        <w:noProof/>
      </w:rPr>
    </w:sdtEndPr>
    <w:sdtContent>
      <w:p w14:paraId="1FC788D0" w14:textId="77777777" w:rsidR="0086221D" w:rsidRDefault="0086221D">
        <w:pPr>
          <w:pStyle w:val="Footer"/>
          <w:jc w:val="center"/>
        </w:pPr>
        <w:r>
          <w:fldChar w:fldCharType="begin"/>
        </w:r>
        <w:r>
          <w:instrText xml:space="preserve"> PAGE   \* MERGEFORMAT </w:instrText>
        </w:r>
        <w:r>
          <w:fldChar w:fldCharType="separate"/>
        </w:r>
        <w:r w:rsidR="00C5081F">
          <w:rPr>
            <w:noProof/>
          </w:rPr>
          <w:t>i</w:t>
        </w:r>
        <w:r>
          <w:rPr>
            <w:noProof/>
          </w:rPr>
          <w:fldChar w:fldCharType="end"/>
        </w:r>
      </w:p>
    </w:sdtContent>
  </w:sdt>
  <w:p w14:paraId="44D85A5F" w14:textId="77777777" w:rsidR="0086221D" w:rsidRDefault="00862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8BDD" w14:textId="77777777" w:rsidR="00EE6229" w:rsidRDefault="00EE6229" w:rsidP="00A85940">
      <w:pPr>
        <w:spacing w:after="0" w:line="240" w:lineRule="auto"/>
      </w:pPr>
      <w:r>
        <w:separator/>
      </w:r>
    </w:p>
  </w:footnote>
  <w:footnote w:type="continuationSeparator" w:id="0">
    <w:p w14:paraId="65516D73" w14:textId="77777777" w:rsidR="00EE6229" w:rsidRDefault="00EE6229" w:rsidP="00A85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0599" w14:textId="77777777" w:rsidR="00A470B0" w:rsidRDefault="00000000">
    <w:pPr>
      <w:pStyle w:val="Header"/>
    </w:pPr>
    <w:r>
      <w:rPr>
        <w:noProof/>
      </w:rPr>
      <w:pict w14:anchorId="575875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823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ACE5" w14:textId="77777777" w:rsidR="00A470B0" w:rsidRDefault="00000000">
    <w:pPr>
      <w:pStyle w:val="Header"/>
    </w:pPr>
    <w:r>
      <w:rPr>
        <w:noProof/>
      </w:rPr>
      <w:pict w14:anchorId="2B40BD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823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9FB7" w14:textId="77777777" w:rsidR="00A470B0" w:rsidRDefault="00000000">
    <w:pPr>
      <w:pStyle w:val="Header"/>
    </w:pPr>
    <w:r>
      <w:rPr>
        <w:noProof/>
      </w:rPr>
      <w:pict w14:anchorId="299A33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823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4103"/>
    <w:multiLevelType w:val="multilevel"/>
    <w:tmpl w:val="C16A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0176E"/>
    <w:multiLevelType w:val="multilevel"/>
    <w:tmpl w:val="26A4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C7870"/>
    <w:multiLevelType w:val="multilevel"/>
    <w:tmpl w:val="7878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C19D8"/>
    <w:multiLevelType w:val="multilevel"/>
    <w:tmpl w:val="5FB0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95514"/>
    <w:multiLevelType w:val="multilevel"/>
    <w:tmpl w:val="6B68F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72632"/>
    <w:multiLevelType w:val="multilevel"/>
    <w:tmpl w:val="25745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3464B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15:restartNumberingAfterBreak="0">
    <w:nsid w:val="4394583E"/>
    <w:multiLevelType w:val="hybridMultilevel"/>
    <w:tmpl w:val="3320A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311D7"/>
    <w:multiLevelType w:val="multilevel"/>
    <w:tmpl w:val="1BBEB8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021315"/>
    <w:multiLevelType w:val="hybridMultilevel"/>
    <w:tmpl w:val="8FA053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F155952"/>
    <w:multiLevelType w:val="multilevel"/>
    <w:tmpl w:val="CC521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F4647D"/>
    <w:multiLevelType w:val="multilevel"/>
    <w:tmpl w:val="ABD81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1A09D5"/>
    <w:multiLevelType w:val="multilevel"/>
    <w:tmpl w:val="BA6C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6F2CA8"/>
    <w:multiLevelType w:val="multilevel"/>
    <w:tmpl w:val="B186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366809">
    <w:abstractNumId w:val="6"/>
  </w:num>
  <w:num w:numId="2" w16cid:durableId="241306279">
    <w:abstractNumId w:val="5"/>
  </w:num>
  <w:num w:numId="3" w16cid:durableId="1510557055">
    <w:abstractNumId w:val="11"/>
  </w:num>
  <w:num w:numId="4" w16cid:durableId="1949045234">
    <w:abstractNumId w:val="13"/>
  </w:num>
  <w:num w:numId="5" w16cid:durableId="969821110">
    <w:abstractNumId w:val="4"/>
  </w:num>
  <w:num w:numId="6" w16cid:durableId="805128589">
    <w:abstractNumId w:val="3"/>
  </w:num>
  <w:num w:numId="7" w16cid:durableId="1469130852">
    <w:abstractNumId w:val="10"/>
  </w:num>
  <w:num w:numId="8" w16cid:durableId="44374257">
    <w:abstractNumId w:val="12"/>
  </w:num>
  <w:num w:numId="9" w16cid:durableId="2117557182">
    <w:abstractNumId w:val="1"/>
  </w:num>
  <w:num w:numId="10" w16cid:durableId="1069117474">
    <w:abstractNumId w:val="2"/>
  </w:num>
  <w:num w:numId="11" w16cid:durableId="1304769983">
    <w:abstractNumId w:val="0"/>
  </w:num>
  <w:num w:numId="12" w16cid:durableId="493255389">
    <w:abstractNumId w:val="8"/>
  </w:num>
  <w:num w:numId="13" w16cid:durableId="1974867082">
    <w:abstractNumId w:val="7"/>
  </w:num>
  <w:num w:numId="14" w16cid:durableId="59141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CE"/>
    <w:rsid w:val="000041A9"/>
    <w:rsid w:val="00024A28"/>
    <w:rsid w:val="000448DF"/>
    <w:rsid w:val="000452D6"/>
    <w:rsid w:val="00050055"/>
    <w:rsid w:val="00061061"/>
    <w:rsid w:val="0009662E"/>
    <w:rsid w:val="000C73D3"/>
    <w:rsid w:val="000D3B42"/>
    <w:rsid w:val="001015C7"/>
    <w:rsid w:val="001D309F"/>
    <w:rsid w:val="001E75A8"/>
    <w:rsid w:val="001F2A02"/>
    <w:rsid w:val="00205851"/>
    <w:rsid w:val="00230EEC"/>
    <w:rsid w:val="00232035"/>
    <w:rsid w:val="0023521F"/>
    <w:rsid w:val="00251F8C"/>
    <w:rsid w:val="00256D0F"/>
    <w:rsid w:val="002710EC"/>
    <w:rsid w:val="00290E1B"/>
    <w:rsid w:val="002B5882"/>
    <w:rsid w:val="002D5757"/>
    <w:rsid w:val="003041D1"/>
    <w:rsid w:val="003041FA"/>
    <w:rsid w:val="003061EC"/>
    <w:rsid w:val="00310256"/>
    <w:rsid w:val="00327630"/>
    <w:rsid w:val="003614D2"/>
    <w:rsid w:val="0037561E"/>
    <w:rsid w:val="003D3639"/>
    <w:rsid w:val="003E59B6"/>
    <w:rsid w:val="003F51DC"/>
    <w:rsid w:val="00401C85"/>
    <w:rsid w:val="00404B84"/>
    <w:rsid w:val="004117F7"/>
    <w:rsid w:val="00411EEA"/>
    <w:rsid w:val="00421E53"/>
    <w:rsid w:val="0048673F"/>
    <w:rsid w:val="004B64D7"/>
    <w:rsid w:val="004C694E"/>
    <w:rsid w:val="004D7C5A"/>
    <w:rsid w:val="00506ECD"/>
    <w:rsid w:val="005117A0"/>
    <w:rsid w:val="005216DB"/>
    <w:rsid w:val="005364E1"/>
    <w:rsid w:val="00550D76"/>
    <w:rsid w:val="00552BB4"/>
    <w:rsid w:val="00554835"/>
    <w:rsid w:val="005762BA"/>
    <w:rsid w:val="00580888"/>
    <w:rsid w:val="00582389"/>
    <w:rsid w:val="005B57CE"/>
    <w:rsid w:val="005C3E89"/>
    <w:rsid w:val="005E165F"/>
    <w:rsid w:val="005E3765"/>
    <w:rsid w:val="005E6A19"/>
    <w:rsid w:val="005F1B14"/>
    <w:rsid w:val="006056F3"/>
    <w:rsid w:val="00655603"/>
    <w:rsid w:val="00687C75"/>
    <w:rsid w:val="00694F3A"/>
    <w:rsid w:val="00697D19"/>
    <w:rsid w:val="006B4E3E"/>
    <w:rsid w:val="006F05AB"/>
    <w:rsid w:val="006F3CFA"/>
    <w:rsid w:val="006F7EBC"/>
    <w:rsid w:val="00702DA5"/>
    <w:rsid w:val="00710C97"/>
    <w:rsid w:val="00734470"/>
    <w:rsid w:val="0074263A"/>
    <w:rsid w:val="00747F86"/>
    <w:rsid w:val="00752005"/>
    <w:rsid w:val="00755FA7"/>
    <w:rsid w:val="00756965"/>
    <w:rsid w:val="00760B79"/>
    <w:rsid w:val="007A0AE8"/>
    <w:rsid w:val="007A1941"/>
    <w:rsid w:val="007A4D49"/>
    <w:rsid w:val="007A6CCE"/>
    <w:rsid w:val="00803EA1"/>
    <w:rsid w:val="00806FE6"/>
    <w:rsid w:val="00834212"/>
    <w:rsid w:val="00844BAC"/>
    <w:rsid w:val="0086221D"/>
    <w:rsid w:val="00867B2D"/>
    <w:rsid w:val="00872C86"/>
    <w:rsid w:val="00880531"/>
    <w:rsid w:val="0088513B"/>
    <w:rsid w:val="00887618"/>
    <w:rsid w:val="0089299E"/>
    <w:rsid w:val="008C6814"/>
    <w:rsid w:val="008E07E0"/>
    <w:rsid w:val="008E7387"/>
    <w:rsid w:val="008F09AB"/>
    <w:rsid w:val="00917080"/>
    <w:rsid w:val="00922B3F"/>
    <w:rsid w:val="009257A7"/>
    <w:rsid w:val="00933865"/>
    <w:rsid w:val="00966CA4"/>
    <w:rsid w:val="00967C73"/>
    <w:rsid w:val="00970701"/>
    <w:rsid w:val="00976642"/>
    <w:rsid w:val="009B049D"/>
    <w:rsid w:val="009B0F1B"/>
    <w:rsid w:val="009B14F6"/>
    <w:rsid w:val="009B55EC"/>
    <w:rsid w:val="009B62CE"/>
    <w:rsid w:val="009C02C9"/>
    <w:rsid w:val="009C2BC9"/>
    <w:rsid w:val="009D05FE"/>
    <w:rsid w:val="009F6152"/>
    <w:rsid w:val="00A21815"/>
    <w:rsid w:val="00A460A3"/>
    <w:rsid w:val="00A468E4"/>
    <w:rsid w:val="00A470B0"/>
    <w:rsid w:val="00A65AD6"/>
    <w:rsid w:val="00A85940"/>
    <w:rsid w:val="00A94464"/>
    <w:rsid w:val="00A95061"/>
    <w:rsid w:val="00A96661"/>
    <w:rsid w:val="00AB349E"/>
    <w:rsid w:val="00AC1AC9"/>
    <w:rsid w:val="00AF7458"/>
    <w:rsid w:val="00B0059A"/>
    <w:rsid w:val="00B12D03"/>
    <w:rsid w:val="00B41631"/>
    <w:rsid w:val="00B4265A"/>
    <w:rsid w:val="00B43C0D"/>
    <w:rsid w:val="00B65490"/>
    <w:rsid w:val="00B661A9"/>
    <w:rsid w:val="00B814E5"/>
    <w:rsid w:val="00B82EEB"/>
    <w:rsid w:val="00BA13C1"/>
    <w:rsid w:val="00BB5A69"/>
    <w:rsid w:val="00BD3505"/>
    <w:rsid w:val="00BD44F6"/>
    <w:rsid w:val="00BD4D03"/>
    <w:rsid w:val="00BD7D84"/>
    <w:rsid w:val="00C035DF"/>
    <w:rsid w:val="00C13F59"/>
    <w:rsid w:val="00C20246"/>
    <w:rsid w:val="00C439F6"/>
    <w:rsid w:val="00C453BC"/>
    <w:rsid w:val="00C5081F"/>
    <w:rsid w:val="00C57B76"/>
    <w:rsid w:val="00C64474"/>
    <w:rsid w:val="00C666CA"/>
    <w:rsid w:val="00C7380F"/>
    <w:rsid w:val="00C90C41"/>
    <w:rsid w:val="00C91BBE"/>
    <w:rsid w:val="00CB7309"/>
    <w:rsid w:val="00D17A93"/>
    <w:rsid w:val="00D5078C"/>
    <w:rsid w:val="00D63908"/>
    <w:rsid w:val="00D77DE0"/>
    <w:rsid w:val="00D84E5D"/>
    <w:rsid w:val="00D854A4"/>
    <w:rsid w:val="00D87C96"/>
    <w:rsid w:val="00D90A29"/>
    <w:rsid w:val="00D914D7"/>
    <w:rsid w:val="00D95F95"/>
    <w:rsid w:val="00DB66BA"/>
    <w:rsid w:val="00DD2783"/>
    <w:rsid w:val="00DE0165"/>
    <w:rsid w:val="00DF39DF"/>
    <w:rsid w:val="00E044E2"/>
    <w:rsid w:val="00E11C97"/>
    <w:rsid w:val="00E32BB5"/>
    <w:rsid w:val="00E62C99"/>
    <w:rsid w:val="00E65112"/>
    <w:rsid w:val="00E66812"/>
    <w:rsid w:val="00E66D6B"/>
    <w:rsid w:val="00E80E92"/>
    <w:rsid w:val="00EA439B"/>
    <w:rsid w:val="00EB1C32"/>
    <w:rsid w:val="00EC3BAA"/>
    <w:rsid w:val="00EC53AC"/>
    <w:rsid w:val="00ED583E"/>
    <w:rsid w:val="00EE6229"/>
    <w:rsid w:val="00F55AD2"/>
    <w:rsid w:val="00F64F5B"/>
    <w:rsid w:val="00F65B72"/>
    <w:rsid w:val="00F67ADC"/>
    <w:rsid w:val="00F736F2"/>
    <w:rsid w:val="00F73793"/>
    <w:rsid w:val="00F739D6"/>
    <w:rsid w:val="00F94FEB"/>
    <w:rsid w:val="00FB712D"/>
    <w:rsid w:val="00FC55ED"/>
    <w:rsid w:val="00FE2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46110"/>
  <w15:chartTrackingRefBased/>
  <w15:docId w15:val="{069A24D8-E584-4558-A327-7805F590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C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B62C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B62C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B62C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B62C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B6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C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B62C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B62C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B62C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B62C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B6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CE"/>
    <w:rPr>
      <w:rFonts w:eastAsiaTheme="majorEastAsia" w:cstheme="majorBidi"/>
      <w:color w:val="272727" w:themeColor="text1" w:themeTint="D8"/>
    </w:rPr>
  </w:style>
  <w:style w:type="paragraph" w:styleId="Title">
    <w:name w:val="Title"/>
    <w:basedOn w:val="Normal"/>
    <w:next w:val="Normal"/>
    <w:link w:val="TitleChar"/>
    <w:uiPriority w:val="10"/>
    <w:qFormat/>
    <w:rsid w:val="009B6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CE"/>
    <w:pPr>
      <w:spacing w:before="160"/>
      <w:jc w:val="center"/>
    </w:pPr>
    <w:rPr>
      <w:i/>
      <w:iCs/>
      <w:color w:val="404040" w:themeColor="text1" w:themeTint="BF"/>
    </w:rPr>
  </w:style>
  <w:style w:type="character" w:customStyle="1" w:styleId="QuoteChar">
    <w:name w:val="Quote Char"/>
    <w:basedOn w:val="DefaultParagraphFont"/>
    <w:link w:val="Quote"/>
    <w:uiPriority w:val="29"/>
    <w:rsid w:val="009B62CE"/>
    <w:rPr>
      <w:i/>
      <w:iCs/>
      <w:color w:val="404040" w:themeColor="text1" w:themeTint="BF"/>
    </w:rPr>
  </w:style>
  <w:style w:type="paragraph" w:styleId="ListParagraph">
    <w:name w:val="List Paragraph"/>
    <w:basedOn w:val="Normal"/>
    <w:uiPriority w:val="34"/>
    <w:qFormat/>
    <w:rsid w:val="009B62CE"/>
    <w:pPr>
      <w:ind w:left="720"/>
      <w:contextualSpacing/>
    </w:pPr>
  </w:style>
  <w:style w:type="character" w:styleId="IntenseEmphasis">
    <w:name w:val="Intense Emphasis"/>
    <w:basedOn w:val="DefaultParagraphFont"/>
    <w:uiPriority w:val="21"/>
    <w:qFormat/>
    <w:rsid w:val="009B62CE"/>
    <w:rPr>
      <w:i/>
      <w:iCs/>
      <w:color w:val="2E74B5" w:themeColor="accent1" w:themeShade="BF"/>
    </w:rPr>
  </w:style>
  <w:style w:type="paragraph" w:styleId="IntenseQuote">
    <w:name w:val="Intense Quote"/>
    <w:basedOn w:val="Normal"/>
    <w:next w:val="Normal"/>
    <w:link w:val="IntenseQuoteChar"/>
    <w:uiPriority w:val="30"/>
    <w:qFormat/>
    <w:rsid w:val="009B62C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B62CE"/>
    <w:rPr>
      <w:i/>
      <w:iCs/>
      <w:color w:val="2E74B5" w:themeColor="accent1" w:themeShade="BF"/>
    </w:rPr>
  </w:style>
  <w:style w:type="character" w:styleId="IntenseReference">
    <w:name w:val="Intense Reference"/>
    <w:basedOn w:val="DefaultParagraphFont"/>
    <w:uiPriority w:val="32"/>
    <w:qFormat/>
    <w:rsid w:val="009B62CE"/>
    <w:rPr>
      <w:b/>
      <w:bCs/>
      <w:smallCaps/>
      <w:color w:val="2E74B5" w:themeColor="accent1" w:themeShade="BF"/>
      <w:spacing w:val="5"/>
    </w:rPr>
  </w:style>
  <w:style w:type="character" w:styleId="Hyperlink">
    <w:name w:val="Hyperlink"/>
    <w:basedOn w:val="DefaultParagraphFont"/>
    <w:uiPriority w:val="99"/>
    <w:unhideWhenUsed/>
    <w:rsid w:val="00B82EEB"/>
    <w:rPr>
      <w:color w:val="000000"/>
      <w:u w:val="none"/>
    </w:rPr>
  </w:style>
  <w:style w:type="character" w:customStyle="1" w:styleId="UnresolvedMention1">
    <w:name w:val="Unresolved Mention1"/>
    <w:basedOn w:val="DefaultParagraphFont"/>
    <w:uiPriority w:val="99"/>
    <w:semiHidden/>
    <w:unhideWhenUsed/>
    <w:rsid w:val="00B82EEB"/>
    <w:rPr>
      <w:color w:val="605E5C"/>
      <w:shd w:val="clear" w:color="auto" w:fill="E1DFDD"/>
    </w:rPr>
  </w:style>
  <w:style w:type="table" w:styleId="TableGrid">
    <w:name w:val="Table Grid"/>
    <w:basedOn w:val="TableNormal"/>
    <w:uiPriority w:val="59"/>
    <w:rsid w:val="005B57CE"/>
    <w:pPr>
      <w:spacing w:after="0" w:line="240" w:lineRule="auto"/>
    </w:pPr>
    <w:rPr>
      <w:rFonts w:ascii="Calibri" w:eastAsia="SimSun" w:hAnsi="Calibri"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5B57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qFormat/>
    <w:rsid w:val="009B55EC"/>
    <w:pPr>
      <w:spacing w:before="240" w:after="0" w:line="259" w:lineRule="auto"/>
      <w:outlineLvl w:val="9"/>
    </w:pPr>
    <w:rPr>
      <w:rFonts w:ascii="Calibri Light" w:eastAsia="SimSun" w:hAnsi="Calibri Light" w:cs="SimSun"/>
      <w:color w:val="2E74B5"/>
      <w:kern w:val="0"/>
      <w:sz w:val="32"/>
      <w:szCs w:val="32"/>
      <w14:ligatures w14:val="none"/>
    </w:rPr>
  </w:style>
  <w:style w:type="paragraph" w:styleId="TOC1">
    <w:name w:val="toc 1"/>
    <w:basedOn w:val="Normal"/>
    <w:next w:val="Normal"/>
    <w:uiPriority w:val="39"/>
    <w:rsid w:val="009B55EC"/>
    <w:pPr>
      <w:spacing w:after="100" w:line="276" w:lineRule="auto"/>
    </w:pPr>
    <w:rPr>
      <w:rFonts w:ascii="Calibri" w:eastAsia="SimSun" w:hAnsi="Calibri" w:cs="Times New Roman"/>
      <w:kern w:val="0"/>
      <w:sz w:val="22"/>
      <w:szCs w:val="22"/>
      <w:lang w:eastAsia="zh-CN"/>
      <w14:ligatures w14:val="none"/>
    </w:rPr>
  </w:style>
  <w:style w:type="paragraph" w:styleId="TOC2">
    <w:name w:val="toc 2"/>
    <w:basedOn w:val="Normal"/>
    <w:next w:val="Normal"/>
    <w:uiPriority w:val="39"/>
    <w:rsid w:val="009B55EC"/>
    <w:pPr>
      <w:spacing w:after="100" w:line="276" w:lineRule="auto"/>
      <w:ind w:left="220"/>
    </w:pPr>
    <w:rPr>
      <w:rFonts w:ascii="Calibri" w:eastAsia="SimSun" w:hAnsi="Calibri" w:cs="Times New Roman"/>
      <w:kern w:val="0"/>
      <w:sz w:val="22"/>
      <w:szCs w:val="22"/>
      <w:lang w:eastAsia="zh-CN"/>
      <w14:ligatures w14:val="none"/>
    </w:rPr>
  </w:style>
  <w:style w:type="paragraph" w:styleId="TOC3">
    <w:name w:val="toc 3"/>
    <w:basedOn w:val="Normal"/>
    <w:next w:val="Normal"/>
    <w:uiPriority w:val="39"/>
    <w:rsid w:val="009B55EC"/>
    <w:pPr>
      <w:spacing w:after="100" w:line="276" w:lineRule="auto"/>
      <w:ind w:left="440"/>
    </w:pPr>
    <w:rPr>
      <w:rFonts w:ascii="Calibri" w:eastAsia="SimSun" w:hAnsi="Calibri" w:cs="Times New Roman"/>
      <w:kern w:val="0"/>
      <w:sz w:val="22"/>
      <w:szCs w:val="22"/>
      <w:lang w:eastAsia="zh-CN"/>
      <w14:ligatures w14:val="none"/>
    </w:rPr>
  </w:style>
  <w:style w:type="paragraph" w:styleId="TOC4">
    <w:name w:val="toc 4"/>
    <w:basedOn w:val="Normal"/>
    <w:next w:val="Normal"/>
    <w:autoRedefine/>
    <w:uiPriority w:val="39"/>
    <w:unhideWhenUsed/>
    <w:rsid w:val="002710EC"/>
    <w:pPr>
      <w:spacing w:after="100"/>
      <w:ind w:left="720"/>
    </w:pPr>
    <w:rPr>
      <w:rFonts w:eastAsiaTheme="minorEastAsia"/>
    </w:rPr>
  </w:style>
  <w:style w:type="paragraph" w:styleId="TOC5">
    <w:name w:val="toc 5"/>
    <w:basedOn w:val="Normal"/>
    <w:next w:val="Normal"/>
    <w:autoRedefine/>
    <w:uiPriority w:val="39"/>
    <w:unhideWhenUsed/>
    <w:rsid w:val="002710EC"/>
    <w:pPr>
      <w:spacing w:after="100"/>
      <w:ind w:left="960"/>
    </w:pPr>
    <w:rPr>
      <w:rFonts w:eastAsiaTheme="minorEastAsia"/>
    </w:rPr>
  </w:style>
  <w:style w:type="paragraph" w:styleId="TOC6">
    <w:name w:val="toc 6"/>
    <w:basedOn w:val="Normal"/>
    <w:next w:val="Normal"/>
    <w:autoRedefine/>
    <w:uiPriority w:val="39"/>
    <w:unhideWhenUsed/>
    <w:rsid w:val="002710EC"/>
    <w:pPr>
      <w:spacing w:after="100"/>
      <w:ind w:left="1200"/>
    </w:pPr>
    <w:rPr>
      <w:rFonts w:eastAsiaTheme="minorEastAsia"/>
    </w:rPr>
  </w:style>
  <w:style w:type="paragraph" w:styleId="TOC7">
    <w:name w:val="toc 7"/>
    <w:basedOn w:val="Normal"/>
    <w:next w:val="Normal"/>
    <w:autoRedefine/>
    <w:uiPriority w:val="39"/>
    <w:unhideWhenUsed/>
    <w:rsid w:val="002710EC"/>
    <w:pPr>
      <w:spacing w:after="100"/>
      <w:ind w:left="1440"/>
    </w:pPr>
    <w:rPr>
      <w:rFonts w:eastAsiaTheme="minorEastAsia"/>
    </w:rPr>
  </w:style>
  <w:style w:type="paragraph" w:styleId="TOC8">
    <w:name w:val="toc 8"/>
    <w:basedOn w:val="Normal"/>
    <w:next w:val="Normal"/>
    <w:autoRedefine/>
    <w:uiPriority w:val="39"/>
    <w:unhideWhenUsed/>
    <w:rsid w:val="002710EC"/>
    <w:pPr>
      <w:spacing w:after="100"/>
      <w:ind w:left="1680"/>
    </w:pPr>
    <w:rPr>
      <w:rFonts w:eastAsiaTheme="minorEastAsia"/>
    </w:rPr>
  </w:style>
  <w:style w:type="paragraph" w:styleId="TOC9">
    <w:name w:val="toc 9"/>
    <w:basedOn w:val="Normal"/>
    <w:next w:val="Normal"/>
    <w:autoRedefine/>
    <w:uiPriority w:val="39"/>
    <w:unhideWhenUsed/>
    <w:rsid w:val="002710EC"/>
    <w:pPr>
      <w:spacing w:after="100"/>
      <w:ind w:left="1920"/>
    </w:pPr>
    <w:rPr>
      <w:rFonts w:eastAsiaTheme="minorEastAsia"/>
    </w:rPr>
  </w:style>
  <w:style w:type="paragraph" w:styleId="Header">
    <w:name w:val="header"/>
    <w:basedOn w:val="Normal"/>
    <w:link w:val="HeaderChar"/>
    <w:uiPriority w:val="99"/>
    <w:unhideWhenUsed/>
    <w:rsid w:val="00A85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940"/>
  </w:style>
  <w:style w:type="paragraph" w:styleId="Footer">
    <w:name w:val="footer"/>
    <w:basedOn w:val="Normal"/>
    <w:link w:val="FooterChar"/>
    <w:uiPriority w:val="99"/>
    <w:unhideWhenUsed/>
    <w:rsid w:val="00A85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940"/>
  </w:style>
  <w:style w:type="paragraph" w:styleId="TableofFigures">
    <w:name w:val="table of figures"/>
    <w:basedOn w:val="Normal"/>
    <w:next w:val="Normal"/>
    <w:uiPriority w:val="99"/>
    <w:semiHidden/>
    <w:unhideWhenUsed/>
    <w:rsid w:val="00D87C96"/>
    <w:pPr>
      <w:spacing w:after="0"/>
    </w:pPr>
  </w:style>
  <w:style w:type="character" w:styleId="FollowedHyperlink">
    <w:name w:val="FollowedHyperlink"/>
    <w:basedOn w:val="DefaultParagraphFont"/>
    <w:uiPriority w:val="99"/>
    <w:semiHidden/>
    <w:unhideWhenUsed/>
    <w:rsid w:val="00E32BB5"/>
    <w:rPr>
      <w:color w:val="954F72" w:themeColor="followedHyperlink"/>
      <w:u w:val="single"/>
    </w:rPr>
  </w:style>
  <w:style w:type="paragraph" w:styleId="BalloonText">
    <w:name w:val="Balloon Text"/>
    <w:basedOn w:val="Normal"/>
    <w:link w:val="BalloonTextChar"/>
    <w:uiPriority w:val="99"/>
    <w:semiHidden/>
    <w:unhideWhenUsed/>
    <w:rsid w:val="00A65A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AD6"/>
    <w:rPr>
      <w:rFonts w:ascii="Segoe UI" w:hAnsi="Segoe UI" w:cs="Segoe UI"/>
      <w:sz w:val="18"/>
      <w:szCs w:val="18"/>
    </w:rPr>
  </w:style>
  <w:style w:type="paragraph" w:styleId="NormalWeb">
    <w:name w:val="Normal (Web)"/>
    <w:basedOn w:val="Normal"/>
    <w:uiPriority w:val="99"/>
    <w:unhideWhenUsed/>
    <w:rsid w:val="00A460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460A3"/>
    <w:rPr>
      <w:i/>
      <w:iCs/>
    </w:rPr>
  </w:style>
  <w:style w:type="character" w:styleId="LineNumber">
    <w:name w:val="line number"/>
    <w:basedOn w:val="DefaultParagraphFont"/>
    <w:uiPriority w:val="99"/>
    <w:semiHidden/>
    <w:unhideWhenUsed/>
    <w:rsid w:val="003614D2"/>
  </w:style>
  <w:style w:type="paragraph" w:customStyle="1" w:styleId="Default">
    <w:name w:val="Default"/>
    <w:rsid w:val="000452D6"/>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pdq2pgselectionanchorcontainer">
    <w:name w:val="pdq2pg_selectionanchorcontainer"/>
    <w:basedOn w:val="Normal"/>
    <w:rsid w:val="00DE016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921">
      <w:bodyDiv w:val="1"/>
      <w:marLeft w:val="0"/>
      <w:marRight w:val="0"/>
      <w:marTop w:val="0"/>
      <w:marBottom w:val="0"/>
      <w:divBdr>
        <w:top w:val="none" w:sz="0" w:space="0" w:color="auto"/>
        <w:left w:val="none" w:sz="0" w:space="0" w:color="auto"/>
        <w:bottom w:val="none" w:sz="0" w:space="0" w:color="auto"/>
        <w:right w:val="none" w:sz="0" w:space="0" w:color="auto"/>
      </w:divBdr>
    </w:div>
    <w:div w:id="59913942">
      <w:bodyDiv w:val="1"/>
      <w:marLeft w:val="0"/>
      <w:marRight w:val="0"/>
      <w:marTop w:val="0"/>
      <w:marBottom w:val="0"/>
      <w:divBdr>
        <w:top w:val="none" w:sz="0" w:space="0" w:color="auto"/>
        <w:left w:val="none" w:sz="0" w:space="0" w:color="auto"/>
        <w:bottom w:val="none" w:sz="0" w:space="0" w:color="auto"/>
        <w:right w:val="none" w:sz="0" w:space="0" w:color="auto"/>
      </w:divBdr>
    </w:div>
    <w:div w:id="63112158">
      <w:bodyDiv w:val="1"/>
      <w:marLeft w:val="0"/>
      <w:marRight w:val="0"/>
      <w:marTop w:val="0"/>
      <w:marBottom w:val="0"/>
      <w:divBdr>
        <w:top w:val="none" w:sz="0" w:space="0" w:color="auto"/>
        <w:left w:val="none" w:sz="0" w:space="0" w:color="auto"/>
        <w:bottom w:val="none" w:sz="0" w:space="0" w:color="auto"/>
        <w:right w:val="none" w:sz="0" w:space="0" w:color="auto"/>
      </w:divBdr>
    </w:div>
    <w:div w:id="130052131">
      <w:bodyDiv w:val="1"/>
      <w:marLeft w:val="0"/>
      <w:marRight w:val="0"/>
      <w:marTop w:val="0"/>
      <w:marBottom w:val="0"/>
      <w:divBdr>
        <w:top w:val="none" w:sz="0" w:space="0" w:color="auto"/>
        <w:left w:val="none" w:sz="0" w:space="0" w:color="auto"/>
        <w:bottom w:val="none" w:sz="0" w:space="0" w:color="auto"/>
        <w:right w:val="none" w:sz="0" w:space="0" w:color="auto"/>
      </w:divBdr>
    </w:div>
    <w:div w:id="156387547">
      <w:bodyDiv w:val="1"/>
      <w:marLeft w:val="0"/>
      <w:marRight w:val="0"/>
      <w:marTop w:val="0"/>
      <w:marBottom w:val="0"/>
      <w:divBdr>
        <w:top w:val="none" w:sz="0" w:space="0" w:color="auto"/>
        <w:left w:val="none" w:sz="0" w:space="0" w:color="auto"/>
        <w:bottom w:val="none" w:sz="0" w:space="0" w:color="auto"/>
        <w:right w:val="none" w:sz="0" w:space="0" w:color="auto"/>
      </w:divBdr>
    </w:div>
    <w:div w:id="244918593">
      <w:bodyDiv w:val="1"/>
      <w:marLeft w:val="0"/>
      <w:marRight w:val="0"/>
      <w:marTop w:val="0"/>
      <w:marBottom w:val="0"/>
      <w:divBdr>
        <w:top w:val="none" w:sz="0" w:space="0" w:color="auto"/>
        <w:left w:val="none" w:sz="0" w:space="0" w:color="auto"/>
        <w:bottom w:val="none" w:sz="0" w:space="0" w:color="auto"/>
        <w:right w:val="none" w:sz="0" w:space="0" w:color="auto"/>
      </w:divBdr>
    </w:div>
    <w:div w:id="272441998">
      <w:bodyDiv w:val="1"/>
      <w:marLeft w:val="0"/>
      <w:marRight w:val="0"/>
      <w:marTop w:val="0"/>
      <w:marBottom w:val="0"/>
      <w:divBdr>
        <w:top w:val="none" w:sz="0" w:space="0" w:color="auto"/>
        <w:left w:val="none" w:sz="0" w:space="0" w:color="auto"/>
        <w:bottom w:val="none" w:sz="0" w:space="0" w:color="auto"/>
        <w:right w:val="none" w:sz="0" w:space="0" w:color="auto"/>
      </w:divBdr>
    </w:div>
    <w:div w:id="458302416">
      <w:bodyDiv w:val="1"/>
      <w:marLeft w:val="0"/>
      <w:marRight w:val="0"/>
      <w:marTop w:val="0"/>
      <w:marBottom w:val="0"/>
      <w:divBdr>
        <w:top w:val="none" w:sz="0" w:space="0" w:color="auto"/>
        <w:left w:val="none" w:sz="0" w:space="0" w:color="auto"/>
        <w:bottom w:val="none" w:sz="0" w:space="0" w:color="auto"/>
        <w:right w:val="none" w:sz="0" w:space="0" w:color="auto"/>
      </w:divBdr>
    </w:div>
    <w:div w:id="498807630">
      <w:bodyDiv w:val="1"/>
      <w:marLeft w:val="0"/>
      <w:marRight w:val="0"/>
      <w:marTop w:val="0"/>
      <w:marBottom w:val="0"/>
      <w:divBdr>
        <w:top w:val="none" w:sz="0" w:space="0" w:color="auto"/>
        <w:left w:val="none" w:sz="0" w:space="0" w:color="auto"/>
        <w:bottom w:val="none" w:sz="0" w:space="0" w:color="auto"/>
        <w:right w:val="none" w:sz="0" w:space="0" w:color="auto"/>
      </w:divBdr>
    </w:div>
    <w:div w:id="499587593">
      <w:bodyDiv w:val="1"/>
      <w:marLeft w:val="0"/>
      <w:marRight w:val="0"/>
      <w:marTop w:val="0"/>
      <w:marBottom w:val="0"/>
      <w:divBdr>
        <w:top w:val="none" w:sz="0" w:space="0" w:color="auto"/>
        <w:left w:val="none" w:sz="0" w:space="0" w:color="auto"/>
        <w:bottom w:val="none" w:sz="0" w:space="0" w:color="auto"/>
        <w:right w:val="none" w:sz="0" w:space="0" w:color="auto"/>
      </w:divBdr>
    </w:div>
    <w:div w:id="529028091">
      <w:bodyDiv w:val="1"/>
      <w:marLeft w:val="0"/>
      <w:marRight w:val="0"/>
      <w:marTop w:val="0"/>
      <w:marBottom w:val="0"/>
      <w:divBdr>
        <w:top w:val="none" w:sz="0" w:space="0" w:color="auto"/>
        <w:left w:val="none" w:sz="0" w:space="0" w:color="auto"/>
        <w:bottom w:val="none" w:sz="0" w:space="0" w:color="auto"/>
        <w:right w:val="none" w:sz="0" w:space="0" w:color="auto"/>
      </w:divBdr>
    </w:div>
    <w:div w:id="586429715">
      <w:bodyDiv w:val="1"/>
      <w:marLeft w:val="0"/>
      <w:marRight w:val="0"/>
      <w:marTop w:val="0"/>
      <w:marBottom w:val="0"/>
      <w:divBdr>
        <w:top w:val="none" w:sz="0" w:space="0" w:color="auto"/>
        <w:left w:val="none" w:sz="0" w:space="0" w:color="auto"/>
        <w:bottom w:val="none" w:sz="0" w:space="0" w:color="auto"/>
        <w:right w:val="none" w:sz="0" w:space="0" w:color="auto"/>
      </w:divBdr>
    </w:div>
    <w:div w:id="625166154">
      <w:bodyDiv w:val="1"/>
      <w:marLeft w:val="0"/>
      <w:marRight w:val="0"/>
      <w:marTop w:val="0"/>
      <w:marBottom w:val="0"/>
      <w:divBdr>
        <w:top w:val="none" w:sz="0" w:space="0" w:color="auto"/>
        <w:left w:val="none" w:sz="0" w:space="0" w:color="auto"/>
        <w:bottom w:val="none" w:sz="0" w:space="0" w:color="auto"/>
        <w:right w:val="none" w:sz="0" w:space="0" w:color="auto"/>
      </w:divBdr>
    </w:div>
    <w:div w:id="669940904">
      <w:bodyDiv w:val="1"/>
      <w:marLeft w:val="0"/>
      <w:marRight w:val="0"/>
      <w:marTop w:val="0"/>
      <w:marBottom w:val="0"/>
      <w:divBdr>
        <w:top w:val="none" w:sz="0" w:space="0" w:color="auto"/>
        <w:left w:val="none" w:sz="0" w:space="0" w:color="auto"/>
        <w:bottom w:val="none" w:sz="0" w:space="0" w:color="auto"/>
        <w:right w:val="none" w:sz="0" w:space="0" w:color="auto"/>
      </w:divBdr>
    </w:div>
    <w:div w:id="760025831">
      <w:bodyDiv w:val="1"/>
      <w:marLeft w:val="0"/>
      <w:marRight w:val="0"/>
      <w:marTop w:val="0"/>
      <w:marBottom w:val="0"/>
      <w:divBdr>
        <w:top w:val="none" w:sz="0" w:space="0" w:color="auto"/>
        <w:left w:val="none" w:sz="0" w:space="0" w:color="auto"/>
        <w:bottom w:val="none" w:sz="0" w:space="0" w:color="auto"/>
        <w:right w:val="none" w:sz="0" w:space="0" w:color="auto"/>
      </w:divBdr>
    </w:div>
    <w:div w:id="800612125">
      <w:bodyDiv w:val="1"/>
      <w:marLeft w:val="0"/>
      <w:marRight w:val="0"/>
      <w:marTop w:val="0"/>
      <w:marBottom w:val="0"/>
      <w:divBdr>
        <w:top w:val="none" w:sz="0" w:space="0" w:color="auto"/>
        <w:left w:val="none" w:sz="0" w:space="0" w:color="auto"/>
        <w:bottom w:val="none" w:sz="0" w:space="0" w:color="auto"/>
        <w:right w:val="none" w:sz="0" w:space="0" w:color="auto"/>
      </w:divBdr>
    </w:div>
    <w:div w:id="808087755">
      <w:bodyDiv w:val="1"/>
      <w:marLeft w:val="0"/>
      <w:marRight w:val="0"/>
      <w:marTop w:val="0"/>
      <w:marBottom w:val="0"/>
      <w:divBdr>
        <w:top w:val="none" w:sz="0" w:space="0" w:color="auto"/>
        <w:left w:val="none" w:sz="0" w:space="0" w:color="auto"/>
        <w:bottom w:val="none" w:sz="0" w:space="0" w:color="auto"/>
        <w:right w:val="none" w:sz="0" w:space="0" w:color="auto"/>
      </w:divBdr>
    </w:div>
    <w:div w:id="815612324">
      <w:bodyDiv w:val="1"/>
      <w:marLeft w:val="0"/>
      <w:marRight w:val="0"/>
      <w:marTop w:val="0"/>
      <w:marBottom w:val="0"/>
      <w:divBdr>
        <w:top w:val="none" w:sz="0" w:space="0" w:color="auto"/>
        <w:left w:val="none" w:sz="0" w:space="0" w:color="auto"/>
        <w:bottom w:val="none" w:sz="0" w:space="0" w:color="auto"/>
        <w:right w:val="none" w:sz="0" w:space="0" w:color="auto"/>
      </w:divBdr>
    </w:div>
    <w:div w:id="837037533">
      <w:bodyDiv w:val="1"/>
      <w:marLeft w:val="0"/>
      <w:marRight w:val="0"/>
      <w:marTop w:val="0"/>
      <w:marBottom w:val="0"/>
      <w:divBdr>
        <w:top w:val="none" w:sz="0" w:space="0" w:color="auto"/>
        <w:left w:val="none" w:sz="0" w:space="0" w:color="auto"/>
        <w:bottom w:val="none" w:sz="0" w:space="0" w:color="auto"/>
        <w:right w:val="none" w:sz="0" w:space="0" w:color="auto"/>
      </w:divBdr>
    </w:div>
    <w:div w:id="867991323">
      <w:bodyDiv w:val="1"/>
      <w:marLeft w:val="0"/>
      <w:marRight w:val="0"/>
      <w:marTop w:val="0"/>
      <w:marBottom w:val="0"/>
      <w:divBdr>
        <w:top w:val="none" w:sz="0" w:space="0" w:color="auto"/>
        <w:left w:val="none" w:sz="0" w:space="0" w:color="auto"/>
        <w:bottom w:val="none" w:sz="0" w:space="0" w:color="auto"/>
        <w:right w:val="none" w:sz="0" w:space="0" w:color="auto"/>
      </w:divBdr>
    </w:div>
    <w:div w:id="904683796">
      <w:bodyDiv w:val="1"/>
      <w:marLeft w:val="0"/>
      <w:marRight w:val="0"/>
      <w:marTop w:val="0"/>
      <w:marBottom w:val="0"/>
      <w:divBdr>
        <w:top w:val="none" w:sz="0" w:space="0" w:color="auto"/>
        <w:left w:val="none" w:sz="0" w:space="0" w:color="auto"/>
        <w:bottom w:val="none" w:sz="0" w:space="0" w:color="auto"/>
        <w:right w:val="none" w:sz="0" w:space="0" w:color="auto"/>
      </w:divBdr>
    </w:div>
    <w:div w:id="914507351">
      <w:bodyDiv w:val="1"/>
      <w:marLeft w:val="0"/>
      <w:marRight w:val="0"/>
      <w:marTop w:val="0"/>
      <w:marBottom w:val="0"/>
      <w:divBdr>
        <w:top w:val="none" w:sz="0" w:space="0" w:color="auto"/>
        <w:left w:val="none" w:sz="0" w:space="0" w:color="auto"/>
        <w:bottom w:val="none" w:sz="0" w:space="0" w:color="auto"/>
        <w:right w:val="none" w:sz="0" w:space="0" w:color="auto"/>
      </w:divBdr>
    </w:div>
    <w:div w:id="935289617">
      <w:bodyDiv w:val="1"/>
      <w:marLeft w:val="0"/>
      <w:marRight w:val="0"/>
      <w:marTop w:val="0"/>
      <w:marBottom w:val="0"/>
      <w:divBdr>
        <w:top w:val="none" w:sz="0" w:space="0" w:color="auto"/>
        <w:left w:val="none" w:sz="0" w:space="0" w:color="auto"/>
        <w:bottom w:val="none" w:sz="0" w:space="0" w:color="auto"/>
        <w:right w:val="none" w:sz="0" w:space="0" w:color="auto"/>
      </w:divBdr>
    </w:div>
    <w:div w:id="936181958">
      <w:bodyDiv w:val="1"/>
      <w:marLeft w:val="0"/>
      <w:marRight w:val="0"/>
      <w:marTop w:val="0"/>
      <w:marBottom w:val="0"/>
      <w:divBdr>
        <w:top w:val="none" w:sz="0" w:space="0" w:color="auto"/>
        <w:left w:val="none" w:sz="0" w:space="0" w:color="auto"/>
        <w:bottom w:val="none" w:sz="0" w:space="0" w:color="auto"/>
        <w:right w:val="none" w:sz="0" w:space="0" w:color="auto"/>
      </w:divBdr>
    </w:div>
    <w:div w:id="942221893">
      <w:bodyDiv w:val="1"/>
      <w:marLeft w:val="0"/>
      <w:marRight w:val="0"/>
      <w:marTop w:val="0"/>
      <w:marBottom w:val="0"/>
      <w:divBdr>
        <w:top w:val="none" w:sz="0" w:space="0" w:color="auto"/>
        <w:left w:val="none" w:sz="0" w:space="0" w:color="auto"/>
        <w:bottom w:val="none" w:sz="0" w:space="0" w:color="auto"/>
        <w:right w:val="none" w:sz="0" w:space="0" w:color="auto"/>
      </w:divBdr>
    </w:div>
    <w:div w:id="1042250165">
      <w:bodyDiv w:val="1"/>
      <w:marLeft w:val="0"/>
      <w:marRight w:val="0"/>
      <w:marTop w:val="0"/>
      <w:marBottom w:val="0"/>
      <w:divBdr>
        <w:top w:val="none" w:sz="0" w:space="0" w:color="auto"/>
        <w:left w:val="none" w:sz="0" w:space="0" w:color="auto"/>
        <w:bottom w:val="none" w:sz="0" w:space="0" w:color="auto"/>
        <w:right w:val="none" w:sz="0" w:space="0" w:color="auto"/>
      </w:divBdr>
    </w:div>
    <w:div w:id="1102337421">
      <w:bodyDiv w:val="1"/>
      <w:marLeft w:val="0"/>
      <w:marRight w:val="0"/>
      <w:marTop w:val="0"/>
      <w:marBottom w:val="0"/>
      <w:divBdr>
        <w:top w:val="none" w:sz="0" w:space="0" w:color="auto"/>
        <w:left w:val="none" w:sz="0" w:space="0" w:color="auto"/>
        <w:bottom w:val="none" w:sz="0" w:space="0" w:color="auto"/>
        <w:right w:val="none" w:sz="0" w:space="0" w:color="auto"/>
      </w:divBdr>
    </w:div>
    <w:div w:id="1180972251">
      <w:bodyDiv w:val="1"/>
      <w:marLeft w:val="0"/>
      <w:marRight w:val="0"/>
      <w:marTop w:val="0"/>
      <w:marBottom w:val="0"/>
      <w:divBdr>
        <w:top w:val="none" w:sz="0" w:space="0" w:color="auto"/>
        <w:left w:val="none" w:sz="0" w:space="0" w:color="auto"/>
        <w:bottom w:val="none" w:sz="0" w:space="0" w:color="auto"/>
        <w:right w:val="none" w:sz="0" w:space="0" w:color="auto"/>
      </w:divBdr>
    </w:div>
    <w:div w:id="1207642459">
      <w:bodyDiv w:val="1"/>
      <w:marLeft w:val="0"/>
      <w:marRight w:val="0"/>
      <w:marTop w:val="0"/>
      <w:marBottom w:val="0"/>
      <w:divBdr>
        <w:top w:val="none" w:sz="0" w:space="0" w:color="auto"/>
        <w:left w:val="none" w:sz="0" w:space="0" w:color="auto"/>
        <w:bottom w:val="none" w:sz="0" w:space="0" w:color="auto"/>
        <w:right w:val="none" w:sz="0" w:space="0" w:color="auto"/>
      </w:divBdr>
    </w:div>
    <w:div w:id="1314868225">
      <w:bodyDiv w:val="1"/>
      <w:marLeft w:val="0"/>
      <w:marRight w:val="0"/>
      <w:marTop w:val="0"/>
      <w:marBottom w:val="0"/>
      <w:divBdr>
        <w:top w:val="none" w:sz="0" w:space="0" w:color="auto"/>
        <w:left w:val="none" w:sz="0" w:space="0" w:color="auto"/>
        <w:bottom w:val="none" w:sz="0" w:space="0" w:color="auto"/>
        <w:right w:val="none" w:sz="0" w:space="0" w:color="auto"/>
      </w:divBdr>
    </w:div>
    <w:div w:id="1350641456">
      <w:bodyDiv w:val="1"/>
      <w:marLeft w:val="0"/>
      <w:marRight w:val="0"/>
      <w:marTop w:val="0"/>
      <w:marBottom w:val="0"/>
      <w:divBdr>
        <w:top w:val="none" w:sz="0" w:space="0" w:color="auto"/>
        <w:left w:val="none" w:sz="0" w:space="0" w:color="auto"/>
        <w:bottom w:val="none" w:sz="0" w:space="0" w:color="auto"/>
        <w:right w:val="none" w:sz="0" w:space="0" w:color="auto"/>
      </w:divBdr>
    </w:div>
    <w:div w:id="1508207568">
      <w:bodyDiv w:val="1"/>
      <w:marLeft w:val="0"/>
      <w:marRight w:val="0"/>
      <w:marTop w:val="0"/>
      <w:marBottom w:val="0"/>
      <w:divBdr>
        <w:top w:val="none" w:sz="0" w:space="0" w:color="auto"/>
        <w:left w:val="none" w:sz="0" w:space="0" w:color="auto"/>
        <w:bottom w:val="none" w:sz="0" w:space="0" w:color="auto"/>
        <w:right w:val="none" w:sz="0" w:space="0" w:color="auto"/>
      </w:divBdr>
    </w:div>
    <w:div w:id="1532035857">
      <w:bodyDiv w:val="1"/>
      <w:marLeft w:val="0"/>
      <w:marRight w:val="0"/>
      <w:marTop w:val="0"/>
      <w:marBottom w:val="0"/>
      <w:divBdr>
        <w:top w:val="none" w:sz="0" w:space="0" w:color="auto"/>
        <w:left w:val="none" w:sz="0" w:space="0" w:color="auto"/>
        <w:bottom w:val="none" w:sz="0" w:space="0" w:color="auto"/>
        <w:right w:val="none" w:sz="0" w:space="0" w:color="auto"/>
      </w:divBdr>
    </w:div>
    <w:div w:id="1533609723">
      <w:bodyDiv w:val="1"/>
      <w:marLeft w:val="0"/>
      <w:marRight w:val="0"/>
      <w:marTop w:val="0"/>
      <w:marBottom w:val="0"/>
      <w:divBdr>
        <w:top w:val="none" w:sz="0" w:space="0" w:color="auto"/>
        <w:left w:val="none" w:sz="0" w:space="0" w:color="auto"/>
        <w:bottom w:val="none" w:sz="0" w:space="0" w:color="auto"/>
        <w:right w:val="none" w:sz="0" w:space="0" w:color="auto"/>
      </w:divBdr>
    </w:div>
    <w:div w:id="1553073681">
      <w:bodyDiv w:val="1"/>
      <w:marLeft w:val="0"/>
      <w:marRight w:val="0"/>
      <w:marTop w:val="0"/>
      <w:marBottom w:val="0"/>
      <w:divBdr>
        <w:top w:val="none" w:sz="0" w:space="0" w:color="auto"/>
        <w:left w:val="none" w:sz="0" w:space="0" w:color="auto"/>
        <w:bottom w:val="none" w:sz="0" w:space="0" w:color="auto"/>
        <w:right w:val="none" w:sz="0" w:space="0" w:color="auto"/>
      </w:divBdr>
    </w:div>
    <w:div w:id="1575700191">
      <w:bodyDiv w:val="1"/>
      <w:marLeft w:val="0"/>
      <w:marRight w:val="0"/>
      <w:marTop w:val="0"/>
      <w:marBottom w:val="0"/>
      <w:divBdr>
        <w:top w:val="none" w:sz="0" w:space="0" w:color="auto"/>
        <w:left w:val="none" w:sz="0" w:space="0" w:color="auto"/>
        <w:bottom w:val="none" w:sz="0" w:space="0" w:color="auto"/>
        <w:right w:val="none" w:sz="0" w:space="0" w:color="auto"/>
      </w:divBdr>
    </w:div>
    <w:div w:id="1638953513">
      <w:bodyDiv w:val="1"/>
      <w:marLeft w:val="0"/>
      <w:marRight w:val="0"/>
      <w:marTop w:val="0"/>
      <w:marBottom w:val="0"/>
      <w:divBdr>
        <w:top w:val="none" w:sz="0" w:space="0" w:color="auto"/>
        <w:left w:val="none" w:sz="0" w:space="0" w:color="auto"/>
        <w:bottom w:val="none" w:sz="0" w:space="0" w:color="auto"/>
        <w:right w:val="none" w:sz="0" w:space="0" w:color="auto"/>
      </w:divBdr>
    </w:div>
    <w:div w:id="1665279488">
      <w:bodyDiv w:val="1"/>
      <w:marLeft w:val="0"/>
      <w:marRight w:val="0"/>
      <w:marTop w:val="0"/>
      <w:marBottom w:val="0"/>
      <w:divBdr>
        <w:top w:val="none" w:sz="0" w:space="0" w:color="auto"/>
        <w:left w:val="none" w:sz="0" w:space="0" w:color="auto"/>
        <w:bottom w:val="none" w:sz="0" w:space="0" w:color="auto"/>
        <w:right w:val="none" w:sz="0" w:space="0" w:color="auto"/>
      </w:divBdr>
    </w:div>
    <w:div w:id="1671912280">
      <w:bodyDiv w:val="1"/>
      <w:marLeft w:val="0"/>
      <w:marRight w:val="0"/>
      <w:marTop w:val="0"/>
      <w:marBottom w:val="0"/>
      <w:divBdr>
        <w:top w:val="none" w:sz="0" w:space="0" w:color="auto"/>
        <w:left w:val="none" w:sz="0" w:space="0" w:color="auto"/>
        <w:bottom w:val="none" w:sz="0" w:space="0" w:color="auto"/>
        <w:right w:val="none" w:sz="0" w:space="0" w:color="auto"/>
      </w:divBdr>
    </w:div>
    <w:div w:id="1687750904">
      <w:bodyDiv w:val="1"/>
      <w:marLeft w:val="0"/>
      <w:marRight w:val="0"/>
      <w:marTop w:val="0"/>
      <w:marBottom w:val="0"/>
      <w:divBdr>
        <w:top w:val="none" w:sz="0" w:space="0" w:color="auto"/>
        <w:left w:val="none" w:sz="0" w:space="0" w:color="auto"/>
        <w:bottom w:val="none" w:sz="0" w:space="0" w:color="auto"/>
        <w:right w:val="none" w:sz="0" w:space="0" w:color="auto"/>
      </w:divBdr>
    </w:div>
    <w:div w:id="1738939876">
      <w:bodyDiv w:val="1"/>
      <w:marLeft w:val="0"/>
      <w:marRight w:val="0"/>
      <w:marTop w:val="0"/>
      <w:marBottom w:val="0"/>
      <w:divBdr>
        <w:top w:val="none" w:sz="0" w:space="0" w:color="auto"/>
        <w:left w:val="none" w:sz="0" w:space="0" w:color="auto"/>
        <w:bottom w:val="none" w:sz="0" w:space="0" w:color="auto"/>
        <w:right w:val="none" w:sz="0" w:space="0" w:color="auto"/>
      </w:divBdr>
    </w:div>
    <w:div w:id="1786071968">
      <w:bodyDiv w:val="1"/>
      <w:marLeft w:val="0"/>
      <w:marRight w:val="0"/>
      <w:marTop w:val="0"/>
      <w:marBottom w:val="0"/>
      <w:divBdr>
        <w:top w:val="none" w:sz="0" w:space="0" w:color="auto"/>
        <w:left w:val="none" w:sz="0" w:space="0" w:color="auto"/>
        <w:bottom w:val="none" w:sz="0" w:space="0" w:color="auto"/>
        <w:right w:val="none" w:sz="0" w:space="0" w:color="auto"/>
      </w:divBdr>
    </w:div>
    <w:div w:id="1798334911">
      <w:bodyDiv w:val="1"/>
      <w:marLeft w:val="0"/>
      <w:marRight w:val="0"/>
      <w:marTop w:val="0"/>
      <w:marBottom w:val="0"/>
      <w:divBdr>
        <w:top w:val="none" w:sz="0" w:space="0" w:color="auto"/>
        <w:left w:val="none" w:sz="0" w:space="0" w:color="auto"/>
        <w:bottom w:val="none" w:sz="0" w:space="0" w:color="auto"/>
        <w:right w:val="none" w:sz="0" w:space="0" w:color="auto"/>
      </w:divBdr>
    </w:div>
    <w:div w:id="1912081212">
      <w:bodyDiv w:val="1"/>
      <w:marLeft w:val="0"/>
      <w:marRight w:val="0"/>
      <w:marTop w:val="0"/>
      <w:marBottom w:val="0"/>
      <w:divBdr>
        <w:top w:val="none" w:sz="0" w:space="0" w:color="auto"/>
        <w:left w:val="none" w:sz="0" w:space="0" w:color="auto"/>
        <w:bottom w:val="none" w:sz="0" w:space="0" w:color="auto"/>
        <w:right w:val="none" w:sz="0" w:space="0" w:color="auto"/>
      </w:divBdr>
    </w:div>
    <w:div w:id="1918975398">
      <w:bodyDiv w:val="1"/>
      <w:marLeft w:val="0"/>
      <w:marRight w:val="0"/>
      <w:marTop w:val="0"/>
      <w:marBottom w:val="0"/>
      <w:divBdr>
        <w:top w:val="none" w:sz="0" w:space="0" w:color="auto"/>
        <w:left w:val="none" w:sz="0" w:space="0" w:color="auto"/>
        <w:bottom w:val="none" w:sz="0" w:space="0" w:color="auto"/>
        <w:right w:val="none" w:sz="0" w:space="0" w:color="auto"/>
      </w:divBdr>
    </w:div>
    <w:div w:id="1923755160">
      <w:bodyDiv w:val="1"/>
      <w:marLeft w:val="0"/>
      <w:marRight w:val="0"/>
      <w:marTop w:val="0"/>
      <w:marBottom w:val="0"/>
      <w:divBdr>
        <w:top w:val="none" w:sz="0" w:space="0" w:color="auto"/>
        <w:left w:val="none" w:sz="0" w:space="0" w:color="auto"/>
        <w:bottom w:val="none" w:sz="0" w:space="0" w:color="auto"/>
        <w:right w:val="none" w:sz="0" w:space="0" w:color="auto"/>
      </w:divBdr>
    </w:div>
    <w:div w:id="1958025692">
      <w:bodyDiv w:val="1"/>
      <w:marLeft w:val="0"/>
      <w:marRight w:val="0"/>
      <w:marTop w:val="0"/>
      <w:marBottom w:val="0"/>
      <w:divBdr>
        <w:top w:val="none" w:sz="0" w:space="0" w:color="auto"/>
        <w:left w:val="none" w:sz="0" w:space="0" w:color="auto"/>
        <w:bottom w:val="none" w:sz="0" w:space="0" w:color="auto"/>
        <w:right w:val="none" w:sz="0" w:space="0" w:color="auto"/>
      </w:divBdr>
    </w:div>
    <w:div w:id="1990667162">
      <w:bodyDiv w:val="1"/>
      <w:marLeft w:val="0"/>
      <w:marRight w:val="0"/>
      <w:marTop w:val="0"/>
      <w:marBottom w:val="0"/>
      <w:divBdr>
        <w:top w:val="none" w:sz="0" w:space="0" w:color="auto"/>
        <w:left w:val="none" w:sz="0" w:space="0" w:color="auto"/>
        <w:bottom w:val="none" w:sz="0" w:space="0" w:color="auto"/>
        <w:right w:val="none" w:sz="0" w:space="0" w:color="auto"/>
      </w:divBdr>
    </w:div>
    <w:div w:id="2016031431">
      <w:bodyDiv w:val="1"/>
      <w:marLeft w:val="0"/>
      <w:marRight w:val="0"/>
      <w:marTop w:val="0"/>
      <w:marBottom w:val="0"/>
      <w:divBdr>
        <w:top w:val="none" w:sz="0" w:space="0" w:color="auto"/>
        <w:left w:val="none" w:sz="0" w:space="0" w:color="auto"/>
        <w:bottom w:val="none" w:sz="0" w:space="0" w:color="auto"/>
        <w:right w:val="none" w:sz="0" w:space="0" w:color="auto"/>
      </w:divBdr>
    </w:div>
    <w:div w:id="2030789430">
      <w:bodyDiv w:val="1"/>
      <w:marLeft w:val="0"/>
      <w:marRight w:val="0"/>
      <w:marTop w:val="0"/>
      <w:marBottom w:val="0"/>
      <w:divBdr>
        <w:top w:val="none" w:sz="0" w:space="0" w:color="auto"/>
        <w:left w:val="none" w:sz="0" w:space="0" w:color="auto"/>
        <w:bottom w:val="none" w:sz="0" w:space="0" w:color="auto"/>
        <w:right w:val="none" w:sz="0" w:space="0" w:color="auto"/>
      </w:divBdr>
    </w:div>
    <w:div w:id="2044211335">
      <w:bodyDiv w:val="1"/>
      <w:marLeft w:val="0"/>
      <w:marRight w:val="0"/>
      <w:marTop w:val="0"/>
      <w:marBottom w:val="0"/>
      <w:divBdr>
        <w:top w:val="none" w:sz="0" w:space="0" w:color="auto"/>
        <w:left w:val="none" w:sz="0" w:space="0" w:color="auto"/>
        <w:bottom w:val="none" w:sz="0" w:space="0" w:color="auto"/>
        <w:right w:val="none" w:sz="0" w:space="0" w:color="auto"/>
      </w:divBdr>
    </w:div>
    <w:div w:id="2085953701">
      <w:bodyDiv w:val="1"/>
      <w:marLeft w:val="0"/>
      <w:marRight w:val="0"/>
      <w:marTop w:val="0"/>
      <w:marBottom w:val="0"/>
      <w:divBdr>
        <w:top w:val="none" w:sz="0" w:space="0" w:color="auto"/>
        <w:left w:val="none" w:sz="0" w:space="0" w:color="auto"/>
        <w:bottom w:val="none" w:sz="0" w:space="0" w:color="auto"/>
        <w:right w:val="none" w:sz="0" w:space="0" w:color="auto"/>
      </w:divBdr>
    </w:div>
    <w:div w:id="210325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ntTable" Target="fontTable.xml"/><Relationship Id="rId24" Type="http://schemas.openxmlformats.org/officeDocument/2006/relationships/hyperlink" Target="https://doi.org/10.18805/ajdfr.DRF-678" TargetMode="External"/><Relationship Id="rId25" Type="http://schemas.openxmlformats.org/officeDocument/2006/relationships/hyperlink" Target="https://www.aoac.org/official-methods-of-analysis/" TargetMode="External"/><Relationship Id="rId26" Type="http://schemas.openxmlformats.org/officeDocument/2006/relationships/hyperlink" Target="https://doi.org/10.3390/foods10092181" TargetMode="External"/><Relationship Id="rId27" Type="http://schemas.openxmlformats.org/officeDocument/2006/relationships/hyperlink" Target="https://doi.org/10.3390/polym10040412" TargetMode="External"/><Relationship Id="rId28" Type="http://schemas.openxmlformats.org/officeDocument/2006/relationships/hyperlink" Target="https://doi.org/10.1021/jf980828t" TargetMode="External"/><Relationship Id="rId29" Type="http://schemas.openxmlformats.org/officeDocument/2006/relationships/hyperlink" Target="https://doi.org/10.1006/abio.1996.0292" TargetMode="External"/><Relationship Id="rId30" Type="http://schemas.openxmlformats.org/officeDocument/2006/relationships/hyperlink" Target="https://doi.org/10.1016/S0023-6438(95)80008-5" TargetMode="External"/><Relationship Id="rId31" Type="http://schemas.openxmlformats.org/officeDocument/2006/relationships/hyperlink" Target="https://doi.org/10.1016/j.tifs.2021.08.024" TargetMode="External"/><Relationship Id="rId32" Type="http://schemas.openxmlformats.org/officeDocument/2006/relationships/hyperlink" Target="https://doi.org/10.1080/10408398.2011.556759" TargetMode="External"/><Relationship Id="rId33" Type="http://schemas.openxmlformats.org/officeDocument/2006/relationships/hyperlink" Target="https://doi.org/10.1016/j.jep.2009.10.004" TargetMode="External"/><Relationship Id="rId34" Type="http://schemas.openxmlformats.org/officeDocument/2006/relationships/hyperlink" Target="https://doi.org/10.1016/j.foodhyd.2014.07.008" TargetMode="External"/><Relationship Id="rId35" Type="http://schemas.openxmlformats.org/officeDocument/2006/relationships/hyperlink" Target="https://doi.org/10.1111/jfpp.12292" TargetMode="External"/><Relationship Id="rId36" Type="http://schemas.openxmlformats.org/officeDocument/2006/relationships/hyperlink" Target="https://doi.org/10.1016/j.tifs.2011.02.004" TargetMode="External"/><Relationship Id="rId37" Type="http://schemas.openxmlformats.org/officeDocument/2006/relationships/hyperlink" Target="https://doi.org/10.1126/sciadv.1700782" TargetMode="External"/><Relationship Id="rId38" Type="http://schemas.openxmlformats.org/officeDocument/2006/relationships/hyperlink" Target="https://doi.org/10.1016/S0144-8617(00)00260-5" TargetMode="External"/><Relationship Id="rId39" Type="http://schemas.openxmlformats.org/officeDocument/2006/relationships/hyperlink" Target="https://doi.org/10.1007/s11947-012-0835-4" TargetMode="External"/><Relationship Id="rId40" Type="http://schemas.openxmlformats.org/officeDocument/2006/relationships/hyperlink" Target="https://doi.org/10.1016/j.foodhyd.2007.01.002" TargetMode="External"/><Relationship Id="rId41" Type="http://schemas.openxmlformats.org/officeDocument/2006/relationships/hyperlink" Target="https://doi.org/10.1007/s10311-021-01339-z" TargetMode="External"/><Relationship Id="rId42" Type="http://schemas.openxmlformats.org/officeDocument/2006/relationships/hyperlink" Target="https://doi.org/10.1142/9789812837912_0008" TargetMode="External"/><Relationship Id="rId43" Type="http://schemas.openxmlformats.org/officeDocument/2006/relationships/hyperlink" Target="https://doi.org/10.1016/j.foodchem.2003.11.013" TargetMode="External"/><Relationship Id="rId44" Type="http://schemas.openxmlformats.org/officeDocument/2006/relationships/hyperlink" Target="https://onlinelibrary.wiley.com/page/journal/19433638/homepage/classic-papers.html" TargetMode="External"/><Relationship Id="rId45" Type="http://schemas.openxmlformats.org/officeDocument/2006/relationships/hyperlink" Target="https://doi.org/10.1016/j.carbpol.2004.01.004" TargetMode="External"/><Relationship Id="rId46" Type="http://schemas.openxmlformats.org/officeDocument/2006/relationships/hyperlink" Target="https://doi.org/10.3390/foods8060185" TargetMode="External"/><Relationship Id="rId47" Type="http://schemas.openxmlformats.org/officeDocument/2006/relationships/hyperlink" Target="https://doi.org/10.1021/acsomega.3c03459" TargetMode="External"/><Relationship Id="rId48" Type="http://schemas.openxmlformats.org/officeDocument/2006/relationships/hyperlink" Target="https://doi.org/10.9734/afsj/2025/v24i10821" TargetMode="External"/><Relationship Id="rId49" Type="http://schemas.openxmlformats.org/officeDocument/2006/relationships/hyperlink" Target="https://doi.org/10.51470/FAB.2026.7.1.48" TargetMode="External"/><Relationship Id="rId50" Type="http://schemas.openxmlformats.org/officeDocument/2006/relationships/hyperlink" Target="https://doi.org/10.59324/ejtas.2023.1(5).58" TargetMode="External"/><Relationship Id="rId51" Type="http://schemas.openxmlformats.org/officeDocument/2006/relationships/hyperlink" Target="https://doi.org/10.53550/jfl.v38i4.2169" TargetMode="External"/><Relationship Id="rId52" Type="http://schemas.openxmlformats.org/officeDocument/2006/relationships/hyperlink" Target="https://doi.org/10.18805/ajdfr.DRF-478" TargetMode="External"/><Relationship Id="rId53" Type="http://schemas.openxmlformats.org/officeDocument/2006/relationships/hyperlink" Target="https://doi.org/10.56557/jafsat/2026/v13i310816" TargetMode="External"/><Relationship Id="rId54" Type="http://schemas.openxmlformats.org/officeDocument/2006/relationships/hyperlink" Target="https://doi.org/10.56557/jacsi/2026/v17i110239" TargetMode="External"/><Relationship Id="rId55" Type="http://schemas.openxmlformats.org/officeDocument/2006/relationships/hyperlink" Target="https://doi.org/10.1080/23311932.2017.1283079" TargetMode="External"/><Relationship Id="rId56" Type="http://schemas.openxmlformats.org/officeDocument/2006/relationships/hyperlink" Target="https://doi.org/10.1111/j.1745-4514.2010.00354.x" TargetMode="External"/><Relationship Id="rId57" Type="http://schemas.openxmlformats.org/officeDocument/2006/relationships/hyperlink" Target="https://doi.org/10.1111/1541-4337.12281" TargetMode="External"/><Relationship Id="rId58" Type="http://schemas.openxmlformats.org/officeDocument/2006/relationships/hyperlink" Target="https://doi.org/10.1002/star.201100133" TargetMode="External"/><Relationship Id="rId59" Type="http://schemas.openxmlformats.org/officeDocument/2006/relationships/hyperlink" Target="https://doi.org/10.1021/jf0502698" TargetMode="External"/><Relationship Id="rId60" Type="http://schemas.openxmlformats.org/officeDocument/2006/relationships/hyperlink" Target="https://doi.org/10.1016/S0891-5849(98)00315-3" TargetMode="External"/><Relationship Id="rId61" Type="http://schemas.openxmlformats.org/officeDocument/2006/relationships/hyperlink" Target="https://doi.org/10.1016/j.powtec.2007.10.028" TargetMode="External"/><Relationship Id="rId62" Type="http://schemas.openxmlformats.org/officeDocument/2006/relationships/hyperlink" Target="https://doi.org/10.9734/JERR/2018/v3i416884" TargetMode="External"/><Relationship Id="rId63" Type="http://schemas.openxmlformats.org/officeDocument/2006/relationships/hyperlink" Target="https://doi.org/10.1016/j.rser.2015.10.037" TargetMode="External"/><Relationship Id="rId64" Type="http://schemas.openxmlformats.org/officeDocument/2006/relationships/hyperlink" Target="https://doi.org/10.3390/foods8070246" TargetMode="External"/><Relationship Id="rId65" Type="http://schemas.openxmlformats.org/officeDocument/2006/relationships/hyperlink" Target="https://doi.org/10.1016/j.cej.2020.127317" TargetMode="External"/><Relationship Id="rId66" Type="http://schemas.openxmlformats.org/officeDocument/2006/relationships/hyperlink" Target="https://doi.org/10.18805/ajdfr.DRF-592" TargetMode="External"/><Relationship Id="rId67" Type="http://schemas.openxmlformats.org/officeDocument/2006/relationships/hyperlink" Target="https://doi.org/10.1016/j.foodchem.2016.07.180" TargetMode="External"/><Relationship Id="rId68" Type="http://schemas.openxmlformats.org/officeDocument/2006/relationships/hyperlink" Target="https://doi.org/10.1111/1541-4337.12143" TargetMode="External"/><Relationship Id="rId69" Type="http://schemas.openxmlformats.org/officeDocument/2006/relationships/hyperlink" Target="https://doi.org/10.1016/j.sciaf.2022.e01220" TargetMode="External"/><Relationship Id="rId70" Type="http://schemas.openxmlformats.org/officeDocument/2006/relationships/hyperlink" Target="https://doi.org/10.1016/j.carbpol.2010.08.064" TargetMode="External"/><Relationship Id="rId71" Type="http://schemas.openxmlformats.org/officeDocument/2006/relationships/hyperlink" Target="https://doi.org/10.1016/j.carbpol.2004.10.014" TargetMode="External"/><Relationship Id="rId72" Type="http://schemas.openxmlformats.org/officeDocument/2006/relationships/hyperlink" Target="https://doi.org/10.3390/foods10081845" TargetMode="External"/><Relationship Id="rId73" Type="http://schemas.openxmlformats.org/officeDocument/2006/relationships/hyperlink" Target="https://doi.org/10.1016/j.carbpol.2014.10.063" TargetMode="External"/><Relationship Id="rId74" Type="http://schemas.openxmlformats.org/officeDocument/2006/relationships/hyperlink" Target="https://doi.org/10.1016/j.tifs.2015.02.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A8A84-92EB-4BCF-96BE-75C0E8FFA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3724</TotalTime>
  <Pages>23</Pages>
  <Words>8219</Words>
  <Characters>46852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JAFSAT_15368</dc:title>
  <dc:subject/>
  <dc:creator>Anthony Ohakpo</dc:creator>
  <cp:keywords/>
  <dc:description/>
  <cp:lastModifiedBy>Editor-17</cp:lastModifiedBy>
  <cp:revision>32</cp:revision>
  <cp:lastPrinted>2026-03-24T14:00:00Z</cp:lastPrinted>
  <dcterms:created xsi:type="dcterms:W3CDTF">2026-05-08T22:52:00Z</dcterms:created>
  <dcterms:modified xsi:type="dcterms:W3CDTF">2026-07-20T13:26:00Z</dcterms:modified>
</cp:coreProperties>
</file>