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8A65" w14:textId="77777777" w:rsidR="00003BF9" w:rsidRPr="004E52C2" w:rsidRDefault="00003BF9" w:rsidP="00F4229D">
      <w:pPr>
        <w:jc w:val="both"/>
        <w:rPr>
          <w:rFonts w:cstheme="minorHAnsi"/>
          <w:b/>
          <w:bCs/>
          <w:i/>
          <w:iCs/>
          <w:sz w:val="24"/>
          <w:szCs w:val="24"/>
          <w:u w:val="single"/>
          <w:lang w:val="en-US"/>
        </w:rPr>
      </w:pPr>
      <w:bookmarkStart w:id="0" w:name="_Toc140036380"/>
      <w:bookmarkStart w:id="1" w:name="_Toc140036421"/>
      <w:r w:rsidRPr="004E52C2">
        <w:rPr>
          <w:rFonts w:cstheme="minorHAnsi"/>
          <w:b/>
          <w:bCs/>
          <w:i/>
          <w:iCs/>
          <w:sz w:val="24"/>
          <w:szCs w:val="24"/>
          <w:u w:val="single"/>
          <w:lang w:val="en-US"/>
        </w:rPr>
        <w:t>Original Research Article</w:t>
      </w:r>
    </w:p>
    <w:p w14:paraId="0B5D626F" w14:textId="0A841138" w:rsidR="00B5477B" w:rsidRPr="004E52C2" w:rsidRDefault="00A47DB9" w:rsidP="00F4229D">
      <w:pPr>
        <w:jc w:val="both"/>
        <w:rPr>
          <w:rFonts w:cstheme="minorHAnsi"/>
          <w:b/>
          <w:sz w:val="24"/>
          <w:szCs w:val="24"/>
          <w:lang w:val="en-US"/>
        </w:rPr>
      </w:pPr>
      <w:r w:rsidRPr="00A47DB9">
        <w:rPr>
          <w:rFonts w:cstheme="minorHAnsi"/>
          <w:b/>
          <w:color w:val="FF0000"/>
          <w:sz w:val="24"/>
          <w:szCs w:val="24"/>
          <w:lang w:val="en-US"/>
        </w:rPr>
        <w:t xml:space="preserve">DETERMINANTS </w:t>
      </w:r>
      <w:r w:rsidR="001A196E">
        <w:rPr>
          <w:rFonts w:cstheme="minorHAnsi"/>
          <w:b/>
          <w:color w:val="FF0000"/>
          <w:sz w:val="24"/>
          <w:szCs w:val="24"/>
          <w:lang w:val="en-US"/>
        </w:rPr>
        <w:t xml:space="preserve">OF </w:t>
      </w:r>
      <w:r w:rsidR="00B5477B" w:rsidRPr="004E52C2">
        <w:rPr>
          <w:rFonts w:cstheme="minorHAnsi"/>
          <w:b/>
          <w:sz w:val="24"/>
          <w:szCs w:val="24"/>
          <w:lang w:val="en-US"/>
        </w:rPr>
        <w:t>HOUSEHOLD FOOD SECURITY STATUS AND WELLNESS SUSTAINABILITY IN IBADAN NORTH LOCAL GOVERNMENT AREA OF OYO STATE, NIGERIA</w:t>
      </w:r>
    </w:p>
    <w:p w14:paraId="5C9C5BC1" w14:textId="77777777" w:rsidR="00B5477B" w:rsidRPr="004E52C2" w:rsidRDefault="00B5477B" w:rsidP="00F4229D">
      <w:pPr>
        <w:jc w:val="both"/>
        <w:rPr>
          <w:rFonts w:cstheme="minorHAnsi"/>
          <w:b/>
          <w:sz w:val="24"/>
          <w:szCs w:val="24"/>
          <w:lang w:val="en-US"/>
        </w:rPr>
      </w:pPr>
    </w:p>
    <w:p w14:paraId="47FB2906" w14:textId="61DC5456" w:rsidR="00230BC4" w:rsidRPr="004E52C2" w:rsidRDefault="00230BC4" w:rsidP="00F4229D">
      <w:pPr>
        <w:jc w:val="both"/>
        <w:rPr>
          <w:rFonts w:cstheme="minorHAnsi"/>
          <w:b/>
          <w:sz w:val="24"/>
          <w:szCs w:val="24"/>
          <w:lang w:val="en-US"/>
        </w:rPr>
      </w:pPr>
      <w:r w:rsidRPr="004E52C2">
        <w:rPr>
          <w:rFonts w:cstheme="minorHAnsi"/>
          <w:b/>
          <w:sz w:val="24"/>
          <w:szCs w:val="24"/>
          <w:lang w:val="en-US"/>
        </w:rPr>
        <w:t>ABSTRACT</w:t>
      </w:r>
      <w:bookmarkEnd w:id="0"/>
      <w:bookmarkEnd w:id="1"/>
    </w:p>
    <w:p w14:paraId="37F06436" w14:textId="178F42E0" w:rsidR="00364DB0" w:rsidRPr="00364DB0" w:rsidRDefault="00364DB0" w:rsidP="00F4229D">
      <w:pPr>
        <w:jc w:val="both"/>
        <w:rPr>
          <w:rFonts w:cstheme="minorHAnsi"/>
          <w:b/>
          <w:bCs/>
          <w:sz w:val="24"/>
          <w:szCs w:val="24"/>
        </w:rPr>
      </w:pPr>
      <w:r>
        <w:rPr>
          <w:rFonts w:cstheme="minorHAnsi"/>
          <w:b/>
          <w:bCs/>
          <w:sz w:val="24"/>
          <w:szCs w:val="24"/>
        </w:rPr>
        <w:t>Background</w:t>
      </w:r>
    </w:p>
    <w:p w14:paraId="1C414C0D" w14:textId="77777777" w:rsidR="00364DB0" w:rsidRPr="00364DB0" w:rsidRDefault="00364DB0" w:rsidP="00F4229D">
      <w:pPr>
        <w:jc w:val="both"/>
        <w:rPr>
          <w:rFonts w:cstheme="minorHAnsi"/>
          <w:color w:val="FF0000"/>
          <w:sz w:val="24"/>
          <w:szCs w:val="24"/>
        </w:rPr>
      </w:pPr>
      <w:r w:rsidRPr="00364DB0">
        <w:rPr>
          <w:rFonts w:cstheme="minorHAnsi"/>
          <w:color w:val="FF0000"/>
          <w:sz w:val="24"/>
          <w:szCs w:val="24"/>
        </w:rPr>
        <w:t>Food insecurity remains a major public health and socioeconomic challenge in Nigeria, particularly in urban households where unhealthy dietary patterns and increasing non-communicable diseases threaten long-term household wellness. Although several studies have examined household food security, limited attention has been given to wellness sustainability within food security categories.</w:t>
      </w:r>
    </w:p>
    <w:p w14:paraId="100F5FCC" w14:textId="041984A1" w:rsidR="00364DB0" w:rsidRPr="00364DB0" w:rsidRDefault="00364DB0" w:rsidP="00F4229D">
      <w:pPr>
        <w:jc w:val="both"/>
        <w:rPr>
          <w:rFonts w:cstheme="minorHAnsi"/>
          <w:b/>
          <w:bCs/>
          <w:sz w:val="24"/>
          <w:szCs w:val="24"/>
        </w:rPr>
      </w:pPr>
      <w:r>
        <w:rPr>
          <w:rFonts w:cstheme="minorHAnsi"/>
          <w:b/>
          <w:bCs/>
          <w:sz w:val="24"/>
          <w:szCs w:val="24"/>
        </w:rPr>
        <w:t>Aim</w:t>
      </w:r>
    </w:p>
    <w:p w14:paraId="38DADD1E" w14:textId="39FB02AB" w:rsidR="00364DB0" w:rsidRPr="00364DB0" w:rsidRDefault="00204963" w:rsidP="00F4229D">
      <w:pPr>
        <w:jc w:val="both"/>
        <w:rPr>
          <w:rFonts w:cstheme="minorHAnsi"/>
          <w:sz w:val="24"/>
          <w:szCs w:val="24"/>
        </w:rPr>
      </w:pPr>
      <w:r w:rsidRPr="00204963">
        <w:rPr>
          <w:rFonts w:cstheme="minorHAnsi"/>
          <w:sz w:val="24"/>
          <w:szCs w:val="24"/>
        </w:rPr>
        <w:t>The study examined household food security status, wellness sustainability, and the socioeconomic factors influencing both outcomes among households in Ibadan</w:t>
      </w:r>
      <w:r>
        <w:rPr>
          <w:rFonts w:cstheme="minorHAnsi"/>
          <w:sz w:val="24"/>
          <w:szCs w:val="24"/>
        </w:rPr>
        <w:t xml:space="preserve">, </w:t>
      </w:r>
      <w:r w:rsidR="00364DB0" w:rsidRPr="00364DB0">
        <w:rPr>
          <w:rFonts w:cstheme="minorHAnsi"/>
          <w:sz w:val="24"/>
          <w:szCs w:val="24"/>
        </w:rPr>
        <w:t>North Local Government Area of Oyo State, Nigeria.</w:t>
      </w:r>
    </w:p>
    <w:p w14:paraId="3F6190BB" w14:textId="77777777" w:rsidR="00364DB0" w:rsidRPr="00364DB0" w:rsidRDefault="00364DB0" w:rsidP="00F4229D">
      <w:pPr>
        <w:jc w:val="both"/>
        <w:rPr>
          <w:rFonts w:cstheme="minorHAnsi"/>
          <w:b/>
          <w:bCs/>
          <w:sz w:val="24"/>
          <w:szCs w:val="24"/>
        </w:rPr>
      </w:pPr>
      <w:r w:rsidRPr="00364DB0">
        <w:rPr>
          <w:rFonts w:cstheme="minorHAnsi"/>
          <w:b/>
          <w:bCs/>
          <w:sz w:val="24"/>
          <w:szCs w:val="24"/>
        </w:rPr>
        <w:t>Methods</w:t>
      </w:r>
    </w:p>
    <w:p w14:paraId="1CFA1EB1" w14:textId="0ACB638C" w:rsidR="00364DB0" w:rsidRPr="00364DB0" w:rsidRDefault="00364DB0" w:rsidP="00F4229D">
      <w:pPr>
        <w:jc w:val="both"/>
        <w:rPr>
          <w:rFonts w:cstheme="minorHAnsi"/>
          <w:sz w:val="24"/>
          <w:szCs w:val="24"/>
        </w:rPr>
      </w:pPr>
      <w:r>
        <w:rPr>
          <w:rFonts w:cstheme="minorHAnsi"/>
          <w:sz w:val="24"/>
          <w:szCs w:val="24"/>
        </w:rPr>
        <w:t>This was a</w:t>
      </w:r>
      <w:r w:rsidRPr="00364DB0">
        <w:rPr>
          <w:rFonts w:cstheme="minorHAnsi"/>
          <w:sz w:val="24"/>
          <w:szCs w:val="24"/>
        </w:rPr>
        <w:t xml:space="preserve"> cross-sectional survey design </w:t>
      </w:r>
      <w:r>
        <w:rPr>
          <w:rFonts w:cstheme="minorHAnsi"/>
          <w:sz w:val="24"/>
          <w:szCs w:val="24"/>
        </w:rPr>
        <w:t xml:space="preserve">carried out </w:t>
      </w:r>
      <w:r w:rsidRPr="00364DB0">
        <w:rPr>
          <w:rFonts w:cstheme="minorHAnsi"/>
          <w:sz w:val="24"/>
          <w:szCs w:val="24"/>
        </w:rPr>
        <w:t>using structured questionnaires</w:t>
      </w:r>
      <w:r>
        <w:rPr>
          <w:rFonts w:cstheme="minorHAnsi"/>
          <w:sz w:val="24"/>
          <w:szCs w:val="24"/>
        </w:rPr>
        <w:t>.</w:t>
      </w:r>
      <w:r w:rsidRPr="00364DB0">
        <w:rPr>
          <w:rFonts w:cstheme="minorHAnsi"/>
          <w:sz w:val="24"/>
          <w:szCs w:val="24"/>
        </w:rPr>
        <w:t xml:space="preserve"> </w:t>
      </w:r>
      <w:r w:rsidR="00204963" w:rsidRPr="00204963">
        <w:rPr>
          <w:rFonts w:cstheme="minorHAnsi"/>
          <w:sz w:val="24"/>
          <w:szCs w:val="24"/>
        </w:rPr>
        <w:t>Data were collected between May and August 2023</w:t>
      </w:r>
      <w:r w:rsidR="00204963">
        <w:rPr>
          <w:rFonts w:cstheme="minorHAnsi"/>
          <w:sz w:val="24"/>
          <w:szCs w:val="24"/>
        </w:rPr>
        <w:t xml:space="preserve">. </w:t>
      </w:r>
      <w:r w:rsidRPr="00364DB0">
        <w:rPr>
          <w:rFonts w:cstheme="minorHAnsi"/>
          <w:sz w:val="24"/>
          <w:szCs w:val="24"/>
        </w:rPr>
        <w:t xml:space="preserve">257 households </w:t>
      </w:r>
      <w:r>
        <w:rPr>
          <w:rFonts w:cstheme="minorHAnsi"/>
          <w:sz w:val="24"/>
          <w:szCs w:val="24"/>
        </w:rPr>
        <w:t xml:space="preserve">were </w:t>
      </w:r>
      <w:r w:rsidRPr="00364DB0">
        <w:rPr>
          <w:rFonts w:cstheme="minorHAnsi"/>
          <w:sz w:val="24"/>
          <w:szCs w:val="24"/>
        </w:rPr>
        <w:t>selected through a multistage sampling procedure. Household food security status was assessed using the Household Food Insecurity Access Scale (HFIAS), while wellness sustainability was measured using dietary consumption patterns</w:t>
      </w:r>
      <w:r>
        <w:rPr>
          <w:rFonts w:cstheme="minorHAnsi"/>
          <w:sz w:val="24"/>
          <w:szCs w:val="24"/>
        </w:rPr>
        <w:t>. This was</w:t>
      </w:r>
      <w:r w:rsidRPr="00364DB0">
        <w:rPr>
          <w:rFonts w:cstheme="minorHAnsi"/>
          <w:sz w:val="24"/>
          <w:szCs w:val="24"/>
        </w:rPr>
        <w:t xml:space="preserve"> based on the</w:t>
      </w:r>
      <w:r>
        <w:rPr>
          <w:rFonts w:cstheme="minorHAnsi"/>
          <w:sz w:val="24"/>
          <w:szCs w:val="24"/>
        </w:rPr>
        <w:t xml:space="preserve"> consumption </w:t>
      </w:r>
      <w:r w:rsidRPr="00364DB0">
        <w:rPr>
          <w:rFonts w:cstheme="minorHAnsi"/>
          <w:sz w:val="24"/>
          <w:szCs w:val="24"/>
        </w:rPr>
        <w:t xml:space="preserve">proportion of whole food plant-based diets. </w:t>
      </w:r>
    </w:p>
    <w:p w14:paraId="42782E17" w14:textId="77777777" w:rsidR="00364DB0" w:rsidRPr="00364DB0" w:rsidRDefault="00364DB0" w:rsidP="00F4229D">
      <w:pPr>
        <w:jc w:val="both"/>
        <w:rPr>
          <w:rFonts w:cstheme="minorHAnsi"/>
          <w:b/>
          <w:bCs/>
          <w:sz w:val="24"/>
          <w:szCs w:val="24"/>
        </w:rPr>
      </w:pPr>
      <w:r w:rsidRPr="00364DB0">
        <w:rPr>
          <w:rFonts w:cstheme="minorHAnsi"/>
          <w:b/>
          <w:bCs/>
          <w:sz w:val="24"/>
          <w:szCs w:val="24"/>
        </w:rPr>
        <w:t>Results</w:t>
      </w:r>
    </w:p>
    <w:p w14:paraId="178CEE44" w14:textId="1581DF93" w:rsidR="00364DB0" w:rsidRPr="00364DB0" w:rsidRDefault="00364DB0" w:rsidP="00F4229D">
      <w:pPr>
        <w:jc w:val="both"/>
        <w:rPr>
          <w:rFonts w:cstheme="minorHAnsi"/>
          <w:color w:val="FF0000"/>
          <w:sz w:val="24"/>
          <w:szCs w:val="24"/>
        </w:rPr>
      </w:pPr>
      <w:r>
        <w:rPr>
          <w:rFonts w:cstheme="minorHAnsi"/>
          <w:color w:val="FF0000"/>
          <w:sz w:val="24"/>
          <w:szCs w:val="24"/>
        </w:rPr>
        <w:t>From findings,</w:t>
      </w:r>
      <w:r w:rsidRPr="00364DB0">
        <w:rPr>
          <w:rFonts w:cstheme="minorHAnsi"/>
          <w:color w:val="FF0000"/>
          <w:sz w:val="24"/>
          <w:szCs w:val="24"/>
        </w:rPr>
        <w:t xml:space="preserve"> a considerable proportion</w:t>
      </w:r>
      <w:r w:rsidR="00AA7226">
        <w:rPr>
          <w:rFonts w:cstheme="minorHAnsi"/>
          <w:color w:val="FF0000"/>
          <w:sz w:val="24"/>
          <w:szCs w:val="24"/>
        </w:rPr>
        <w:t xml:space="preserve"> (</w:t>
      </w:r>
      <w:r w:rsidR="00AA7226" w:rsidRPr="00AA7226">
        <w:rPr>
          <w:rFonts w:cstheme="minorHAnsi"/>
          <w:color w:val="FF0000"/>
          <w:sz w:val="24"/>
          <w:szCs w:val="24"/>
          <w:lang w:val="en-US"/>
        </w:rPr>
        <w:t>19.07%</w:t>
      </w:r>
      <w:r w:rsidR="00AA7226">
        <w:rPr>
          <w:rFonts w:cstheme="minorHAnsi"/>
          <w:color w:val="FF0000"/>
          <w:sz w:val="24"/>
          <w:szCs w:val="24"/>
          <w:lang w:val="en-US"/>
        </w:rPr>
        <w:t>)</w:t>
      </w:r>
      <w:r w:rsidRPr="00364DB0">
        <w:rPr>
          <w:rFonts w:cstheme="minorHAnsi"/>
          <w:color w:val="FF0000"/>
          <w:sz w:val="24"/>
          <w:szCs w:val="24"/>
        </w:rPr>
        <w:t xml:space="preserve"> of households experienced food insecurity without hunger, while only a small proportion were both food secure and wellness sustainable</w:t>
      </w:r>
      <w:r w:rsidR="00AA7226">
        <w:rPr>
          <w:rFonts w:cstheme="minorHAnsi"/>
          <w:color w:val="FF0000"/>
          <w:sz w:val="24"/>
          <w:szCs w:val="24"/>
        </w:rPr>
        <w:t xml:space="preserve"> (</w:t>
      </w:r>
      <w:r w:rsidR="00AA7226" w:rsidRPr="00AA7226">
        <w:rPr>
          <w:rFonts w:cstheme="minorHAnsi"/>
          <w:color w:val="FF0000"/>
          <w:sz w:val="24"/>
          <w:szCs w:val="24"/>
          <w:lang w:val="en-US"/>
        </w:rPr>
        <w:t>10.51%</w:t>
      </w:r>
      <w:r w:rsidR="00AA7226">
        <w:rPr>
          <w:rFonts w:cstheme="minorHAnsi"/>
          <w:color w:val="FF0000"/>
          <w:sz w:val="24"/>
          <w:szCs w:val="24"/>
          <w:lang w:val="en-US"/>
        </w:rPr>
        <w:t>)</w:t>
      </w:r>
      <w:r w:rsidRPr="00364DB0">
        <w:rPr>
          <w:rFonts w:cstheme="minorHAnsi"/>
          <w:color w:val="FF0000"/>
          <w:sz w:val="24"/>
          <w:szCs w:val="24"/>
        </w:rPr>
        <w:t xml:space="preserve">. </w:t>
      </w:r>
      <w:r>
        <w:rPr>
          <w:rFonts w:cstheme="minorHAnsi"/>
          <w:color w:val="FF0000"/>
          <w:sz w:val="24"/>
          <w:szCs w:val="24"/>
        </w:rPr>
        <w:t>Factors like the income of each household,</w:t>
      </w:r>
      <w:r w:rsidRPr="00364DB0">
        <w:rPr>
          <w:rFonts w:cstheme="minorHAnsi"/>
          <w:color w:val="FF0000"/>
          <w:sz w:val="24"/>
          <w:szCs w:val="24"/>
        </w:rPr>
        <w:t xml:space="preserve"> marital status, occupation, household size, and residential location significantly influenced food security outcomes. </w:t>
      </w:r>
      <w:r w:rsidR="00204963" w:rsidRPr="00204963">
        <w:rPr>
          <w:rFonts w:cstheme="minorHAnsi"/>
          <w:color w:val="FF0000"/>
          <w:sz w:val="24"/>
          <w:szCs w:val="24"/>
        </w:rPr>
        <w:t>Household location significantly increased the probability of being food secure with wellness sustainability (</w:t>
      </w:r>
      <w:proofErr w:type="spellStart"/>
      <w:r w:rsidR="00204963" w:rsidRPr="00204963">
        <w:rPr>
          <w:rFonts w:cstheme="minorHAnsi"/>
          <w:color w:val="FF0000"/>
          <w:sz w:val="24"/>
          <w:szCs w:val="24"/>
        </w:rPr>
        <w:t>dy</w:t>
      </w:r>
      <w:proofErr w:type="spellEnd"/>
      <w:r w:rsidR="00204963" w:rsidRPr="00204963">
        <w:rPr>
          <w:rFonts w:cstheme="minorHAnsi"/>
          <w:color w:val="FF0000"/>
          <w:sz w:val="24"/>
          <w:szCs w:val="24"/>
        </w:rPr>
        <w:t>/dx = 0.108, p &lt; 0.01), while increasing age reduced the likelihood of attaining food security with wellness sustainability (p &lt; 0.10). Household income, occupation, marital status, and household size were also significant determinants of food security and wellness sustainability outcomes (p &lt; 0.05)</w:t>
      </w:r>
    </w:p>
    <w:p w14:paraId="149D6C3D" w14:textId="77777777" w:rsidR="00364DB0" w:rsidRPr="00364DB0" w:rsidRDefault="00364DB0" w:rsidP="00F4229D">
      <w:pPr>
        <w:jc w:val="both"/>
        <w:rPr>
          <w:rFonts w:cstheme="minorHAnsi"/>
          <w:b/>
          <w:bCs/>
          <w:color w:val="FF0000"/>
          <w:sz w:val="24"/>
          <w:szCs w:val="24"/>
        </w:rPr>
      </w:pPr>
      <w:r w:rsidRPr="00364DB0">
        <w:rPr>
          <w:rFonts w:cstheme="minorHAnsi"/>
          <w:b/>
          <w:bCs/>
          <w:color w:val="FF0000"/>
          <w:sz w:val="24"/>
          <w:szCs w:val="24"/>
        </w:rPr>
        <w:t>Conclusion</w:t>
      </w:r>
    </w:p>
    <w:p w14:paraId="764E2936" w14:textId="16844AD3" w:rsidR="00364DB0" w:rsidRPr="00364DB0" w:rsidRDefault="00364DB0" w:rsidP="00F4229D">
      <w:pPr>
        <w:jc w:val="both"/>
        <w:rPr>
          <w:rFonts w:cstheme="minorHAnsi"/>
          <w:color w:val="FF0000"/>
          <w:sz w:val="24"/>
          <w:szCs w:val="24"/>
        </w:rPr>
      </w:pPr>
      <w:r>
        <w:rPr>
          <w:rFonts w:cstheme="minorHAnsi"/>
          <w:color w:val="FF0000"/>
          <w:sz w:val="24"/>
          <w:szCs w:val="24"/>
        </w:rPr>
        <w:lastRenderedPageBreak/>
        <w:t>F</w:t>
      </w:r>
      <w:r w:rsidRPr="00364DB0">
        <w:rPr>
          <w:rFonts w:cstheme="minorHAnsi"/>
          <w:color w:val="FF0000"/>
          <w:sz w:val="24"/>
          <w:szCs w:val="24"/>
        </w:rPr>
        <w:t>ood access alone does not guarantee wellness sustainability. Many households with adequate food access still consumed unhealthy diets that may predispose them to non-communicable diseases. The findings emphasize the importance of integrating dietary quality and wellness sustainability into food security policies and interventions in Nigeria.</w:t>
      </w:r>
    </w:p>
    <w:p w14:paraId="2F9000A4" w14:textId="6E0550D5" w:rsidR="00364DB0" w:rsidRPr="00364DB0" w:rsidRDefault="00364DB0" w:rsidP="00F4229D">
      <w:pPr>
        <w:jc w:val="both"/>
        <w:rPr>
          <w:rFonts w:cstheme="minorHAnsi"/>
          <w:b/>
          <w:bCs/>
          <w:sz w:val="24"/>
          <w:szCs w:val="24"/>
        </w:rPr>
      </w:pPr>
      <w:r w:rsidRPr="00364DB0">
        <w:rPr>
          <w:rFonts w:cstheme="minorHAnsi"/>
          <w:b/>
          <w:bCs/>
          <w:sz w:val="24"/>
          <w:szCs w:val="24"/>
        </w:rPr>
        <w:t>Keywords</w:t>
      </w:r>
    </w:p>
    <w:p w14:paraId="42756F84" w14:textId="02543A2E" w:rsidR="00364DB0" w:rsidRPr="00364DB0" w:rsidRDefault="00364DB0" w:rsidP="00F4229D">
      <w:pPr>
        <w:jc w:val="both"/>
        <w:rPr>
          <w:rFonts w:cstheme="minorHAnsi"/>
          <w:color w:val="FF0000"/>
          <w:sz w:val="24"/>
          <w:szCs w:val="24"/>
        </w:rPr>
      </w:pPr>
      <w:r w:rsidRPr="00364DB0">
        <w:rPr>
          <w:rFonts w:cstheme="minorHAnsi"/>
          <w:color w:val="FF0000"/>
          <w:sz w:val="24"/>
          <w:szCs w:val="24"/>
        </w:rPr>
        <w:t>Food security; Wellness sustainability; Dietary patterns; Household nutrition; Urban households</w:t>
      </w:r>
      <w:r w:rsidR="00204963">
        <w:rPr>
          <w:rFonts w:cstheme="minorHAnsi"/>
          <w:color w:val="FF0000"/>
          <w:sz w:val="24"/>
          <w:szCs w:val="24"/>
        </w:rPr>
        <w:t>.</w:t>
      </w:r>
    </w:p>
    <w:p w14:paraId="307FD781" w14:textId="77777777" w:rsidR="002579E5" w:rsidRPr="004E52C2" w:rsidRDefault="002579E5" w:rsidP="00F4229D">
      <w:pPr>
        <w:jc w:val="both"/>
        <w:rPr>
          <w:rFonts w:cstheme="minorHAnsi"/>
          <w:sz w:val="24"/>
          <w:szCs w:val="24"/>
        </w:rPr>
      </w:pPr>
    </w:p>
    <w:p w14:paraId="1D20ED40" w14:textId="53449F5A" w:rsidR="00230BC4" w:rsidRPr="004E52C2" w:rsidRDefault="00230BC4" w:rsidP="00F4229D">
      <w:pPr>
        <w:jc w:val="both"/>
        <w:rPr>
          <w:rFonts w:cstheme="minorHAnsi"/>
          <w:b/>
          <w:sz w:val="24"/>
          <w:szCs w:val="24"/>
          <w:lang w:val="en-US"/>
        </w:rPr>
      </w:pPr>
      <w:bookmarkStart w:id="2" w:name="_Toc140036387"/>
      <w:bookmarkStart w:id="3" w:name="_Toc140036428"/>
      <w:r w:rsidRPr="004E52C2">
        <w:rPr>
          <w:rFonts w:cstheme="minorHAnsi"/>
          <w:b/>
          <w:sz w:val="24"/>
          <w:szCs w:val="24"/>
          <w:lang w:val="en-US"/>
        </w:rPr>
        <w:t xml:space="preserve">1.1 </w:t>
      </w:r>
      <w:bookmarkEnd w:id="2"/>
      <w:bookmarkEnd w:id="3"/>
      <w:r w:rsidR="00AC2005" w:rsidRPr="004E52C2">
        <w:rPr>
          <w:rFonts w:cstheme="minorHAnsi"/>
          <w:b/>
          <w:sz w:val="24"/>
          <w:szCs w:val="24"/>
          <w:lang w:val="en-US"/>
        </w:rPr>
        <w:t>Introduction</w:t>
      </w:r>
    </w:p>
    <w:p w14:paraId="261F8F09" w14:textId="5E3FBCE0" w:rsidR="00377B73" w:rsidRPr="00377B73" w:rsidRDefault="00377B73" w:rsidP="00F4229D">
      <w:pPr>
        <w:jc w:val="both"/>
        <w:rPr>
          <w:rFonts w:cstheme="minorHAnsi"/>
          <w:sz w:val="24"/>
          <w:szCs w:val="24"/>
        </w:rPr>
      </w:pPr>
      <w:r w:rsidRPr="00377B73">
        <w:rPr>
          <w:rFonts w:cstheme="minorHAnsi"/>
          <w:sz w:val="24"/>
          <w:szCs w:val="24"/>
        </w:rPr>
        <w:t>Food security is still a major health problem and socioeconomic issue on the planet, especially in the developing countries, like Nigeria, where food price increases, inflation, unemployment and urban poverty continue to impact the wellbeing of household</w:t>
      </w:r>
      <w:r>
        <w:rPr>
          <w:rFonts w:cstheme="minorHAnsi"/>
          <w:sz w:val="24"/>
          <w:szCs w:val="24"/>
        </w:rPr>
        <w:t xml:space="preserve"> </w:t>
      </w:r>
      <w:r w:rsidRPr="00377B73">
        <w:rPr>
          <w:rFonts w:cstheme="minorHAnsi"/>
          <w:sz w:val="24"/>
          <w:szCs w:val="24"/>
          <w:lang w:val="en-US"/>
        </w:rPr>
        <w:t>(</w:t>
      </w:r>
      <w:r w:rsidRPr="00377B73">
        <w:rPr>
          <w:rFonts w:cstheme="minorHAnsi"/>
          <w:sz w:val="24"/>
          <w:szCs w:val="24"/>
        </w:rPr>
        <w:t>Nisbet</w:t>
      </w:r>
      <w:r w:rsidRPr="00377B73">
        <w:rPr>
          <w:rFonts w:cstheme="minorHAnsi"/>
          <w:sz w:val="24"/>
          <w:szCs w:val="24"/>
          <w:lang w:val="en-US"/>
        </w:rPr>
        <w:t xml:space="preserve"> et al., 2022</w:t>
      </w:r>
      <w:r w:rsidR="008532CF">
        <w:rPr>
          <w:rFonts w:cstheme="minorHAnsi"/>
          <w:sz w:val="24"/>
          <w:szCs w:val="24"/>
          <w:lang w:val="en-US"/>
        </w:rPr>
        <w:t xml:space="preserve">; </w:t>
      </w:r>
      <w:proofErr w:type="spellStart"/>
      <w:r w:rsidRPr="00377B73">
        <w:rPr>
          <w:rFonts w:cstheme="minorHAnsi"/>
          <w:sz w:val="24"/>
          <w:szCs w:val="24"/>
        </w:rPr>
        <w:t>Tyczewska</w:t>
      </w:r>
      <w:proofErr w:type="spellEnd"/>
      <w:r w:rsidRPr="00377B73">
        <w:rPr>
          <w:rFonts w:cstheme="minorHAnsi"/>
          <w:sz w:val="24"/>
          <w:szCs w:val="24"/>
          <w:lang w:val="en-US"/>
        </w:rPr>
        <w:t xml:space="preserve"> et al., 2023)</w:t>
      </w:r>
      <w:r w:rsidRPr="00377B73">
        <w:rPr>
          <w:rFonts w:cstheme="minorHAnsi"/>
          <w:sz w:val="24"/>
          <w:szCs w:val="24"/>
        </w:rPr>
        <w:t>. Households in many urban areas are now more reliant on food purchased, which exposes them to price volatility in the food system and economic instability. While food is available in urban areas, many homes face challenges related to the availability of sufficient, nutritious, and diverse diets for good health</w:t>
      </w:r>
      <w:r w:rsidR="0044363A">
        <w:rPr>
          <w:rFonts w:cstheme="minorHAnsi"/>
          <w:sz w:val="24"/>
          <w:szCs w:val="24"/>
        </w:rPr>
        <w:t xml:space="preserve"> </w:t>
      </w:r>
      <w:r w:rsidR="0044363A" w:rsidRPr="0044363A">
        <w:rPr>
          <w:rFonts w:cstheme="minorHAnsi"/>
          <w:sz w:val="24"/>
          <w:szCs w:val="24"/>
          <w:lang w:val="en-US"/>
        </w:rPr>
        <w:t>(</w:t>
      </w:r>
      <w:r w:rsidR="0044363A" w:rsidRPr="0044363A">
        <w:rPr>
          <w:rFonts w:cstheme="minorHAnsi"/>
          <w:sz w:val="24"/>
          <w:szCs w:val="24"/>
        </w:rPr>
        <w:t>Shembe</w:t>
      </w:r>
      <w:r w:rsidR="0044363A" w:rsidRPr="0044363A">
        <w:rPr>
          <w:rFonts w:cstheme="minorHAnsi"/>
          <w:sz w:val="24"/>
          <w:szCs w:val="24"/>
          <w:lang w:val="en-US"/>
        </w:rPr>
        <w:t xml:space="preserve"> et al., 2023)</w:t>
      </w:r>
      <w:r w:rsidRPr="00377B73">
        <w:rPr>
          <w:rFonts w:cstheme="minorHAnsi"/>
          <w:sz w:val="24"/>
          <w:szCs w:val="24"/>
        </w:rPr>
        <w:t>. As a result, food security has gained momentum as a problem in urban Nigeria as a result of the fast urbanization, economic instability, and changing food consumption habits.</w:t>
      </w:r>
    </w:p>
    <w:p w14:paraId="357E5F03" w14:textId="482A49C4" w:rsidR="0044363A" w:rsidRDefault="0044363A" w:rsidP="00F4229D">
      <w:pPr>
        <w:jc w:val="both"/>
        <w:rPr>
          <w:rFonts w:cstheme="minorHAnsi"/>
          <w:sz w:val="24"/>
          <w:szCs w:val="24"/>
        </w:rPr>
      </w:pPr>
      <w:r w:rsidRPr="0044363A">
        <w:rPr>
          <w:rFonts w:cstheme="minorHAnsi"/>
          <w:sz w:val="24"/>
          <w:szCs w:val="24"/>
        </w:rPr>
        <w:t>A person is considered to be food secure by having “Access at all times to enough food for an active, healthy life. Food security includes, at a minimum: (1) the ready availability of nutritionally adequate and safe foods, and (2) an assured ability to acquire acceptable foods in socially acceptable ways (e.g., without resorting to emergency food supplies, scavenging, stealing, or other coping strategies). It is widely acknowledged that food systems sustainability must entail long-term food and nutrition security in its availability, access</w:t>
      </w:r>
      <w:r w:rsidR="00204963">
        <w:rPr>
          <w:rFonts w:cstheme="minorHAnsi"/>
          <w:sz w:val="24"/>
          <w:szCs w:val="24"/>
        </w:rPr>
        <w:t xml:space="preserve"> </w:t>
      </w:r>
      <w:r w:rsidR="00204963" w:rsidRPr="0044363A">
        <w:rPr>
          <w:rFonts w:cstheme="minorHAnsi"/>
          <w:sz w:val="24"/>
          <w:szCs w:val="24"/>
        </w:rPr>
        <w:t>(Graves et al., 2021)</w:t>
      </w:r>
      <w:r w:rsidRPr="0044363A">
        <w:rPr>
          <w:rFonts w:cstheme="minorHAnsi"/>
          <w:sz w:val="24"/>
          <w:szCs w:val="24"/>
        </w:rPr>
        <w:t>, utilization, and stability dimensions for food systems to deliver food and nutrition security for present and future generations (Hamid et al., 2019).</w:t>
      </w:r>
    </w:p>
    <w:p w14:paraId="71D34F24" w14:textId="27D481FD" w:rsidR="00377B73" w:rsidRPr="00377B73" w:rsidRDefault="00377B73" w:rsidP="00F4229D">
      <w:pPr>
        <w:jc w:val="both"/>
        <w:rPr>
          <w:rFonts w:cstheme="minorHAnsi"/>
          <w:sz w:val="24"/>
          <w:szCs w:val="24"/>
        </w:rPr>
      </w:pPr>
      <w:r w:rsidRPr="00377B73">
        <w:rPr>
          <w:rFonts w:cstheme="minorHAnsi"/>
          <w:sz w:val="24"/>
          <w:szCs w:val="24"/>
        </w:rPr>
        <w:t>The dietary consumption pattern of households has been drastically changed in Nigeria in the era of urbanization and modernization. Urban residents are more likely to have an unhealthy diet characterized by greater consumption of processed foods, processed sugars, unhealthy fats and processed meats and higher salt intake</w:t>
      </w:r>
      <w:r w:rsidR="0044363A">
        <w:rPr>
          <w:rFonts w:cstheme="minorHAnsi"/>
          <w:sz w:val="24"/>
          <w:szCs w:val="24"/>
        </w:rPr>
        <w:t xml:space="preserve"> </w:t>
      </w:r>
      <w:r w:rsidR="0044363A" w:rsidRPr="00B26EE0">
        <w:rPr>
          <w:rFonts w:cstheme="minorHAnsi"/>
          <w:sz w:val="24"/>
          <w:szCs w:val="24"/>
          <w:lang w:val="en-US"/>
        </w:rPr>
        <w:t>(Cena and Calder, 2020)</w:t>
      </w:r>
      <w:r w:rsidRPr="00377B73">
        <w:rPr>
          <w:rFonts w:cstheme="minorHAnsi"/>
          <w:sz w:val="24"/>
          <w:szCs w:val="24"/>
        </w:rPr>
        <w:t>. Some households may be able to physically and economically access food, but the nutritional quality of their diets they eat may not be enough to achieve long-term health and wellness. As a result, unhealthy dietary habits have increasingly been linked to the rising occurrence of non-communicable disease (NCDs) like obesity, hypertension, diabetes mellitus and cardiovascular diseases</w:t>
      </w:r>
      <w:r w:rsidR="0044363A">
        <w:rPr>
          <w:rFonts w:cstheme="minorHAnsi"/>
          <w:sz w:val="24"/>
          <w:szCs w:val="24"/>
        </w:rPr>
        <w:t xml:space="preserve"> </w:t>
      </w:r>
      <w:r w:rsidR="0044363A" w:rsidRPr="0044363A">
        <w:rPr>
          <w:rFonts w:cstheme="minorHAnsi"/>
          <w:sz w:val="24"/>
          <w:szCs w:val="24"/>
        </w:rPr>
        <w:t>(Senee et al., 2022</w:t>
      </w:r>
      <w:r w:rsidR="008532CF">
        <w:rPr>
          <w:rFonts w:cstheme="minorHAnsi"/>
          <w:sz w:val="24"/>
          <w:szCs w:val="24"/>
        </w:rPr>
        <w:t xml:space="preserve">; </w:t>
      </w:r>
      <w:proofErr w:type="spellStart"/>
      <w:r w:rsidR="008532CF" w:rsidRPr="008532CF">
        <w:rPr>
          <w:rFonts w:cstheme="minorHAnsi"/>
          <w:sz w:val="24"/>
          <w:szCs w:val="24"/>
        </w:rPr>
        <w:t>Hadavandsiri</w:t>
      </w:r>
      <w:proofErr w:type="spellEnd"/>
      <w:r w:rsidR="008532CF" w:rsidRPr="0044363A">
        <w:rPr>
          <w:rFonts w:cstheme="minorHAnsi"/>
          <w:sz w:val="24"/>
          <w:szCs w:val="24"/>
        </w:rPr>
        <w:t>, 20</w:t>
      </w:r>
      <w:r w:rsidR="008532CF">
        <w:rPr>
          <w:rFonts w:cstheme="minorHAnsi"/>
          <w:sz w:val="24"/>
          <w:szCs w:val="24"/>
        </w:rPr>
        <w:t>23</w:t>
      </w:r>
      <w:r w:rsidR="0044363A" w:rsidRPr="0044363A">
        <w:rPr>
          <w:rFonts w:cstheme="minorHAnsi"/>
          <w:sz w:val="24"/>
          <w:szCs w:val="24"/>
        </w:rPr>
        <w:t>).</w:t>
      </w:r>
      <w:r w:rsidRPr="00377B73">
        <w:rPr>
          <w:rFonts w:cstheme="minorHAnsi"/>
          <w:sz w:val="24"/>
          <w:szCs w:val="24"/>
        </w:rPr>
        <w:t xml:space="preserve"> Nigeria and other developing countries are facing problems because of the increasing role these diseases play in morbidity and mortality.</w:t>
      </w:r>
    </w:p>
    <w:p w14:paraId="7C765A1B" w14:textId="6FF5417F" w:rsidR="00377B73" w:rsidRPr="00377B73" w:rsidRDefault="00377B73" w:rsidP="00F4229D">
      <w:pPr>
        <w:jc w:val="both"/>
        <w:rPr>
          <w:rFonts w:cstheme="minorHAnsi"/>
          <w:sz w:val="24"/>
          <w:szCs w:val="24"/>
        </w:rPr>
      </w:pPr>
      <w:r w:rsidRPr="00377B73">
        <w:rPr>
          <w:rFonts w:cstheme="minorHAnsi"/>
          <w:sz w:val="24"/>
          <w:szCs w:val="24"/>
        </w:rPr>
        <w:t>Food security at household level is frequently measured in terms of food availability, food accessibility and food affordability</w:t>
      </w:r>
      <w:r w:rsidR="00090D05">
        <w:rPr>
          <w:rFonts w:cstheme="minorHAnsi"/>
          <w:sz w:val="24"/>
          <w:szCs w:val="24"/>
        </w:rPr>
        <w:t xml:space="preserve"> (</w:t>
      </w:r>
      <w:proofErr w:type="spellStart"/>
      <w:r w:rsidR="00ED40A9" w:rsidRPr="003D34E0">
        <w:rPr>
          <w:rFonts w:cstheme="minorHAnsi"/>
          <w:sz w:val="24"/>
          <w:szCs w:val="24"/>
        </w:rPr>
        <w:t>Enilolobo</w:t>
      </w:r>
      <w:proofErr w:type="spellEnd"/>
      <w:r w:rsidR="00ED40A9">
        <w:rPr>
          <w:rFonts w:cstheme="minorHAnsi"/>
          <w:sz w:val="24"/>
          <w:szCs w:val="24"/>
        </w:rPr>
        <w:t xml:space="preserve"> et al., 2022)</w:t>
      </w:r>
      <w:r w:rsidRPr="00377B73">
        <w:rPr>
          <w:rFonts w:cstheme="minorHAnsi"/>
          <w:sz w:val="24"/>
          <w:szCs w:val="24"/>
        </w:rPr>
        <w:t xml:space="preserve">. But, access to sufficient food is not </w:t>
      </w:r>
      <w:r w:rsidRPr="00377B73">
        <w:rPr>
          <w:rFonts w:cstheme="minorHAnsi"/>
          <w:sz w:val="24"/>
          <w:szCs w:val="24"/>
        </w:rPr>
        <w:lastRenderedPageBreak/>
        <w:t>always enough to ensure nutritional well-being and continued good health. Households which appear to be food secure may still be eating poor diets with low dietary diversity and a high intake of processed and refined foods</w:t>
      </w:r>
      <w:r w:rsidR="0044363A">
        <w:rPr>
          <w:rFonts w:cstheme="minorHAnsi"/>
          <w:sz w:val="24"/>
          <w:szCs w:val="24"/>
        </w:rPr>
        <w:t xml:space="preserve"> </w:t>
      </w:r>
      <w:r w:rsidR="0044363A" w:rsidRPr="00B26EE0">
        <w:rPr>
          <w:rFonts w:cstheme="minorHAnsi"/>
          <w:sz w:val="24"/>
          <w:szCs w:val="24"/>
          <w:lang w:val="en-US"/>
        </w:rPr>
        <w:t>(</w:t>
      </w:r>
      <w:proofErr w:type="spellStart"/>
      <w:r w:rsidR="00A559C7" w:rsidRPr="00A559C7">
        <w:rPr>
          <w:rFonts w:cstheme="minorHAnsi"/>
          <w:sz w:val="24"/>
          <w:szCs w:val="24"/>
          <w:lang w:val="en-US"/>
        </w:rPr>
        <w:t>Kohanmoo</w:t>
      </w:r>
      <w:proofErr w:type="spellEnd"/>
      <w:r w:rsidR="00A559C7">
        <w:rPr>
          <w:rFonts w:cstheme="minorHAnsi"/>
          <w:sz w:val="24"/>
          <w:szCs w:val="24"/>
          <w:lang w:val="en-US"/>
        </w:rPr>
        <w:t xml:space="preserve"> et al.</w:t>
      </w:r>
      <w:r w:rsidR="0044363A" w:rsidRPr="00B26EE0">
        <w:rPr>
          <w:rFonts w:cstheme="minorHAnsi"/>
          <w:sz w:val="24"/>
          <w:szCs w:val="24"/>
          <w:lang w:val="en-US"/>
        </w:rPr>
        <w:t>, 20</w:t>
      </w:r>
      <w:r w:rsidR="00A559C7">
        <w:rPr>
          <w:rFonts w:cstheme="minorHAnsi"/>
          <w:sz w:val="24"/>
          <w:szCs w:val="24"/>
          <w:lang w:val="en-US"/>
        </w:rPr>
        <w:t>24</w:t>
      </w:r>
      <w:r w:rsidR="0044363A">
        <w:rPr>
          <w:rFonts w:cstheme="minorHAnsi"/>
          <w:sz w:val="24"/>
          <w:szCs w:val="24"/>
          <w:lang w:val="en-US"/>
        </w:rPr>
        <w:t>)</w:t>
      </w:r>
      <w:r w:rsidRPr="00377B73">
        <w:rPr>
          <w:rFonts w:cstheme="minorHAnsi"/>
          <w:sz w:val="24"/>
          <w:szCs w:val="24"/>
        </w:rPr>
        <w:t>. This indicates that quantity of food alone might not be enough to explain nutritional wellbeing in households. Thus, the quality and sustainability of households' diet consumption patterns are increasingly moving to the centre of attention.</w:t>
      </w:r>
    </w:p>
    <w:p w14:paraId="39455551" w14:textId="05FCDE64" w:rsidR="00377B73" w:rsidRPr="00377B73" w:rsidRDefault="00377B73" w:rsidP="00F4229D">
      <w:pPr>
        <w:jc w:val="both"/>
        <w:rPr>
          <w:rFonts w:cstheme="minorHAnsi"/>
          <w:sz w:val="24"/>
          <w:szCs w:val="24"/>
        </w:rPr>
      </w:pPr>
      <w:r w:rsidRPr="00377B73">
        <w:rPr>
          <w:rFonts w:cstheme="minorHAnsi"/>
          <w:sz w:val="24"/>
          <w:szCs w:val="24"/>
        </w:rPr>
        <w:t>Wellness sustainability is not just about food availability, but also whether household dietary patterns are conducive to long-term physical wellness and disease prevention</w:t>
      </w:r>
      <w:r w:rsidR="0044363A">
        <w:rPr>
          <w:rFonts w:cstheme="minorHAnsi"/>
          <w:sz w:val="24"/>
          <w:szCs w:val="24"/>
        </w:rPr>
        <w:t xml:space="preserve"> </w:t>
      </w:r>
      <w:r w:rsidR="0044363A" w:rsidRPr="00B26EE0">
        <w:rPr>
          <w:rFonts w:cstheme="minorHAnsi"/>
          <w:sz w:val="24"/>
          <w:szCs w:val="24"/>
          <w:lang w:val="en-US"/>
        </w:rPr>
        <w:t>(Cena and Calder, 2020)</w:t>
      </w:r>
      <w:r w:rsidRPr="00377B73">
        <w:rPr>
          <w:rFonts w:cstheme="minorHAnsi"/>
          <w:sz w:val="24"/>
          <w:szCs w:val="24"/>
        </w:rPr>
        <w:t xml:space="preserve">. </w:t>
      </w:r>
      <w:bookmarkStart w:id="4" w:name="_Hlk230682679"/>
      <w:r w:rsidRPr="00377B73">
        <w:rPr>
          <w:rFonts w:cstheme="minorHAnsi"/>
          <w:sz w:val="24"/>
          <w:szCs w:val="24"/>
        </w:rPr>
        <w:t>Fruits, vegetables, legumes, whole grains, roots and tubers, nuts and seeds are known to bring better nutrition outcomes and lower risk of diet-related diseases</w:t>
      </w:r>
      <w:bookmarkEnd w:id="4"/>
      <w:r w:rsidR="002E0CD8">
        <w:rPr>
          <w:rFonts w:cstheme="minorHAnsi"/>
          <w:sz w:val="24"/>
          <w:szCs w:val="24"/>
        </w:rPr>
        <w:t xml:space="preserve"> (</w:t>
      </w:r>
      <w:proofErr w:type="spellStart"/>
      <w:r w:rsidR="002E0CD8" w:rsidRPr="002E0CD8">
        <w:rPr>
          <w:rFonts w:cstheme="minorHAnsi"/>
          <w:sz w:val="24"/>
          <w:szCs w:val="24"/>
        </w:rPr>
        <w:t>Fresnais</w:t>
      </w:r>
      <w:proofErr w:type="spellEnd"/>
      <w:r w:rsidR="002E0CD8">
        <w:rPr>
          <w:rFonts w:cstheme="minorHAnsi"/>
          <w:sz w:val="24"/>
          <w:szCs w:val="24"/>
        </w:rPr>
        <w:t xml:space="preserve"> et al., 2024)</w:t>
      </w:r>
      <w:r w:rsidRPr="00377B73">
        <w:rPr>
          <w:rFonts w:cstheme="minorHAnsi"/>
          <w:sz w:val="24"/>
          <w:szCs w:val="24"/>
        </w:rPr>
        <w:t>. Conversely, diets consisting of highly processed and refined foods can undermine household wellness in the context of good food access. The whole food plant-based dietary pattern has come to the forefront as a means to encourage healthier lives, prevent non-communicable diseases and enhance long-term health.</w:t>
      </w:r>
    </w:p>
    <w:p w14:paraId="37886F4E" w14:textId="25C5D8BE" w:rsidR="00377B73" w:rsidRPr="0044363A" w:rsidRDefault="0044363A" w:rsidP="00F4229D">
      <w:pPr>
        <w:jc w:val="both"/>
        <w:rPr>
          <w:rFonts w:cstheme="minorHAnsi"/>
          <w:sz w:val="24"/>
          <w:szCs w:val="24"/>
          <w:lang w:val="en-US"/>
        </w:rPr>
      </w:pPr>
      <w:r w:rsidRPr="0044363A">
        <w:rPr>
          <w:rFonts w:cstheme="minorHAnsi"/>
          <w:sz w:val="24"/>
          <w:szCs w:val="24"/>
          <w:lang w:val="en-US"/>
        </w:rPr>
        <w:t>A major contributor to NCDs is modern dietary changes characterized by shifting consumption from diets rich in whole roots and tubers, fruits, legumes, vegetables and cereals to refined carbohydrates, added sugars, fats and animal-source foods</w:t>
      </w:r>
      <w:r w:rsidR="002E0CD8">
        <w:rPr>
          <w:rFonts w:cstheme="minorHAnsi"/>
          <w:sz w:val="24"/>
          <w:szCs w:val="24"/>
          <w:lang w:val="en-US"/>
        </w:rPr>
        <w:t xml:space="preserve"> (</w:t>
      </w:r>
      <w:r w:rsidR="002E0CD8" w:rsidRPr="003D34E0">
        <w:rPr>
          <w:rFonts w:cstheme="minorHAnsi"/>
          <w:sz w:val="24"/>
          <w:szCs w:val="24"/>
        </w:rPr>
        <w:t>Hecht</w:t>
      </w:r>
      <w:r w:rsidR="002E0CD8">
        <w:rPr>
          <w:rFonts w:cstheme="minorHAnsi"/>
          <w:sz w:val="24"/>
          <w:szCs w:val="24"/>
        </w:rPr>
        <w:t xml:space="preserve"> et al., 2019)</w:t>
      </w:r>
      <w:r w:rsidRPr="0044363A">
        <w:rPr>
          <w:rFonts w:cstheme="minorHAnsi"/>
          <w:sz w:val="24"/>
          <w:szCs w:val="24"/>
          <w:lang w:val="en-US"/>
        </w:rPr>
        <w:t xml:space="preserve">. Furthermore, preventing these diseases and their treatment requires the observance of proper diet (diet and lifestyle) and eating the best quality food </w:t>
      </w:r>
      <w:sdt>
        <w:sdtPr>
          <w:rPr>
            <w:rFonts w:cstheme="minorHAnsi"/>
            <w:sz w:val="24"/>
            <w:szCs w:val="24"/>
            <w:lang w:val="en-US"/>
          </w:rPr>
          <w:id w:val="1461847394"/>
          <w:citation/>
        </w:sdtPr>
        <w:sdtContent>
          <w:r w:rsidRPr="0044363A">
            <w:rPr>
              <w:rFonts w:cstheme="minorHAnsi"/>
              <w:sz w:val="24"/>
              <w:szCs w:val="24"/>
              <w:lang w:val="en-US"/>
            </w:rPr>
            <w:fldChar w:fldCharType="begin"/>
          </w:r>
          <w:r w:rsidRPr="0044363A">
            <w:rPr>
              <w:rFonts w:cstheme="minorHAnsi"/>
              <w:sz w:val="24"/>
              <w:szCs w:val="24"/>
              <w:lang w:val="en-US"/>
            </w:rPr>
            <w:instrText xml:space="preserve">CITATION Rem16 \l 1033 </w:instrText>
          </w:r>
          <w:r w:rsidRPr="0044363A">
            <w:rPr>
              <w:rFonts w:cstheme="minorHAnsi"/>
              <w:sz w:val="24"/>
              <w:szCs w:val="24"/>
              <w:lang w:val="en-US"/>
            </w:rPr>
            <w:fldChar w:fldCharType="separate"/>
          </w:r>
          <w:r w:rsidRPr="0044363A">
            <w:rPr>
              <w:rFonts w:cstheme="minorHAnsi"/>
              <w:sz w:val="24"/>
              <w:szCs w:val="24"/>
              <w:lang w:val="en-US"/>
            </w:rPr>
            <w:t>(Rembialkowska, 2016)</w:t>
          </w:r>
          <w:r w:rsidRPr="0044363A">
            <w:rPr>
              <w:rFonts w:cstheme="minorHAnsi"/>
              <w:sz w:val="24"/>
              <w:szCs w:val="24"/>
            </w:rPr>
            <w:fldChar w:fldCharType="end"/>
          </w:r>
        </w:sdtContent>
      </w:sdt>
      <w:r w:rsidRPr="0044363A">
        <w:rPr>
          <w:rFonts w:cstheme="minorHAnsi"/>
          <w:sz w:val="24"/>
          <w:szCs w:val="24"/>
          <w:lang w:val="en-US"/>
        </w:rPr>
        <w:t>. There is as yet no commonly agreed-upon definition of sustainable food consumption. Perhaps the most encompassing attempt is that introduced by the UK Sustainable Development Commission (2005; 2009), defining “sustainable food and drink” as that which is safe, healthy, and nutritious for consumers</w:t>
      </w:r>
      <w:r w:rsidR="00377B73" w:rsidRPr="00377B73">
        <w:rPr>
          <w:rFonts w:cstheme="minorHAnsi"/>
          <w:sz w:val="24"/>
          <w:szCs w:val="24"/>
        </w:rPr>
        <w:t xml:space="preserve">. Ene-Obong et al. (2017) indicated that nutritional decisions and food allocation in households have significant effect on the quality of nutrition and the nutritional outcomes. Likewise, Islam et al. (2023) reported that dietary diversity has a positive impact on micronutrient intake and on the chances of malnutrition. </w:t>
      </w:r>
    </w:p>
    <w:p w14:paraId="38A665E5" w14:textId="1F2A5B31" w:rsidR="00377B73" w:rsidRPr="00377B73" w:rsidRDefault="00377B73" w:rsidP="00F4229D">
      <w:pPr>
        <w:jc w:val="both"/>
        <w:rPr>
          <w:rFonts w:cstheme="minorHAnsi"/>
          <w:sz w:val="24"/>
          <w:szCs w:val="24"/>
        </w:rPr>
      </w:pPr>
      <w:r w:rsidRPr="00377B73">
        <w:rPr>
          <w:rFonts w:cstheme="minorHAnsi"/>
          <w:sz w:val="24"/>
          <w:szCs w:val="24"/>
        </w:rPr>
        <w:t>A variety of socio-economic factors affect the sustainability of food security and dietary wellness in households</w:t>
      </w:r>
      <w:r w:rsidR="00ED40A9">
        <w:rPr>
          <w:rFonts w:cstheme="minorHAnsi"/>
          <w:sz w:val="24"/>
          <w:szCs w:val="24"/>
        </w:rPr>
        <w:t xml:space="preserve"> (</w:t>
      </w:r>
      <w:proofErr w:type="spellStart"/>
      <w:r w:rsidR="00ED40A9">
        <w:rPr>
          <w:rFonts w:cstheme="minorHAnsi"/>
          <w:sz w:val="24"/>
          <w:szCs w:val="24"/>
        </w:rPr>
        <w:t>Eniloloba</w:t>
      </w:r>
      <w:proofErr w:type="spellEnd"/>
      <w:r w:rsidR="00ED40A9">
        <w:rPr>
          <w:rFonts w:cstheme="minorHAnsi"/>
          <w:sz w:val="24"/>
          <w:szCs w:val="24"/>
        </w:rPr>
        <w:t xml:space="preserve"> et al., 2022)</w:t>
      </w:r>
      <w:r w:rsidRPr="00377B73">
        <w:rPr>
          <w:rFonts w:cstheme="minorHAnsi"/>
          <w:sz w:val="24"/>
          <w:szCs w:val="24"/>
        </w:rPr>
        <w:t>. The purchasing power and access to nutritious foods is significantly determined by household income. Education can also enhance nutritional awareness, food choices and food decision making in the household</w:t>
      </w:r>
      <w:r w:rsidR="002E0CD8">
        <w:rPr>
          <w:rFonts w:cstheme="minorHAnsi"/>
          <w:sz w:val="24"/>
          <w:szCs w:val="24"/>
        </w:rPr>
        <w:t xml:space="preserve"> (</w:t>
      </w:r>
      <w:r w:rsidR="002E0CD8" w:rsidRPr="003D34E0">
        <w:rPr>
          <w:rFonts w:cstheme="minorHAnsi"/>
          <w:sz w:val="24"/>
          <w:szCs w:val="24"/>
        </w:rPr>
        <w:t>Kenney</w:t>
      </w:r>
      <w:r w:rsidR="002E0CD8">
        <w:rPr>
          <w:rFonts w:cstheme="minorHAnsi"/>
          <w:sz w:val="24"/>
          <w:szCs w:val="24"/>
        </w:rPr>
        <w:t xml:space="preserve"> et al., 2</w:t>
      </w:r>
      <w:r w:rsidR="00A559C7">
        <w:rPr>
          <w:rFonts w:cstheme="minorHAnsi"/>
          <w:sz w:val="24"/>
          <w:szCs w:val="24"/>
        </w:rPr>
        <w:t>024)</w:t>
      </w:r>
      <w:r w:rsidRPr="00377B73">
        <w:rPr>
          <w:rFonts w:cstheme="minorHAnsi"/>
          <w:sz w:val="24"/>
          <w:szCs w:val="24"/>
        </w:rPr>
        <w:t>. Household size, household occupations, marital status and household living location could also affect dietary patterns and food access within households. Drammeh et al. (2019) found that food security of the household was significantly affected when the household size is increased as a result of increased dependency burden and food expenditure pressure.</w:t>
      </w:r>
    </w:p>
    <w:p w14:paraId="629FE625" w14:textId="5F8CA62C" w:rsidR="00377B73" w:rsidRPr="00377B73" w:rsidRDefault="00377B73" w:rsidP="00F4229D">
      <w:pPr>
        <w:jc w:val="both"/>
        <w:rPr>
          <w:rFonts w:cstheme="minorHAnsi"/>
          <w:sz w:val="24"/>
          <w:szCs w:val="24"/>
        </w:rPr>
      </w:pPr>
      <w:r w:rsidRPr="00377B73">
        <w:rPr>
          <w:rFonts w:cstheme="minorHAnsi"/>
          <w:sz w:val="24"/>
          <w:szCs w:val="24"/>
        </w:rPr>
        <w:t>Urban households are more vulnerable to food insecurity than rural households, due to their heavy reliance on market purchased food and low reliance on subsistence food production. Thus, changes in food prices and household incomes can have large impacts on diet quality and nutritional outcomes</w:t>
      </w:r>
      <w:r w:rsidR="00ED40A9">
        <w:rPr>
          <w:rFonts w:cstheme="minorHAnsi"/>
          <w:sz w:val="24"/>
          <w:szCs w:val="24"/>
        </w:rPr>
        <w:t xml:space="preserve"> (</w:t>
      </w:r>
      <w:proofErr w:type="spellStart"/>
      <w:r w:rsidR="00ED40A9">
        <w:rPr>
          <w:rFonts w:cstheme="minorHAnsi"/>
          <w:sz w:val="24"/>
          <w:szCs w:val="24"/>
        </w:rPr>
        <w:t>Scrinis</w:t>
      </w:r>
      <w:proofErr w:type="spellEnd"/>
      <w:r w:rsidR="00ED40A9">
        <w:rPr>
          <w:rFonts w:cstheme="minorHAnsi"/>
          <w:sz w:val="24"/>
          <w:szCs w:val="24"/>
        </w:rPr>
        <w:t xml:space="preserve"> et al., 2025)</w:t>
      </w:r>
      <w:r w:rsidRPr="00377B73">
        <w:rPr>
          <w:rFonts w:cstheme="minorHAnsi"/>
          <w:sz w:val="24"/>
          <w:szCs w:val="24"/>
        </w:rPr>
        <w:t>. According to the Food and Agriculture Organisation (FAO</w:t>
      </w:r>
      <w:r w:rsidR="0044363A">
        <w:rPr>
          <w:rFonts w:cstheme="minorHAnsi"/>
          <w:sz w:val="24"/>
          <w:szCs w:val="24"/>
        </w:rPr>
        <w:t>,</w:t>
      </w:r>
      <w:r w:rsidRPr="00377B73">
        <w:rPr>
          <w:rFonts w:cstheme="minorHAnsi"/>
          <w:sz w:val="24"/>
          <w:szCs w:val="24"/>
        </w:rPr>
        <w:t xml:space="preserve"> 202</w:t>
      </w:r>
      <w:r w:rsidR="00090D05">
        <w:rPr>
          <w:rFonts w:cstheme="minorHAnsi"/>
          <w:sz w:val="24"/>
          <w:szCs w:val="24"/>
        </w:rPr>
        <w:t>5</w:t>
      </w:r>
      <w:r w:rsidR="0044363A">
        <w:rPr>
          <w:rFonts w:cstheme="minorHAnsi"/>
          <w:sz w:val="24"/>
          <w:szCs w:val="24"/>
        </w:rPr>
        <w:t xml:space="preserve">; </w:t>
      </w:r>
      <w:r w:rsidR="0044363A" w:rsidRPr="00B26EE0">
        <w:rPr>
          <w:rFonts w:cstheme="minorHAnsi"/>
          <w:sz w:val="24"/>
          <w:szCs w:val="24"/>
          <w:lang w:val="en-US"/>
        </w:rPr>
        <w:t>Okafor et al., 2025)</w:t>
      </w:r>
      <w:r w:rsidRPr="00377B73">
        <w:rPr>
          <w:rFonts w:cstheme="minorHAnsi"/>
          <w:sz w:val="24"/>
          <w:szCs w:val="24"/>
        </w:rPr>
        <w:t xml:space="preserve"> food insecurity has been deteriorating in many urban settings as </w:t>
      </w:r>
      <w:r w:rsidRPr="00377B73">
        <w:rPr>
          <w:rFonts w:cstheme="minorHAnsi"/>
          <w:sz w:val="24"/>
          <w:szCs w:val="24"/>
        </w:rPr>
        <w:lastRenderedPageBreak/>
        <w:t>a result of inflation, unemployment and food costs. Although urban households are in closer contact with food markets and distribution systems, they are still facing poor dietary quality and poor nutritional status</w:t>
      </w:r>
      <w:r w:rsidR="0044363A">
        <w:rPr>
          <w:rFonts w:cstheme="minorHAnsi"/>
          <w:sz w:val="24"/>
          <w:szCs w:val="24"/>
        </w:rPr>
        <w:t xml:space="preserve"> </w:t>
      </w:r>
      <w:sdt>
        <w:sdtPr>
          <w:rPr>
            <w:rFonts w:cstheme="minorHAnsi"/>
            <w:sz w:val="24"/>
            <w:szCs w:val="24"/>
            <w:lang w:val="en-US"/>
          </w:rPr>
          <w:id w:val="-888185934"/>
          <w:citation/>
        </w:sdtPr>
        <w:sdtContent>
          <w:r w:rsidR="0044363A" w:rsidRPr="00B26EE0">
            <w:rPr>
              <w:rFonts w:cstheme="minorHAnsi"/>
              <w:sz w:val="24"/>
              <w:szCs w:val="24"/>
              <w:lang w:val="en-US"/>
            </w:rPr>
            <w:fldChar w:fldCharType="begin"/>
          </w:r>
          <w:r w:rsidR="0044363A" w:rsidRPr="00B26EE0">
            <w:rPr>
              <w:rFonts w:cstheme="minorHAnsi"/>
              <w:sz w:val="24"/>
              <w:szCs w:val="24"/>
              <w:lang w:val="en-US"/>
            </w:rPr>
            <w:instrText xml:space="preserve"> CITATION Rem16 \l 1033 </w:instrText>
          </w:r>
          <w:r w:rsidR="0044363A" w:rsidRPr="00B26EE0">
            <w:rPr>
              <w:rFonts w:cstheme="minorHAnsi"/>
              <w:sz w:val="24"/>
              <w:szCs w:val="24"/>
              <w:lang w:val="en-US"/>
            </w:rPr>
            <w:fldChar w:fldCharType="separate"/>
          </w:r>
          <w:r w:rsidR="0044363A" w:rsidRPr="00B26EE0">
            <w:rPr>
              <w:rFonts w:cstheme="minorHAnsi"/>
              <w:sz w:val="24"/>
              <w:szCs w:val="24"/>
              <w:lang w:val="en-US"/>
            </w:rPr>
            <w:t>(Rembialkowska, 2016)</w:t>
          </w:r>
          <w:r w:rsidR="0044363A" w:rsidRPr="00B26EE0">
            <w:rPr>
              <w:rFonts w:cstheme="minorHAnsi"/>
              <w:sz w:val="24"/>
              <w:szCs w:val="24"/>
            </w:rPr>
            <w:fldChar w:fldCharType="end"/>
          </w:r>
        </w:sdtContent>
      </w:sdt>
      <w:r w:rsidRPr="00377B73">
        <w:rPr>
          <w:rFonts w:cstheme="minorHAnsi"/>
          <w:sz w:val="24"/>
          <w:szCs w:val="24"/>
        </w:rPr>
        <w:t>.</w:t>
      </w:r>
    </w:p>
    <w:p w14:paraId="683E9D04" w14:textId="12EE5F02" w:rsidR="00832851" w:rsidRPr="00377B73" w:rsidRDefault="00377B73" w:rsidP="00F4229D">
      <w:pPr>
        <w:jc w:val="both"/>
        <w:rPr>
          <w:rFonts w:cstheme="minorHAnsi"/>
          <w:sz w:val="24"/>
          <w:szCs w:val="24"/>
        </w:rPr>
      </w:pPr>
      <w:r w:rsidRPr="00377B73">
        <w:rPr>
          <w:rFonts w:cstheme="minorHAnsi"/>
          <w:sz w:val="24"/>
          <w:szCs w:val="24"/>
        </w:rPr>
        <w:t>Existing studies in Nigeria have tended to concentrate on the dimensions of food security (food access, food availability, food poverty and food security determinants) rather than on wellness sustainability and diet quality within different food security categories. Food secure households may be at risk of consuming unhealthy diets, leading to the risk of NCDs and adverse long-term health effects</w:t>
      </w:r>
      <w:r w:rsidR="00ED40A9">
        <w:rPr>
          <w:rFonts w:cstheme="minorHAnsi"/>
          <w:sz w:val="24"/>
          <w:szCs w:val="24"/>
        </w:rPr>
        <w:t xml:space="preserve"> (Oakley et al., 2019; </w:t>
      </w:r>
      <w:proofErr w:type="spellStart"/>
      <w:r w:rsidR="00ED40A9" w:rsidRPr="00ED40A9">
        <w:rPr>
          <w:rFonts w:cstheme="minorHAnsi"/>
          <w:sz w:val="24"/>
          <w:szCs w:val="24"/>
        </w:rPr>
        <w:t>Alristina</w:t>
      </w:r>
      <w:proofErr w:type="spellEnd"/>
      <w:r w:rsidR="00ED40A9">
        <w:rPr>
          <w:rFonts w:cstheme="minorHAnsi"/>
          <w:sz w:val="24"/>
          <w:szCs w:val="24"/>
        </w:rPr>
        <w:t xml:space="preserve"> et al., 2025)</w:t>
      </w:r>
      <w:r w:rsidRPr="00377B73">
        <w:rPr>
          <w:rFonts w:cstheme="minorHAnsi"/>
          <w:sz w:val="24"/>
          <w:szCs w:val="24"/>
        </w:rPr>
        <w:t>. In spite of the increasing prevalence of nutrition-related diseases in Nigeria, empirical research on household food security and sustainability of wellness is limited, especially in urban households. This establishes an important missing dimension on the understanding of the interaction between dietary consumption patterns and food security outcomes and their effects on the sustainability of household wellness.</w:t>
      </w:r>
    </w:p>
    <w:p w14:paraId="17501ACF" w14:textId="484F59E1" w:rsidR="00377B73" w:rsidRDefault="00377B73" w:rsidP="00F4229D">
      <w:pPr>
        <w:jc w:val="both"/>
        <w:rPr>
          <w:rFonts w:cstheme="minorHAnsi"/>
          <w:sz w:val="24"/>
          <w:szCs w:val="24"/>
        </w:rPr>
      </w:pPr>
      <w:r w:rsidRPr="00377B73">
        <w:rPr>
          <w:rFonts w:cstheme="minorHAnsi"/>
          <w:sz w:val="24"/>
          <w:szCs w:val="24"/>
        </w:rPr>
        <w:t>The general aim of this study was to investigate the correlation between the status of food security and sustainability of wellness among the households in Ibadan North Local Government Area (LGA) of Oyo State in Nigeria. The study specifically looked at the socioeconomic characteristics of the households, the food security status of the households, wellness sustainability patterns, and the factors associated with food security and wellness sustainability within the different food security categories.</w:t>
      </w:r>
    </w:p>
    <w:p w14:paraId="19A2D656" w14:textId="23E8C7F1" w:rsidR="00832851" w:rsidRDefault="00832851" w:rsidP="00F4229D">
      <w:pPr>
        <w:jc w:val="both"/>
        <w:rPr>
          <w:rFonts w:cstheme="minorHAnsi"/>
          <w:sz w:val="24"/>
          <w:szCs w:val="24"/>
        </w:rPr>
      </w:pPr>
      <w:r w:rsidRPr="00832851">
        <w:rPr>
          <w:rFonts w:cstheme="minorHAnsi"/>
          <w:sz w:val="24"/>
          <w:szCs w:val="24"/>
        </w:rPr>
        <w:t>The novelty of this study lies in its integration of household food security status and wellness sustainability within a single analytical framework. Unlike previous studies that focused mainly on food access and availability, this study evaluates whether food-secure households also maintain dietary patterns that support long-term health. The study therefore extends conventional food security assessment by incorporating wellness sustainability as an additional dimension of household wellbeing.</w:t>
      </w:r>
    </w:p>
    <w:p w14:paraId="4D32CEBF" w14:textId="77777777" w:rsidR="00377B73" w:rsidRDefault="00377B73" w:rsidP="00F4229D">
      <w:pPr>
        <w:jc w:val="both"/>
        <w:rPr>
          <w:rFonts w:cstheme="minorHAnsi"/>
          <w:sz w:val="24"/>
          <w:szCs w:val="24"/>
        </w:rPr>
      </w:pPr>
    </w:p>
    <w:p w14:paraId="48B67AD1" w14:textId="77777777" w:rsidR="00B5477B" w:rsidRPr="004E52C2" w:rsidRDefault="00B5477B" w:rsidP="00F4229D">
      <w:pPr>
        <w:jc w:val="both"/>
        <w:rPr>
          <w:rFonts w:cstheme="minorHAnsi"/>
          <w:sz w:val="24"/>
          <w:szCs w:val="24"/>
          <w:lang w:val="en-US"/>
        </w:rPr>
      </w:pPr>
    </w:p>
    <w:p w14:paraId="1B3F5DAA" w14:textId="3E8B1458"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2. Methodology</w:t>
      </w:r>
    </w:p>
    <w:p w14:paraId="68F905BE" w14:textId="03AC09DF" w:rsidR="00141B2C" w:rsidRPr="004E52C2" w:rsidRDefault="00B5477B" w:rsidP="00F4229D">
      <w:pPr>
        <w:jc w:val="both"/>
        <w:rPr>
          <w:rFonts w:cstheme="minorHAnsi"/>
          <w:b/>
          <w:bCs/>
          <w:sz w:val="24"/>
          <w:szCs w:val="24"/>
          <w:lang w:val="en-US"/>
        </w:rPr>
      </w:pPr>
      <w:bookmarkStart w:id="5" w:name="_Toc140036399"/>
      <w:bookmarkStart w:id="6" w:name="_Toc140036440"/>
      <w:r w:rsidRPr="004E52C2">
        <w:rPr>
          <w:rFonts w:cstheme="minorHAnsi"/>
          <w:b/>
          <w:bCs/>
          <w:sz w:val="24"/>
          <w:szCs w:val="24"/>
          <w:lang w:val="en-US"/>
        </w:rPr>
        <w:t>2</w:t>
      </w:r>
      <w:r w:rsidR="00141B2C" w:rsidRPr="004E52C2">
        <w:rPr>
          <w:rFonts w:cstheme="minorHAnsi"/>
          <w:b/>
          <w:bCs/>
          <w:sz w:val="24"/>
          <w:szCs w:val="24"/>
          <w:lang w:val="en-US"/>
        </w:rPr>
        <w:t>.1 The Study Area</w:t>
      </w:r>
      <w:bookmarkEnd w:id="5"/>
      <w:bookmarkEnd w:id="6"/>
    </w:p>
    <w:p w14:paraId="3CCBF5D7" w14:textId="77777777" w:rsidR="00DF7FF2" w:rsidRPr="008F6FD2" w:rsidRDefault="00DF7FF2" w:rsidP="00F4229D">
      <w:pPr>
        <w:jc w:val="both"/>
        <w:rPr>
          <w:rFonts w:cstheme="minorHAnsi"/>
          <w:bCs/>
          <w:color w:val="FF0000"/>
          <w:sz w:val="24"/>
          <w:szCs w:val="24"/>
        </w:rPr>
      </w:pPr>
      <w:r w:rsidRPr="008F6FD2">
        <w:rPr>
          <w:rFonts w:cstheme="minorHAnsi"/>
          <w:bCs/>
          <w:color w:val="FF0000"/>
          <w:sz w:val="24"/>
          <w:szCs w:val="24"/>
        </w:rPr>
        <w:t>The study was conducted in Ibadan North Local Government Area of Oyo State, Nigeria. The area is predominantly urban and characterized by mixed residential, commercial, and educational activities. Ibadan North consists of densely and sparsely populated communities with varying socioeconomic conditions that may influence household food security and dietary practices. The area was selected because of its urban population diversity and increasing concerns regarding food insecurity and changing dietary patterns.</w:t>
      </w:r>
    </w:p>
    <w:p w14:paraId="74E69F9B" w14:textId="15404BEB" w:rsidR="00141B2C" w:rsidRPr="004E52C2" w:rsidRDefault="00B5477B" w:rsidP="00F4229D">
      <w:pPr>
        <w:jc w:val="both"/>
        <w:rPr>
          <w:rFonts w:cstheme="minorHAnsi"/>
          <w:bCs/>
          <w:sz w:val="24"/>
          <w:szCs w:val="24"/>
          <w:lang w:val="en-US"/>
        </w:rPr>
      </w:pPr>
      <w:r w:rsidRPr="004E52C2">
        <w:rPr>
          <w:rFonts w:cstheme="minorHAnsi"/>
          <w:bCs/>
          <w:sz w:val="24"/>
          <w:szCs w:val="24"/>
          <w:lang w:val="en-US"/>
        </w:rPr>
        <w:lastRenderedPageBreak/>
        <w:t>Ibadan North</w:t>
      </w:r>
      <w:r w:rsidR="00141B2C" w:rsidRPr="004E52C2">
        <w:rPr>
          <w:rFonts w:cstheme="minorHAnsi"/>
          <w:bCs/>
          <w:sz w:val="24"/>
          <w:szCs w:val="24"/>
          <w:lang w:val="en-US"/>
        </w:rPr>
        <w:t xml:space="preserve"> covers an area </w:t>
      </w:r>
      <w:r w:rsidRPr="004E52C2">
        <w:rPr>
          <w:rFonts w:cstheme="minorHAnsi"/>
          <w:bCs/>
          <w:sz w:val="24"/>
          <w:szCs w:val="24"/>
          <w:lang w:val="en-US"/>
        </w:rPr>
        <w:t>of 145</w:t>
      </w:r>
      <w:r w:rsidR="00141B2C" w:rsidRPr="004E52C2">
        <w:rPr>
          <w:rFonts w:cstheme="minorHAnsi"/>
          <w:bCs/>
          <w:sz w:val="24"/>
          <w:szCs w:val="24"/>
          <w:lang w:val="en-US"/>
        </w:rPr>
        <w:t xml:space="preserve">.58km, which is approximately 46.6% of Ibadan's total land area, making it the largest landmass. Ibadan North was estimated to have    306,795 inhabitants but should be 432,900 by the population projection National Population Census </w:t>
      </w:r>
      <w:sdt>
        <w:sdtPr>
          <w:rPr>
            <w:rFonts w:cstheme="minorHAnsi"/>
            <w:bCs/>
            <w:sz w:val="24"/>
            <w:szCs w:val="24"/>
            <w:lang w:val="en-US"/>
          </w:rPr>
          <w:id w:val="2118711666"/>
          <w:citation/>
        </w:sdtPr>
        <w:sdtContent>
          <w:r w:rsidR="00141B2C" w:rsidRPr="004E52C2">
            <w:rPr>
              <w:rFonts w:cstheme="minorHAnsi"/>
              <w:bCs/>
              <w:sz w:val="24"/>
              <w:szCs w:val="24"/>
              <w:lang w:val="en-US"/>
            </w:rPr>
            <w:fldChar w:fldCharType="begin"/>
          </w:r>
          <w:r w:rsidR="00141B2C" w:rsidRPr="004E52C2">
            <w:rPr>
              <w:rFonts w:cstheme="minorHAnsi"/>
              <w:bCs/>
              <w:sz w:val="24"/>
              <w:szCs w:val="24"/>
              <w:lang w:val="en-US"/>
            </w:rPr>
            <w:instrText xml:space="preserve"> CITATION Nat06 \l 1033 </w:instrText>
          </w:r>
          <w:r w:rsidR="00141B2C" w:rsidRPr="004E52C2">
            <w:rPr>
              <w:rFonts w:cstheme="minorHAnsi"/>
              <w:bCs/>
              <w:sz w:val="24"/>
              <w:szCs w:val="24"/>
              <w:lang w:val="en-US"/>
            </w:rPr>
            <w:fldChar w:fldCharType="separate"/>
          </w:r>
          <w:r w:rsidR="00141B2C" w:rsidRPr="004E52C2">
            <w:rPr>
              <w:rFonts w:cstheme="minorHAnsi"/>
              <w:bCs/>
              <w:sz w:val="24"/>
              <w:szCs w:val="24"/>
              <w:lang w:val="en-US"/>
            </w:rPr>
            <w:t>(NPC, 2006)</w:t>
          </w:r>
          <w:r w:rsidR="00141B2C" w:rsidRPr="004E52C2">
            <w:rPr>
              <w:rFonts w:cstheme="minorHAnsi"/>
              <w:bCs/>
              <w:sz w:val="24"/>
              <w:szCs w:val="24"/>
              <w:lang w:val="en-US"/>
            </w:rPr>
            <w:fldChar w:fldCharType="end"/>
          </w:r>
        </w:sdtContent>
      </w:sdt>
      <w:r w:rsidR="00141B2C" w:rsidRPr="004E52C2">
        <w:rPr>
          <w:rFonts w:cstheme="minorHAnsi"/>
          <w:bCs/>
          <w:sz w:val="24"/>
          <w:szCs w:val="24"/>
          <w:lang w:val="en-US"/>
        </w:rPr>
        <w:t xml:space="preserve">. The local government comprises large and small industries (manufacturing and </w:t>
      </w:r>
      <w:proofErr w:type="spellStart"/>
      <w:r w:rsidR="00141B2C" w:rsidRPr="004E52C2">
        <w:rPr>
          <w:rFonts w:cstheme="minorHAnsi"/>
          <w:bCs/>
          <w:sz w:val="24"/>
          <w:szCs w:val="24"/>
          <w:lang w:val="en-US"/>
        </w:rPr>
        <w:t>agro</w:t>
      </w:r>
      <w:proofErr w:type="spellEnd"/>
      <w:r w:rsidR="00141B2C" w:rsidRPr="004E52C2">
        <w:rPr>
          <w:rFonts w:cstheme="minorHAnsi"/>
          <w:bCs/>
          <w:sz w:val="24"/>
          <w:szCs w:val="24"/>
          <w:lang w:val="en-US"/>
        </w:rPr>
        <w:t xml:space="preserve">-allied industries), households, commercial </w:t>
      </w:r>
      <w:proofErr w:type="spellStart"/>
      <w:r w:rsidR="00141B2C" w:rsidRPr="004E52C2">
        <w:rPr>
          <w:rFonts w:cstheme="minorHAnsi"/>
          <w:bCs/>
          <w:sz w:val="24"/>
          <w:szCs w:val="24"/>
          <w:lang w:val="en-US"/>
        </w:rPr>
        <w:t>centres</w:t>
      </w:r>
      <w:proofErr w:type="spellEnd"/>
      <w:r w:rsidR="00141B2C" w:rsidRPr="004E52C2">
        <w:rPr>
          <w:rFonts w:cstheme="minorHAnsi"/>
          <w:bCs/>
          <w:sz w:val="24"/>
          <w:szCs w:val="24"/>
          <w:lang w:val="en-US"/>
        </w:rPr>
        <w:t xml:space="preserve">, educational and religious services, and medical </w:t>
      </w:r>
      <w:proofErr w:type="spellStart"/>
      <w:r w:rsidR="00141B2C" w:rsidRPr="004E52C2">
        <w:rPr>
          <w:rFonts w:cstheme="minorHAnsi"/>
          <w:bCs/>
          <w:sz w:val="24"/>
          <w:szCs w:val="24"/>
          <w:lang w:val="en-US"/>
        </w:rPr>
        <w:t>centres</w:t>
      </w:r>
      <w:proofErr w:type="spellEnd"/>
      <w:r w:rsidR="00141B2C" w:rsidRPr="004E52C2">
        <w:rPr>
          <w:rFonts w:cstheme="minorHAnsi"/>
          <w:bCs/>
          <w:sz w:val="24"/>
          <w:szCs w:val="24"/>
          <w:lang w:val="en-US"/>
        </w:rPr>
        <w:t xml:space="preserve">. </w:t>
      </w:r>
    </w:p>
    <w:p w14:paraId="4E85EEE6" w14:textId="77777777" w:rsidR="00141B2C" w:rsidRPr="004E52C2" w:rsidRDefault="00141B2C" w:rsidP="00F4229D">
      <w:pPr>
        <w:jc w:val="both"/>
        <w:rPr>
          <w:rFonts w:cstheme="minorHAnsi"/>
          <w:b/>
          <w:bCs/>
          <w:sz w:val="24"/>
          <w:szCs w:val="24"/>
          <w:lang w:val="en-US"/>
        </w:rPr>
      </w:pPr>
    </w:p>
    <w:p w14:paraId="032AD57C" w14:textId="77777777" w:rsidR="00141B2C" w:rsidRPr="004E52C2" w:rsidRDefault="00141B2C" w:rsidP="00F4229D">
      <w:pPr>
        <w:jc w:val="both"/>
        <w:rPr>
          <w:rFonts w:cstheme="minorHAnsi"/>
          <w:b/>
          <w:bCs/>
          <w:sz w:val="24"/>
          <w:szCs w:val="24"/>
          <w:lang w:val="en-US"/>
        </w:rPr>
      </w:pPr>
      <w:r w:rsidRPr="004E52C2">
        <w:rPr>
          <w:rFonts w:cstheme="minorHAnsi"/>
          <w:b/>
          <w:bCs/>
          <w:noProof/>
          <w:sz w:val="24"/>
          <w:szCs w:val="24"/>
          <w:lang w:val="en-US"/>
        </w:rPr>
        <w:drawing>
          <wp:inline distT="0" distB="0" distL="0" distR="0" wp14:anchorId="23BED6D0" wp14:editId="67F927E3">
            <wp:extent cx="4816549" cy="2676525"/>
            <wp:effectExtent l="0" t="0" r="3175" b="0"/>
            <wp:docPr id="1597120763" name="Picture 3" descr="Screenshot 2023-02-10 09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 2023-02-10 0912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0155" cy="2678529"/>
                    </a:xfrm>
                    <a:prstGeom prst="rect">
                      <a:avLst/>
                    </a:prstGeom>
                    <a:noFill/>
                    <a:ln>
                      <a:noFill/>
                    </a:ln>
                  </pic:spPr>
                </pic:pic>
              </a:graphicData>
            </a:graphic>
          </wp:inline>
        </w:drawing>
      </w:r>
    </w:p>
    <w:p w14:paraId="1D4CA70D" w14:textId="45B8B926"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 xml:space="preserve">Figure </w:t>
      </w:r>
      <w:r w:rsidR="00A41F2F">
        <w:rPr>
          <w:rFonts w:cstheme="minorHAnsi"/>
          <w:b/>
          <w:bCs/>
          <w:sz w:val="24"/>
          <w:szCs w:val="24"/>
          <w:lang w:val="en-US"/>
        </w:rPr>
        <w:t>1</w:t>
      </w:r>
      <w:r w:rsidRPr="004E52C2">
        <w:rPr>
          <w:rFonts w:cstheme="minorHAnsi"/>
          <w:b/>
          <w:bCs/>
          <w:sz w:val="24"/>
          <w:szCs w:val="24"/>
          <w:lang w:val="en-US"/>
        </w:rPr>
        <w:t>: Map of Ibadan North Local Government Areas in Oyo State</w:t>
      </w:r>
      <w:r w:rsidR="00B5477B" w:rsidRPr="004E52C2">
        <w:rPr>
          <w:rFonts w:cstheme="minorHAnsi"/>
          <w:b/>
          <w:bCs/>
          <w:sz w:val="24"/>
          <w:szCs w:val="24"/>
          <w:lang w:val="en-US"/>
        </w:rPr>
        <w:t xml:space="preserve"> (</w:t>
      </w:r>
      <w:r w:rsidR="00B5477B" w:rsidRPr="004E52C2">
        <w:rPr>
          <w:rFonts w:cstheme="minorHAnsi"/>
          <w:b/>
          <w:bCs/>
          <w:sz w:val="24"/>
          <w:szCs w:val="24"/>
        </w:rPr>
        <w:t>Ann and Samuel, 2018)</w:t>
      </w:r>
    </w:p>
    <w:p w14:paraId="521405B2" w14:textId="754F2D8E" w:rsidR="00141B2C" w:rsidRPr="004E52C2" w:rsidRDefault="00141B2C" w:rsidP="00F4229D">
      <w:pPr>
        <w:jc w:val="both"/>
        <w:rPr>
          <w:rFonts w:cstheme="minorHAnsi"/>
          <w:b/>
          <w:bCs/>
          <w:sz w:val="24"/>
          <w:szCs w:val="24"/>
          <w:lang w:val="en-US"/>
        </w:rPr>
      </w:pPr>
      <w:r w:rsidRPr="004E52C2">
        <w:rPr>
          <w:rFonts w:cstheme="minorHAnsi"/>
          <w:bCs/>
          <w:sz w:val="24"/>
          <w:szCs w:val="24"/>
          <w:lang w:val="en-US"/>
        </w:rPr>
        <w:br w:type="page"/>
      </w:r>
      <w:bookmarkStart w:id="7" w:name="_Toc140036400"/>
      <w:bookmarkStart w:id="8" w:name="_Toc140036441"/>
      <w:r w:rsidR="00B5477B" w:rsidRPr="004E52C2">
        <w:rPr>
          <w:rFonts w:cstheme="minorHAnsi"/>
          <w:b/>
          <w:bCs/>
          <w:sz w:val="24"/>
          <w:szCs w:val="24"/>
          <w:lang w:val="en-US"/>
        </w:rPr>
        <w:lastRenderedPageBreak/>
        <w:t>2</w:t>
      </w:r>
      <w:r w:rsidRPr="004E52C2">
        <w:rPr>
          <w:rFonts w:cstheme="minorHAnsi"/>
          <w:b/>
          <w:bCs/>
          <w:sz w:val="24"/>
          <w:szCs w:val="24"/>
          <w:lang w:val="en-US"/>
        </w:rPr>
        <w:t xml:space="preserve">.2 </w:t>
      </w:r>
      <w:bookmarkEnd w:id="7"/>
      <w:bookmarkEnd w:id="8"/>
      <w:r w:rsidR="00B5477B" w:rsidRPr="004E52C2">
        <w:rPr>
          <w:rFonts w:cstheme="minorHAnsi"/>
          <w:b/>
          <w:bCs/>
          <w:sz w:val="24"/>
          <w:szCs w:val="24"/>
        </w:rPr>
        <w:t>Study Design and Data Collection</w:t>
      </w:r>
    </w:p>
    <w:p w14:paraId="13A3BA54" w14:textId="196D6747" w:rsidR="00B5477B" w:rsidRPr="004E52C2" w:rsidRDefault="00B5477B" w:rsidP="00F4229D">
      <w:pPr>
        <w:jc w:val="both"/>
        <w:rPr>
          <w:rFonts w:cstheme="minorHAnsi"/>
          <w:bCs/>
          <w:sz w:val="24"/>
          <w:szCs w:val="24"/>
        </w:rPr>
      </w:pPr>
      <w:r w:rsidRPr="004E52C2">
        <w:rPr>
          <w:rFonts w:cstheme="minorHAnsi"/>
          <w:bCs/>
          <w:sz w:val="24"/>
          <w:szCs w:val="24"/>
        </w:rPr>
        <w:t>A cross-sectional survey design was adopted. Primary data were collected using structured questionnaires administered to selected households. The instrument captured socio-demographic characteristics, household food consumption patterns, food security status, and indicators of wellness sustainability.</w:t>
      </w:r>
      <w:r w:rsidR="00E332A1">
        <w:rPr>
          <w:rFonts w:cstheme="minorHAnsi"/>
          <w:bCs/>
          <w:sz w:val="24"/>
          <w:szCs w:val="24"/>
        </w:rPr>
        <w:t xml:space="preserve"> </w:t>
      </w:r>
      <w:r w:rsidR="00E332A1" w:rsidRPr="00E332A1">
        <w:rPr>
          <w:rFonts w:cstheme="minorHAnsi"/>
          <w:bCs/>
          <w:sz w:val="24"/>
          <w:szCs w:val="24"/>
        </w:rPr>
        <w:t>Data were collected between May and August 2023</w:t>
      </w:r>
    </w:p>
    <w:p w14:paraId="0B2FE9B5" w14:textId="6559201C" w:rsidR="00B5477B" w:rsidRPr="004E52C2" w:rsidRDefault="00B5477B" w:rsidP="00F4229D">
      <w:pPr>
        <w:jc w:val="both"/>
        <w:rPr>
          <w:rFonts w:cstheme="minorHAnsi"/>
          <w:bCs/>
          <w:sz w:val="24"/>
          <w:szCs w:val="24"/>
        </w:rPr>
      </w:pPr>
      <w:r w:rsidRPr="004E52C2">
        <w:rPr>
          <w:rFonts w:cstheme="minorHAnsi"/>
          <w:bCs/>
          <w:sz w:val="24"/>
          <w:szCs w:val="24"/>
        </w:rPr>
        <w:t>Household food security status was assessed using the Household Food Insecurity Access Scale (HFIAS)</w:t>
      </w:r>
      <w:r w:rsidR="00BE4DBF" w:rsidRPr="004E52C2">
        <w:rPr>
          <w:rFonts w:cstheme="minorHAnsi"/>
          <w:bCs/>
          <w:sz w:val="24"/>
          <w:szCs w:val="24"/>
        </w:rPr>
        <w:t xml:space="preserve"> (</w:t>
      </w:r>
      <w:r w:rsidR="00BE4DBF" w:rsidRPr="00090D05">
        <w:rPr>
          <w:rFonts w:cstheme="minorHAnsi"/>
          <w:bCs/>
          <w:color w:val="FF0000"/>
          <w:sz w:val="24"/>
          <w:szCs w:val="24"/>
        </w:rPr>
        <w:t>Masa</w:t>
      </w:r>
      <w:r w:rsidR="00BE4DBF" w:rsidRPr="004E52C2">
        <w:rPr>
          <w:rFonts w:cstheme="minorHAnsi"/>
          <w:bCs/>
          <w:sz w:val="24"/>
          <w:szCs w:val="24"/>
        </w:rPr>
        <w:t xml:space="preserve"> and Sharm, 2021)</w:t>
      </w:r>
      <w:r w:rsidRPr="004E52C2">
        <w:rPr>
          <w:rFonts w:cstheme="minorHAnsi"/>
          <w:bCs/>
          <w:sz w:val="24"/>
          <w:szCs w:val="24"/>
        </w:rPr>
        <w:t>, while wellness sustainability was determined based on dietary consumption patterns, particularly the proportion of whole food plant-based diet (WFPBD) and intake of energy-dense processed foods.</w:t>
      </w:r>
    </w:p>
    <w:p w14:paraId="4B94D85A" w14:textId="2714CD15" w:rsidR="00141B2C" w:rsidRPr="004E52C2" w:rsidRDefault="00832851" w:rsidP="00F4229D">
      <w:pPr>
        <w:jc w:val="both"/>
        <w:rPr>
          <w:rFonts w:cstheme="minorHAnsi"/>
          <w:bCs/>
          <w:sz w:val="24"/>
          <w:szCs w:val="24"/>
          <w:lang w:val="en-US"/>
        </w:rPr>
      </w:pPr>
      <w:r w:rsidRPr="00832851">
        <w:rPr>
          <w:rFonts w:cstheme="minorHAnsi"/>
          <w:bCs/>
          <w:sz w:val="24"/>
          <w:szCs w:val="24"/>
        </w:rPr>
        <w:t>A total of 257 households were included in the study. The sample size was considered adequate for the application of multinomial and binary logistic regression models and provided sufficient observations across the different food security categories for robust statistical analysis</w:t>
      </w:r>
    </w:p>
    <w:p w14:paraId="283CDC66" w14:textId="7833C9B9" w:rsidR="00141B2C" w:rsidRPr="004E52C2" w:rsidRDefault="00B5477B" w:rsidP="00F4229D">
      <w:pPr>
        <w:jc w:val="both"/>
        <w:rPr>
          <w:rFonts w:cstheme="minorHAnsi"/>
          <w:b/>
          <w:bCs/>
          <w:sz w:val="24"/>
          <w:szCs w:val="24"/>
          <w:lang w:val="en-US"/>
        </w:rPr>
      </w:pPr>
      <w:bookmarkStart w:id="9" w:name="_Toc140036401"/>
      <w:bookmarkStart w:id="10" w:name="_Toc140036442"/>
      <w:r w:rsidRPr="004E52C2">
        <w:rPr>
          <w:rFonts w:cstheme="minorHAnsi"/>
          <w:b/>
          <w:bCs/>
          <w:sz w:val="24"/>
          <w:szCs w:val="24"/>
          <w:lang w:val="en-US"/>
        </w:rPr>
        <w:t>2</w:t>
      </w:r>
      <w:r w:rsidR="00141B2C" w:rsidRPr="004E52C2">
        <w:rPr>
          <w:rFonts w:cstheme="minorHAnsi"/>
          <w:b/>
          <w:bCs/>
          <w:sz w:val="24"/>
          <w:szCs w:val="24"/>
          <w:lang w:val="en-US"/>
        </w:rPr>
        <w:t>.3 Sampling Techniques and Procedures</w:t>
      </w:r>
      <w:bookmarkEnd w:id="9"/>
      <w:bookmarkEnd w:id="10"/>
    </w:p>
    <w:p w14:paraId="5540FFAA" w14:textId="77777777" w:rsidR="008F6FD2" w:rsidRDefault="008F6FD2" w:rsidP="00F4229D">
      <w:pPr>
        <w:jc w:val="both"/>
        <w:rPr>
          <w:rFonts w:cstheme="minorHAnsi"/>
          <w:bCs/>
          <w:sz w:val="24"/>
          <w:szCs w:val="24"/>
        </w:rPr>
      </w:pPr>
      <w:r w:rsidRPr="008F6FD2">
        <w:rPr>
          <w:rFonts w:cstheme="minorHAnsi"/>
          <w:bCs/>
          <w:sz w:val="24"/>
          <w:szCs w:val="24"/>
        </w:rPr>
        <w:t xml:space="preserve">A multistage sampling technique was adopted for the study. The first stage involved stratification of the residential areas of Ibadan North local government area into densely populated and sparsely populated areas. Five residential communities, namely </w:t>
      </w:r>
      <w:proofErr w:type="spellStart"/>
      <w:r w:rsidRPr="008F6FD2">
        <w:rPr>
          <w:rFonts w:cstheme="minorHAnsi"/>
          <w:bCs/>
          <w:sz w:val="24"/>
          <w:szCs w:val="24"/>
        </w:rPr>
        <w:t>Agbowo</w:t>
      </w:r>
      <w:proofErr w:type="spellEnd"/>
      <w:r w:rsidRPr="008F6FD2">
        <w:rPr>
          <w:rFonts w:cstheme="minorHAnsi"/>
          <w:bCs/>
          <w:sz w:val="24"/>
          <w:szCs w:val="24"/>
        </w:rPr>
        <w:t xml:space="preserve">, </w:t>
      </w:r>
      <w:proofErr w:type="spellStart"/>
      <w:r w:rsidRPr="008F6FD2">
        <w:rPr>
          <w:rFonts w:cstheme="minorHAnsi"/>
          <w:bCs/>
          <w:sz w:val="24"/>
          <w:szCs w:val="24"/>
        </w:rPr>
        <w:t>Bodija</w:t>
      </w:r>
      <w:proofErr w:type="spellEnd"/>
      <w:r w:rsidRPr="008F6FD2">
        <w:rPr>
          <w:rFonts w:cstheme="minorHAnsi"/>
          <w:bCs/>
          <w:sz w:val="24"/>
          <w:szCs w:val="24"/>
        </w:rPr>
        <w:t xml:space="preserve">, </w:t>
      </w:r>
      <w:proofErr w:type="spellStart"/>
      <w:r w:rsidRPr="008F6FD2">
        <w:rPr>
          <w:rFonts w:cstheme="minorHAnsi"/>
          <w:bCs/>
          <w:sz w:val="24"/>
          <w:szCs w:val="24"/>
        </w:rPr>
        <w:t>Agbodi</w:t>
      </w:r>
      <w:proofErr w:type="spellEnd"/>
      <w:r w:rsidRPr="008F6FD2">
        <w:rPr>
          <w:rFonts w:cstheme="minorHAnsi"/>
          <w:bCs/>
          <w:sz w:val="24"/>
          <w:szCs w:val="24"/>
        </w:rPr>
        <w:t>, Sango and Mokola were selected for the study in the second stage on the basis of population distribution and residential characteristics. Simple random sampling procedures were followed in the final stage to select the households. Household heads or responsible household members were interviewed using structured questionnaires. 257 households were successfully surveyed and analysed.</w:t>
      </w:r>
    </w:p>
    <w:p w14:paraId="48276136" w14:textId="1272B2C6"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1: Sampling Distribution by Selected Communities. </w:t>
      </w:r>
    </w:p>
    <w:tbl>
      <w:tblPr>
        <w:tblW w:w="0" w:type="auto"/>
        <w:tblLook w:val="04A0" w:firstRow="1" w:lastRow="0" w:firstColumn="1" w:lastColumn="0" w:noHBand="0" w:noVBand="1"/>
      </w:tblPr>
      <w:tblGrid>
        <w:gridCol w:w="1475"/>
        <w:gridCol w:w="4590"/>
        <w:gridCol w:w="3114"/>
      </w:tblGrid>
      <w:tr w:rsidR="00141B2C" w:rsidRPr="004E52C2" w14:paraId="6CBE6032" w14:textId="77777777" w:rsidTr="00D85854">
        <w:trPr>
          <w:trHeight w:val="711"/>
        </w:trPr>
        <w:tc>
          <w:tcPr>
            <w:tcW w:w="1435" w:type="dxa"/>
            <w:tcBorders>
              <w:top w:val="single" w:sz="4" w:space="0" w:color="auto"/>
              <w:left w:val="single" w:sz="4" w:space="0" w:color="auto"/>
              <w:bottom w:val="single" w:sz="4" w:space="0" w:color="auto"/>
              <w:right w:val="single" w:sz="4" w:space="0" w:color="auto"/>
            </w:tcBorders>
            <w:hideMark/>
          </w:tcPr>
          <w:p w14:paraId="29C941CA"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Local Government Area</w:t>
            </w:r>
          </w:p>
        </w:tc>
        <w:tc>
          <w:tcPr>
            <w:tcW w:w="4590" w:type="dxa"/>
            <w:tcBorders>
              <w:top w:val="single" w:sz="4" w:space="0" w:color="auto"/>
              <w:left w:val="single" w:sz="4" w:space="0" w:color="auto"/>
              <w:bottom w:val="single" w:sz="4" w:space="0" w:color="auto"/>
              <w:right w:val="single" w:sz="4" w:space="0" w:color="auto"/>
            </w:tcBorders>
            <w:hideMark/>
          </w:tcPr>
          <w:p w14:paraId="28EDAED0"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Selected communities in each LGA</w:t>
            </w:r>
          </w:p>
        </w:tc>
        <w:tc>
          <w:tcPr>
            <w:tcW w:w="3114" w:type="dxa"/>
            <w:tcBorders>
              <w:top w:val="single" w:sz="4" w:space="0" w:color="auto"/>
              <w:left w:val="single" w:sz="4" w:space="0" w:color="auto"/>
              <w:bottom w:val="single" w:sz="4" w:space="0" w:color="auto"/>
              <w:right w:val="single" w:sz="4" w:space="0" w:color="auto"/>
            </w:tcBorders>
            <w:hideMark/>
          </w:tcPr>
          <w:p w14:paraId="41581F87"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Number of questionnaires administered</w:t>
            </w:r>
          </w:p>
        </w:tc>
      </w:tr>
      <w:tr w:rsidR="00141B2C" w:rsidRPr="004E52C2" w14:paraId="6859C80D" w14:textId="77777777" w:rsidTr="00D85854">
        <w:trPr>
          <w:trHeight w:val="375"/>
        </w:trPr>
        <w:tc>
          <w:tcPr>
            <w:tcW w:w="1435" w:type="dxa"/>
            <w:vMerge w:val="restart"/>
            <w:tcBorders>
              <w:top w:val="single" w:sz="4" w:space="0" w:color="auto"/>
              <w:left w:val="single" w:sz="4" w:space="0" w:color="auto"/>
              <w:bottom w:val="single" w:sz="4" w:space="0" w:color="auto"/>
              <w:right w:val="single" w:sz="4" w:space="0" w:color="auto"/>
            </w:tcBorders>
            <w:hideMark/>
          </w:tcPr>
          <w:p w14:paraId="5E7D5C6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Ibadan North</w:t>
            </w:r>
          </w:p>
        </w:tc>
        <w:tc>
          <w:tcPr>
            <w:tcW w:w="4590" w:type="dxa"/>
            <w:tcBorders>
              <w:top w:val="single" w:sz="4" w:space="0" w:color="auto"/>
              <w:left w:val="single" w:sz="4" w:space="0" w:color="auto"/>
              <w:bottom w:val="single" w:sz="4" w:space="0" w:color="auto"/>
              <w:right w:val="single" w:sz="4" w:space="0" w:color="auto"/>
            </w:tcBorders>
            <w:hideMark/>
          </w:tcPr>
          <w:p w14:paraId="0A4F5143" w14:textId="0BF81BBF" w:rsidR="00141B2C" w:rsidRPr="004E52C2" w:rsidRDefault="00141B2C" w:rsidP="00F4229D">
            <w:pPr>
              <w:jc w:val="both"/>
              <w:rPr>
                <w:rFonts w:cstheme="minorHAnsi"/>
                <w:bCs/>
                <w:sz w:val="24"/>
                <w:szCs w:val="24"/>
                <w:lang w:val="en-US"/>
              </w:rPr>
            </w:pPr>
            <w:proofErr w:type="spellStart"/>
            <w:r w:rsidRPr="004E52C2">
              <w:rPr>
                <w:rFonts w:cstheme="minorHAnsi"/>
                <w:bCs/>
                <w:sz w:val="24"/>
                <w:szCs w:val="24"/>
                <w:lang w:val="en-US"/>
              </w:rPr>
              <w:t>Bodija</w:t>
            </w:r>
            <w:proofErr w:type="spellEnd"/>
            <w:r w:rsidRPr="004E52C2">
              <w:rPr>
                <w:rFonts w:cstheme="minorHAnsi"/>
                <w:bCs/>
                <w:sz w:val="24"/>
                <w:szCs w:val="24"/>
                <w:lang w:val="en-US"/>
              </w:rPr>
              <w:t xml:space="preserve"> (sparsely populated)</w:t>
            </w:r>
          </w:p>
        </w:tc>
        <w:tc>
          <w:tcPr>
            <w:tcW w:w="3114" w:type="dxa"/>
            <w:tcBorders>
              <w:top w:val="single" w:sz="4" w:space="0" w:color="auto"/>
              <w:left w:val="single" w:sz="4" w:space="0" w:color="auto"/>
              <w:bottom w:val="single" w:sz="4" w:space="0" w:color="auto"/>
              <w:right w:val="single" w:sz="4" w:space="0" w:color="auto"/>
            </w:tcBorders>
            <w:hideMark/>
          </w:tcPr>
          <w:p w14:paraId="1FED2965"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50</w:t>
            </w:r>
          </w:p>
        </w:tc>
      </w:tr>
      <w:tr w:rsidR="00141B2C" w:rsidRPr="004E52C2" w14:paraId="62D51D45"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C9C0C" w14:textId="77777777" w:rsidR="00141B2C" w:rsidRPr="004E52C2" w:rsidRDefault="00141B2C" w:rsidP="00F4229D">
            <w:pPr>
              <w:jc w:val="both"/>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16DB65D5"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Agodi GRA (sparsely populated)</w:t>
            </w:r>
          </w:p>
        </w:tc>
        <w:tc>
          <w:tcPr>
            <w:tcW w:w="3114" w:type="dxa"/>
            <w:tcBorders>
              <w:top w:val="single" w:sz="4" w:space="0" w:color="auto"/>
              <w:left w:val="single" w:sz="4" w:space="0" w:color="auto"/>
              <w:bottom w:val="single" w:sz="4" w:space="0" w:color="auto"/>
              <w:right w:val="single" w:sz="4" w:space="0" w:color="auto"/>
            </w:tcBorders>
            <w:hideMark/>
          </w:tcPr>
          <w:p w14:paraId="79DE5E50"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50</w:t>
            </w:r>
          </w:p>
        </w:tc>
      </w:tr>
      <w:tr w:rsidR="00141B2C" w:rsidRPr="004E52C2" w14:paraId="6D0F77F8"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D0C3CC" w14:textId="77777777" w:rsidR="00141B2C" w:rsidRPr="004E52C2" w:rsidRDefault="00141B2C" w:rsidP="00F4229D">
            <w:pPr>
              <w:jc w:val="both"/>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77F439E1" w14:textId="11BA191B" w:rsidR="00141B2C" w:rsidRPr="004E52C2" w:rsidRDefault="00141B2C" w:rsidP="00F4229D">
            <w:pPr>
              <w:jc w:val="both"/>
              <w:rPr>
                <w:rFonts w:cstheme="minorHAnsi"/>
                <w:bCs/>
                <w:sz w:val="24"/>
                <w:szCs w:val="24"/>
                <w:lang w:val="en-US"/>
              </w:rPr>
            </w:pPr>
            <w:r w:rsidRPr="004E52C2">
              <w:rPr>
                <w:rFonts w:cstheme="minorHAnsi"/>
                <w:bCs/>
                <w:sz w:val="24"/>
                <w:szCs w:val="24"/>
                <w:lang w:val="en-US"/>
              </w:rPr>
              <w:t>Sango</w:t>
            </w:r>
            <w:r w:rsidR="00E332A1">
              <w:rPr>
                <w:rFonts w:cstheme="minorHAnsi"/>
                <w:bCs/>
                <w:sz w:val="24"/>
                <w:szCs w:val="24"/>
                <w:lang w:val="en-US"/>
              </w:rPr>
              <w:t xml:space="preserve"> &amp; </w:t>
            </w:r>
            <w:r w:rsidRPr="004E52C2">
              <w:rPr>
                <w:rFonts w:cstheme="minorHAnsi"/>
                <w:bCs/>
                <w:sz w:val="24"/>
                <w:szCs w:val="24"/>
                <w:lang w:val="en-US"/>
              </w:rPr>
              <w:t>Mokola (densely populated)</w:t>
            </w:r>
          </w:p>
        </w:tc>
        <w:tc>
          <w:tcPr>
            <w:tcW w:w="3114" w:type="dxa"/>
            <w:tcBorders>
              <w:top w:val="single" w:sz="4" w:space="0" w:color="auto"/>
              <w:left w:val="single" w:sz="4" w:space="0" w:color="auto"/>
              <w:bottom w:val="single" w:sz="4" w:space="0" w:color="auto"/>
              <w:right w:val="single" w:sz="4" w:space="0" w:color="auto"/>
            </w:tcBorders>
            <w:hideMark/>
          </w:tcPr>
          <w:p w14:paraId="6F5D6598" w14:textId="7839A1F6" w:rsidR="00141B2C" w:rsidRPr="004E52C2" w:rsidRDefault="00141B2C" w:rsidP="00F4229D">
            <w:pPr>
              <w:jc w:val="both"/>
              <w:rPr>
                <w:rFonts w:cstheme="minorHAnsi"/>
                <w:bCs/>
                <w:sz w:val="24"/>
                <w:szCs w:val="24"/>
                <w:lang w:val="en-US"/>
              </w:rPr>
            </w:pPr>
            <w:r w:rsidRPr="004E52C2">
              <w:rPr>
                <w:rFonts w:cstheme="minorHAnsi"/>
                <w:bCs/>
                <w:sz w:val="24"/>
                <w:szCs w:val="24"/>
                <w:lang w:val="en-US"/>
              </w:rPr>
              <w:t>7</w:t>
            </w:r>
            <w:r w:rsidR="00DF7FF2">
              <w:rPr>
                <w:rFonts w:cstheme="minorHAnsi"/>
                <w:bCs/>
                <w:sz w:val="24"/>
                <w:szCs w:val="24"/>
                <w:lang w:val="en-US"/>
              </w:rPr>
              <w:t>8</w:t>
            </w:r>
          </w:p>
        </w:tc>
      </w:tr>
      <w:tr w:rsidR="00141B2C" w:rsidRPr="004E52C2" w14:paraId="10B6C0C1" w14:textId="77777777" w:rsidTr="00D8585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A59C3" w14:textId="77777777" w:rsidR="00141B2C" w:rsidRPr="004E52C2" w:rsidRDefault="00141B2C" w:rsidP="00F4229D">
            <w:pPr>
              <w:jc w:val="both"/>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41D23A46" w14:textId="77777777" w:rsidR="00141B2C" w:rsidRPr="004E52C2" w:rsidRDefault="00141B2C" w:rsidP="00F4229D">
            <w:pPr>
              <w:jc w:val="both"/>
              <w:rPr>
                <w:rFonts w:cstheme="minorHAnsi"/>
                <w:bCs/>
                <w:sz w:val="24"/>
                <w:szCs w:val="24"/>
                <w:lang w:val="en-US"/>
              </w:rPr>
            </w:pPr>
            <w:proofErr w:type="spellStart"/>
            <w:r w:rsidRPr="004E52C2">
              <w:rPr>
                <w:rFonts w:cstheme="minorHAnsi"/>
                <w:bCs/>
                <w:sz w:val="24"/>
                <w:szCs w:val="24"/>
                <w:lang w:val="en-US"/>
              </w:rPr>
              <w:t>Agbowo</w:t>
            </w:r>
            <w:proofErr w:type="spellEnd"/>
            <w:r w:rsidRPr="004E52C2">
              <w:rPr>
                <w:rFonts w:cstheme="minorHAnsi"/>
                <w:bCs/>
                <w:sz w:val="24"/>
                <w:szCs w:val="24"/>
                <w:lang w:val="en-US"/>
              </w:rPr>
              <w:t xml:space="preserve"> (densely populated)</w:t>
            </w:r>
          </w:p>
        </w:tc>
        <w:tc>
          <w:tcPr>
            <w:tcW w:w="3114" w:type="dxa"/>
            <w:tcBorders>
              <w:top w:val="single" w:sz="4" w:space="0" w:color="auto"/>
              <w:left w:val="single" w:sz="4" w:space="0" w:color="auto"/>
              <w:bottom w:val="single" w:sz="4" w:space="0" w:color="auto"/>
              <w:right w:val="single" w:sz="4" w:space="0" w:color="auto"/>
            </w:tcBorders>
            <w:hideMark/>
          </w:tcPr>
          <w:p w14:paraId="39125E41" w14:textId="6F7E6EFF" w:rsidR="00141B2C" w:rsidRPr="004E52C2" w:rsidRDefault="00141B2C" w:rsidP="00F4229D">
            <w:pPr>
              <w:jc w:val="both"/>
              <w:rPr>
                <w:rFonts w:cstheme="minorHAnsi"/>
                <w:bCs/>
                <w:sz w:val="24"/>
                <w:szCs w:val="24"/>
                <w:lang w:val="en-US"/>
              </w:rPr>
            </w:pPr>
            <w:r w:rsidRPr="004E52C2">
              <w:rPr>
                <w:rFonts w:cstheme="minorHAnsi"/>
                <w:bCs/>
                <w:sz w:val="24"/>
                <w:szCs w:val="24"/>
                <w:lang w:val="en-US"/>
              </w:rPr>
              <w:t>7</w:t>
            </w:r>
            <w:r w:rsidR="00DF7FF2">
              <w:rPr>
                <w:rFonts w:cstheme="minorHAnsi"/>
                <w:bCs/>
                <w:sz w:val="24"/>
                <w:szCs w:val="24"/>
                <w:lang w:val="en-US"/>
              </w:rPr>
              <w:t>9</w:t>
            </w:r>
          </w:p>
        </w:tc>
      </w:tr>
      <w:tr w:rsidR="00141B2C" w:rsidRPr="004E52C2" w14:paraId="37E3AAA3" w14:textId="77777777" w:rsidTr="00D85854">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D571F" w14:textId="77777777" w:rsidR="00141B2C" w:rsidRPr="004E52C2" w:rsidRDefault="00141B2C" w:rsidP="00F4229D">
            <w:pPr>
              <w:jc w:val="both"/>
              <w:rPr>
                <w:rFonts w:cstheme="minorHAnsi"/>
                <w:bCs/>
                <w:sz w:val="24"/>
                <w:szCs w:val="24"/>
                <w:lang w:val="en-US"/>
              </w:rPr>
            </w:pPr>
          </w:p>
        </w:tc>
        <w:tc>
          <w:tcPr>
            <w:tcW w:w="4590" w:type="dxa"/>
            <w:tcBorders>
              <w:top w:val="single" w:sz="4" w:space="0" w:color="auto"/>
              <w:left w:val="single" w:sz="4" w:space="0" w:color="auto"/>
              <w:bottom w:val="single" w:sz="4" w:space="0" w:color="auto"/>
              <w:right w:val="single" w:sz="4" w:space="0" w:color="auto"/>
            </w:tcBorders>
            <w:hideMark/>
          </w:tcPr>
          <w:p w14:paraId="70D42423"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Total </w:t>
            </w:r>
          </w:p>
        </w:tc>
        <w:tc>
          <w:tcPr>
            <w:tcW w:w="3114" w:type="dxa"/>
            <w:tcBorders>
              <w:top w:val="single" w:sz="4" w:space="0" w:color="auto"/>
              <w:left w:val="single" w:sz="4" w:space="0" w:color="auto"/>
              <w:bottom w:val="single" w:sz="4" w:space="0" w:color="auto"/>
              <w:right w:val="single" w:sz="4" w:space="0" w:color="auto"/>
            </w:tcBorders>
            <w:hideMark/>
          </w:tcPr>
          <w:p w14:paraId="157B57CA" w14:textId="5268F571" w:rsidR="00141B2C" w:rsidRPr="004E52C2" w:rsidRDefault="00DF7FF2" w:rsidP="00F4229D">
            <w:pPr>
              <w:jc w:val="both"/>
              <w:rPr>
                <w:rFonts w:cstheme="minorHAnsi"/>
                <w:bCs/>
                <w:sz w:val="24"/>
                <w:szCs w:val="24"/>
                <w:lang w:val="en-US"/>
              </w:rPr>
            </w:pPr>
            <w:r>
              <w:rPr>
                <w:rFonts w:cstheme="minorHAnsi"/>
                <w:bCs/>
                <w:sz w:val="24"/>
                <w:szCs w:val="24"/>
                <w:lang w:val="en-US"/>
              </w:rPr>
              <w:t>257</w:t>
            </w:r>
          </w:p>
        </w:tc>
      </w:tr>
    </w:tbl>
    <w:p w14:paraId="34160948" w14:textId="77777777" w:rsidR="00141B2C" w:rsidRDefault="00141B2C" w:rsidP="00F4229D">
      <w:pPr>
        <w:jc w:val="both"/>
        <w:rPr>
          <w:rFonts w:cstheme="minorHAnsi"/>
          <w:b/>
          <w:bCs/>
          <w:sz w:val="24"/>
          <w:szCs w:val="24"/>
          <w:lang w:val="en-US"/>
        </w:rPr>
      </w:pPr>
      <w:r w:rsidRPr="004E52C2">
        <w:rPr>
          <w:rFonts w:cstheme="minorHAnsi"/>
          <w:b/>
          <w:bCs/>
          <w:sz w:val="24"/>
          <w:szCs w:val="24"/>
          <w:lang w:val="en-US"/>
        </w:rPr>
        <w:br w:type="page"/>
      </w:r>
    </w:p>
    <w:p w14:paraId="60636E9E" w14:textId="0D196E69" w:rsidR="004F2836" w:rsidRPr="004F2836" w:rsidRDefault="004F2836" w:rsidP="00F4229D">
      <w:pPr>
        <w:jc w:val="both"/>
        <w:rPr>
          <w:rFonts w:cstheme="minorHAnsi"/>
          <w:b/>
          <w:bCs/>
          <w:sz w:val="24"/>
          <w:szCs w:val="24"/>
        </w:rPr>
      </w:pPr>
      <w:r w:rsidRPr="004F2836">
        <w:rPr>
          <w:rFonts w:cstheme="minorHAnsi"/>
          <w:sz w:val="24"/>
          <w:szCs w:val="24"/>
        </w:rPr>
        <w:lastRenderedPageBreak/>
        <w:br/>
      </w:r>
      <w:r w:rsidRPr="004F2836">
        <w:rPr>
          <w:rFonts w:cstheme="minorHAnsi"/>
          <w:b/>
          <w:bCs/>
          <w:sz w:val="24"/>
          <w:szCs w:val="24"/>
        </w:rPr>
        <w:t>2.4 Method of Data Collection</w:t>
      </w:r>
    </w:p>
    <w:p w14:paraId="518DED00" w14:textId="70B9EE80" w:rsidR="00B5477B" w:rsidRDefault="004F2836" w:rsidP="00F4229D">
      <w:pPr>
        <w:jc w:val="both"/>
        <w:rPr>
          <w:rFonts w:cstheme="minorHAnsi"/>
          <w:sz w:val="24"/>
          <w:szCs w:val="24"/>
        </w:rPr>
      </w:pPr>
      <w:r w:rsidRPr="004F2836">
        <w:rPr>
          <w:rFonts w:cstheme="minorHAnsi"/>
          <w:sz w:val="24"/>
          <w:szCs w:val="24"/>
        </w:rPr>
        <w:t>Primary data were used for the study. Structured questionnaires were administered to randomly selected households in the study area to obtain data. The questionnaire gathered data on socioeconomic factors, food security, dietary consumption patterns, sustainability indicators of good health, household income, household occupation, and reports of non-communicable diseases.</w:t>
      </w:r>
    </w:p>
    <w:p w14:paraId="6ECA26B0" w14:textId="30F51A23" w:rsidR="008E71D6" w:rsidRDefault="008E71D6" w:rsidP="00F4229D">
      <w:pPr>
        <w:jc w:val="both"/>
        <w:rPr>
          <w:rFonts w:cstheme="minorHAnsi"/>
          <w:sz w:val="24"/>
          <w:szCs w:val="24"/>
          <w:lang w:val="en-US"/>
        </w:rPr>
      </w:pPr>
      <w:r w:rsidRPr="008E71D6">
        <w:rPr>
          <w:rFonts w:cstheme="minorHAnsi"/>
          <w:sz w:val="24"/>
          <w:szCs w:val="24"/>
        </w:rPr>
        <w:t>To ensure clarity and appropriateness of the questionnaire, the instrument was reviewed by experts in agricultural economics and public health for content validity. A pre-test was conducted among households outside the study area but with similar socioeconomic characteristics to the study population. Feedback obtained from the pre-test was used to revise ambiguous questions and improve the overall structure of the questionnaire.</w:t>
      </w:r>
    </w:p>
    <w:p w14:paraId="47F053FC" w14:textId="54C0882A" w:rsidR="004F2836" w:rsidRPr="004F2836" w:rsidRDefault="004F2836" w:rsidP="00F4229D">
      <w:pPr>
        <w:jc w:val="both"/>
        <w:rPr>
          <w:rFonts w:cstheme="minorHAnsi"/>
          <w:b/>
          <w:bCs/>
          <w:sz w:val="24"/>
          <w:szCs w:val="24"/>
          <w:lang w:val="en-US"/>
        </w:rPr>
      </w:pPr>
      <w:r w:rsidRPr="004F2836">
        <w:rPr>
          <w:rFonts w:cstheme="minorHAnsi"/>
          <w:b/>
          <w:bCs/>
          <w:sz w:val="24"/>
          <w:szCs w:val="24"/>
          <w:lang w:val="en-US"/>
        </w:rPr>
        <w:t>2.5 Measurement of Household Food Security</w:t>
      </w:r>
    </w:p>
    <w:p w14:paraId="4A6AF8C6" w14:textId="79348800" w:rsidR="004F2836" w:rsidRDefault="004F2836" w:rsidP="00F4229D">
      <w:pPr>
        <w:jc w:val="both"/>
        <w:rPr>
          <w:rFonts w:cstheme="minorHAnsi"/>
          <w:sz w:val="24"/>
          <w:szCs w:val="24"/>
          <w:lang w:val="en-US"/>
        </w:rPr>
      </w:pPr>
      <w:r w:rsidRPr="004F2836">
        <w:rPr>
          <w:rFonts w:cstheme="minorHAnsi"/>
          <w:sz w:val="24"/>
          <w:szCs w:val="24"/>
          <w:lang w:val="en-US"/>
        </w:rPr>
        <w:t>The Household Food Insecurity Access Scale (HFIAS) was used to assess the food security status of the households. The HFIAS classifies households by their responses to food access related conditions and experiences, and divides them into four categories: food secure, food insecure without hunger, food insecure with moderate hunger, and food insecure with severe hunger.</w:t>
      </w:r>
    </w:p>
    <w:p w14:paraId="4A607917" w14:textId="264A269C" w:rsidR="008E71D6" w:rsidRPr="008E71D6" w:rsidRDefault="008E71D6" w:rsidP="00F4229D">
      <w:pPr>
        <w:jc w:val="both"/>
        <w:rPr>
          <w:rFonts w:cstheme="minorHAnsi"/>
          <w:color w:val="FF0000"/>
          <w:sz w:val="24"/>
          <w:szCs w:val="24"/>
          <w:lang w:val="en-US"/>
        </w:rPr>
      </w:pPr>
      <w:r w:rsidRPr="008E71D6">
        <w:rPr>
          <w:rFonts w:cstheme="minorHAnsi"/>
          <w:color w:val="FF0000"/>
          <w:sz w:val="24"/>
          <w:szCs w:val="24"/>
        </w:rPr>
        <w:t>For each occurrence question answered in the affirmative, respondents were further asked about the frequency of occurrence, categorized as rarely (once or twice), sometimes (three to ten times), or often (more than ten times) during the recall period. Responses were scored according to standard HFIAS procedures, and households were subsequently classified into four categories: food secure, food insecure without hunger, food insecure with moderate hunger, and food insecure with severe hunger. The classification followed the guidelines provided in the HFIAS indicator guide.</w:t>
      </w:r>
    </w:p>
    <w:p w14:paraId="4435AA16" w14:textId="1D085502" w:rsidR="004F2836" w:rsidRPr="004F2836" w:rsidRDefault="004F2836" w:rsidP="00F4229D">
      <w:pPr>
        <w:jc w:val="both"/>
        <w:rPr>
          <w:rFonts w:cstheme="minorHAnsi"/>
          <w:b/>
          <w:bCs/>
          <w:sz w:val="24"/>
          <w:szCs w:val="24"/>
          <w:lang w:val="en-US"/>
        </w:rPr>
      </w:pPr>
      <w:r w:rsidRPr="004F2836">
        <w:rPr>
          <w:rFonts w:cstheme="minorHAnsi"/>
          <w:b/>
          <w:bCs/>
          <w:sz w:val="24"/>
          <w:szCs w:val="24"/>
        </w:rPr>
        <w:t>2.</w:t>
      </w:r>
      <w:r>
        <w:rPr>
          <w:rFonts w:cstheme="minorHAnsi"/>
          <w:b/>
          <w:bCs/>
          <w:sz w:val="24"/>
          <w:szCs w:val="24"/>
        </w:rPr>
        <w:t>6</w:t>
      </w:r>
      <w:r w:rsidRPr="004F2836">
        <w:rPr>
          <w:rFonts w:cstheme="minorHAnsi"/>
          <w:b/>
          <w:bCs/>
          <w:sz w:val="24"/>
          <w:szCs w:val="24"/>
        </w:rPr>
        <w:t xml:space="preserve"> Measurement of Wellness Sustainability</w:t>
      </w:r>
    </w:p>
    <w:p w14:paraId="3A5C5A19" w14:textId="63B1F881" w:rsidR="004F2836" w:rsidRPr="004F2836" w:rsidRDefault="004F2836" w:rsidP="00F4229D">
      <w:pPr>
        <w:jc w:val="both"/>
        <w:rPr>
          <w:rFonts w:cstheme="minorHAnsi"/>
          <w:sz w:val="24"/>
          <w:szCs w:val="24"/>
          <w:lang w:val="en-US"/>
        </w:rPr>
      </w:pPr>
      <w:r w:rsidRPr="004F2836">
        <w:rPr>
          <w:rFonts w:cstheme="minorHAnsi"/>
          <w:sz w:val="24"/>
          <w:szCs w:val="24"/>
          <w:lang w:val="en-US"/>
        </w:rPr>
        <w:t>Household dietary consumption patterns were used to measure the sustainability of the wellness, as measured by the percentage of WFPBD (%) consumed among all household dietary intake. Healthy food groups included fruits, vegetables, legumes, whole grains and roots and tubers, nuts and seeds, and unhealthy food groups consisted of highly processed foods and sugars, processed oils and processed flour products, and processed meats.</w:t>
      </w:r>
    </w:p>
    <w:p w14:paraId="3045A1F5" w14:textId="515501B5" w:rsidR="004F2836" w:rsidRPr="004F2836" w:rsidRDefault="004F2836" w:rsidP="00F4229D">
      <w:pPr>
        <w:jc w:val="both"/>
        <w:rPr>
          <w:rFonts w:cstheme="minorHAnsi"/>
          <w:sz w:val="24"/>
          <w:szCs w:val="24"/>
          <w:lang w:val="en-US"/>
        </w:rPr>
      </w:pPr>
      <w:r w:rsidRPr="004F2836">
        <w:rPr>
          <w:rFonts w:cstheme="minorHAnsi"/>
          <w:sz w:val="24"/>
          <w:szCs w:val="24"/>
          <w:lang w:val="en-US"/>
        </w:rPr>
        <w:t xml:space="preserve">Households that consumed over 45% whole food plant-based diet intake were considered to have wellness sustainability and households that consumed 45% or less in healthy dietary consumption were considered not to have wellness sustainability. </w:t>
      </w:r>
      <w:r w:rsidR="008E71D6" w:rsidRPr="008E71D6">
        <w:rPr>
          <w:rFonts w:cstheme="minorHAnsi"/>
          <w:color w:val="FF0000"/>
          <w:sz w:val="24"/>
          <w:szCs w:val="24"/>
          <w:lang w:val="en-US"/>
        </w:rPr>
        <w:t xml:space="preserve">This percentage was </w:t>
      </w:r>
      <w:r w:rsidR="008E71D6" w:rsidRPr="008E71D6">
        <w:rPr>
          <w:rFonts w:cstheme="minorHAnsi"/>
          <w:color w:val="FF0000"/>
          <w:sz w:val="24"/>
          <w:szCs w:val="24"/>
        </w:rPr>
        <w:t>an operational classification threshold used for analytical purposes</w:t>
      </w:r>
      <w:r w:rsidR="008E71D6">
        <w:rPr>
          <w:rFonts w:cstheme="minorHAnsi"/>
          <w:sz w:val="24"/>
          <w:szCs w:val="24"/>
        </w:rPr>
        <w:t xml:space="preserve">. </w:t>
      </w:r>
      <w:r w:rsidRPr="004F2836">
        <w:rPr>
          <w:rFonts w:cstheme="minorHAnsi"/>
          <w:sz w:val="24"/>
          <w:szCs w:val="24"/>
          <w:lang w:val="en-US"/>
        </w:rPr>
        <w:t>The classification was made based on the household food consumption patterns reported and dietary proportions derived from the survey responses.</w:t>
      </w:r>
    </w:p>
    <w:p w14:paraId="42BB444D" w14:textId="440EB9FC" w:rsidR="004F2836" w:rsidRPr="004F2836" w:rsidRDefault="004F2836" w:rsidP="00F4229D">
      <w:pPr>
        <w:jc w:val="both"/>
        <w:rPr>
          <w:rFonts w:cstheme="minorHAnsi"/>
          <w:b/>
          <w:bCs/>
          <w:sz w:val="24"/>
          <w:szCs w:val="24"/>
          <w:lang w:val="en-US"/>
        </w:rPr>
      </w:pPr>
      <w:r w:rsidRPr="004F2836">
        <w:rPr>
          <w:rFonts w:cstheme="minorHAnsi"/>
          <w:b/>
          <w:bCs/>
          <w:sz w:val="24"/>
          <w:szCs w:val="24"/>
          <w:lang w:val="en-US"/>
        </w:rPr>
        <w:lastRenderedPageBreak/>
        <w:t>2.7 Analytical Techniques</w:t>
      </w:r>
    </w:p>
    <w:p w14:paraId="14222D5E" w14:textId="0B8E2496" w:rsidR="004F2836" w:rsidRDefault="00832851" w:rsidP="00F4229D">
      <w:pPr>
        <w:jc w:val="both"/>
        <w:rPr>
          <w:rFonts w:cstheme="minorHAnsi"/>
          <w:sz w:val="24"/>
          <w:szCs w:val="24"/>
          <w:lang w:val="en-US"/>
        </w:rPr>
      </w:pPr>
      <w:r w:rsidRPr="00832851">
        <w:rPr>
          <w:rFonts w:cstheme="minorHAnsi"/>
          <w:color w:val="FF0000"/>
          <w:sz w:val="24"/>
          <w:szCs w:val="24"/>
          <w:lang w:val="en-US"/>
        </w:rPr>
        <w:t xml:space="preserve">Data was analyzed using IBM SPSS v27. </w:t>
      </w:r>
      <w:r w:rsidR="004F2836" w:rsidRPr="004F2836">
        <w:rPr>
          <w:rFonts w:cstheme="minorHAnsi"/>
          <w:sz w:val="24"/>
          <w:szCs w:val="24"/>
          <w:lang w:val="en-US"/>
        </w:rPr>
        <w:t>The household socioeconomic characteristics, food security status and wellness sustainability patterns were described using descriptive statistics including frequencies, percentages, means, and standard deviations.</w:t>
      </w:r>
      <w:r>
        <w:rPr>
          <w:rFonts w:cstheme="minorHAnsi"/>
          <w:sz w:val="24"/>
          <w:szCs w:val="24"/>
          <w:lang w:val="en-US"/>
        </w:rPr>
        <w:t xml:space="preserve"> </w:t>
      </w:r>
      <w:r w:rsidR="004F2836" w:rsidRPr="004F2836">
        <w:rPr>
          <w:rFonts w:cstheme="minorHAnsi"/>
          <w:sz w:val="24"/>
          <w:szCs w:val="24"/>
          <w:lang w:val="en-US"/>
        </w:rPr>
        <w:t>The dependent variable was multiple categories so a multinomial logistic regression model was performed. Additionally, binary logistic regression was conducted to identify factors associated with wellness sustainability of households. Marginal effects were calculated to describe the impact of explanatory variables on the likelihood of achieving outcomes related to household food security and/or household food and nutrition wellness sustainability.</w:t>
      </w:r>
    </w:p>
    <w:p w14:paraId="43B25B8C" w14:textId="1D2B1584" w:rsidR="008E71D6" w:rsidRPr="008E71D6" w:rsidRDefault="008E71D6" w:rsidP="00F4229D">
      <w:pPr>
        <w:jc w:val="both"/>
        <w:rPr>
          <w:rFonts w:cstheme="minorHAnsi"/>
          <w:color w:val="FF0000"/>
          <w:sz w:val="24"/>
          <w:szCs w:val="24"/>
          <w:lang w:val="en-US"/>
        </w:rPr>
      </w:pPr>
      <w:r w:rsidRPr="008E71D6">
        <w:rPr>
          <w:rFonts w:cstheme="minorHAnsi"/>
          <w:color w:val="FF0000"/>
          <w:sz w:val="24"/>
          <w:szCs w:val="24"/>
        </w:rPr>
        <w:t>Independent variables were selected based on theoretical relevance, empirical evidence from previous food security studies, and availability within the dataset. These variables included sex, age, education, marital status, household size, residential location, occupation, and monthly income of the household head.</w:t>
      </w:r>
    </w:p>
    <w:p w14:paraId="6E8AA82B" w14:textId="5F182503" w:rsidR="00F4229D" w:rsidRPr="00F4229D" w:rsidRDefault="00F4229D" w:rsidP="00F4229D">
      <w:pPr>
        <w:jc w:val="both"/>
        <w:rPr>
          <w:rFonts w:cstheme="minorHAnsi"/>
          <w:b/>
          <w:bCs/>
          <w:sz w:val="24"/>
          <w:szCs w:val="24"/>
          <w:lang w:val="en-US"/>
        </w:rPr>
      </w:pPr>
      <w:r w:rsidRPr="00F4229D">
        <w:rPr>
          <w:rFonts w:cstheme="minorHAnsi"/>
          <w:b/>
          <w:bCs/>
          <w:sz w:val="24"/>
          <w:szCs w:val="24"/>
          <w:lang w:val="en-US"/>
        </w:rPr>
        <w:t>2.8 Ethical consideration</w:t>
      </w:r>
    </w:p>
    <w:p w14:paraId="6877488A" w14:textId="0970E441" w:rsidR="00F4229D" w:rsidRDefault="00F4229D" w:rsidP="00F4229D">
      <w:pPr>
        <w:jc w:val="both"/>
        <w:rPr>
          <w:rFonts w:cstheme="minorHAnsi"/>
          <w:sz w:val="24"/>
          <w:szCs w:val="24"/>
          <w:lang w:val="en-US"/>
        </w:rPr>
      </w:pPr>
      <w:r w:rsidRPr="00F4229D">
        <w:rPr>
          <w:rFonts w:cstheme="minorHAnsi"/>
          <w:sz w:val="24"/>
          <w:szCs w:val="24"/>
        </w:rPr>
        <w:t>Participation in the study was voluntary, and informed consent was obtained from all respondents before questionnaire administration. Respondents were assured of confidentiality and anonymity, and the information provided was used strictly for academic purposes only.</w:t>
      </w:r>
      <w:r w:rsidR="008E71D6">
        <w:rPr>
          <w:rFonts w:cstheme="minorHAnsi"/>
          <w:sz w:val="24"/>
          <w:szCs w:val="24"/>
        </w:rPr>
        <w:t xml:space="preserve"> </w:t>
      </w:r>
      <w:r w:rsidR="008E71D6" w:rsidRPr="008E71D6">
        <w:rPr>
          <w:rFonts w:cstheme="minorHAnsi"/>
          <w:color w:val="FF0000"/>
          <w:sz w:val="24"/>
          <w:szCs w:val="24"/>
        </w:rPr>
        <w:t>The study qualified for exemption from formal ethical review because</w:t>
      </w:r>
      <w:r w:rsidR="008E71D6">
        <w:rPr>
          <w:rFonts w:cstheme="minorHAnsi"/>
          <w:sz w:val="24"/>
          <w:szCs w:val="24"/>
        </w:rPr>
        <w:t xml:space="preserve">. No </w:t>
      </w:r>
      <w:r w:rsidR="008E71D6" w:rsidRPr="008E71D6">
        <w:rPr>
          <w:rFonts w:cstheme="minorHAnsi"/>
          <w:color w:val="FF0000"/>
          <w:sz w:val="24"/>
          <w:szCs w:val="24"/>
        </w:rPr>
        <w:t>formal ethical review was not sought. Nevertheless, the study was conducted in accordance with the ethical principles of voluntary participation, confidentiality, anonymity, and informed consent</w:t>
      </w:r>
    </w:p>
    <w:p w14:paraId="0D5E15F6" w14:textId="77777777" w:rsidR="004F2836" w:rsidRPr="004F2836" w:rsidRDefault="004F2836" w:rsidP="00F4229D">
      <w:pPr>
        <w:jc w:val="both"/>
        <w:rPr>
          <w:rFonts w:cstheme="minorHAnsi"/>
          <w:sz w:val="24"/>
          <w:szCs w:val="24"/>
          <w:lang w:val="en-US"/>
        </w:rPr>
      </w:pPr>
    </w:p>
    <w:p w14:paraId="68500D0B" w14:textId="03204C85"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 xml:space="preserve">3. </w:t>
      </w:r>
      <w:r w:rsidR="00141B2C" w:rsidRPr="004E52C2">
        <w:rPr>
          <w:rFonts w:cstheme="minorHAnsi"/>
          <w:b/>
          <w:bCs/>
          <w:sz w:val="24"/>
          <w:szCs w:val="24"/>
          <w:lang w:val="en-US"/>
        </w:rPr>
        <w:t>RESULTS</w:t>
      </w:r>
      <w:r w:rsidRPr="004E52C2">
        <w:rPr>
          <w:rFonts w:cstheme="minorHAnsi"/>
          <w:b/>
          <w:bCs/>
          <w:sz w:val="24"/>
          <w:szCs w:val="24"/>
          <w:lang w:val="en-US"/>
        </w:rPr>
        <w:t xml:space="preserve"> </w:t>
      </w:r>
    </w:p>
    <w:p w14:paraId="1BC90A48" w14:textId="7EBE1C05"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.1.1 Sex of household head </w:t>
      </w:r>
    </w:p>
    <w:p w14:paraId="0A9C269B" w14:textId="6D20F73C" w:rsidR="00141B2C" w:rsidRPr="004E52C2" w:rsidRDefault="00D85854" w:rsidP="00F4229D">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2</w:t>
      </w:r>
      <w:r w:rsidR="00141B2C" w:rsidRPr="004E52C2">
        <w:rPr>
          <w:rFonts w:cstheme="minorHAnsi"/>
          <w:bCs/>
          <w:sz w:val="24"/>
          <w:szCs w:val="24"/>
          <w:lang w:val="en-US"/>
        </w:rPr>
        <w:t xml:space="preserve"> shows the distribution of the households by the sex of the heads and the number of households that are Food secure, Food insecure without hunger, Food secure with moderate hunger and Food insecure with severe hunger. The male-headed households are in the majority (72.76%) While the percentage of food-secure persons is almost the same among male and female-headed households (29.41 and 30%, respectively), more persons in female-headed households (54.29%) witnessed food insecurity without hunger than males (48.66%). However, the reverse was the case for food insecurity without hunger and severe hunger, where individuals belonging to male-headed households were more (14.44 vs 12.86% and 7.49 vs 2.86%, respectively). There's a larger pool of female-headed households in the food secure or food insecure without hunger category. This can be attributed to lower income levels. Female-headed households are commonly divorced, separated or divorced, all commonly vulnerable to poverty compared to male-headed households with dual income from head and spouses. </w:t>
      </w:r>
    </w:p>
    <w:p w14:paraId="2381AF80" w14:textId="04991FB6"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2</w:t>
      </w:r>
      <w:r w:rsidRPr="004E52C2">
        <w:rPr>
          <w:rFonts w:cstheme="minorHAnsi"/>
          <w:bCs/>
          <w:sz w:val="24"/>
          <w:szCs w:val="24"/>
          <w:lang w:val="en-US"/>
        </w:rPr>
        <w:t xml:space="preserve">: Distribution of households by sex of household head. </w:t>
      </w:r>
    </w:p>
    <w:tbl>
      <w:tblPr>
        <w:tblStyle w:val="PlainTable2"/>
        <w:tblW w:w="9900" w:type="dxa"/>
        <w:tblLayout w:type="fixed"/>
        <w:tblLook w:val="04A0" w:firstRow="1" w:lastRow="0" w:firstColumn="1" w:lastColumn="0" w:noHBand="0" w:noVBand="1"/>
      </w:tblPr>
      <w:tblGrid>
        <w:gridCol w:w="1350"/>
        <w:gridCol w:w="1621"/>
        <w:gridCol w:w="1436"/>
        <w:gridCol w:w="1891"/>
        <w:gridCol w:w="1801"/>
        <w:gridCol w:w="1801"/>
      </w:tblGrid>
      <w:tr w:rsidR="00141B2C" w:rsidRPr="004E52C2" w14:paraId="432E1718"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7F7F7F" w:themeColor="text1" w:themeTint="80"/>
              <w:left w:val="nil"/>
              <w:right w:val="nil"/>
            </w:tcBorders>
            <w:hideMark/>
          </w:tcPr>
          <w:p w14:paraId="413674E7"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lastRenderedPageBreak/>
              <w:t>Sex of household head n=257</w:t>
            </w:r>
          </w:p>
        </w:tc>
        <w:tc>
          <w:tcPr>
            <w:tcW w:w="1620" w:type="dxa"/>
            <w:tcBorders>
              <w:top w:val="single" w:sz="4" w:space="0" w:color="7F7F7F" w:themeColor="text1" w:themeTint="80"/>
              <w:left w:val="nil"/>
              <w:right w:val="nil"/>
            </w:tcBorders>
            <w:hideMark/>
          </w:tcPr>
          <w:p w14:paraId="612F8C9F"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435" w:type="dxa"/>
            <w:tcBorders>
              <w:top w:val="single" w:sz="4" w:space="0" w:color="7F7F7F" w:themeColor="text1" w:themeTint="80"/>
              <w:left w:val="nil"/>
              <w:right w:val="nil"/>
            </w:tcBorders>
            <w:hideMark/>
          </w:tcPr>
          <w:p w14:paraId="78328D4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46628448"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4C798D81"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w:t>
            </w:r>
          </w:p>
          <w:p w14:paraId="6E367569"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00" w:type="dxa"/>
            <w:tcBorders>
              <w:top w:val="single" w:sz="4" w:space="0" w:color="7F7F7F" w:themeColor="text1" w:themeTint="80"/>
              <w:left w:val="nil"/>
              <w:right w:val="nil"/>
            </w:tcBorders>
            <w:hideMark/>
          </w:tcPr>
          <w:p w14:paraId="3A433E66"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40BD8F4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2553597"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left w:val="nil"/>
              <w:right w:val="nil"/>
            </w:tcBorders>
            <w:hideMark/>
          </w:tcPr>
          <w:p w14:paraId="5A38C311"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Male</w:t>
            </w:r>
          </w:p>
        </w:tc>
        <w:tc>
          <w:tcPr>
            <w:tcW w:w="1620" w:type="dxa"/>
            <w:tcBorders>
              <w:left w:val="nil"/>
              <w:right w:val="nil"/>
            </w:tcBorders>
            <w:hideMark/>
          </w:tcPr>
          <w:p w14:paraId="4EA04AB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72.76</w:t>
            </w:r>
          </w:p>
        </w:tc>
        <w:tc>
          <w:tcPr>
            <w:tcW w:w="1435" w:type="dxa"/>
            <w:tcBorders>
              <w:left w:val="nil"/>
              <w:right w:val="nil"/>
            </w:tcBorders>
            <w:hideMark/>
          </w:tcPr>
          <w:p w14:paraId="765F9C7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29.41</w:t>
            </w:r>
          </w:p>
        </w:tc>
        <w:tc>
          <w:tcPr>
            <w:tcW w:w="1890" w:type="dxa"/>
            <w:tcBorders>
              <w:left w:val="nil"/>
              <w:right w:val="nil"/>
            </w:tcBorders>
            <w:hideMark/>
          </w:tcPr>
          <w:p w14:paraId="4D021B01"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48.66</w:t>
            </w:r>
          </w:p>
        </w:tc>
        <w:tc>
          <w:tcPr>
            <w:tcW w:w="1800" w:type="dxa"/>
            <w:tcBorders>
              <w:left w:val="nil"/>
              <w:right w:val="nil"/>
            </w:tcBorders>
            <w:hideMark/>
          </w:tcPr>
          <w:p w14:paraId="64D2E1C8"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14.44</w:t>
            </w:r>
          </w:p>
        </w:tc>
        <w:tc>
          <w:tcPr>
            <w:tcW w:w="1800" w:type="dxa"/>
            <w:tcBorders>
              <w:left w:val="nil"/>
              <w:right w:val="nil"/>
            </w:tcBorders>
            <w:hideMark/>
          </w:tcPr>
          <w:p w14:paraId="092CAF7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7.49</w:t>
            </w:r>
          </w:p>
        </w:tc>
      </w:tr>
      <w:tr w:rsidR="00141B2C" w:rsidRPr="004E52C2" w14:paraId="333E76F8" w14:textId="77777777" w:rsidTr="00D85854">
        <w:tc>
          <w:tcPr>
            <w:cnfStyle w:val="001000000000" w:firstRow="0" w:lastRow="0" w:firstColumn="1" w:lastColumn="0" w:oddVBand="0" w:evenVBand="0" w:oddHBand="0" w:evenHBand="0" w:firstRowFirstColumn="0" w:firstRowLastColumn="0" w:lastRowFirstColumn="0" w:lastRowLastColumn="0"/>
            <w:tcW w:w="1350" w:type="dxa"/>
            <w:tcBorders>
              <w:top w:val="nil"/>
              <w:left w:val="nil"/>
              <w:bottom w:val="nil"/>
              <w:right w:val="nil"/>
            </w:tcBorders>
            <w:hideMark/>
          </w:tcPr>
          <w:p w14:paraId="69F599E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Female</w:t>
            </w:r>
          </w:p>
        </w:tc>
        <w:tc>
          <w:tcPr>
            <w:tcW w:w="1620" w:type="dxa"/>
            <w:tcBorders>
              <w:top w:val="nil"/>
              <w:left w:val="nil"/>
              <w:bottom w:val="nil"/>
              <w:right w:val="nil"/>
            </w:tcBorders>
            <w:hideMark/>
          </w:tcPr>
          <w:p w14:paraId="0E1E07AA"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27.24</w:t>
            </w:r>
          </w:p>
        </w:tc>
        <w:tc>
          <w:tcPr>
            <w:tcW w:w="1435" w:type="dxa"/>
            <w:tcBorders>
              <w:top w:val="nil"/>
              <w:left w:val="nil"/>
              <w:bottom w:val="nil"/>
              <w:right w:val="nil"/>
            </w:tcBorders>
            <w:hideMark/>
          </w:tcPr>
          <w:p w14:paraId="3118C8F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top w:val="nil"/>
              <w:left w:val="nil"/>
              <w:bottom w:val="nil"/>
              <w:right w:val="nil"/>
            </w:tcBorders>
            <w:hideMark/>
          </w:tcPr>
          <w:p w14:paraId="1EE1AAA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54.29</w:t>
            </w:r>
          </w:p>
        </w:tc>
        <w:tc>
          <w:tcPr>
            <w:tcW w:w="1800" w:type="dxa"/>
            <w:tcBorders>
              <w:top w:val="nil"/>
              <w:left w:val="nil"/>
              <w:bottom w:val="nil"/>
              <w:right w:val="nil"/>
            </w:tcBorders>
            <w:hideMark/>
          </w:tcPr>
          <w:p w14:paraId="525BBD9A"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12.86</w:t>
            </w:r>
          </w:p>
        </w:tc>
        <w:tc>
          <w:tcPr>
            <w:tcW w:w="1800" w:type="dxa"/>
            <w:tcBorders>
              <w:top w:val="nil"/>
              <w:left w:val="nil"/>
              <w:bottom w:val="nil"/>
              <w:right w:val="nil"/>
            </w:tcBorders>
            <w:hideMark/>
          </w:tcPr>
          <w:p w14:paraId="248591F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2.86</w:t>
            </w:r>
          </w:p>
        </w:tc>
      </w:tr>
      <w:tr w:rsidR="00141B2C" w:rsidRPr="004E52C2" w14:paraId="48EFBDC6"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left w:val="nil"/>
              <w:right w:val="nil"/>
            </w:tcBorders>
            <w:hideMark/>
          </w:tcPr>
          <w:p w14:paraId="7E66DCA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Total</w:t>
            </w:r>
          </w:p>
        </w:tc>
        <w:tc>
          <w:tcPr>
            <w:tcW w:w="1620" w:type="dxa"/>
            <w:tcBorders>
              <w:left w:val="nil"/>
              <w:right w:val="nil"/>
            </w:tcBorders>
            <w:hideMark/>
          </w:tcPr>
          <w:p w14:paraId="4B2D288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435" w:type="dxa"/>
            <w:tcBorders>
              <w:left w:val="nil"/>
              <w:right w:val="nil"/>
            </w:tcBorders>
          </w:tcPr>
          <w:p w14:paraId="1E79702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33D16F1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049F07F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640257D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30502E65"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0F10ADE3" w14:textId="7DA9520D" w:rsidR="00141B2C" w:rsidRPr="004E52C2" w:rsidRDefault="00B5477B" w:rsidP="00F4229D">
      <w:pPr>
        <w:jc w:val="both"/>
        <w:rPr>
          <w:rFonts w:cstheme="minorHAnsi"/>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.1.2 Age of household head </w:t>
      </w:r>
    </w:p>
    <w:p w14:paraId="0DEBA51A" w14:textId="3347E789" w:rsidR="00141B2C" w:rsidRPr="004E52C2" w:rsidRDefault="00D85854" w:rsidP="00F4229D">
      <w:pPr>
        <w:jc w:val="both"/>
        <w:rPr>
          <w:rFonts w:cstheme="minorHAnsi"/>
          <w:bCs/>
          <w:sz w:val="24"/>
          <w:szCs w:val="24"/>
          <w:lang w:val="en-US"/>
        </w:rPr>
      </w:pPr>
      <w:r w:rsidRPr="004E52C2">
        <w:rPr>
          <w:rFonts w:cstheme="minorHAnsi"/>
          <w:bCs/>
          <w:sz w:val="24"/>
          <w:szCs w:val="24"/>
          <w:lang w:val="en-US"/>
        </w:rPr>
        <w:t xml:space="preserve">Table </w:t>
      </w:r>
      <w:r w:rsidR="004E52C2">
        <w:rPr>
          <w:rFonts w:cstheme="minorHAnsi"/>
          <w:bCs/>
          <w:sz w:val="24"/>
          <w:szCs w:val="24"/>
          <w:lang w:val="en-US"/>
        </w:rPr>
        <w:t>3</w:t>
      </w:r>
      <w:r w:rsidR="00141B2C" w:rsidRPr="004E52C2">
        <w:rPr>
          <w:rFonts w:cstheme="minorHAnsi"/>
          <w:bCs/>
          <w:sz w:val="24"/>
          <w:szCs w:val="24"/>
          <w:lang w:val="en-US"/>
        </w:rPr>
        <w:t xml:space="preserve"> provides data on the household heads' mean age, which is reported as 49.15 years, and the standard deviation calculated is 12.24 years. This means the majority of household heads are closer to the age of 49. The largest age bracket are the 31-60 years category, with about 69.26%, while the least age bracket, with 11.67%, are those below 30 years. Among households with a household head aged less than 30, a large portion of 73.33% was recorded, which is higher than the two other brackets of “31-60” and “&gt;60” at 48.88% and 40.82%, respectively. Many young people are reported to be food insecure without hunger, while 0% are food insecure with severe hunger. </w:t>
      </w:r>
    </w:p>
    <w:p w14:paraId="24297C70" w14:textId="4AF159C5"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The Most food secure age bracket are the households with their head of household above 60, which is about 38.78%. This is in comparison to the “&lt;30” and “31-60” age brackets at 16.67% and 29.21% respectively. The description provided </w:t>
      </w:r>
      <w:r w:rsidR="00D85854" w:rsidRPr="004E52C2">
        <w:rPr>
          <w:rFonts w:cstheme="minorHAnsi"/>
          <w:bCs/>
          <w:sz w:val="24"/>
          <w:szCs w:val="24"/>
          <w:lang w:val="en-US"/>
        </w:rPr>
        <w:t xml:space="preserve">in Table </w:t>
      </w:r>
      <w:r w:rsidR="004E52C2">
        <w:rPr>
          <w:rFonts w:cstheme="minorHAnsi"/>
          <w:bCs/>
          <w:sz w:val="24"/>
          <w:szCs w:val="24"/>
          <w:lang w:val="en-US"/>
        </w:rPr>
        <w:t>3</w:t>
      </w:r>
      <w:r w:rsidRPr="004E52C2">
        <w:rPr>
          <w:rFonts w:cstheme="minorHAnsi"/>
          <w:bCs/>
          <w:sz w:val="24"/>
          <w:szCs w:val="24"/>
          <w:lang w:val="en-US"/>
        </w:rPr>
        <w:t xml:space="preserve"> shows that although elderly individuals are the most food secure, they are also the most food insecure with severe hunger, which shows that they have the most diverse category. This more significant portion of older more than any other age bracket, are experiencing food insecurity with severe hunger at 8.16%, measured against the other age brackets of “&lt;30” and “31-60” at 6.74% and 8.16%, respectively. </w:t>
      </w:r>
    </w:p>
    <w:p w14:paraId="66978BAF" w14:textId="287CD9F3"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3</w:t>
      </w:r>
      <w:r w:rsidRPr="004E52C2">
        <w:rPr>
          <w:rFonts w:cstheme="minorHAnsi"/>
          <w:bCs/>
          <w:sz w:val="24"/>
          <w:szCs w:val="24"/>
          <w:lang w:val="en-US"/>
        </w:rPr>
        <w:t>: Distribution of households by the age of household head.</w:t>
      </w:r>
    </w:p>
    <w:tbl>
      <w:tblPr>
        <w:tblStyle w:val="PlainTable2"/>
        <w:tblW w:w="9900" w:type="dxa"/>
        <w:tblLayout w:type="fixed"/>
        <w:tblLook w:val="04A0" w:firstRow="1" w:lastRow="0" w:firstColumn="1" w:lastColumn="0" w:noHBand="0" w:noVBand="1"/>
      </w:tblPr>
      <w:tblGrid>
        <w:gridCol w:w="1435"/>
        <w:gridCol w:w="1621"/>
        <w:gridCol w:w="1351"/>
        <w:gridCol w:w="1891"/>
        <w:gridCol w:w="1801"/>
        <w:gridCol w:w="1801"/>
      </w:tblGrid>
      <w:tr w:rsidR="00141B2C" w:rsidRPr="004E52C2" w14:paraId="279D4B88"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7F7F7F" w:themeColor="text1" w:themeTint="80"/>
              <w:left w:val="nil"/>
              <w:right w:val="nil"/>
            </w:tcBorders>
            <w:hideMark/>
          </w:tcPr>
          <w:p w14:paraId="5ED69EDA"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Age of household head n=257</w:t>
            </w:r>
          </w:p>
        </w:tc>
        <w:tc>
          <w:tcPr>
            <w:tcW w:w="1620" w:type="dxa"/>
            <w:tcBorders>
              <w:top w:val="single" w:sz="4" w:space="0" w:color="7F7F7F" w:themeColor="text1" w:themeTint="80"/>
              <w:left w:val="nil"/>
              <w:right w:val="nil"/>
            </w:tcBorders>
            <w:hideMark/>
          </w:tcPr>
          <w:p w14:paraId="6A98E8B6"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07246DF4"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1B9AE95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20F6247E"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w:t>
            </w:r>
          </w:p>
          <w:p w14:paraId="1DE2BB9C"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00" w:type="dxa"/>
            <w:tcBorders>
              <w:top w:val="single" w:sz="4" w:space="0" w:color="7F7F7F" w:themeColor="text1" w:themeTint="80"/>
              <w:left w:val="nil"/>
              <w:right w:val="nil"/>
            </w:tcBorders>
            <w:hideMark/>
          </w:tcPr>
          <w:p w14:paraId="1E440E3D"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33E30756"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5AFEE5A"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hideMark/>
          </w:tcPr>
          <w:p w14:paraId="5867595A"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&lt;30</w:t>
            </w:r>
          </w:p>
        </w:tc>
        <w:tc>
          <w:tcPr>
            <w:tcW w:w="1620" w:type="dxa"/>
            <w:tcBorders>
              <w:left w:val="nil"/>
              <w:right w:val="nil"/>
            </w:tcBorders>
            <w:hideMark/>
          </w:tcPr>
          <w:p w14:paraId="0FDBAD5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11.67</w:t>
            </w:r>
          </w:p>
        </w:tc>
        <w:tc>
          <w:tcPr>
            <w:tcW w:w="1350" w:type="dxa"/>
            <w:tcBorders>
              <w:left w:val="nil"/>
              <w:right w:val="nil"/>
            </w:tcBorders>
            <w:hideMark/>
          </w:tcPr>
          <w:p w14:paraId="7995755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1890" w:type="dxa"/>
            <w:tcBorders>
              <w:left w:val="nil"/>
              <w:right w:val="nil"/>
            </w:tcBorders>
            <w:hideMark/>
          </w:tcPr>
          <w:p w14:paraId="75C34DD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73.33</w:t>
            </w:r>
          </w:p>
        </w:tc>
        <w:tc>
          <w:tcPr>
            <w:tcW w:w="1800" w:type="dxa"/>
            <w:tcBorders>
              <w:left w:val="nil"/>
              <w:right w:val="nil"/>
            </w:tcBorders>
            <w:hideMark/>
          </w:tcPr>
          <w:p w14:paraId="608D223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c>
          <w:tcPr>
            <w:tcW w:w="1800" w:type="dxa"/>
            <w:tcBorders>
              <w:left w:val="nil"/>
              <w:right w:val="nil"/>
            </w:tcBorders>
            <w:hideMark/>
          </w:tcPr>
          <w:p w14:paraId="21668959"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07F602A"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nil"/>
              <w:right w:val="nil"/>
            </w:tcBorders>
            <w:hideMark/>
          </w:tcPr>
          <w:p w14:paraId="7957D66C"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31-60</w:t>
            </w:r>
          </w:p>
        </w:tc>
        <w:tc>
          <w:tcPr>
            <w:tcW w:w="1620" w:type="dxa"/>
            <w:tcBorders>
              <w:top w:val="nil"/>
              <w:left w:val="nil"/>
              <w:bottom w:val="nil"/>
              <w:right w:val="nil"/>
            </w:tcBorders>
            <w:hideMark/>
          </w:tcPr>
          <w:p w14:paraId="39C9E47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69.26</w:t>
            </w:r>
          </w:p>
        </w:tc>
        <w:tc>
          <w:tcPr>
            <w:tcW w:w="1350" w:type="dxa"/>
            <w:tcBorders>
              <w:top w:val="nil"/>
              <w:left w:val="nil"/>
              <w:bottom w:val="nil"/>
              <w:right w:val="nil"/>
            </w:tcBorders>
            <w:hideMark/>
          </w:tcPr>
          <w:p w14:paraId="114DC2F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29.21</w:t>
            </w:r>
          </w:p>
        </w:tc>
        <w:tc>
          <w:tcPr>
            <w:tcW w:w="1890" w:type="dxa"/>
            <w:tcBorders>
              <w:top w:val="nil"/>
              <w:left w:val="nil"/>
              <w:bottom w:val="nil"/>
              <w:right w:val="nil"/>
            </w:tcBorders>
            <w:hideMark/>
          </w:tcPr>
          <w:p w14:paraId="6F3CE6C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48.88</w:t>
            </w:r>
          </w:p>
        </w:tc>
        <w:tc>
          <w:tcPr>
            <w:tcW w:w="1800" w:type="dxa"/>
            <w:tcBorders>
              <w:top w:val="nil"/>
              <w:left w:val="nil"/>
              <w:bottom w:val="nil"/>
              <w:right w:val="nil"/>
            </w:tcBorders>
            <w:hideMark/>
          </w:tcPr>
          <w:p w14:paraId="0E6F305A"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15.17</w:t>
            </w:r>
          </w:p>
        </w:tc>
        <w:tc>
          <w:tcPr>
            <w:tcW w:w="1800" w:type="dxa"/>
            <w:tcBorders>
              <w:top w:val="nil"/>
              <w:left w:val="nil"/>
              <w:bottom w:val="nil"/>
              <w:right w:val="nil"/>
            </w:tcBorders>
            <w:hideMark/>
          </w:tcPr>
          <w:p w14:paraId="5A9E932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6.74</w:t>
            </w:r>
          </w:p>
        </w:tc>
      </w:tr>
      <w:tr w:rsidR="00141B2C" w:rsidRPr="004E52C2" w14:paraId="2FB65E4C"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left w:val="nil"/>
              <w:right w:val="nil"/>
            </w:tcBorders>
            <w:hideMark/>
          </w:tcPr>
          <w:p w14:paraId="0198D273"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&gt;60</w:t>
            </w:r>
          </w:p>
        </w:tc>
        <w:tc>
          <w:tcPr>
            <w:tcW w:w="1620" w:type="dxa"/>
            <w:tcBorders>
              <w:left w:val="nil"/>
              <w:right w:val="nil"/>
            </w:tcBorders>
            <w:hideMark/>
          </w:tcPr>
          <w:p w14:paraId="5ECE392D"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19.07</w:t>
            </w:r>
          </w:p>
        </w:tc>
        <w:tc>
          <w:tcPr>
            <w:tcW w:w="1350" w:type="dxa"/>
            <w:tcBorders>
              <w:left w:val="nil"/>
              <w:right w:val="nil"/>
            </w:tcBorders>
            <w:hideMark/>
          </w:tcPr>
          <w:p w14:paraId="2874646B"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38.78</w:t>
            </w:r>
          </w:p>
        </w:tc>
        <w:tc>
          <w:tcPr>
            <w:tcW w:w="1890" w:type="dxa"/>
            <w:tcBorders>
              <w:left w:val="nil"/>
              <w:right w:val="nil"/>
            </w:tcBorders>
            <w:hideMark/>
          </w:tcPr>
          <w:p w14:paraId="143D1F7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40.82</w:t>
            </w:r>
          </w:p>
        </w:tc>
        <w:tc>
          <w:tcPr>
            <w:tcW w:w="1800" w:type="dxa"/>
            <w:tcBorders>
              <w:left w:val="nil"/>
              <w:right w:val="nil"/>
            </w:tcBorders>
            <w:hideMark/>
          </w:tcPr>
          <w:p w14:paraId="07ED9DE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12.24</w:t>
            </w:r>
          </w:p>
        </w:tc>
        <w:tc>
          <w:tcPr>
            <w:tcW w:w="1800" w:type="dxa"/>
            <w:tcBorders>
              <w:left w:val="nil"/>
              <w:right w:val="nil"/>
            </w:tcBorders>
            <w:hideMark/>
          </w:tcPr>
          <w:p w14:paraId="41CEA5AB"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8.16</w:t>
            </w:r>
          </w:p>
        </w:tc>
      </w:tr>
      <w:tr w:rsidR="00141B2C" w:rsidRPr="004E52C2" w14:paraId="5713FAD5"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7F7F7F" w:themeColor="text1" w:themeTint="80"/>
              <w:left w:val="nil"/>
              <w:bottom w:val="single" w:sz="4" w:space="0" w:color="auto"/>
              <w:right w:val="nil"/>
            </w:tcBorders>
            <w:hideMark/>
          </w:tcPr>
          <w:p w14:paraId="024C66E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620" w:type="dxa"/>
            <w:tcBorders>
              <w:top w:val="single" w:sz="4" w:space="0" w:color="7F7F7F" w:themeColor="text1" w:themeTint="80"/>
              <w:left w:val="nil"/>
              <w:bottom w:val="single" w:sz="4" w:space="0" w:color="auto"/>
              <w:right w:val="nil"/>
            </w:tcBorders>
            <w:hideMark/>
          </w:tcPr>
          <w:p w14:paraId="48143E80"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top w:val="single" w:sz="4" w:space="0" w:color="7F7F7F" w:themeColor="text1" w:themeTint="80"/>
              <w:left w:val="nil"/>
              <w:bottom w:val="single" w:sz="4" w:space="0" w:color="auto"/>
              <w:right w:val="nil"/>
            </w:tcBorders>
          </w:tcPr>
          <w:p w14:paraId="4BAE9024"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single" w:sz="4" w:space="0" w:color="7F7F7F" w:themeColor="text1" w:themeTint="80"/>
              <w:left w:val="nil"/>
              <w:bottom w:val="single" w:sz="4" w:space="0" w:color="auto"/>
              <w:right w:val="nil"/>
            </w:tcBorders>
          </w:tcPr>
          <w:p w14:paraId="02DC852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single" w:sz="4" w:space="0" w:color="7F7F7F" w:themeColor="text1" w:themeTint="80"/>
              <w:left w:val="nil"/>
              <w:bottom w:val="single" w:sz="4" w:space="0" w:color="auto"/>
              <w:right w:val="nil"/>
            </w:tcBorders>
          </w:tcPr>
          <w:p w14:paraId="60EDEFD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single" w:sz="4" w:space="0" w:color="7F7F7F" w:themeColor="text1" w:themeTint="80"/>
              <w:left w:val="nil"/>
              <w:bottom w:val="single" w:sz="4" w:space="0" w:color="auto"/>
              <w:right w:val="nil"/>
            </w:tcBorders>
          </w:tcPr>
          <w:p w14:paraId="23177C9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r w:rsidR="00141B2C" w:rsidRPr="004E52C2" w14:paraId="590426E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tcBorders>
              <w:top w:val="single" w:sz="4" w:space="0" w:color="auto"/>
              <w:left w:val="nil"/>
              <w:bottom w:val="nil"/>
              <w:right w:val="nil"/>
            </w:tcBorders>
            <w:hideMark/>
          </w:tcPr>
          <w:p w14:paraId="348AA3E2"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lastRenderedPageBreak/>
              <w:t xml:space="preserve">Mean age = </w:t>
            </w:r>
          </w:p>
        </w:tc>
        <w:tc>
          <w:tcPr>
            <w:tcW w:w="1620" w:type="dxa"/>
            <w:tcBorders>
              <w:top w:val="single" w:sz="4" w:space="0" w:color="auto"/>
              <w:left w:val="nil"/>
              <w:bottom w:val="nil"/>
              <w:right w:val="nil"/>
            </w:tcBorders>
            <w:hideMark/>
          </w:tcPr>
          <w:p w14:paraId="45BDDB29"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49.15175    </w:t>
            </w:r>
          </w:p>
        </w:tc>
        <w:tc>
          <w:tcPr>
            <w:tcW w:w="1350" w:type="dxa"/>
            <w:tcBorders>
              <w:top w:val="single" w:sz="4" w:space="0" w:color="auto"/>
              <w:left w:val="nil"/>
              <w:bottom w:val="nil"/>
              <w:right w:val="nil"/>
            </w:tcBorders>
          </w:tcPr>
          <w:p w14:paraId="1F8D875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top w:val="single" w:sz="4" w:space="0" w:color="auto"/>
              <w:left w:val="nil"/>
              <w:bottom w:val="nil"/>
              <w:right w:val="nil"/>
            </w:tcBorders>
          </w:tcPr>
          <w:p w14:paraId="138EE1F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top w:val="single" w:sz="4" w:space="0" w:color="auto"/>
              <w:left w:val="nil"/>
              <w:bottom w:val="nil"/>
              <w:right w:val="nil"/>
            </w:tcBorders>
          </w:tcPr>
          <w:p w14:paraId="6B7F78C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top w:val="single" w:sz="4" w:space="0" w:color="auto"/>
              <w:left w:val="nil"/>
              <w:bottom w:val="nil"/>
              <w:right w:val="nil"/>
            </w:tcBorders>
          </w:tcPr>
          <w:p w14:paraId="14493F0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r w:rsidR="00141B2C" w:rsidRPr="004E52C2" w14:paraId="41495EBF" w14:textId="77777777" w:rsidTr="00D85854">
        <w:tc>
          <w:tcPr>
            <w:cnfStyle w:val="001000000000" w:firstRow="0" w:lastRow="0" w:firstColumn="1" w:lastColumn="0" w:oddVBand="0" w:evenVBand="0" w:oddHBand="0" w:evenHBand="0" w:firstRowFirstColumn="0" w:firstRowLastColumn="0" w:lastRowFirstColumn="0" w:lastRowLastColumn="0"/>
            <w:tcW w:w="1435" w:type="dxa"/>
            <w:tcBorders>
              <w:top w:val="nil"/>
              <w:left w:val="nil"/>
              <w:bottom w:val="single" w:sz="4" w:space="0" w:color="auto"/>
              <w:right w:val="nil"/>
            </w:tcBorders>
            <w:hideMark/>
          </w:tcPr>
          <w:p w14:paraId="0F54E4E1"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Standard deviation = </w:t>
            </w:r>
          </w:p>
        </w:tc>
        <w:tc>
          <w:tcPr>
            <w:tcW w:w="1620" w:type="dxa"/>
            <w:tcBorders>
              <w:top w:val="nil"/>
              <w:left w:val="nil"/>
              <w:bottom w:val="single" w:sz="4" w:space="0" w:color="auto"/>
              <w:right w:val="nil"/>
            </w:tcBorders>
          </w:tcPr>
          <w:p w14:paraId="46DD3C5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p w14:paraId="3061B79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12.24507</w:t>
            </w:r>
          </w:p>
        </w:tc>
        <w:tc>
          <w:tcPr>
            <w:tcW w:w="1350" w:type="dxa"/>
            <w:tcBorders>
              <w:top w:val="nil"/>
              <w:left w:val="nil"/>
              <w:bottom w:val="single" w:sz="4" w:space="0" w:color="auto"/>
              <w:right w:val="nil"/>
            </w:tcBorders>
          </w:tcPr>
          <w:p w14:paraId="2FCC123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nil"/>
              <w:left w:val="nil"/>
              <w:bottom w:val="single" w:sz="4" w:space="0" w:color="auto"/>
              <w:right w:val="nil"/>
            </w:tcBorders>
          </w:tcPr>
          <w:p w14:paraId="42E387F8"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auto"/>
              <w:right w:val="nil"/>
            </w:tcBorders>
          </w:tcPr>
          <w:p w14:paraId="2DE41394"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auto"/>
              <w:right w:val="nil"/>
            </w:tcBorders>
          </w:tcPr>
          <w:p w14:paraId="21CFF07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36C4AAD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31DAD1B3" w14:textId="2F591493"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br w:type="page"/>
      </w:r>
      <w:r w:rsidR="00B5477B" w:rsidRPr="004E52C2">
        <w:rPr>
          <w:rFonts w:cstheme="minorHAnsi"/>
          <w:b/>
          <w:bCs/>
          <w:sz w:val="24"/>
          <w:szCs w:val="24"/>
          <w:lang w:val="en-US"/>
        </w:rPr>
        <w:lastRenderedPageBreak/>
        <w:t>3</w:t>
      </w:r>
      <w:r w:rsidRPr="004E52C2">
        <w:rPr>
          <w:rFonts w:cstheme="minorHAnsi"/>
          <w:b/>
          <w:bCs/>
          <w:sz w:val="24"/>
          <w:szCs w:val="24"/>
          <w:lang w:val="en-US"/>
        </w:rPr>
        <w:t xml:space="preserve">.1.3 Level of Education of household head </w:t>
      </w:r>
    </w:p>
    <w:p w14:paraId="32AB8078" w14:textId="32B95F60" w:rsidR="00141B2C" w:rsidRPr="004E52C2" w:rsidRDefault="00D85854" w:rsidP="00F4229D">
      <w:pPr>
        <w:jc w:val="both"/>
        <w:rPr>
          <w:rFonts w:cstheme="minorHAnsi"/>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4</w:t>
      </w:r>
      <w:r w:rsidR="00141B2C" w:rsidRPr="004E52C2">
        <w:rPr>
          <w:rFonts w:cstheme="minorHAnsi"/>
          <w:bCs/>
          <w:sz w:val="24"/>
          <w:szCs w:val="24"/>
          <w:lang w:val="en-US"/>
        </w:rPr>
        <w:t xml:space="preserve"> shows the household distribution based on the head's educational level and corresponding food security status. The educational level of the household head is categorized into five groups: no formal education, primary school, secondary school, vocational/technical education, and tertiary education. The largest educational category was households with a head who attained tertiary education, with a share of 154 households (59.92%). Of these households, 52 (33.77%) were food secure, having the highest percentage of food secure households. In comparison, household heads with no formal education enjoyed the least percentage of food security at 14.29%. </w:t>
      </w:r>
    </w:p>
    <w:p w14:paraId="786C372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Although, formal education and vocational/technical education have the least frequency at 2.72% and 5.45% respectively. They have highest portion of food insecurity without hunger households was the household heads with no formal or vocational/technical education, equally at 57.14%. While households with the head having primary school as their highest level of education, (9.34%) of the total were the least food insecure without hunger group with 41.67%. Although household heads with no formal or vocational/technical education are the highest percentages in the food insecurity without hunger category, they are in contrast under the food insecurity with severe hunger, where vocational/technical education groups have the least percentage at 0.00 unlike the household with their head having no formal education possessing the highest of this food insecurity with severe hunger category at 14.29%. </w:t>
      </w:r>
    </w:p>
    <w:p w14:paraId="6A8D093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The food insecurity with moderate hunger groups had tertiary educated heads of household at the least with about 11.69%, compared to the vocational/technical educated groups at 21.43% as the highest. At the same time, no formal, primary and secondary education were reported at 14.29%, 16.67 and 17.24% respectively. </w:t>
      </w:r>
    </w:p>
    <w:p w14:paraId="3FA8785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br w:type="page"/>
      </w:r>
    </w:p>
    <w:p w14:paraId="3D1DCC98" w14:textId="258770E5" w:rsidR="00141B2C" w:rsidRPr="004E52C2" w:rsidRDefault="00141B2C" w:rsidP="00F4229D">
      <w:pPr>
        <w:jc w:val="both"/>
        <w:rPr>
          <w:rFonts w:cstheme="minorHAnsi"/>
          <w:bCs/>
          <w:sz w:val="24"/>
          <w:szCs w:val="24"/>
          <w:lang w:val="en-US"/>
        </w:rPr>
      </w:pPr>
      <w:r w:rsidRPr="004E52C2">
        <w:rPr>
          <w:rFonts w:cstheme="minorHAnsi"/>
          <w:bCs/>
          <w:sz w:val="24"/>
          <w:szCs w:val="24"/>
          <w:lang w:val="en-US"/>
        </w:rPr>
        <w:lastRenderedPageBreak/>
        <w:t xml:space="preserve">Table </w:t>
      </w:r>
      <w:r w:rsidR="00D92B88">
        <w:rPr>
          <w:rFonts w:cstheme="minorHAnsi"/>
          <w:bCs/>
          <w:sz w:val="24"/>
          <w:szCs w:val="24"/>
          <w:lang w:val="en-US"/>
        </w:rPr>
        <w:t>4</w:t>
      </w:r>
      <w:r w:rsidRPr="004E52C2">
        <w:rPr>
          <w:rFonts w:cstheme="minorHAnsi"/>
          <w:bCs/>
          <w:sz w:val="24"/>
          <w:szCs w:val="24"/>
          <w:lang w:val="en-US"/>
        </w:rPr>
        <w:t xml:space="preserve">: Distribution of households by the household head's education level </w:t>
      </w:r>
    </w:p>
    <w:tbl>
      <w:tblPr>
        <w:tblStyle w:val="PlainTable2"/>
        <w:tblW w:w="9900" w:type="dxa"/>
        <w:tblLayout w:type="fixed"/>
        <w:tblLook w:val="04A0" w:firstRow="1" w:lastRow="0" w:firstColumn="1" w:lastColumn="0" w:noHBand="0" w:noVBand="1"/>
      </w:tblPr>
      <w:tblGrid>
        <w:gridCol w:w="1980"/>
        <w:gridCol w:w="1531"/>
        <w:gridCol w:w="991"/>
        <w:gridCol w:w="1796"/>
        <w:gridCol w:w="1801"/>
        <w:gridCol w:w="1801"/>
      </w:tblGrid>
      <w:tr w:rsidR="00141B2C" w:rsidRPr="004E52C2" w14:paraId="4775951E"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7F7F7F" w:themeColor="text1" w:themeTint="80"/>
              <w:left w:val="nil"/>
              <w:right w:val="nil"/>
            </w:tcBorders>
            <w:hideMark/>
          </w:tcPr>
          <w:p w14:paraId="3B3EAA07"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The educational level of the household head</w:t>
            </w:r>
          </w:p>
          <w:p w14:paraId="6E0D9AF8"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n=257</w:t>
            </w:r>
          </w:p>
        </w:tc>
        <w:tc>
          <w:tcPr>
            <w:tcW w:w="1530" w:type="dxa"/>
            <w:tcBorders>
              <w:top w:val="single" w:sz="4" w:space="0" w:color="7F7F7F" w:themeColor="text1" w:themeTint="80"/>
              <w:left w:val="nil"/>
              <w:right w:val="nil"/>
            </w:tcBorders>
            <w:hideMark/>
          </w:tcPr>
          <w:p w14:paraId="1AFF006D"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990" w:type="dxa"/>
            <w:tcBorders>
              <w:top w:val="single" w:sz="4" w:space="0" w:color="7F7F7F" w:themeColor="text1" w:themeTint="80"/>
              <w:left w:val="nil"/>
              <w:right w:val="nil"/>
            </w:tcBorders>
            <w:hideMark/>
          </w:tcPr>
          <w:p w14:paraId="43C01177"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3A6AE117"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795" w:type="dxa"/>
            <w:tcBorders>
              <w:top w:val="single" w:sz="4" w:space="0" w:color="7F7F7F" w:themeColor="text1" w:themeTint="80"/>
              <w:left w:val="nil"/>
              <w:right w:val="nil"/>
            </w:tcBorders>
            <w:hideMark/>
          </w:tcPr>
          <w:p w14:paraId="314A078C"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001057AF"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E00958A"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D6E1BA1"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04E67A0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No formal education</w:t>
            </w:r>
          </w:p>
        </w:tc>
        <w:tc>
          <w:tcPr>
            <w:tcW w:w="1530" w:type="dxa"/>
            <w:tcBorders>
              <w:left w:val="nil"/>
              <w:right w:val="nil"/>
            </w:tcBorders>
            <w:hideMark/>
          </w:tcPr>
          <w:p w14:paraId="18E550C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w:t>
            </w:r>
          </w:p>
        </w:tc>
        <w:tc>
          <w:tcPr>
            <w:tcW w:w="990" w:type="dxa"/>
            <w:tcBorders>
              <w:left w:val="nil"/>
              <w:right w:val="nil"/>
            </w:tcBorders>
            <w:hideMark/>
          </w:tcPr>
          <w:p w14:paraId="3058355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795" w:type="dxa"/>
            <w:tcBorders>
              <w:left w:val="nil"/>
              <w:right w:val="nil"/>
            </w:tcBorders>
            <w:hideMark/>
          </w:tcPr>
          <w:p w14:paraId="4302FEA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57.14</w:t>
            </w:r>
          </w:p>
        </w:tc>
        <w:tc>
          <w:tcPr>
            <w:tcW w:w="1800" w:type="dxa"/>
            <w:tcBorders>
              <w:left w:val="nil"/>
              <w:right w:val="nil"/>
            </w:tcBorders>
            <w:hideMark/>
          </w:tcPr>
          <w:p w14:paraId="64F13C4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15A1DB7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r>
      <w:tr w:rsidR="00141B2C" w:rsidRPr="004E52C2" w14:paraId="11847B69"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nil"/>
              <w:right w:val="nil"/>
            </w:tcBorders>
            <w:hideMark/>
          </w:tcPr>
          <w:p w14:paraId="0426EBCC"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Primary school</w:t>
            </w:r>
          </w:p>
        </w:tc>
        <w:tc>
          <w:tcPr>
            <w:tcW w:w="1530" w:type="dxa"/>
            <w:tcBorders>
              <w:top w:val="nil"/>
              <w:left w:val="nil"/>
              <w:bottom w:val="nil"/>
              <w:right w:val="nil"/>
            </w:tcBorders>
            <w:hideMark/>
          </w:tcPr>
          <w:p w14:paraId="6430B1C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9.34</w:t>
            </w:r>
          </w:p>
        </w:tc>
        <w:tc>
          <w:tcPr>
            <w:tcW w:w="990" w:type="dxa"/>
            <w:tcBorders>
              <w:top w:val="nil"/>
              <w:left w:val="nil"/>
              <w:bottom w:val="nil"/>
              <w:right w:val="nil"/>
            </w:tcBorders>
            <w:hideMark/>
          </w:tcPr>
          <w:p w14:paraId="3B20C96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33.33</w:t>
            </w:r>
          </w:p>
        </w:tc>
        <w:tc>
          <w:tcPr>
            <w:tcW w:w="1795" w:type="dxa"/>
            <w:tcBorders>
              <w:top w:val="nil"/>
              <w:left w:val="nil"/>
              <w:bottom w:val="nil"/>
              <w:right w:val="nil"/>
            </w:tcBorders>
            <w:hideMark/>
          </w:tcPr>
          <w:p w14:paraId="73DB516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41.67</w:t>
            </w:r>
          </w:p>
        </w:tc>
        <w:tc>
          <w:tcPr>
            <w:tcW w:w="1800" w:type="dxa"/>
            <w:tcBorders>
              <w:top w:val="nil"/>
              <w:left w:val="nil"/>
              <w:bottom w:val="nil"/>
              <w:right w:val="nil"/>
            </w:tcBorders>
            <w:hideMark/>
          </w:tcPr>
          <w:p w14:paraId="3FCEC638"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1800" w:type="dxa"/>
            <w:tcBorders>
              <w:top w:val="nil"/>
              <w:left w:val="nil"/>
              <w:bottom w:val="nil"/>
              <w:right w:val="nil"/>
            </w:tcBorders>
            <w:hideMark/>
          </w:tcPr>
          <w:p w14:paraId="7A971819"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8.33</w:t>
            </w:r>
          </w:p>
        </w:tc>
      </w:tr>
      <w:tr w:rsidR="00141B2C" w:rsidRPr="004E52C2" w14:paraId="6D00D7A2"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227F163B"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Secondary school</w:t>
            </w:r>
          </w:p>
        </w:tc>
        <w:tc>
          <w:tcPr>
            <w:tcW w:w="1530" w:type="dxa"/>
            <w:tcBorders>
              <w:left w:val="nil"/>
              <w:right w:val="nil"/>
            </w:tcBorders>
            <w:hideMark/>
          </w:tcPr>
          <w:p w14:paraId="008499E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22.57</w:t>
            </w:r>
          </w:p>
        </w:tc>
        <w:tc>
          <w:tcPr>
            <w:tcW w:w="990" w:type="dxa"/>
            <w:tcBorders>
              <w:left w:val="nil"/>
              <w:right w:val="nil"/>
            </w:tcBorders>
            <w:hideMark/>
          </w:tcPr>
          <w:p w14:paraId="7A11A6F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20.69</w:t>
            </w:r>
          </w:p>
        </w:tc>
        <w:tc>
          <w:tcPr>
            <w:tcW w:w="1795" w:type="dxa"/>
            <w:tcBorders>
              <w:left w:val="nil"/>
              <w:right w:val="nil"/>
            </w:tcBorders>
            <w:hideMark/>
          </w:tcPr>
          <w:p w14:paraId="123EF60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00" w:type="dxa"/>
            <w:tcBorders>
              <w:left w:val="nil"/>
              <w:right w:val="nil"/>
            </w:tcBorders>
            <w:hideMark/>
          </w:tcPr>
          <w:p w14:paraId="147019B9"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17.24</w:t>
            </w:r>
          </w:p>
        </w:tc>
        <w:tc>
          <w:tcPr>
            <w:tcW w:w="1800" w:type="dxa"/>
            <w:tcBorders>
              <w:left w:val="nil"/>
              <w:right w:val="nil"/>
            </w:tcBorders>
            <w:hideMark/>
          </w:tcPr>
          <w:p w14:paraId="2B9778C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12.07</w:t>
            </w:r>
          </w:p>
        </w:tc>
      </w:tr>
      <w:tr w:rsidR="00141B2C" w:rsidRPr="004E52C2" w14:paraId="3233AF5B"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nil"/>
              <w:right w:val="nil"/>
            </w:tcBorders>
            <w:hideMark/>
          </w:tcPr>
          <w:p w14:paraId="545D5949"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Vocational/ Technical</w:t>
            </w:r>
          </w:p>
        </w:tc>
        <w:tc>
          <w:tcPr>
            <w:tcW w:w="1530" w:type="dxa"/>
            <w:tcBorders>
              <w:top w:val="nil"/>
              <w:left w:val="nil"/>
              <w:bottom w:val="nil"/>
              <w:right w:val="nil"/>
            </w:tcBorders>
            <w:hideMark/>
          </w:tcPr>
          <w:p w14:paraId="1C37340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5.45</w:t>
            </w:r>
          </w:p>
        </w:tc>
        <w:tc>
          <w:tcPr>
            <w:tcW w:w="990" w:type="dxa"/>
            <w:tcBorders>
              <w:top w:val="nil"/>
              <w:left w:val="nil"/>
              <w:bottom w:val="nil"/>
              <w:right w:val="nil"/>
            </w:tcBorders>
            <w:hideMark/>
          </w:tcPr>
          <w:p w14:paraId="0CD43A6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21.43</w:t>
            </w:r>
          </w:p>
        </w:tc>
        <w:tc>
          <w:tcPr>
            <w:tcW w:w="1795" w:type="dxa"/>
            <w:tcBorders>
              <w:top w:val="nil"/>
              <w:left w:val="nil"/>
              <w:bottom w:val="nil"/>
              <w:right w:val="nil"/>
            </w:tcBorders>
            <w:hideMark/>
          </w:tcPr>
          <w:p w14:paraId="44D141E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57.14</w:t>
            </w:r>
          </w:p>
        </w:tc>
        <w:tc>
          <w:tcPr>
            <w:tcW w:w="1800" w:type="dxa"/>
            <w:tcBorders>
              <w:top w:val="nil"/>
              <w:left w:val="nil"/>
              <w:bottom w:val="nil"/>
              <w:right w:val="nil"/>
            </w:tcBorders>
            <w:hideMark/>
          </w:tcPr>
          <w:p w14:paraId="2ADB305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21.43</w:t>
            </w:r>
          </w:p>
        </w:tc>
        <w:tc>
          <w:tcPr>
            <w:tcW w:w="1800" w:type="dxa"/>
            <w:tcBorders>
              <w:top w:val="nil"/>
              <w:left w:val="nil"/>
              <w:bottom w:val="nil"/>
              <w:right w:val="nil"/>
            </w:tcBorders>
            <w:hideMark/>
          </w:tcPr>
          <w:p w14:paraId="35DB1EA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4812AE9D" w14:textId="77777777" w:rsidTr="00D85854">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980" w:type="dxa"/>
            <w:tcBorders>
              <w:left w:val="nil"/>
              <w:right w:val="nil"/>
            </w:tcBorders>
            <w:hideMark/>
          </w:tcPr>
          <w:p w14:paraId="03DB02DD"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Tertiary </w:t>
            </w:r>
          </w:p>
        </w:tc>
        <w:tc>
          <w:tcPr>
            <w:tcW w:w="1530" w:type="dxa"/>
            <w:tcBorders>
              <w:left w:val="nil"/>
              <w:right w:val="nil"/>
            </w:tcBorders>
            <w:hideMark/>
          </w:tcPr>
          <w:p w14:paraId="040992B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59.92</w:t>
            </w:r>
          </w:p>
        </w:tc>
        <w:tc>
          <w:tcPr>
            <w:tcW w:w="990" w:type="dxa"/>
            <w:tcBorders>
              <w:left w:val="nil"/>
              <w:right w:val="nil"/>
            </w:tcBorders>
            <w:hideMark/>
          </w:tcPr>
          <w:p w14:paraId="7E4EDD7B"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33.77</w:t>
            </w:r>
          </w:p>
        </w:tc>
        <w:tc>
          <w:tcPr>
            <w:tcW w:w="1795" w:type="dxa"/>
            <w:tcBorders>
              <w:left w:val="nil"/>
              <w:right w:val="nil"/>
            </w:tcBorders>
            <w:hideMark/>
          </w:tcPr>
          <w:p w14:paraId="3293B7D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50.65</w:t>
            </w:r>
          </w:p>
        </w:tc>
        <w:tc>
          <w:tcPr>
            <w:tcW w:w="1800" w:type="dxa"/>
            <w:tcBorders>
              <w:left w:val="nil"/>
              <w:right w:val="nil"/>
            </w:tcBorders>
            <w:hideMark/>
          </w:tcPr>
          <w:p w14:paraId="67FF716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11.69</w:t>
            </w:r>
          </w:p>
        </w:tc>
        <w:tc>
          <w:tcPr>
            <w:tcW w:w="1800" w:type="dxa"/>
            <w:tcBorders>
              <w:left w:val="nil"/>
              <w:right w:val="nil"/>
            </w:tcBorders>
            <w:hideMark/>
          </w:tcPr>
          <w:p w14:paraId="4DAEDAF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3.90</w:t>
            </w:r>
          </w:p>
        </w:tc>
      </w:tr>
      <w:tr w:rsidR="00141B2C" w:rsidRPr="004E52C2" w14:paraId="67126FE2" w14:textId="77777777" w:rsidTr="00D85854">
        <w:tc>
          <w:tcPr>
            <w:cnfStyle w:val="001000000000" w:firstRow="0" w:lastRow="0" w:firstColumn="1" w:lastColumn="0" w:oddVBand="0" w:evenVBand="0" w:oddHBand="0" w:evenHBand="0" w:firstRowFirstColumn="0" w:firstRowLastColumn="0" w:lastRowFirstColumn="0" w:lastRowLastColumn="0"/>
            <w:tcW w:w="1980" w:type="dxa"/>
            <w:tcBorders>
              <w:top w:val="nil"/>
              <w:left w:val="nil"/>
              <w:bottom w:val="single" w:sz="4" w:space="0" w:color="7F7F7F" w:themeColor="text1" w:themeTint="80"/>
              <w:right w:val="nil"/>
            </w:tcBorders>
            <w:hideMark/>
          </w:tcPr>
          <w:p w14:paraId="0FC18D10"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530" w:type="dxa"/>
            <w:tcBorders>
              <w:top w:val="nil"/>
              <w:left w:val="nil"/>
              <w:bottom w:val="single" w:sz="4" w:space="0" w:color="7F7F7F" w:themeColor="text1" w:themeTint="80"/>
              <w:right w:val="nil"/>
            </w:tcBorders>
            <w:hideMark/>
          </w:tcPr>
          <w:p w14:paraId="0F4D51F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990" w:type="dxa"/>
            <w:tcBorders>
              <w:top w:val="nil"/>
              <w:left w:val="nil"/>
              <w:bottom w:val="single" w:sz="4" w:space="0" w:color="7F7F7F" w:themeColor="text1" w:themeTint="80"/>
              <w:right w:val="nil"/>
            </w:tcBorders>
          </w:tcPr>
          <w:p w14:paraId="244F3313"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795" w:type="dxa"/>
            <w:tcBorders>
              <w:top w:val="nil"/>
              <w:left w:val="nil"/>
              <w:bottom w:val="single" w:sz="4" w:space="0" w:color="7F7F7F" w:themeColor="text1" w:themeTint="80"/>
              <w:right w:val="nil"/>
            </w:tcBorders>
          </w:tcPr>
          <w:p w14:paraId="0D67236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48C6663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7E4CE5A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495B310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4A73CF86" w14:textId="075D5191"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.1.4 Marital status of household head </w:t>
      </w:r>
    </w:p>
    <w:p w14:paraId="57ED318D" w14:textId="0B989E79"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In the provided Table </w:t>
      </w:r>
      <w:r w:rsidR="00A41F2F">
        <w:rPr>
          <w:rFonts w:cstheme="minorHAnsi"/>
          <w:bCs/>
          <w:sz w:val="24"/>
          <w:szCs w:val="24"/>
          <w:lang w:val="en-US"/>
        </w:rPr>
        <w:t>5</w:t>
      </w:r>
      <w:r w:rsidRPr="004E52C2">
        <w:rPr>
          <w:rFonts w:cstheme="minorHAnsi"/>
          <w:bCs/>
          <w:sz w:val="24"/>
          <w:szCs w:val="24"/>
          <w:lang w:val="en-US"/>
        </w:rPr>
        <w:t xml:space="preserve">, we can observe the household distribution based on the household head's marital status and their corresponding food security status. Among the 257 households included in the study, the majority, 166 households (64.59%), were headed by individuals married in a monogamous relationship. Out of these households, 25.90% were food secure, while 52.41% experienced food insecurity without hunger, 16.87% experienced food insecurity with moderate food insecurity, and 4.82% experienced severe food insecurity. While married monogamous households may have the </w:t>
      </w:r>
      <w:r w:rsidR="00B5477B" w:rsidRPr="004E52C2">
        <w:rPr>
          <w:rFonts w:cstheme="minorHAnsi"/>
          <w:bCs/>
          <w:sz w:val="24"/>
          <w:szCs w:val="24"/>
          <w:lang w:val="en-US"/>
        </w:rPr>
        <w:t>largest</w:t>
      </w:r>
      <w:r w:rsidRPr="004E52C2">
        <w:rPr>
          <w:rFonts w:cstheme="minorHAnsi"/>
          <w:bCs/>
          <w:sz w:val="24"/>
          <w:szCs w:val="24"/>
          <w:lang w:val="en-US"/>
        </w:rPr>
        <w:t xml:space="preserve"> </w:t>
      </w:r>
      <w:r w:rsidR="00B5477B" w:rsidRPr="004E52C2">
        <w:rPr>
          <w:rFonts w:cstheme="minorHAnsi"/>
          <w:bCs/>
          <w:sz w:val="24"/>
          <w:szCs w:val="24"/>
          <w:lang w:val="en-US"/>
        </w:rPr>
        <w:t>distribution</w:t>
      </w:r>
      <w:r w:rsidRPr="004E52C2">
        <w:rPr>
          <w:rFonts w:cstheme="minorHAnsi"/>
          <w:bCs/>
          <w:sz w:val="24"/>
          <w:szCs w:val="24"/>
          <w:lang w:val="en-US"/>
        </w:rPr>
        <w:t xml:space="preserve">, it is not significant compared to other categories of food security, where it is neither the least nor highest percentiles compared to the other categories. A smaller proportion of 29 households, 11.28%, had household heads in a polygamous marriage. Among these households, 8.28% were food secure, 7.93% experienced food insecurity, hunger, 10.34% experienced severe food insecurity, and one household 3.45% experienced moderate food insecurity. Married polygamous households are the least portioned of households under the food secure with moderate hunger. </w:t>
      </w:r>
    </w:p>
    <w:p w14:paraId="4192E150" w14:textId="108EAAF4" w:rsidR="00141B2C" w:rsidRPr="004E52C2" w:rsidRDefault="00141B2C" w:rsidP="00F4229D">
      <w:pPr>
        <w:jc w:val="both"/>
        <w:rPr>
          <w:rFonts w:cstheme="minorHAnsi"/>
          <w:bCs/>
          <w:sz w:val="24"/>
          <w:szCs w:val="24"/>
          <w:lang w:val="en-US"/>
        </w:rPr>
      </w:pPr>
      <w:r w:rsidRPr="004E52C2">
        <w:rPr>
          <w:rFonts w:cstheme="minorHAnsi"/>
          <w:bCs/>
          <w:sz w:val="24"/>
          <w:szCs w:val="24"/>
          <w:lang w:val="en-US"/>
        </w:rPr>
        <w:t>There were 27 households, 10.51%, where the household head had never been married. Out of these households, 22.22% were food secure, 7.41% experienced moderate food insecurity, 3.70% experienced severe food insecurity, and 66.67% experienced food insecurity without hunger, while never-married households had the highest percentile under food insecurity with hunger against other groups. Only eight households, 3.11</w:t>
      </w:r>
      <w:r w:rsidR="00B5477B" w:rsidRPr="004E52C2">
        <w:rPr>
          <w:rFonts w:cstheme="minorHAnsi"/>
          <w:bCs/>
          <w:sz w:val="24"/>
          <w:szCs w:val="24"/>
          <w:lang w:val="en-US"/>
        </w:rPr>
        <w:t>% had</w:t>
      </w:r>
      <w:r w:rsidRPr="004E52C2">
        <w:rPr>
          <w:rFonts w:cstheme="minorHAnsi"/>
          <w:bCs/>
          <w:sz w:val="24"/>
          <w:szCs w:val="24"/>
          <w:lang w:val="en-US"/>
        </w:rPr>
        <w:t xml:space="preserve"> household heads who were divorced. Among these households, 12.50% were food secure, 50% experienced food insecurity without </w:t>
      </w:r>
      <w:r w:rsidRPr="004E52C2">
        <w:rPr>
          <w:rFonts w:cstheme="minorHAnsi"/>
          <w:bCs/>
          <w:sz w:val="24"/>
          <w:szCs w:val="24"/>
          <w:lang w:val="en-US"/>
        </w:rPr>
        <w:lastRenderedPageBreak/>
        <w:t xml:space="preserve">hunger, 37.50% food insecurity with experienced moderate hunger, and none of them experienced food insecurity with severe hunger.  The minimum frequency was reported to be at 2.72% and were households with separated household heads. Out of these households, 71.43% were food secure, 14.29% experienced food insecurity without hunger, 14.29% experienced moderate food insecurity, and none of them experienced food insecurity with severe hunger. </w:t>
      </w:r>
    </w:p>
    <w:p w14:paraId="3ADA93E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Lastly, there were 20 households (7.78%) headed by widowed individuals. Of these households, 35% were food secure, 40% experienced food insecurity without hunger, 5% experienced moderate hunger, and 20% food insecurity with severe hunger.</w:t>
      </w:r>
    </w:p>
    <w:p w14:paraId="6E68D696" w14:textId="00743543"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5</w:t>
      </w:r>
      <w:r w:rsidRPr="004E52C2">
        <w:rPr>
          <w:rFonts w:cstheme="minorHAnsi"/>
          <w:bCs/>
          <w:sz w:val="24"/>
          <w:szCs w:val="24"/>
          <w:lang w:val="en-US"/>
        </w:rPr>
        <w:t xml:space="preserve">: Distribution of households by the marital status of the household heads. </w:t>
      </w:r>
    </w:p>
    <w:tbl>
      <w:tblPr>
        <w:tblStyle w:val="PlainTable2"/>
        <w:tblW w:w="9900" w:type="dxa"/>
        <w:tblLayout w:type="fixed"/>
        <w:tblLook w:val="04A0" w:firstRow="1" w:lastRow="0" w:firstColumn="1" w:lastColumn="0" w:noHBand="0" w:noVBand="1"/>
      </w:tblPr>
      <w:tblGrid>
        <w:gridCol w:w="1620"/>
        <w:gridCol w:w="1621"/>
        <w:gridCol w:w="1166"/>
        <w:gridCol w:w="1891"/>
        <w:gridCol w:w="1801"/>
        <w:gridCol w:w="1801"/>
      </w:tblGrid>
      <w:tr w:rsidR="00141B2C" w:rsidRPr="004E52C2" w14:paraId="417B2847"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top w:val="single" w:sz="4" w:space="0" w:color="7F7F7F" w:themeColor="text1" w:themeTint="80"/>
              <w:left w:val="nil"/>
              <w:right w:val="nil"/>
            </w:tcBorders>
            <w:hideMark/>
          </w:tcPr>
          <w:p w14:paraId="46FD383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Marital status of household head n=257</w:t>
            </w:r>
          </w:p>
        </w:tc>
        <w:tc>
          <w:tcPr>
            <w:tcW w:w="1620" w:type="dxa"/>
            <w:tcBorders>
              <w:top w:val="single" w:sz="4" w:space="0" w:color="7F7F7F" w:themeColor="text1" w:themeTint="80"/>
              <w:left w:val="nil"/>
              <w:right w:val="nil"/>
            </w:tcBorders>
            <w:hideMark/>
          </w:tcPr>
          <w:p w14:paraId="7B63972F"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165" w:type="dxa"/>
            <w:tcBorders>
              <w:top w:val="single" w:sz="4" w:space="0" w:color="7F7F7F" w:themeColor="text1" w:themeTint="80"/>
              <w:left w:val="nil"/>
              <w:right w:val="nil"/>
            </w:tcBorders>
            <w:hideMark/>
          </w:tcPr>
          <w:p w14:paraId="36ABDF29"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A9CEFBF"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71A67A01"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1AA36FE0"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B07B36E"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C458A20"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2CC4F0CE"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Married Monogamous</w:t>
            </w:r>
          </w:p>
        </w:tc>
        <w:tc>
          <w:tcPr>
            <w:tcW w:w="1620" w:type="dxa"/>
            <w:tcBorders>
              <w:left w:val="nil"/>
              <w:right w:val="nil"/>
            </w:tcBorders>
            <w:hideMark/>
          </w:tcPr>
          <w:p w14:paraId="1A56CD7B"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64.59</w:t>
            </w:r>
          </w:p>
        </w:tc>
        <w:tc>
          <w:tcPr>
            <w:tcW w:w="1165" w:type="dxa"/>
            <w:tcBorders>
              <w:left w:val="nil"/>
              <w:right w:val="nil"/>
            </w:tcBorders>
            <w:hideMark/>
          </w:tcPr>
          <w:p w14:paraId="0F159578"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25.90</w:t>
            </w:r>
          </w:p>
        </w:tc>
        <w:tc>
          <w:tcPr>
            <w:tcW w:w="1890" w:type="dxa"/>
            <w:tcBorders>
              <w:left w:val="nil"/>
              <w:right w:val="nil"/>
            </w:tcBorders>
            <w:hideMark/>
          </w:tcPr>
          <w:p w14:paraId="4A13CF6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52.41</w:t>
            </w:r>
          </w:p>
        </w:tc>
        <w:tc>
          <w:tcPr>
            <w:tcW w:w="1800" w:type="dxa"/>
            <w:tcBorders>
              <w:left w:val="nil"/>
              <w:right w:val="nil"/>
            </w:tcBorders>
            <w:hideMark/>
          </w:tcPr>
          <w:p w14:paraId="7508355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16.87</w:t>
            </w:r>
          </w:p>
        </w:tc>
        <w:tc>
          <w:tcPr>
            <w:tcW w:w="1800" w:type="dxa"/>
            <w:tcBorders>
              <w:left w:val="nil"/>
              <w:right w:val="nil"/>
            </w:tcBorders>
            <w:hideMark/>
          </w:tcPr>
          <w:p w14:paraId="56F47BFD"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4.82</w:t>
            </w:r>
          </w:p>
        </w:tc>
      </w:tr>
      <w:tr w:rsidR="00141B2C" w:rsidRPr="004E52C2" w14:paraId="2C8BBD75"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nil"/>
              <w:right w:val="nil"/>
            </w:tcBorders>
            <w:hideMark/>
          </w:tcPr>
          <w:p w14:paraId="12D0D913"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Married Polygamous</w:t>
            </w:r>
          </w:p>
        </w:tc>
        <w:tc>
          <w:tcPr>
            <w:tcW w:w="1620" w:type="dxa"/>
            <w:tcBorders>
              <w:top w:val="nil"/>
              <w:left w:val="nil"/>
              <w:bottom w:val="nil"/>
              <w:right w:val="nil"/>
            </w:tcBorders>
            <w:hideMark/>
          </w:tcPr>
          <w:p w14:paraId="712473A8"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11.28</w:t>
            </w:r>
          </w:p>
        </w:tc>
        <w:tc>
          <w:tcPr>
            <w:tcW w:w="1165" w:type="dxa"/>
            <w:tcBorders>
              <w:top w:val="nil"/>
              <w:left w:val="nil"/>
              <w:bottom w:val="nil"/>
              <w:right w:val="nil"/>
            </w:tcBorders>
            <w:hideMark/>
          </w:tcPr>
          <w:p w14:paraId="1E75F85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48.28</w:t>
            </w:r>
          </w:p>
        </w:tc>
        <w:tc>
          <w:tcPr>
            <w:tcW w:w="1890" w:type="dxa"/>
            <w:tcBorders>
              <w:top w:val="nil"/>
              <w:left w:val="nil"/>
              <w:bottom w:val="nil"/>
              <w:right w:val="nil"/>
            </w:tcBorders>
            <w:hideMark/>
          </w:tcPr>
          <w:p w14:paraId="2EC58C8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37.93</w:t>
            </w:r>
          </w:p>
        </w:tc>
        <w:tc>
          <w:tcPr>
            <w:tcW w:w="1800" w:type="dxa"/>
            <w:tcBorders>
              <w:top w:val="nil"/>
              <w:left w:val="nil"/>
              <w:bottom w:val="nil"/>
              <w:right w:val="nil"/>
            </w:tcBorders>
            <w:hideMark/>
          </w:tcPr>
          <w:p w14:paraId="6BAC1BB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3.45</w:t>
            </w:r>
          </w:p>
        </w:tc>
        <w:tc>
          <w:tcPr>
            <w:tcW w:w="1800" w:type="dxa"/>
            <w:tcBorders>
              <w:top w:val="nil"/>
              <w:left w:val="nil"/>
              <w:bottom w:val="nil"/>
              <w:right w:val="nil"/>
            </w:tcBorders>
            <w:hideMark/>
          </w:tcPr>
          <w:p w14:paraId="44AFEFB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10.34</w:t>
            </w:r>
          </w:p>
        </w:tc>
      </w:tr>
      <w:tr w:rsidR="00141B2C" w:rsidRPr="004E52C2" w14:paraId="0F2C6B69"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07F00F05"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Never Married</w:t>
            </w:r>
          </w:p>
        </w:tc>
        <w:tc>
          <w:tcPr>
            <w:tcW w:w="1620" w:type="dxa"/>
            <w:tcBorders>
              <w:left w:val="nil"/>
              <w:right w:val="nil"/>
            </w:tcBorders>
            <w:hideMark/>
          </w:tcPr>
          <w:p w14:paraId="1F7CDA4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10.51</w:t>
            </w:r>
          </w:p>
        </w:tc>
        <w:tc>
          <w:tcPr>
            <w:tcW w:w="1165" w:type="dxa"/>
            <w:tcBorders>
              <w:left w:val="nil"/>
              <w:right w:val="nil"/>
            </w:tcBorders>
            <w:hideMark/>
          </w:tcPr>
          <w:p w14:paraId="13CFB19D"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22.22</w:t>
            </w:r>
          </w:p>
        </w:tc>
        <w:tc>
          <w:tcPr>
            <w:tcW w:w="1890" w:type="dxa"/>
            <w:tcBorders>
              <w:left w:val="nil"/>
              <w:right w:val="nil"/>
            </w:tcBorders>
            <w:hideMark/>
          </w:tcPr>
          <w:p w14:paraId="21DD8E4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1800" w:type="dxa"/>
            <w:tcBorders>
              <w:left w:val="nil"/>
              <w:right w:val="nil"/>
            </w:tcBorders>
            <w:hideMark/>
          </w:tcPr>
          <w:p w14:paraId="4BA7329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c>
          <w:tcPr>
            <w:tcW w:w="1800" w:type="dxa"/>
            <w:tcBorders>
              <w:left w:val="nil"/>
              <w:right w:val="nil"/>
            </w:tcBorders>
            <w:hideMark/>
          </w:tcPr>
          <w:p w14:paraId="684DE3E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3.70</w:t>
            </w:r>
          </w:p>
        </w:tc>
      </w:tr>
      <w:tr w:rsidR="00141B2C" w:rsidRPr="004E52C2" w14:paraId="6AF6831E"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nil"/>
              <w:right w:val="nil"/>
            </w:tcBorders>
            <w:hideMark/>
          </w:tcPr>
          <w:p w14:paraId="36215CDC"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Divorced</w:t>
            </w:r>
          </w:p>
        </w:tc>
        <w:tc>
          <w:tcPr>
            <w:tcW w:w="1620" w:type="dxa"/>
            <w:tcBorders>
              <w:top w:val="nil"/>
              <w:left w:val="nil"/>
              <w:bottom w:val="nil"/>
              <w:right w:val="nil"/>
            </w:tcBorders>
            <w:hideMark/>
          </w:tcPr>
          <w:p w14:paraId="38F422D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3.11</w:t>
            </w:r>
          </w:p>
        </w:tc>
        <w:tc>
          <w:tcPr>
            <w:tcW w:w="1165" w:type="dxa"/>
            <w:tcBorders>
              <w:top w:val="nil"/>
              <w:left w:val="nil"/>
              <w:bottom w:val="nil"/>
              <w:right w:val="nil"/>
            </w:tcBorders>
            <w:hideMark/>
          </w:tcPr>
          <w:p w14:paraId="08EA41F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12.50</w:t>
            </w:r>
          </w:p>
        </w:tc>
        <w:tc>
          <w:tcPr>
            <w:tcW w:w="1890" w:type="dxa"/>
            <w:tcBorders>
              <w:top w:val="nil"/>
              <w:left w:val="nil"/>
              <w:bottom w:val="nil"/>
              <w:right w:val="nil"/>
            </w:tcBorders>
            <w:hideMark/>
          </w:tcPr>
          <w:p w14:paraId="1DF0833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00" w:type="dxa"/>
            <w:tcBorders>
              <w:top w:val="nil"/>
              <w:left w:val="nil"/>
              <w:bottom w:val="nil"/>
              <w:right w:val="nil"/>
            </w:tcBorders>
            <w:hideMark/>
          </w:tcPr>
          <w:p w14:paraId="2EE74F9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37.50</w:t>
            </w:r>
          </w:p>
        </w:tc>
        <w:tc>
          <w:tcPr>
            <w:tcW w:w="1800" w:type="dxa"/>
            <w:tcBorders>
              <w:top w:val="nil"/>
              <w:left w:val="nil"/>
              <w:bottom w:val="nil"/>
              <w:right w:val="nil"/>
            </w:tcBorders>
            <w:hideMark/>
          </w:tcPr>
          <w:p w14:paraId="7AE62A6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4B177882"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Borders>
              <w:left w:val="nil"/>
              <w:right w:val="nil"/>
            </w:tcBorders>
            <w:hideMark/>
          </w:tcPr>
          <w:p w14:paraId="0E1108EB"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Separated</w:t>
            </w:r>
          </w:p>
        </w:tc>
        <w:tc>
          <w:tcPr>
            <w:tcW w:w="1620" w:type="dxa"/>
            <w:tcBorders>
              <w:left w:val="nil"/>
              <w:right w:val="nil"/>
            </w:tcBorders>
            <w:hideMark/>
          </w:tcPr>
          <w:p w14:paraId="3E8FCBF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2.72</w:t>
            </w:r>
          </w:p>
        </w:tc>
        <w:tc>
          <w:tcPr>
            <w:tcW w:w="1165" w:type="dxa"/>
            <w:tcBorders>
              <w:left w:val="nil"/>
              <w:right w:val="nil"/>
            </w:tcBorders>
            <w:hideMark/>
          </w:tcPr>
          <w:p w14:paraId="2D902C6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71.43</w:t>
            </w:r>
          </w:p>
        </w:tc>
        <w:tc>
          <w:tcPr>
            <w:tcW w:w="1890" w:type="dxa"/>
            <w:tcBorders>
              <w:left w:val="nil"/>
              <w:right w:val="nil"/>
            </w:tcBorders>
            <w:hideMark/>
          </w:tcPr>
          <w:p w14:paraId="0F044051"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31240F2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00" w:type="dxa"/>
            <w:tcBorders>
              <w:left w:val="nil"/>
              <w:right w:val="nil"/>
            </w:tcBorders>
            <w:hideMark/>
          </w:tcPr>
          <w:p w14:paraId="4F675AE9"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21A13A49" w14:textId="77777777" w:rsidTr="00D85854">
        <w:tc>
          <w:tcPr>
            <w:cnfStyle w:val="001000000000" w:firstRow="0" w:lastRow="0" w:firstColumn="1" w:lastColumn="0" w:oddVBand="0" w:evenVBand="0" w:oddHBand="0" w:evenHBand="0" w:firstRowFirstColumn="0" w:firstRowLastColumn="0" w:lastRowFirstColumn="0" w:lastRowLastColumn="0"/>
            <w:tcW w:w="1620" w:type="dxa"/>
            <w:tcBorders>
              <w:top w:val="nil"/>
              <w:left w:val="nil"/>
              <w:bottom w:val="single" w:sz="4" w:space="0" w:color="7F7F7F" w:themeColor="text1" w:themeTint="80"/>
              <w:right w:val="nil"/>
            </w:tcBorders>
            <w:hideMark/>
          </w:tcPr>
          <w:p w14:paraId="5E76E13A"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Widowed</w:t>
            </w:r>
          </w:p>
        </w:tc>
        <w:tc>
          <w:tcPr>
            <w:tcW w:w="1620" w:type="dxa"/>
            <w:tcBorders>
              <w:top w:val="nil"/>
              <w:left w:val="nil"/>
              <w:bottom w:val="single" w:sz="4" w:space="0" w:color="7F7F7F" w:themeColor="text1" w:themeTint="80"/>
              <w:right w:val="nil"/>
            </w:tcBorders>
            <w:hideMark/>
          </w:tcPr>
          <w:p w14:paraId="11AB4B49"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7.78</w:t>
            </w:r>
          </w:p>
        </w:tc>
        <w:tc>
          <w:tcPr>
            <w:tcW w:w="1165" w:type="dxa"/>
            <w:tcBorders>
              <w:top w:val="nil"/>
              <w:left w:val="nil"/>
              <w:bottom w:val="single" w:sz="4" w:space="0" w:color="7F7F7F" w:themeColor="text1" w:themeTint="80"/>
              <w:right w:val="nil"/>
            </w:tcBorders>
            <w:hideMark/>
          </w:tcPr>
          <w:p w14:paraId="7373E17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35.00</w:t>
            </w:r>
          </w:p>
        </w:tc>
        <w:tc>
          <w:tcPr>
            <w:tcW w:w="1890" w:type="dxa"/>
            <w:tcBorders>
              <w:top w:val="nil"/>
              <w:left w:val="nil"/>
              <w:bottom w:val="single" w:sz="4" w:space="0" w:color="7F7F7F" w:themeColor="text1" w:themeTint="80"/>
              <w:right w:val="nil"/>
            </w:tcBorders>
            <w:hideMark/>
          </w:tcPr>
          <w:p w14:paraId="3F9EA4E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40.00</w:t>
            </w:r>
          </w:p>
        </w:tc>
        <w:tc>
          <w:tcPr>
            <w:tcW w:w="1800" w:type="dxa"/>
            <w:tcBorders>
              <w:top w:val="nil"/>
              <w:left w:val="nil"/>
              <w:bottom w:val="single" w:sz="4" w:space="0" w:color="7F7F7F" w:themeColor="text1" w:themeTint="80"/>
              <w:right w:val="nil"/>
            </w:tcBorders>
            <w:hideMark/>
          </w:tcPr>
          <w:p w14:paraId="4428C46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c>
          <w:tcPr>
            <w:tcW w:w="1800" w:type="dxa"/>
            <w:tcBorders>
              <w:top w:val="nil"/>
              <w:left w:val="nil"/>
              <w:bottom w:val="single" w:sz="4" w:space="0" w:color="7F7F7F" w:themeColor="text1" w:themeTint="80"/>
              <w:right w:val="nil"/>
            </w:tcBorders>
            <w:hideMark/>
          </w:tcPr>
          <w:p w14:paraId="6B045E44"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r>
    </w:tbl>
    <w:p w14:paraId="4145C56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2CB3EEAB" w14:textId="31F31A05"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.1.5 Household size</w:t>
      </w:r>
    </w:p>
    <w:p w14:paraId="0DD7EA92" w14:textId="1F7E21CA"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The distribution of households by size and their corresponding food security statuses shows that of the 257 households </w:t>
      </w:r>
      <w:r w:rsidR="002C1684" w:rsidRPr="004E52C2">
        <w:rPr>
          <w:rFonts w:cstheme="minorHAnsi"/>
          <w:bCs/>
          <w:sz w:val="24"/>
          <w:szCs w:val="24"/>
          <w:lang w:val="en-US"/>
        </w:rPr>
        <w:t>surveyed, 60</w:t>
      </w:r>
      <w:r w:rsidRPr="004E52C2">
        <w:rPr>
          <w:rFonts w:cstheme="minorHAnsi"/>
          <w:bCs/>
          <w:sz w:val="24"/>
          <w:szCs w:val="24"/>
          <w:lang w:val="en-US"/>
        </w:rPr>
        <w:t xml:space="preserve"> households (23.35%) fall into the less than three household members category. Among these households, 7.00% are food secure, while 13.63% experience food insecurity without hunger, 1.56% face food insecurity with moderate hunger, and 1.17% face food insecurity with severe hunger. The largest group in the data recorded with 170 households, accounting for 66.15% of household sizes ranging from 4 to 7 members. Within this group, 19.84% are food secure, 32.31% experience food insecurity without hunger, 9.73% face food insecurity without hunger, and 4.28% face food insecurity with severe hunger. Lastly, the smallest proportion of households at 10.51%, have household sizes greater than eight members. Within this group, 25.93% are food secure, 40.74% experience food insecurity without hunger, </w:t>
      </w:r>
      <w:r w:rsidRPr="004E52C2">
        <w:rPr>
          <w:rFonts w:cstheme="minorHAnsi"/>
          <w:bCs/>
          <w:sz w:val="24"/>
          <w:szCs w:val="24"/>
          <w:lang w:val="en-US"/>
        </w:rPr>
        <w:lastRenderedPageBreak/>
        <w:t xml:space="preserve">25.93% face moderate food insecurity with moderate hunger, and 7.41% face severe food insecurity. </w:t>
      </w:r>
    </w:p>
    <w:p w14:paraId="2F4E8B5A" w14:textId="4C4104C4" w:rsidR="00141B2C" w:rsidRPr="004E52C2" w:rsidRDefault="00141B2C" w:rsidP="00F4229D">
      <w:pPr>
        <w:jc w:val="both"/>
        <w:rPr>
          <w:rFonts w:cstheme="minorHAnsi"/>
          <w:bCs/>
          <w:sz w:val="24"/>
          <w:szCs w:val="24"/>
          <w:lang w:val="en-US"/>
        </w:rPr>
      </w:pPr>
      <w:r w:rsidRPr="004E52C2">
        <w:rPr>
          <w:rFonts w:cstheme="minorHAnsi"/>
          <w:bCs/>
          <w:sz w:val="24"/>
          <w:szCs w:val="24"/>
          <w:lang w:val="en-US"/>
        </w:rPr>
        <w:t>Interestingly, although households with 4-7 members have the largest distribution of the sample statistics, under the food secure category, it bears an equal percentile of 30% with households of 1-3 members. The highest percentage of houses that are food insecure without hunger are households with sizes less than three at 58.33%. While in contrast, although having the least frequency, the household with more than 8 members experienced the highest records of food insecurity with moderate and severe hunger at 25% and 7.41%, respectively. As the household composition becomes dominated by children and the elderly (a high dependency ratio), the higher levels of food insecurity.</w:t>
      </w:r>
    </w:p>
    <w:p w14:paraId="7344CAE4" w14:textId="0611B020"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6</w:t>
      </w:r>
      <w:r w:rsidRPr="004E52C2">
        <w:rPr>
          <w:rFonts w:cstheme="minorHAnsi"/>
          <w:bCs/>
          <w:sz w:val="24"/>
          <w:szCs w:val="24"/>
          <w:lang w:val="en-US"/>
        </w:rPr>
        <w:t xml:space="preserve">: Distribution of households by size.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5DA8E23E"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31288CC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Household size</w:t>
            </w:r>
          </w:p>
          <w:p w14:paraId="7BAE9DF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n=257</w:t>
            </w:r>
          </w:p>
        </w:tc>
        <w:tc>
          <w:tcPr>
            <w:tcW w:w="1525" w:type="dxa"/>
            <w:tcBorders>
              <w:top w:val="single" w:sz="4" w:space="0" w:color="7F7F7F" w:themeColor="text1" w:themeTint="80"/>
              <w:left w:val="nil"/>
              <w:right w:val="nil"/>
            </w:tcBorders>
            <w:hideMark/>
          </w:tcPr>
          <w:p w14:paraId="74EEF27B"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0DD94C4D"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6450E3F0"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0E455059"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142817DD"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61282F3B"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3ED8126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32FC4F5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1-3</w:t>
            </w:r>
          </w:p>
        </w:tc>
        <w:tc>
          <w:tcPr>
            <w:tcW w:w="1525" w:type="dxa"/>
            <w:tcBorders>
              <w:left w:val="nil"/>
              <w:right w:val="nil"/>
            </w:tcBorders>
            <w:hideMark/>
          </w:tcPr>
          <w:p w14:paraId="147DCA1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23.35</w:t>
            </w:r>
          </w:p>
        </w:tc>
        <w:tc>
          <w:tcPr>
            <w:tcW w:w="1350" w:type="dxa"/>
            <w:tcBorders>
              <w:left w:val="nil"/>
              <w:right w:val="nil"/>
            </w:tcBorders>
            <w:hideMark/>
          </w:tcPr>
          <w:p w14:paraId="38BF121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left w:val="nil"/>
              <w:right w:val="nil"/>
            </w:tcBorders>
            <w:hideMark/>
          </w:tcPr>
          <w:p w14:paraId="1525397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58.33</w:t>
            </w:r>
          </w:p>
        </w:tc>
        <w:tc>
          <w:tcPr>
            <w:tcW w:w="1800" w:type="dxa"/>
            <w:tcBorders>
              <w:left w:val="nil"/>
              <w:right w:val="nil"/>
            </w:tcBorders>
            <w:hideMark/>
          </w:tcPr>
          <w:p w14:paraId="50199C6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6.67</w:t>
            </w:r>
          </w:p>
        </w:tc>
        <w:tc>
          <w:tcPr>
            <w:tcW w:w="1800" w:type="dxa"/>
            <w:tcBorders>
              <w:left w:val="nil"/>
              <w:right w:val="nil"/>
            </w:tcBorders>
            <w:hideMark/>
          </w:tcPr>
          <w:p w14:paraId="019150D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r>
      <w:tr w:rsidR="00141B2C" w:rsidRPr="004E52C2" w14:paraId="41306D6E"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0246539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4-7</w:t>
            </w:r>
          </w:p>
        </w:tc>
        <w:tc>
          <w:tcPr>
            <w:tcW w:w="1525" w:type="dxa"/>
            <w:tcBorders>
              <w:top w:val="nil"/>
              <w:left w:val="nil"/>
              <w:bottom w:val="nil"/>
              <w:right w:val="nil"/>
            </w:tcBorders>
            <w:hideMark/>
          </w:tcPr>
          <w:p w14:paraId="5F01447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66.15</w:t>
            </w:r>
          </w:p>
        </w:tc>
        <w:tc>
          <w:tcPr>
            <w:tcW w:w="1350" w:type="dxa"/>
            <w:tcBorders>
              <w:top w:val="nil"/>
              <w:left w:val="nil"/>
              <w:bottom w:val="nil"/>
              <w:right w:val="nil"/>
            </w:tcBorders>
            <w:hideMark/>
          </w:tcPr>
          <w:p w14:paraId="4EAD1C38"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30.00</w:t>
            </w:r>
          </w:p>
        </w:tc>
        <w:tc>
          <w:tcPr>
            <w:tcW w:w="1890" w:type="dxa"/>
            <w:tcBorders>
              <w:top w:val="nil"/>
              <w:left w:val="nil"/>
              <w:bottom w:val="nil"/>
              <w:right w:val="nil"/>
            </w:tcBorders>
            <w:hideMark/>
          </w:tcPr>
          <w:p w14:paraId="622072A6"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48.82</w:t>
            </w:r>
          </w:p>
        </w:tc>
        <w:tc>
          <w:tcPr>
            <w:tcW w:w="1800" w:type="dxa"/>
            <w:tcBorders>
              <w:top w:val="nil"/>
              <w:left w:val="nil"/>
              <w:bottom w:val="nil"/>
              <w:right w:val="nil"/>
            </w:tcBorders>
            <w:hideMark/>
          </w:tcPr>
          <w:p w14:paraId="11DB3023"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14.71</w:t>
            </w:r>
          </w:p>
        </w:tc>
        <w:tc>
          <w:tcPr>
            <w:tcW w:w="1800" w:type="dxa"/>
            <w:tcBorders>
              <w:top w:val="nil"/>
              <w:left w:val="nil"/>
              <w:bottom w:val="nil"/>
              <w:right w:val="nil"/>
            </w:tcBorders>
            <w:hideMark/>
          </w:tcPr>
          <w:p w14:paraId="20D25C6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6.47</w:t>
            </w:r>
          </w:p>
        </w:tc>
      </w:tr>
      <w:tr w:rsidR="00141B2C" w:rsidRPr="004E52C2" w14:paraId="59EC962D"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79E2F8C3"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&gt;8</w:t>
            </w:r>
          </w:p>
        </w:tc>
        <w:tc>
          <w:tcPr>
            <w:tcW w:w="1525" w:type="dxa"/>
            <w:tcBorders>
              <w:left w:val="nil"/>
              <w:right w:val="nil"/>
            </w:tcBorders>
            <w:hideMark/>
          </w:tcPr>
          <w:p w14:paraId="136E4EF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10.51</w:t>
            </w:r>
          </w:p>
        </w:tc>
        <w:tc>
          <w:tcPr>
            <w:tcW w:w="1350" w:type="dxa"/>
            <w:tcBorders>
              <w:left w:val="nil"/>
              <w:right w:val="nil"/>
            </w:tcBorders>
            <w:hideMark/>
          </w:tcPr>
          <w:p w14:paraId="09D7685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25.93</w:t>
            </w:r>
          </w:p>
        </w:tc>
        <w:tc>
          <w:tcPr>
            <w:tcW w:w="1890" w:type="dxa"/>
            <w:tcBorders>
              <w:left w:val="nil"/>
              <w:right w:val="nil"/>
            </w:tcBorders>
            <w:hideMark/>
          </w:tcPr>
          <w:p w14:paraId="27CB987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40.74</w:t>
            </w:r>
          </w:p>
        </w:tc>
        <w:tc>
          <w:tcPr>
            <w:tcW w:w="1800" w:type="dxa"/>
            <w:tcBorders>
              <w:left w:val="nil"/>
              <w:right w:val="nil"/>
            </w:tcBorders>
            <w:hideMark/>
          </w:tcPr>
          <w:p w14:paraId="48A40D0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25.93</w:t>
            </w:r>
          </w:p>
        </w:tc>
        <w:tc>
          <w:tcPr>
            <w:tcW w:w="1800" w:type="dxa"/>
            <w:tcBorders>
              <w:left w:val="nil"/>
              <w:right w:val="nil"/>
            </w:tcBorders>
            <w:hideMark/>
          </w:tcPr>
          <w:p w14:paraId="5894A78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r>
      <w:tr w:rsidR="00141B2C" w:rsidRPr="004E52C2" w14:paraId="309D8906"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single" w:sz="4" w:space="0" w:color="7F7F7F" w:themeColor="text1" w:themeTint="80"/>
              <w:right w:val="nil"/>
            </w:tcBorders>
            <w:hideMark/>
          </w:tcPr>
          <w:p w14:paraId="644A20E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Total</w:t>
            </w:r>
          </w:p>
        </w:tc>
        <w:tc>
          <w:tcPr>
            <w:tcW w:w="1525" w:type="dxa"/>
            <w:tcBorders>
              <w:top w:val="nil"/>
              <w:left w:val="nil"/>
              <w:bottom w:val="single" w:sz="4" w:space="0" w:color="7F7F7F" w:themeColor="text1" w:themeTint="80"/>
              <w:right w:val="nil"/>
            </w:tcBorders>
            <w:hideMark/>
          </w:tcPr>
          <w:p w14:paraId="0ADD0E9F"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top w:val="nil"/>
              <w:left w:val="nil"/>
              <w:bottom w:val="single" w:sz="4" w:space="0" w:color="7F7F7F" w:themeColor="text1" w:themeTint="80"/>
              <w:right w:val="nil"/>
            </w:tcBorders>
          </w:tcPr>
          <w:p w14:paraId="5D868EE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90" w:type="dxa"/>
            <w:tcBorders>
              <w:top w:val="nil"/>
              <w:left w:val="nil"/>
              <w:bottom w:val="single" w:sz="4" w:space="0" w:color="7F7F7F" w:themeColor="text1" w:themeTint="80"/>
              <w:right w:val="nil"/>
            </w:tcBorders>
          </w:tcPr>
          <w:p w14:paraId="0E25F789"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619609A6"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1800" w:type="dxa"/>
            <w:tcBorders>
              <w:top w:val="nil"/>
              <w:left w:val="nil"/>
              <w:bottom w:val="single" w:sz="4" w:space="0" w:color="7F7F7F" w:themeColor="text1" w:themeTint="80"/>
              <w:right w:val="nil"/>
            </w:tcBorders>
          </w:tcPr>
          <w:p w14:paraId="53FD1F10"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269E675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25EF95B4" w14:textId="5DA6E2DE"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.1.6 Location of Household</w:t>
      </w:r>
    </w:p>
    <w:p w14:paraId="734EE218" w14:textId="59B77570" w:rsidR="00141B2C" w:rsidRPr="004E52C2" w:rsidRDefault="00D85854" w:rsidP="00F4229D">
      <w:pPr>
        <w:jc w:val="both"/>
        <w:rPr>
          <w:rFonts w:cstheme="minorHAnsi"/>
          <w:b/>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 xml:space="preserve">7 </w:t>
      </w:r>
      <w:r w:rsidR="00141B2C" w:rsidRPr="004E52C2">
        <w:rPr>
          <w:rFonts w:cstheme="minorHAnsi"/>
          <w:bCs/>
          <w:sz w:val="24"/>
          <w:szCs w:val="24"/>
          <w:lang w:val="en-US"/>
        </w:rPr>
        <w:t xml:space="preserve">presents the distribution of households based on location and their corresponding food security statuses. It is imperative to note that low-populated areas in this research are the combination of areas that are sparsely populated, such as Agodi and New </w:t>
      </w:r>
      <w:proofErr w:type="spellStart"/>
      <w:r w:rsidR="00141B2C" w:rsidRPr="004E52C2">
        <w:rPr>
          <w:rFonts w:cstheme="minorHAnsi"/>
          <w:bCs/>
          <w:sz w:val="24"/>
          <w:szCs w:val="24"/>
          <w:lang w:val="en-US"/>
        </w:rPr>
        <w:t>Bodija</w:t>
      </w:r>
      <w:proofErr w:type="spellEnd"/>
      <w:r w:rsidR="00141B2C" w:rsidRPr="004E52C2">
        <w:rPr>
          <w:rFonts w:cstheme="minorHAnsi"/>
          <w:bCs/>
          <w:sz w:val="24"/>
          <w:szCs w:val="24"/>
          <w:lang w:val="en-US"/>
        </w:rPr>
        <w:t xml:space="preserve"> in Ibadan North LGA, and High populated Area is the combination of dense areas in Ibadan North LGA, such as </w:t>
      </w:r>
      <w:proofErr w:type="spellStart"/>
      <w:r w:rsidR="00141B2C" w:rsidRPr="004E52C2">
        <w:rPr>
          <w:rFonts w:cstheme="minorHAnsi"/>
          <w:bCs/>
          <w:sz w:val="24"/>
          <w:szCs w:val="24"/>
          <w:lang w:val="en-US"/>
        </w:rPr>
        <w:t>Agbowo</w:t>
      </w:r>
      <w:proofErr w:type="spellEnd"/>
      <w:r w:rsidR="00141B2C" w:rsidRPr="004E52C2">
        <w:rPr>
          <w:rFonts w:cstheme="minorHAnsi"/>
          <w:bCs/>
          <w:sz w:val="24"/>
          <w:szCs w:val="24"/>
          <w:lang w:val="en-US"/>
        </w:rPr>
        <w:t xml:space="preserve"> and Mokola/Sango.</w:t>
      </w:r>
    </w:p>
    <w:p w14:paraId="3444AC67" w14:textId="280DB156" w:rsidR="00141B2C" w:rsidRPr="004E52C2" w:rsidRDefault="00141B2C" w:rsidP="00F4229D">
      <w:pPr>
        <w:jc w:val="both"/>
        <w:rPr>
          <w:rFonts w:cstheme="minorHAnsi"/>
          <w:bCs/>
          <w:sz w:val="24"/>
          <w:szCs w:val="24"/>
          <w:lang w:val="en-US"/>
        </w:rPr>
      </w:pPr>
      <w:r w:rsidRPr="004E52C2">
        <w:rPr>
          <w:rFonts w:cstheme="minorHAnsi"/>
          <w:bCs/>
          <w:sz w:val="24"/>
          <w:szCs w:val="24"/>
          <w:lang w:val="en-US"/>
        </w:rPr>
        <w:t>Among the 257 households, 58.75% (151) are in high-populated areas, while the remaining 41.25% (106) are in low-populated areas. For households in highly populated areas, 19.11% are food secure, indicating that 30 households out of the 151 can meet their nutritional needs without significant concerns. However, many households in this category experience varying degrees of food insecurity. Specifically, 54.30% face food insecurity without hunger, 18.54% face moderate food insecurity, and 7.28% experience severe food insecurity. While, 41.25</w:t>
      </w:r>
      <w:r w:rsidR="00B5477B" w:rsidRPr="004E52C2">
        <w:rPr>
          <w:rFonts w:cstheme="minorHAnsi"/>
          <w:bCs/>
          <w:sz w:val="24"/>
          <w:szCs w:val="24"/>
          <w:lang w:val="en-US"/>
        </w:rPr>
        <w:t>% are</w:t>
      </w:r>
      <w:r w:rsidRPr="004E52C2">
        <w:rPr>
          <w:rFonts w:cstheme="minorHAnsi"/>
          <w:bCs/>
          <w:sz w:val="24"/>
          <w:szCs w:val="24"/>
          <w:lang w:val="en-US"/>
        </w:rPr>
        <w:t xml:space="preserve"> households residing in low-populated areas. Within this category, 43.40% are food secure, indicating a more </w:t>
      </w:r>
      <w:proofErr w:type="spellStart"/>
      <w:r w:rsidRPr="004E52C2">
        <w:rPr>
          <w:rFonts w:cstheme="minorHAnsi"/>
          <w:bCs/>
          <w:sz w:val="24"/>
          <w:szCs w:val="24"/>
          <w:lang w:val="en-US"/>
        </w:rPr>
        <w:t>favourable</w:t>
      </w:r>
      <w:proofErr w:type="spellEnd"/>
      <w:r w:rsidRPr="004E52C2">
        <w:rPr>
          <w:rFonts w:cstheme="minorHAnsi"/>
          <w:bCs/>
          <w:sz w:val="24"/>
          <w:szCs w:val="24"/>
          <w:lang w:val="en-US"/>
        </w:rPr>
        <w:t xml:space="preserve"> situation than in highly populated areas. However, it is worth noting that food insecurity is still present, albeit to a lesser extent. Among these households, 44.34% </w:t>
      </w:r>
      <w:r w:rsidRPr="004E52C2">
        <w:rPr>
          <w:rFonts w:cstheme="minorHAnsi"/>
          <w:bCs/>
          <w:sz w:val="24"/>
          <w:szCs w:val="24"/>
          <w:lang w:val="en-US"/>
        </w:rPr>
        <w:lastRenderedPageBreak/>
        <w:t xml:space="preserve">face food insecurity without hunger, 7.55% face moderate food insecurity, and 4.72% experience severe food insecurity. </w:t>
      </w:r>
    </w:p>
    <w:p w14:paraId="4996C4A8" w14:textId="2CD243C9"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7</w:t>
      </w:r>
      <w:r w:rsidRPr="004E52C2">
        <w:rPr>
          <w:rFonts w:cstheme="minorHAnsi"/>
          <w:bCs/>
          <w:sz w:val="24"/>
          <w:szCs w:val="24"/>
          <w:lang w:val="en-US"/>
        </w:rPr>
        <w:t xml:space="preserve">: Distribution of households by location.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2053721A"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380347A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Location </w:t>
            </w:r>
          </w:p>
          <w:p w14:paraId="70E1D891"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n=257</w:t>
            </w:r>
          </w:p>
        </w:tc>
        <w:tc>
          <w:tcPr>
            <w:tcW w:w="1525" w:type="dxa"/>
            <w:tcBorders>
              <w:top w:val="single" w:sz="4" w:space="0" w:color="7F7F7F" w:themeColor="text1" w:themeTint="80"/>
              <w:left w:val="nil"/>
              <w:right w:val="nil"/>
            </w:tcBorders>
            <w:hideMark/>
          </w:tcPr>
          <w:p w14:paraId="233E244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22022CA1"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4876F3DB"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1675EA7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44B0526F"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3B57548D"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4FA681E"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3C4D10DC"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Sparsely populated area</w:t>
            </w:r>
          </w:p>
        </w:tc>
        <w:tc>
          <w:tcPr>
            <w:tcW w:w="1525" w:type="dxa"/>
            <w:tcBorders>
              <w:left w:val="nil"/>
              <w:right w:val="nil"/>
            </w:tcBorders>
            <w:hideMark/>
          </w:tcPr>
          <w:p w14:paraId="738C9159"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58.75</w:t>
            </w:r>
          </w:p>
        </w:tc>
        <w:tc>
          <w:tcPr>
            <w:tcW w:w="1350" w:type="dxa"/>
            <w:tcBorders>
              <w:left w:val="nil"/>
              <w:right w:val="nil"/>
            </w:tcBorders>
            <w:hideMark/>
          </w:tcPr>
          <w:p w14:paraId="72B103D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19.87</w:t>
            </w:r>
          </w:p>
        </w:tc>
        <w:tc>
          <w:tcPr>
            <w:tcW w:w="1890" w:type="dxa"/>
            <w:tcBorders>
              <w:left w:val="nil"/>
              <w:right w:val="nil"/>
            </w:tcBorders>
            <w:hideMark/>
          </w:tcPr>
          <w:p w14:paraId="0BECF001"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54.30</w:t>
            </w:r>
          </w:p>
        </w:tc>
        <w:tc>
          <w:tcPr>
            <w:tcW w:w="1800" w:type="dxa"/>
            <w:tcBorders>
              <w:left w:val="nil"/>
              <w:right w:val="nil"/>
            </w:tcBorders>
            <w:hideMark/>
          </w:tcPr>
          <w:p w14:paraId="1BBFFFF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18.54</w:t>
            </w:r>
          </w:p>
        </w:tc>
        <w:tc>
          <w:tcPr>
            <w:tcW w:w="1800" w:type="dxa"/>
            <w:tcBorders>
              <w:left w:val="nil"/>
              <w:right w:val="nil"/>
            </w:tcBorders>
            <w:hideMark/>
          </w:tcPr>
          <w:p w14:paraId="2FCADFD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7.28</w:t>
            </w:r>
          </w:p>
        </w:tc>
      </w:tr>
      <w:tr w:rsidR="00141B2C" w:rsidRPr="004E52C2" w14:paraId="767AFC4E"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65790A08"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Densely populated area</w:t>
            </w:r>
          </w:p>
        </w:tc>
        <w:tc>
          <w:tcPr>
            <w:tcW w:w="1525" w:type="dxa"/>
            <w:tcBorders>
              <w:top w:val="nil"/>
              <w:left w:val="nil"/>
              <w:bottom w:val="nil"/>
              <w:right w:val="nil"/>
            </w:tcBorders>
            <w:hideMark/>
          </w:tcPr>
          <w:p w14:paraId="6F82CB84"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41.25</w:t>
            </w:r>
          </w:p>
        </w:tc>
        <w:tc>
          <w:tcPr>
            <w:tcW w:w="1350" w:type="dxa"/>
            <w:tcBorders>
              <w:top w:val="nil"/>
              <w:left w:val="nil"/>
              <w:bottom w:val="nil"/>
              <w:right w:val="nil"/>
            </w:tcBorders>
            <w:hideMark/>
          </w:tcPr>
          <w:p w14:paraId="07C6756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43.40</w:t>
            </w:r>
          </w:p>
        </w:tc>
        <w:tc>
          <w:tcPr>
            <w:tcW w:w="1890" w:type="dxa"/>
            <w:tcBorders>
              <w:top w:val="nil"/>
              <w:left w:val="nil"/>
              <w:bottom w:val="nil"/>
              <w:right w:val="nil"/>
            </w:tcBorders>
            <w:hideMark/>
          </w:tcPr>
          <w:p w14:paraId="63929A00"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44.34</w:t>
            </w:r>
          </w:p>
        </w:tc>
        <w:tc>
          <w:tcPr>
            <w:tcW w:w="1800" w:type="dxa"/>
            <w:tcBorders>
              <w:top w:val="nil"/>
              <w:left w:val="nil"/>
              <w:bottom w:val="nil"/>
              <w:right w:val="nil"/>
            </w:tcBorders>
            <w:hideMark/>
          </w:tcPr>
          <w:p w14:paraId="0A2AEAF0"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7.55</w:t>
            </w:r>
          </w:p>
        </w:tc>
        <w:tc>
          <w:tcPr>
            <w:tcW w:w="1800" w:type="dxa"/>
            <w:tcBorders>
              <w:top w:val="nil"/>
              <w:left w:val="nil"/>
              <w:bottom w:val="nil"/>
              <w:right w:val="nil"/>
            </w:tcBorders>
            <w:hideMark/>
          </w:tcPr>
          <w:p w14:paraId="2B83B31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4.72</w:t>
            </w:r>
          </w:p>
        </w:tc>
      </w:tr>
      <w:tr w:rsidR="00141B2C" w:rsidRPr="004E52C2" w14:paraId="00D7E158"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672E32F2"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525" w:type="dxa"/>
            <w:tcBorders>
              <w:left w:val="nil"/>
              <w:right w:val="nil"/>
            </w:tcBorders>
            <w:hideMark/>
          </w:tcPr>
          <w:p w14:paraId="72655C6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left w:val="nil"/>
              <w:right w:val="nil"/>
            </w:tcBorders>
          </w:tcPr>
          <w:p w14:paraId="3597E518"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1F3C8A6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7095A21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37778FE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74EC9354"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32DCFDB8" w14:textId="45427671"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.1.7 Primary occupation of household head </w:t>
      </w:r>
    </w:p>
    <w:p w14:paraId="62FE5921" w14:textId="30E26C2E"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The table presents each occupation category's frequency and percentage distribution and the corresponding number of households classified under each food security status. Among the households, 44 (17.12%) had household heads engaged in farming. Within this group, 38.64% were classified as food secure. Additionally, 45.45% of households experienced food insecurity without hunger, 13.64% faced moderate hunger, and 2.27% encountered severe hunger. The trading occupation was reported by 62 households (24.12%) of the 257 total. Among these trading households, 27.42% were food secure, 51.61% faced food insecurity without hunger, 12.90% experienced moderate hunger, and 8.06% encountered severe hunger. 65 households (25.29%) had their household heads employed in public salary occupations. Of these public salary households, 36.92% were classified as food secure and food insecure without hunger, while 20.00% experienced moderate and 6.15% encountered severe hunger (6.15%). Within the private salary occupation category, comprising 54 households (21.01%) of the 257 total, 20.37% were food secure, 61.11% faced food insecurity without hunger, 11.11% experienced moderate </w:t>
      </w:r>
      <w:r w:rsidR="002C1684" w:rsidRPr="004E52C2">
        <w:rPr>
          <w:rFonts w:cstheme="minorHAnsi"/>
          <w:bCs/>
          <w:sz w:val="24"/>
          <w:szCs w:val="24"/>
          <w:lang w:val="en-US"/>
        </w:rPr>
        <w:t>hunger, and</w:t>
      </w:r>
      <w:r w:rsidRPr="004E52C2">
        <w:rPr>
          <w:rFonts w:cstheme="minorHAnsi"/>
          <w:bCs/>
          <w:sz w:val="24"/>
          <w:szCs w:val="24"/>
          <w:lang w:val="en-US"/>
        </w:rPr>
        <w:t xml:space="preserve"> 7.41% encountered severe hunger. The artisan/craft occupation was reported by 22 households, 8.56% of the total. Of these households, 22.73</w:t>
      </w:r>
      <w:r w:rsidR="002C1684" w:rsidRPr="004E52C2">
        <w:rPr>
          <w:rFonts w:cstheme="minorHAnsi"/>
          <w:bCs/>
          <w:sz w:val="24"/>
          <w:szCs w:val="24"/>
          <w:lang w:val="en-US"/>
        </w:rPr>
        <w:t>% were</w:t>
      </w:r>
      <w:r w:rsidRPr="004E52C2">
        <w:rPr>
          <w:rFonts w:cstheme="minorHAnsi"/>
          <w:bCs/>
          <w:sz w:val="24"/>
          <w:szCs w:val="24"/>
          <w:lang w:val="en-US"/>
        </w:rPr>
        <w:t xml:space="preserve"> classified as food secure, 63.64% faced food insecurity without hunger, 9.09% experienced moderate hunger, and 4.55% encountered severe hunger. The most secure groups were those of farming occupation, excluding “others” with private salary occupation at the least food secure group. The highest food insecure with severe hunger are households with the head in the trading occupation. </w:t>
      </w:r>
    </w:p>
    <w:p w14:paraId="52AE264C" w14:textId="4205552A"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8</w:t>
      </w:r>
      <w:r w:rsidRPr="004E52C2">
        <w:rPr>
          <w:rFonts w:cstheme="minorHAnsi"/>
          <w:bCs/>
          <w:sz w:val="24"/>
          <w:szCs w:val="24"/>
          <w:lang w:val="en-US"/>
        </w:rPr>
        <w:t xml:space="preserve">: Distribution of households by Primary occupation. </w:t>
      </w:r>
    </w:p>
    <w:tbl>
      <w:tblPr>
        <w:tblStyle w:val="PlainTable2"/>
        <w:tblW w:w="10125" w:type="dxa"/>
        <w:tblLayout w:type="fixed"/>
        <w:tblLook w:val="04A0" w:firstRow="1" w:lastRow="0" w:firstColumn="1" w:lastColumn="0" w:noHBand="0" w:noVBand="1"/>
      </w:tblPr>
      <w:tblGrid>
        <w:gridCol w:w="1765"/>
        <w:gridCol w:w="1524"/>
        <w:gridCol w:w="1349"/>
        <w:gridCol w:w="1889"/>
        <w:gridCol w:w="1799"/>
        <w:gridCol w:w="1799"/>
      </w:tblGrid>
      <w:tr w:rsidR="00141B2C" w:rsidRPr="004E52C2" w14:paraId="672040F9"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top w:val="single" w:sz="4" w:space="0" w:color="7F7F7F" w:themeColor="text1" w:themeTint="80"/>
              <w:left w:val="nil"/>
              <w:right w:val="nil"/>
            </w:tcBorders>
            <w:hideMark/>
          </w:tcPr>
          <w:p w14:paraId="7E000D3E"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lastRenderedPageBreak/>
              <w:t>Occupation of household head n=257</w:t>
            </w:r>
          </w:p>
        </w:tc>
        <w:tc>
          <w:tcPr>
            <w:tcW w:w="1525" w:type="dxa"/>
            <w:tcBorders>
              <w:top w:val="single" w:sz="4" w:space="0" w:color="7F7F7F" w:themeColor="text1" w:themeTint="80"/>
              <w:left w:val="nil"/>
              <w:right w:val="nil"/>
            </w:tcBorders>
            <w:hideMark/>
          </w:tcPr>
          <w:p w14:paraId="63090958"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350" w:type="dxa"/>
            <w:tcBorders>
              <w:top w:val="single" w:sz="4" w:space="0" w:color="7F7F7F" w:themeColor="text1" w:themeTint="80"/>
              <w:left w:val="nil"/>
              <w:right w:val="nil"/>
            </w:tcBorders>
            <w:hideMark/>
          </w:tcPr>
          <w:p w14:paraId="6CB85EB1"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8159173"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890" w:type="dxa"/>
            <w:tcBorders>
              <w:top w:val="single" w:sz="4" w:space="0" w:color="7F7F7F" w:themeColor="text1" w:themeTint="80"/>
              <w:left w:val="nil"/>
              <w:right w:val="nil"/>
            </w:tcBorders>
            <w:hideMark/>
          </w:tcPr>
          <w:p w14:paraId="6E79F15E"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00" w:type="dxa"/>
            <w:tcBorders>
              <w:top w:val="single" w:sz="4" w:space="0" w:color="7F7F7F" w:themeColor="text1" w:themeTint="80"/>
              <w:left w:val="nil"/>
              <w:right w:val="nil"/>
            </w:tcBorders>
            <w:hideMark/>
          </w:tcPr>
          <w:p w14:paraId="572DA872"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00" w:type="dxa"/>
            <w:tcBorders>
              <w:top w:val="single" w:sz="4" w:space="0" w:color="7F7F7F" w:themeColor="text1" w:themeTint="80"/>
              <w:left w:val="nil"/>
              <w:right w:val="nil"/>
            </w:tcBorders>
            <w:hideMark/>
          </w:tcPr>
          <w:p w14:paraId="0DA3FCA7"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0CCE0DF4"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B697409"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Farming</w:t>
            </w:r>
          </w:p>
        </w:tc>
        <w:tc>
          <w:tcPr>
            <w:tcW w:w="1525" w:type="dxa"/>
            <w:tcBorders>
              <w:left w:val="nil"/>
              <w:right w:val="nil"/>
            </w:tcBorders>
            <w:hideMark/>
          </w:tcPr>
          <w:p w14:paraId="7795667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17.12</w:t>
            </w:r>
          </w:p>
        </w:tc>
        <w:tc>
          <w:tcPr>
            <w:tcW w:w="1350" w:type="dxa"/>
            <w:tcBorders>
              <w:left w:val="nil"/>
              <w:right w:val="nil"/>
            </w:tcBorders>
            <w:hideMark/>
          </w:tcPr>
          <w:p w14:paraId="3988E45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38.64</w:t>
            </w:r>
          </w:p>
        </w:tc>
        <w:tc>
          <w:tcPr>
            <w:tcW w:w="1890" w:type="dxa"/>
            <w:tcBorders>
              <w:left w:val="nil"/>
              <w:right w:val="nil"/>
            </w:tcBorders>
            <w:hideMark/>
          </w:tcPr>
          <w:p w14:paraId="53AC698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45.45</w:t>
            </w:r>
          </w:p>
        </w:tc>
        <w:tc>
          <w:tcPr>
            <w:tcW w:w="1800" w:type="dxa"/>
            <w:tcBorders>
              <w:left w:val="nil"/>
              <w:right w:val="nil"/>
            </w:tcBorders>
            <w:hideMark/>
          </w:tcPr>
          <w:p w14:paraId="1858E89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13.64</w:t>
            </w:r>
          </w:p>
        </w:tc>
        <w:tc>
          <w:tcPr>
            <w:tcW w:w="1800" w:type="dxa"/>
            <w:tcBorders>
              <w:left w:val="nil"/>
              <w:right w:val="nil"/>
            </w:tcBorders>
            <w:hideMark/>
          </w:tcPr>
          <w:p w14:paraId="25DF9118"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2.27</w:t>
            </w:r>
          </w:p>
        </w:tc>
      </w:tr>
      <w:tr w:rsidR="00141B2C" w:rsidRPr="004E52C2" w14:paraId="49B22835"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57FA0103"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Trading</w:t>
            </w:r>
          </w:p>
        </w:tc>
        <w:tc>
          <w:tcPr>
            <w:tcW w:w="1525" w:type="dxa"/>
            <w:tcBorders>
              <w:top w:val="nil"/>
              <w:left w:val="nil"/>
              <w:bottom w:val="nil"/>
              <w:right w:val="nil"/>
            </w:tcBorders>
            <w:hideMark/>
          </w:tcPr>
          <w:p w14:paraId="2D05B2D9"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24.12</w:t>
            </w:r>
          </w:p>
        </w:tc>
        <w:tc>
          <w:tcPr>
            <w:tcW w:w="1350" w:type="dxa"/>
            <w:tcBorders>
              <w:top w:val="nil"/>
              <w:left w:val="nil"/>
              <w:bottom w:val="nil"/>
              <w:right w:val="nil"/>
            </w:tcBorders>
            <w:hideMark/>
          </w:tcPr>
          <w:p w14:paraId="4EAAF1B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27.42</w:t>
            </w:r>
          </w:p>
        </w:tc>
        <w:tc>
          <w:tcPr>
            <w:tcW w:w="1890" w:type="dxa"/>
            <w:tcBorders>
              <w:top w:val="nil"/>
              <w:left w:val="nil"/>
              <w:bottom w:val="nil"/>
              <w:right w:val="nil"/>
            </w:tcBorders>
            <w:hideMark/>
          </w:tcPr>
          <w:p w14:paraId="0F08E7B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51.61</w:t>
            </w:r>
          </w:p>
        </w:tc>
        <w:tc>
          <w:tcPr>
            <w:tcW w:w="1800" w:type="dxa"/>
            <w:tcBorders>
              <w:top w:val="nil"/>
              <w:left w:val="nil"/>
              <w:bottom w:val="nil"/>
              <w:right w:val="nil"/>
            </w:tcBorders>
            <w:hideMark/>
          </w:tcPr>
          <w:p w14:paraId="63AEC560"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12.90</w:t>
            </w:r>
          </w:p>
        </w:tc>
        <w:tc>
          <w:tcPr>
            <w:tcW w:w="1800" w:type="dxa"/>
            <w:tcBorders>
              <w:top w:val="nil"/>
              <w:left w:val="nil"/>
              <w:bottom w:val="nil"/>
              <w:right w:val="nil"/>
            </w:tcBorders>
            <w:hideMark/>
          </w:tcPr>
          <w:p w14:paraId="42D6E8EA"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8.06</w:t>
            </w:r>
          </w:p>
        </w:tc>
      </w:tr>
      <w:tr w:rsidR="00141B2C" w:rsidRPr="004E52C2" w14:paraId="6E0D6533"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2BD52DE"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Public Salary</w:t>
            </w:r>
          </w:p>
        </w:tc>
        <w:tc>
          <w:tcPr>
            <w:tcW w:w="1525" w:type="dxa"/>
            <w:tcBorders>
              <w:left w:val="nil"/>
              <w:right w:val="nil"/>
            </w:tcBorders>
            <w:hideMark/>
          </w:tcPr>
          <w:p w14:paraId="4420F1C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25.29</w:t>
            </w:r>
          </w:p>
        </w:tc>
        <w:tc>
          <w:tcPr>
            <w:tcW w:w="1350" w:type="dxa"/>
            <w:tcBorders>
              <w:left w:val="nil"/>
              <w:right w:val="nil"/>
            </w:tcBorders>
            <w:hideMark/>
          </w:tcPr>
          <w:p w14:paraId="3EE8450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36.92</w:t>
            </w:r>
          </w:p>
        </w:tc>
        <w:tc>
          <w:tcPr>
            <w:tcW w:w="1890" w:type="dxa"/>
            <w:tcBorders>
              <w:left w:val="nil"/>
              <w:right w:val="nil"/>
            </w:tcBorders>
            <w:hideMark/>
          </w:tcPr>
          <w:p w14:paraId="6FADAA7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36.92</w:t>
            </w:r>
          </w:p>
        </w:tc>
        <w:tc>
          <w:tcPr>
            <w:tcW w:w="1800" w:type="dxa"/>
            <w:tcBorders>
              <w:left w:val="nil"/>
              <w:right w:val="nil"/>
            </w:tcBorders>
            <w:hideMark/>
          </w:tcPr>
          <w:p w14:paraId="7471472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c>
          <w:tcPr>
            <w:tcW w:w="1800" w:type="dxa"/>
            <w:tcBorders>
              <w:left w:val="nil"/>
              <w:right w:val="nil"/>
            </w:tcBorders>
            <w:hideMark/>
          </w:tcPr>
          <w:p w14:paraId="38C4B981"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6.15</w:t>
            </w:r>
          </w:p>
        </w:tc>
      </w:tr>
      <w:tr w:rsidR="00141B2C" w:rsidRPr="004E52C2" w14:paraId="1ED3EF73"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12F03F7B"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Private Salary</w:t>
            </w:r>
          </w:p>
        </w:tc>
        <w:tc>
          <w:tcPr>
            <w:tcW w:w="1525" w:type="dxa"/>
            <w:tcBorders>
              <w:top w:val="nil"/>
              <w:left w:val="nil"/>
              <w:bottom w:val="nil"/>
              <w:right w:val="nil"/>
            </w:tcBorders>
            <w:hideMark/>
          </w:tcPr>
          <w:p w14:paraId="25BFFF2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21.01</w:t>
            </w:r>
          </w:p>
        </w:tc>
        <w:tc>
          <w:tcPr>
            <w:tcW w:w="1350" w:type="dxa"/>
            <w:tcBorders>
              <w:top w:val="nil"/>
              <w:left w:val="nil"/>
              <w:bottom w:val="nil"/>
              <w:right w:val="nil"/>
            </w:tcBorders>
            <w:hideMark/>
          </w:tcPr>
          <w:p w14:paraId="51ACD1E9"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20.37</w:t>
            </w:r>
          </w:p>
        </w:tc>
        <w:tc>
          <w:tcPr>
            <w:tcW w:w="1890" w:type="dxa"/>
            <w:tcBorders>
              <w:top w:val="nil"/>
              <w:left w:val="nil"/>
              <w:bottom w:val="nil"/>
              <w:right w:val="nil"/>
            </w:tcBorders>
            <w:hideMark/>
          </w:tcPr>
          <w:p w14:paraId="6DFDC7CF"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61.11</w:t>
            </w:r>
          </w:p>
        </w:tc>
        <w:tc>
          <w:tcPr>
            <w:tcW w:w="1800" w:type="dxa"/>
            <w:tcBorders>
              <w:top w:val="nil"/>
              <w:left w:val="nil"/>
              <w:bottom w:val="nil"/>
              <w:right w:val="nil"/>
            </w:tcBorders>
            <w:hideMark/>
          </w:tcPr>
          <w:p w14:paraId="3BE74D2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11.11</w:t>
            </w:r>
          </w:p>
        </w:tc>
        <w:tc>
          <w:tcPr>
            <w:tcW w:w="1800" w:type="dxa"/>
            <w:tcBorders>
              <w:top w:val="nil"/>
              <w:left w:val="nil"/>
              <w:bottom w:val="nil"/>
              <w:right w:val="nil"/>
            </w:tcBorders>
            <w:hideMark/>
          </w:tcPr>
          <w:p w14:paraId="3388B6A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7.41</w:t>
            </w:r>
          </w:p>
        </w:tc>
      </w:tr>
      <w:tr w:rsidR="00141B2C" w:rsidRPr="004E52C2" w14:paraId="708F6686"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4395CCE5"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Artisan/craft</w:t>
            </w:r>
          </w:p>
        </w:tc>
        <w:tc>
          <w:tcPr>
            <w:tcW w:w="1525" w:type="dxa"/>
            <w:tcBorders>
              <w:left w:val="nil"/>
              <w:right w:val="nil"/>
            </w:tcBorders>
            <w:hideMark/>
          </w:tcPr>
          <w:p w14:paraId="64E236EB"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8.56</w:t>
            </w:r>
          </w:p>
        </w:tc>
        <w:tc>
          <w:tcPr>
            <w:tcW w:w="1350" w:type="dxa"/>
            <w:tcBorders>
              <w:left w:val="nil"/>
              <w:right w:val="nil"/>
            </w:tcBorders>
            <w:hideMark/>
          </w:tcPr>
          <w:p w14:paraId="5561CB6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22.73</w:t>
            </w:r>
          </w:p>
        </w:tc>
        <w:tc>
          <w:tcPr>
            <w:tcW w:w="1890" w:type="dxa"/>
            <w:tcBorders>
              <w:left w:val="nil"/>
              <w:right w:val="nil"/>
            </w:tcBorders>
            <w:hideMark/>
          </w:tcPr>
          <w:p w14:paraId="23C44BA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63.64</w:t>
            </w:r>
          </w:p>
        </w:tc>
        <w:tc>
          <w:tcPr>
            <w:tcW w:w="1800" w:type="dxa"/>
            <w:tcBorders>
              <w:left w:val="nil"/>
              <w:right w:val="nil"/>
            </w:tcBorders>
            <w:hideMark/>
          </w:tcPr>
          <w:p w14:paraId="3C97832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9.09</w:t>
            </w:r>
          </w:p>
        </w:tc>
        <w:tc>
          <w:tcPr>
            <w:tcW w:w="1800" w:type="dxa"/>
            <w:tcBorders>
              <w:left w:val="nil"/>
              <w:right w:val="nil"/>
            </w:tcBorders>
            <w:hideMark/>
          </w:tcPr>
          <w:p w14:paraId="1B8FA3E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4.55</w:t>
            </w:r>
          </w:p>
        </w:tc>
      </w:tr>
      <w:tr w:rsidR="00141B2C" w:rsidRPr="004E52C2" w14:paraId="4B77E5B9" w14:textId="77777777" w:rsidTr="00D85854">
        <w:tc>
          <w:tcPr>
            <w:cnfStyle w:val="001000000000" w:firstRow="0" w:lastRow="0" w:firstColumn="1" w:lastColumn="0" w:oddVBand="0" w:evenVBand="0" w:oddHBand="0" w:evenHBand="0" w:firstRowFirstColumn="0" w:firstRowLastColumn="0" w:lastRowFirstColumn="0" w:lastRowLastColumn="0"/>
            <w:tcW w:w="1766" w:type="dxa"/>
            <w:tcBorders>
              <w:top w:val="nil"/>
              <w:left w:val="nil"/>
              <w:bottom w:val="nil"/>
              <w:right w:val="nil"/>
            </w:tcBorders>
            <w:hideMark/>
          </w:tcPr>
          <w:p w14:paraId="485D16D2"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Others</w:t>
            </w:r>
          </w:p>
        </w:tc>
        <w:tc>
          <w:tcPr>
            <w:tcW w:w="1525" w:type="dxa"/>
            <w:tcBorders>
              <w:top w:val="nil"/>
              <w:left w:val="nil"/>
              <w:bottom w:val="nil"/>
              <w:right w:val="nil"/>
            </w:tcBorders>
            <w:hideMark/>
          </w:tcPr>
          <w:p w14:paraId="36413EBF"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3.89</w:t>
            </w:r>
          </w:p>
        </w:tc>
        <w:tc>
          <w:tcPr>
            <w:tcW w:w="1350" w:type="dxa"/>
            <w:tcBorders>
              <w:top w:val="nil"/>
              <w:left w:val="nil"/>
              <w:bottom w:val="nil"/>
              <w:right w:val="nil"/>
            </w:tcBorders>
            <w:hideMark/>
          </w:tcPr>
          <w:p w14:paraId="0010F1A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20.00</w:t>
            </w:r>
          </w:p>
        </w:tc>
        <w:tc>
          <w:tcPr>
            <w:tcW w:w="1890" w:type="dxa"/>
            <w:tcBorders>
              <w:top w:val="nil"/>
              <w:left w:val="nil"/>
              <w:bottom w:val="nil"/>
              <w:right w:val="nil"/>
            </w:tcBorders>
            <w:hideMark/>
          </w:tcPr>
          <w:p w14:paraId="2513DD2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60.00</w:t>
            </w:r>
          </w:p>
        </w:tc>
        <w:tc>
          <w:tcPr>
            <w:tcW w:w="1800" w:type="dxa"/>
            <w:tcBorders>
              <w:top w:val="nil"/>
              <w:left w:val="nil"/>
              <w:bottom w:val="nil"/>
              <w:right w:val="nil"/>
            </w:tcBorders>
            <w:hideMark/>
          </w:tcPr>
          <w:p w14:paraId="0617E53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c>
          <w:tcPr>
            <w:tcW w:w="1800" w:type="dxa"/>
            <w:tcBorders>
              <w:top w:val="nil"/>
              <w:left w:val="nil"/>
              <w:bottom w:val="nil"/>
              <w:right w:val="nil"/>
            </w:tcBorders>
            <w:hideMark/>
          </w:tcPr>
          <w:p w14:paraId="5DC0E0AB"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10.00</w:t>
            </w:r>
          </w:p>
        </w:tc>
      </w:tr>
      <w:tr w:rsidR="00141B2C" w:rsidRPr="004E52C2" w14:paraId="70A50583"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Borders>
              <w:left w:val="nil"/>
              <w:right w:val="nil"/>
            </w:tcBorders>
            <w:hideMark/>
          </w:tcPr>
          <w:p w14:paraId="51B4CFBC"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525" w:type="dxa"/>
            <w:tcBorders>
              <w:left w:val="nil"/>
              <w:right w:val="nil"/>
            </w:tcBorders>
            <w:hideMark/>
          </w:tcPr>
          <w:p w14:paraId="20923DD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1350" w:type="dxa"/>
            <w:tcBorders>
              <w:left w:val="nil"/>
              <w:right w:val="nil"/>
            </w:tcBorders>
          </w:tcPr>
          <w:p w14:paraId="255BDD3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90" w:type="dxa"/>
            <w:tcBorders>
              <w:left w:val="nil"/>
              <w:right w:val="nil"/>
            </w:tcBorders>
          </w:tcPr>
          <w:p w14:paraId="50434F7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414C6E0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00" w:type="dxa"/>
            <w:tcBorders>
              <w:left w:val="nil"/>
              <w:right w:val="nil"/>
            </w:tcBorders>
          </w:tcPr>
          <w:p w14:paraId="2C27098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5D15666"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4AEC386F" w14:textId="5137525F" w:rsidR="00141B2C" w:rsidRPr="004E52C2" w:rsidRDefault="00B5477B" w:rsidP="00F4229D">
      <w:pPr>
        <w:jc w:val="both"/>
        <w:rPr>
          <w:rFonts w:cstheme="minorHAnsi"/>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 xml:space="preserve">.1.8 Monthly income of the household head. </w:t>
      </w:r>
    </w:p>
    <w:p w14:paraId="633DC8B3" w14:textId="68134D54"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A41F2F">
        <w:rPr>
          <w:rFonts w:cstheme="minorHAnsi"/>
          <w:bCs/>
          <w:sz w:val="24"/>
          <w:szCs w:val="24"/>
          <w:lang w:val="en-US"/>
        </w:rPr>
        <w:t>9</w:t>
      </w:r>
      <w:r w:rsidR="004E52C2">
        <w:rPr>
          <w:rFonts w:cstheme="minorHAnsi"/>
          <w:bCs/>
          <w:sz w:val="24"/>
          <w:szCs w:val="24"/>
          <w:lang w:val="en-US"/>
        </w:rPr>
        <w:t xml:space="preserve"> </w:t>
      </w:r>
      <w:r w:rsidRPr="004E52C2">
        <w:rPr>
          <w:rFonts w:cstheme="minorHAnsi"/>
          <w:bCs/>
          <w:sz w:val="24"/>
          <w:szCs w:val="24"/>
          <w:lang w:val="en-US"/>
        </w:rPr>
        <w:t xml:space="preserve">provides insights into the food security status of households based on different income brackets. The table reveals that out of the total 257 households surveyed, 38.13% have a monthly income of less than ₦100,000. Among those households earning less than ₦100,000, 19.39% </w:t>
      </w:r>
      <w:r w:rsidR="002C1684" w:rsidRPr="004E52C2">
        <w:rPr>
          <w:rFonts w:cstheme="minorHAnsi"/>
          <w:bCs/>
          <w:sz w:val="24"/>
          <w:szCs w:val="24"/>
          <w:lang w:val="en-US"/>
        </w:rPr>
        <w:t>were food</w:t>
      </w:r>
      <w:r w:rsidRPr="004E52C2">
        <w:rPr>
          <w:rFonts w:cstheme="minorHAnsi"/>
          <w:bCs/>
          <w:sz w:val="24"/>
          <w:szCs w:val="24"/>
          <w:lang w:val="en-US"/>
        </w:rPr>
        <w:t xml:space="preserve"> secure, the least under the food secure category. This category also has the highest percentile of food insecurity with severe hunger at 14.29%. While 47.96% experience food insecurity without hunger, and 18.37% face moderate hunger. These numbers highlight the significant food insecurity challenges low-income households face in the surveyed area.</w:t>
      </w:r>
    </w:p>
    <w:p w14:paraId="544954B7" w14:textId="7D109B65" w:rsidR="00141B2C" w:rsidRPr="004E52C2" w:rsidRDefault="00141B2C" w:rsidP="00F4229D">
      <w:pPr>
        <w:jc w:val="both"/>
        <w:rPr>
          <w:rFonts w:cstheme="minorHAnsi"/>
          <w:bCs/>
          <w:sz w:val="24"/>
          <w:szCs w:val="24"/>
          <w:lang w:val="en-US"/>
        </w:rPr>
      </w:pPr>
      <w:r w:rsidRPr="004E52C2">
        <w:rPr>
          <w:rFonts w:cstheme="minorHAnsi"/>
          <w:bCs/>
          <w:sz w:val="24"/>
          <w:szCs w:val="24"/>
          <w:lang w:val="en-US"/>
        </w:rPr>
        <w:t>Moving to the next income bracket of ₦100,001-200,000, comprising 76 households (29.57%) of the total, the proportion of food-secure households slightly increases to 26.32%. Nevertheless, many households in this category still experience food insecurity without hunger affects 59.21%, 13.16% face moderate hunger. Surprisingly, only one household at 1.32</w:t>
      </w:r>
      <w:r w:rsidR="002C1684" w:rsidRPr="004E52C2">
        <w:rPr>
          <w:rFonts w:cstheme="minorHAnsi"/>
          <w:bCs/>
          <w:sz w:val="24"/>
          <w:szCs w:val="24"/>
          <w:lang w:val="en-US"/>
        </w:rPr>
        <w:t>% experiences</w:t>
      </w:r>
      <w:r w:rsidRPr="004E52C2">
        <w:rPr>
          <w:rFonts w:cstheme="minorHAnsi"/>
          <w:bCs/>
          <w:sz w:val="24"/>
          <w:szCs w:val="24"/>
          <w:lang w:val="en-US"/>
        </w:rPr>
        <w:t xml:space="preserve"> severe hunger, indicating comparatively better food security within this income range. The income bracket of ₦200,001-₦500,000 represents 62 households (24.12%) of the total. Within this category, 23 households (37.10%) </w:t>
      </w:r>
      <w:proofErr w:type="spellStart"/>
      <w:r w:rsidRPr="004E52C2">
        <w:rPr>
          <w:rFonts w:cstheme="minorHAnsi"/>
          <w:bCs/>
          <w:sz w:val="24"/>
          <w:szCs w:val="24"/>
          <w:lang w:val="en-US"/>
        </w:rPr>
        <w:t>werefood</w:t>
      </w:r>
      <w:proofErr w:type="spellEnd"/>
      <w:r w:rsidRPr="004E52C2">
        <w:rPr>
          <w:rFonts w:cstheme="minorHAnsi"/>
          <w:bCs/>
          <w:sz w:val="24"/>
          <w:szCs w:val="24"/>
          <w:lang w:val="en-US"/>
        </w:rPr>
        <w:t xml:space="preserve"> secure, indicating a relatively higher level of food security than the previous income brackets. Food insecurity without hunger 53.23%, and only 9.68% face food insecurity with moderate hunger. Encouragingly, no households in this income range experience severe hunger, suggesting a more stable food security situation.</w:t>
      </w:r>
    </w:p>
    <w:p w14:paraId="1C43DA95" w14:textId="23430ECC" w:rsidR="00141B2C" w:rsidRPr="004E52C2" w:rsidRDefault="00141B2C" w:rsidP="00F4229D">
      <w:pPr>
        <w:jc w:val="both"/>
        <w:rPr>
          <w:rFonts w:cstheme="minorHAnsi"/>
          <w:bCs/>
          <w:sz w:val="24"/>
          <w:szCs w:val="24"/>
          <w:lang w:val="en-US"/>
        </w:rPr>
      </w:pPr>
      <w:r w:rsidRPr="004E52C2">
        <w:rPr>
          <w:rFonts w:cstheme="minorHAnsi"/>
          <w:bCs/>
          <w:sz w:val="24"/>
          <w:szCs w:val="24"/>
          <w:lang w:val="en-US"/>
        </w:rPr>
        <w:t>Further, the table examines households with monthly incomes ranging from ₦500,001 to ₦1,000,000, which account for 18 households (7.00%) of the 257. Among these households, 66.67% were</w:t>
      </w:r>
      <w:r w:rsidR="00204963">
        <w:rPr>
          <w:rFonts w:cstheme="minorHAnsi"/>
          <w:bCs/>
          <w:sz w:val="24"/>
          <w:szCs w:val="24"/>
          <w:lang w:val="en-US"/>
        </w:rPr>
        <w:t xml:space="preserve"> </w:t>
      </w:r>
      <w:r w:rsidRPr="004E52C2">
        <w:rPr>
          <w:rFonts w:cstheme="minorHAnsi"/>
          <w:bCs/>
          <w:sz w:val="24"/>
          <w:szCs w:val="24"/>
          <w:lang w:val="en-US"/>
        </w:rPr>
        <w:t xml:space="preserve">food secure, indicating a relatively the highest level of food security. Only a small proportion of households in this income category experience food insecurity without hunger (16.67%), moderate hunger (11.11%), or severe hunger (5.56%). These findings suggest that </w:t>
      </w:r>
      <w:r w:rsidRPr="004E52C2">
        <w:rPr>
          <w:rFonts w:cstheme="minorHAnsi"/>
          <w:bCs/>
          <w:sz w:val="24"/>
          <w:szCs w:val="24"/>
          <w:lang w:val="en-US"/>
        </w:rPr>
        <w:lastRenderedPageBreak/>
        <w:t>higher income levels contribute to improved food security outcomes. Finally, the income bracket of &gt;₦1,000,000 includes only 3 households (1.17%) of the total. 66.67% were</w:t>
      </w:r>
      <w:r w:rsidR="00204963">
        <w:rPr>
          <w:rFonts w:cstheme="minorHAnsi"/>
          <w:bCs/>
          <w:sz w:val="24"/>
          <w:szCs w:val="24"/>
          <w:lang w:val="en-US"/>
        </w:rPr>
        <w:t xml:space="preserve"> </w:t>
      </w:r>
      <w:r w:rsidRPr="004E52C2">
        <w:rPr>
          <w:rFonts w:cstheme="minorHAnsi"/>
          <w:bCs/>
          <w:sz w:val="24"/>
          <w:szCs w:val="24"/>
          <w:lang w:val="en-US"/>
        </w:rPr>
        <w:t xml:space="preserve">food secure, demonstrating a strong correlation between higher income and food security. The remaining household experiences food insecurity </w:t>
      </w:r>
      <w:r w:rsidR="002C1684" w:rsidRPr="004E52C2">
        <w:rPr>
          <w:rFonts w:cstheme="minorHAnsi"/>
          <w:bCs/>
          <w:sz w:val="24"/>
          <w:szCs w:val="24"/>
          <w:lang w:val="en-US"/>
        </w:rPr>
        <w:t>without hunger</w:t>
      </w:r>
      <w:r w:rsidRPr="004E52C2">
        <w:rPr>
          <w:rFonts w:cstheme="minorHAnsi"/>
          <w:bCs/>
          <w:sz w:val="24"/>
          <w:szCs w:val="24"/>
          <w:lang w:val="en-US"/>
        </w:rPr>
        <w:t xml:space="preserve"> (33.33%), but no households in this income range face moderate or severe hunger. The table reveals a concerning prevalence of food insecurity among households with lower incomes, while higher-income households tend to have better food security outcomes. These findings underscore the importance of addressing income disparities and implementing effective interventions to alleviate food insecurity among vulnerable households.</w:t>
      </w:r>
    </w:p>
    <w:p w14:paraId="72254165" w14:textId="7BBE245E"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D92B88">
        <w:rPr>
          <w:rFonts w:cstheme="minorHAnsi"/>
          <w:bCs/>
          <w:sz w:val="24"/>
          <w:szCs w:val="24"/>
          <w:lang w:val="en-US"/>
        </w:rPr>
        <w:t>9</w:t>
      </w:r>
      <w:r w:rsidRPr="004E52C2">
        <w:rPr>
          <w:rFonts w:cstheme="minorHAnsi"/>
          <w:bCs/>
          <w:sz w:val="24"/>
          <w:szCs w:val="24"/>
          <w:lang w:val="en-US"/>
        </w:rPr>
        <w:t>: Distribution of households by monthly income.</w:t>
      </w:r>
    </w:p>
    <w:tbl>
      <w:tblPr>
        <w:tblStyle w:val="PlainTable2"/>
        <w:tblW w:w="5000" w:type="pct"/>
        <w:tblLook w:val="04A0" w:firstRow="1" w:lastRow="0" w:firstColumn="1" w:lastColumn="0" w:noHBand="0" w:noVBand="1"/>
      </w:tblPr>
      <w:tblGrid>
        <w:gridCol w:w="1873"/>
        <w:gridCol w:w="1383"/>
        <w:gridCol w:w="1033"/>
        <w:gridCol w:w="1747"/>
        <w:gridCol w:w="1662"/>
        <w:gridCol w:w="1662"/>
      </w:tblGrid>
      <w:tr w:rsidR="00141B2C" w:rsidRPr="004E52C2" w14:paraId="47D8A230" w14:textId="77777777" w:rsidTr="0056040E">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1000" w:type="pct"/>
            <w:tcBorders>
              <w:top w:val="single" w:sz="4" w:space="0" w:color="7F7F7F" w:themeColor="text1" w:themeTint="80"/>
              <w:left w:val="nil"/>
              <w:right w:val="nil"/>
            </w:tcBorders>
            <w:hideMark/>
          </w:tcPr>
          <w:p w14:paraId="1A4AB388"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Monthly income of household head (₦) n=257</w:t>
            </w:r>
          </w:p>
        </w:tc>
        <w:tc>
          <w:tcPr>
            <w:tcW w:w="739" w:type="pct"/>
            <w:tcBorders>
              <w:top w:val="single" w:sz="4" w:space="0" w:color="7F7F7F" w:themeColor="text1" w:themeTint="80"/>
              <w:left w:val="nil"/>
              <w:right w:val="nil"/>
            </w:tcBorders>
            <w:hideMark/>
          </w:tcPr>
          <w:p w14:paraId="3ED63B5A"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552" w:type="pct"/>
            <w:tcBorders>
              <w:top w:val="single" w:sz="4" w:space="0" w:color="7F7F7F" w:themeColor="text1" w:themeTint="80"/>
              <w:left w:val="nil"/>
              <w:right w:val="nil"/>
            </w:tcBorders>
            <w:hideMark/>
          </w:tcPr>
          <w:p w14:paraId="3BAFC87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61AA056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933" w:type="pct"/>
            <w:tcBorders>
              <w:top w:val="single" w:sz="4" w:space="0" w:color="7F7F7F" w:themeColor="text1" w:themeTint="80"/>
              <w:left w:val="nil"/>
              <w:right w:val="nil"/>
            </w:tcBorders>
            <w:hideMark/>
          </w:tcPr>
          <w:p w14:paraId="529DEC2D"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888" w:type="pct"/>
            <w:tcBorders>
              <w:top w:val="single" w:sz="4" w:space="0" w:color="7F7F7F" w:themeColor="text1" w:themeTint="80"/>
              <w:left w:val="nil"/>
              <w:right w:val="nil"/>
            </w:tcBorders>
            <w:hideMark/>
          </w:tcPr>
          <w:p w14:paraId="0F7A5730"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888" w:type="pct"/>
            <w:tcBorders>
              <w:top w:val="single" w:sz="4" w:space="0" w:color="7F7F7F" w:themeColor="text1" w:themeTint="80"/>
              <w:left w:val="nil"/>
              <w:right w:val="nil"/>
            </w:tcBorders>
            <w:hideMark/>
          </w:tcPr>
          <w:p w14:paraId="636F81EF"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6B3DE321" w14:textId="77777777" w:rsidTr="0056040E">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5CD2E8A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&lt;100,000</w:t>
            </w:r>
          </w:p>
        </w:tc>
        <w:tc>
          <w:tcPr>
            <w:tcW w:w="739" w:type="pct"/>
            <w:tcBorders>
              <w:left w:val="nil"/>
              <w:right w:val="nil"/>
            </w:tcBorders>
            <w:hideMark/>
          </w:tcPr>
          <w:p w14:paraId="223400A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38.13</w:t>
            </w:r>
          </w:p>
        </w:tc>
        <w:tc>
          <w:tcPr>
            <w:tcW w:w="552" w:type="pct"/>
            <w:tcBorders>
              <w:left w:val="nil"/>
              <w:right w:val="nil"/>
            </w:tcBorders>
            <w:hideMark/>
          </w:tcPr>
          <w:p w14:paraId="400999B3"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19.39</w:t>
            </w:r>
          </w:p>
        </w:tc>
        <w:tc>
          <w:tcPr>
            <w:tcW w:w="933" w:type="pct"/>
            <w:tcBorders>
              <w:left w:val="nil"/>
              <w:right w:val="nil"/>
            </w:tcBorders>
            <w:hideMark/>
          </w:tcPr>
          <w:p w14:paraId="4B5A471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47.96</w:t>
            </w:r>
          </w:p>
        </w:tc>
        <w:tc>
          <w:tcPr>
            <w:tcW w:w="888" w:type="pct"/>
            <w:tcBorders>
              <w:left w:val="nil"/>
              <w:right w:val="nil"/>
            </w:tcBorders>
            <w:hideMark/>
          </w:tcPr>
          <w:p w14:paraId="6166EA4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18.37</w:t>
            </w:r>
          </w:p>
        </w:tc>
        <w:tc>
          <w:tcPr>
            <w:tcW w:w="888" w:type="pct"/>
            <w:tcBorders>
              <w:left w:val="nil"/>
              <w:right w:val="nil"/>
            </w:tcBorders>
            <w:hideMark/>
          </w:tcPr>
          <w:p w14:paraId="44361E8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r>
      <w:tr w:rsidR="00141B2C" w:rsidRPr="004E52C2" w14:paraId="3F6EA24E" w14:textId="77777777" w:rsidTr="0056040E">
        <w:trPr>
          <w:trHeight w:val="377"/>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nil"/>
              <w:right w:val="nil"/>
            </w:tcBorders>
            <w:hideMark/>
          </w:tcPr>
          <w:p w14:paraId="403F4AC5"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100,001-200,000</w:t>
            </w:r>
          </w:p>
        </w:tc>
        <w:tc>
          <w:tcPr>
            <w:tcW w:w="739" w:type="pct"/>
            <w:tcBorders>
              <w:top w:val="nil"/>
              <w:left w:val="nil"/>
              <w:bottom w:val="nil"/>
              <w:right w:val="nil"/>
            </w:tcBorders>
            <w:hideMark/>
          </w:tcPr>
          <w:p w14:paraId="5724430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29.57</w:t>
            </w:r>
          </w:p>
        </w:tc>
        <w:tc>
          <w:tcPr>
            <w:tcW w:w="552" w:type="pct"/>
            <w:tcBorders>
              <w:top w:val="nil"/>
              <w:left w:val="nil"/>
              <w:bottom w:val="nil"/>
              <w:right w:val="nil"/>
            </w:tcBorders>
            <w:hideMark/>
          </w:tcPr>
          <w:p w14:paraId="252D419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26.32</w:t>
            </w:r>
          </w:p>
        </w:tc>
        <w:tc>
          <w:tcPr>
            <w:tcW w:w="933" w:type="pct"/>
            <w:tcBorders>
              <w:top w:val="nil"/>
              <w:left w:val="nil"/>
              <w:bottom w:val="nil"/>
              <w:right w:val="nil"/>
            </w:tcBorders>
            <w:hideMark/>
          </w:tcPr>
          <w:p w14:paraId="543AC920"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59.21</w:t>
            </w:r>
          </w:p>
        </w:tc>
        <w:tc>
          <w:tcPr>
            <w:tcW w:w="888" w:type="pct"/>
            <w:tcBorders>
              <w:top w:val="nil"/>
              <w:left w:val="nil"/>
              <w:bottom w:val="nil"/>
              <w:right w:val="nil"/>
            </w:tcBorders>
            <w:hideMark/>
          </w:tcPr>
          <w:p w14:paraId="6E42A717"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13.16</w:t>
            </w:r>
          </w:p>
        </w:tc>
        <w:tc>
          <w:tcPr>
            <w:tcW w:w="888" w:type="pct"/>
            <w:tcBorders>
              <w:top w:val="nil"/>
              <w:left w:val="nil"/>
              <w:bottom w:val="nil"/>
              <w:right w:val="nil"/>
            </w:tcBorders>
            <w:hideMark/>
          </w:tcPr>
          <w:p w14:paraId="0E110EBA"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1.32</w:t>
            </w:r>
          </w:p>
        </w:tc>
      </w:tr>
      <w:tr w:rsidR="00141B2C" w:rsidRPr="004E52C2" w14:paraId="494494B7" w14:textId="77777777" w:rsidTr="0056040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12554EAC"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200,001-500,000</w:t>
            </w:r>
          </w:p>
        </w:tc>
        <w:tc>
          <w:tcPr>
            <w:tcW w:w="739" w:type="pct"/>
            <w:tcBorders>
              <w:left w:val="nil"/>
              <w:right w:val="nil"/>
            </w:tcBorders>
            <w:hideMark/>
          </w:tcPr>
          <w:p w14:paraId="6DB7E92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24.12</w:t>
            </w:r>
          </w:p>
        </w:tc>
        <w:tc>
          <w:tcPr>
            <w:tcW w:w="552" w:type="pct"/>
            <w:tcBorders>
              <w:left w:val="nil"/>
              <w:right w:val="nil"/>
            </w:tcBorders>
            <w:hideMark/>
          </w:tcPr>
          <w:p w14:paraId="4377B69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37.10</w:t>
            </w:r>
          </w:p>
        </w:tc>
        <w:tc>
          <w:tcPr>
            <w:tcW w:w="933" w:type="pct"/>
            <w:tcBorders>
              <w:left w:val="nil"/>
              <w:right w:val="nil"/>
            </w:tcBorders>
            <w:hideMark/>
          </w:tcPr>
          <w:p w14:paraId="62A46E6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53.23</w:t>
            </w:r>
          </w:p>
        </w:tc>
        <w:tc>
          <w:tcPr>
            <w:tcW w:w="888" w:type="pct"/>
            <w:tcBorders>
              <w:left w:val="nil"/>
              <w:right w:val="nil"/>
            </w:tcBorders>
            <w:hideMark/>
          </w:tcPr>
          <w:p w14:paraId="592D7F4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9.68</w:t>
            </w:r>
          </w:p>
        </w:tc>
        <w:tc>
          <w:tcPr>
            <w:tcW w:w="888" w:type="pct"/>
            <w:tcBorders>
              <w:left w:val="nil"/>
              <w:right w:val="nil"/>
            </w:tcBorders>
            <w:hideMark/>
          </w:tcPr>
          <w:p w14:paraId="4178904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9A6CA62" w14:textId="77777777" w:rsidTr="0056040E">
        <w:trPr>
          <w:trHeight w:val="380"/>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nil"/>
              <w:right w:val="nil"/>
            </w:tcBorders>
            <w:hideMark/>
          </w:tcPr>
          <w:p w14:paraId="670A19E7"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500,001-1,000,000</w:t>
            </w:r>
          </w:p>
        </w:tc>
        <w:tc>
          <w:tcPr>
            <w:tcW w:w="739" w:type="pct"/>
            <w:tcBorders>
              <w:top w:val="nil"/>
              <w:left w:val="nil"/>
              <w:bottom w:val="nil"/>
              <w:right w:val="nil"/>
            </w:tcBorders>
            <w:hideMark/>
          </w:tcPr>
          <w:p w14:paraId="0990A29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7.00</w:t>
            </w:r>
          </w:p>
        </w:tc>
        <w:tc>
          <w:tcPr>
            <w:tcW w:w="552" w:type="pct"/>
            <w:tcBorders>
              <w:top w:val="nil"/>
              <w:left w:val="nil"/>
              <w:bottom w:val="nil"/>
              <w:right w:val="nil"/>
            </w:tcBorders>
            <w:hideMark/>
          </w:tcPr>
          <w:p w14:paraId="0CB93A8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933" w:type="pct"/>
            <w:tcBorders>
              <w:top w:val="nil"/>
              <w:left w:val="nil"/>
              <w:bottom w:val="nil"/>
              <w:right w:val="nil"/>
            </w:tcBorders>
            <w:hideMark/>
          </w:tcPr>
          <w:p w14:paraId="3906A96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16.67</w:t>
            </w:r>
          </w:p>
        </w:tc>
        <w:tc>
          <w:tcPr>
            <w:tcW w:w="888" w:type="pct"/>
            <w:tcBorders>
              <w:top w:val="nil"/>
              <w:left w:val="nil"/>
              <w:bottom w:val="nil"/>
              <w:right w:val="nil"/>
            </w:tcBorders>
            <w:hideMark/>
          </w:tcPr>
          <w:p w14:paraId="4F9CB66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11.11</w:t>
            </w:r>
          </w:p>
        </w:tc>
        <w:tc>
          <w:tcPr>
            <w:tcW w:w="888" w:type="pct"/>
            <w:tcBorders>
              <w:top w:val="nil"/>
              <w:left w:val="nil"/>
              <w:bottom w:val="nil"/>
              <w:right w:val="nil"/>
            </w:tcBorders>
            <w:hideMark/>
          </w:tcPr>
          <w:p w14:paraId="4A0E177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5.56</w:t>
            </w:r>
          </w:p>
        </w:tc>
      </w:tr>
      <w:tr w:rsidR="00141B2C" w:rsidRPr="004E52C2" w14:paraId="31B3663F" w14:textId="77777777" w:rsidTr="0056040E">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000" w:type="pct"/>
            <w:tcBorders>
              <w:left w:val="nil"/>
              <w:right w:val="nil"/>
            </w:tcBorders>
            <w:hideMark/>
          </w:tcPr>
          <w:p w14:paraId="2EAED424"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&gt;1,000,000</w:t>
            </w:r>
          </w:p>
        </w:tc>
        <w:tc>
          <w:tcPr>
            <w:tcW w:w="739" w:type="pct"/>
            <w:tcBorders>
              <w:left w:val="nil"/>
              <w:right w:val="nil"/>
            </w:tcBorders>
            <w:hideMark/>
          </w:tcPr>
          <w:p w14:paraId="040D27F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1.17</w:t>
            </w:r>
          </w:p>
        </w:tc>
        <w:tc>
          <w:tcPr>
            <w:tcW w:w="552" w:type="pct"/>
            <w:tcBorders>
              <w:left w:val="nil"/>
              <w:right w:val="nil"/>
            </w:tcBorders>
            <w:hideMark/>
          </w:tcPr>
          <w:p w14:paraId="07C2319B"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66.67</w:t>
            </w:r>
          </w:p>
        </w:tc>
        <w:tc>
          <w:tcPr>
            <w:tcW w:w="933" w:type="pct"/>
            <w:tcBorders>
              <w:left w:val="nil"/>
              <w:right w:val="nil"/>
            </w:tcBorders>
            <w:hideMark/>
          </w:tcPr>
          <w:p w14:paraId="3FF5ADB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33.33</w:t>
            </w:r>
          </w:p>
        </w:tc>
        <w:tc>
          <w:tcPr>
            <w:tcW w:w="888" w:type="pct"/>
            <w:tcBorders>
              <w:left w:val="nil"/>
              <w:right w:val="nil"/>
            </w:tcBorders>
            <w:hideMark/>
          </w:tcPr>
          <w:p w14:paraId="4F175932"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c>
          <w:tcPr>
            <w:tcW w:w="888" w:type="pct"/>
            <w:tcBorders>
              <w:left w:val="nil"/>
              <w:right w:val="nil"/>
            </w:tcBorders>
            <w:hideMark/>
          </w:tcPr>
          <w:p w14:paraId="4DC5A0B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74E3EA4C" w14:textId="77777777" w:rsidTr="0056040E">
        <w:trPr>
          <w:trHeight w:val="1571"/>
        </w:trPr>
        <w:tc>
          <w:tcPr>
            <w:cnfStyle w:val="001000000000" w:firstRow="0" w:lastRow="0" w:firstColumn="1" w:lastColumn="0" w:oddVBand="0" w:evenVBand="0" w:oddHBand="0" w:evenHBand="0" w:firstRowFirstColumn="0" w:firstRowLastColumn="0" w:lastRowFirstColumn="0" w:lastRowLastColumn="0"/>
            <w:tcW w:w="1000" w:type="pct"/>
            <w:tcBorders>
              <w:top w:val="nil"/>
              <w:left w:val="nil"/>
              <w:bottom w:val="single" w:sz="4" w:space="0" w:color="7F7F7F" w:themeColor="text1" w:themeTint="80"/>
              <w:right w:val="nil"/>
            </w:tcBorders>
            <w:hideMark/>
          </w:tcPr>
          <w:p w14:paraId="4A664997"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Total =</w:t>
            </w:r>
          </w:p>
          <w:p w14:paraId="5122035E"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Mean </w:t>
            </w:r>
          </w:p>
          <w:p w14:paraId="20E7FB00"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Standard= Deviation =</w:t>
            </w:r>
          </w:p>
        </w:tc>
        <w:tc>
          <w:tcPr>
            <w:tcW w:w="739" w:type="pct"/>
            <w:tcBorders>
              <w:top w:val="nil"/>
              <w:left w:val="nil"/>
              <w:bottom w:val="single" w:sz="4" w:space="0" w:color="7F7F7F" w:themeColor="text1" w:themeTint="80"/>
              <w:right w:val="nil"/>
            </w:tcBorders>
          </w:tcPr>
          <w:p w14:paraId="7E94FE4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p w14:paraId="34EBA403"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p w14:paraId="4EFFE62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230402.7 </w:t>
            </w:r>
          </w:p>
          <w:p w14:paraId="4A2E1314"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268597.8</w:t>
            </w:r>
          </w:p>
        </w:tc>
        <w:tc>
          <w:tcPr>
            <w:tcW w:w="552" w:type="pct"/>
            <w:tcBorders>
              <w:top w:val="nil"/>
              <w:left w:val="nil"/>
              <w:bottom w:val="single" w:sz="4" w:space="0" w:color="7F7F7F" w:themeColor="text1" w:themeTint="80"/>
              <w:right w:val="nil"/>
            </w:tcBorders>
          </w:tcPr>
          <w:p w14:paraId="649ED216"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933" w:type="pct"/>
            <w:tcBorders>
              <w:top w:val="nil"/>
              <w:left w:val="nil"/>
              <w:bottom w:val="single" w:sz="4" w:space="0" w:color="7F7F7F" w:themeColor="text1" w:themeTint="80"/>
              <w:right w:val="nil"/>
            </w:tcBorders>
          </w:tcPr>
          <w:p w14:paraId="3BEE7E7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888" w:type="pct"/>
            <w:tcBorders>
              <w:top w:val="nil"/>
              <w:left w:val="nil"/>
              <w:bottom w:val="single" w:sz="4" w:space="0" w:color="7F7F7F" w:themeColor="text1" w:themeTint="80"/>
              <w:right w:val="nil"/>
            </w:tcBorders>
          </w:tcPr>
          <w:p w14:paraId="477596D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c>
          <w:tcPr>
            <w:tcW w:w="888" w:type="pct"/>
            <w:tcBorders>
              <w:top w:val="nil"/>
              <w:left w:val="nil"/>
              <w:bottom w:val="single" w:sz="4" w:space="0" w:color="7F7F7F" w:themeColor="text1" w:themeTint="80"/>
              <w:right w:val="nil"/>
            </w:tcBorders>
          </w:tcPr>
          <w:p w14:paraId="052844C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p>
        </w:tc>
      </w:tr>
    </w:tbl>
    <w:p w14:paraId="66A05B8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30E4E01A" w14:textId="0BDE4E10"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.1.9 Reported cases of NCDs</w:t>
      </w:r>
    </w:p>
    <w:p w14:paraId="577621E8" w14:textId="7C1D2A0A"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A41F2F">
        <w:rPr>
          <w:rFonts w:cstheme="minorHAnsi"/>
          <w:bCs/>
          <w:sz w:val="24"/>
          <w:szCs w:val="24"/>
          <w:lang w:val="en-US"/>
        </w:rPr>
        <w:t>0</w:t>
      </w:r>
      <w:r w:rsidRPr="004E52C2">
        <w:rPr>
          <w:rFonts w:cstheme="minorHAnsi"/>
          <w:bCs/>
          <w:sz w:val="24"/>
          <w:szCs w:val="24"/>
          <w:lang w:val="en-US"/>
        </w:rPr>
        <w:t xml:space="preserve"> presents the distribution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(NCDs) For households with cases less than 2 reported cases of NCDs, 199 (77.43%) reported having fewer than two NCDs. Among these, 29.65% of food-secure households, 51.26% of food-insecure households without hunger, 12.06% of food-insecure households with moderate hunger, and 7.04% of food-insecure households with severe hunger reported less than two cases of NCDs. This suggests that many of the surveyed population had a relatively lower NCDs prevalence. For cases with 2-3 reported cases of NCDs per household, 42 (16.34%) households reported having </w:t>
      </w:r>
      <w:r w:rsidRPr="004E52C2">
        <w:rPr>
          <w:rFonts w:cstheme="minorHAnsi"/>
          <w:bCs/>
          <w:sz w:val="24"/>
          <w:szCs w:val="24"/>
          <w:lang w:val="en-US"/>
        </w:rPr>
        <w:lastRenderedPageBreak/>
        <w:t>3-4 cases of NCDs. Among these households, 26.19% of food-secure households, 45.24% of food-insecure households without hunger, 23.81% of food-insecure households with moderate hunger, and 4.76% of food-insecure households with severe hunger fell into this category. A total of 14 (5.45%) households reported having 5-6 cases of NCDs. Within this category, 35.71% of food-secure households, 50.0% of food-insecure households without hunger, 14.29% of food-insecure households with moderate hunger, and none of the food-insecure households with severe hunger reported having 5-6 cases of NCDs. Only 2 (0.78%) households reported having more than seven cases of NCDs. Food-secure and food-insecure households without hunger reported having an equal percentage of cases. In contrast, no cases were reported in the food-insecure households with moderate or severe hunger categories. It demonstrated a high prevalence of unhealthy eating habits and lifestyles and a high prevalence of reported illnesses due to the type of consumption patterns adopted among various households.</w:t>
      </w:r>
    </w:p>
    <w:p w14:paraId="69FFA0AA"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The findings suggest that the prevalence of reported NCDs cases varies across food security categories, with a higher percentage of reported cases observed in food-insecure households. This information is valuable for understanding the relationship between food security and NCDs and can inform interventions and policies aimed at addressing the health challenges faced by different food-insecure populations. </w:t>
      </w:r>
    </w:p>
    <w:p w14:paraId="0EC37C5E" w14:textId="5E80CB87"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0</w:t>
      </w:r>
      <w:r w:rsidRPr="004E52C2">
        <w:rPr>
          <w:rFonts w:cstheme="minorHAnsi"/>
          <w:bCs/>
          <w:sz w:val="24"/>
          <w:szCs w:val="24"/>
          <w:lang w:val="en-US"/>
        </w:rPr>
        <w:t xml:space="preserve">: Distribution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per household.</w:t>
      </w:r>
    </w:p>
    <w:tbl>
      <w:tblPr>
        <w:tblStyle w:val="PlainTable2"/>
        <w:tblW w:w="10350" w:type="dxa"/>
        <w:tblLayout w:type="fixed"/>
        <w:tblLook w:val="04A0" w:firstRow="1" w:lastRow="0" w:firstColumn="1" w:lastColumn="0" w:noHBand="0" w:noVBand="1"/>
      </w:tblPr>
      <w:tblGrid>
        <w:gridCol w:w="2069"/>
        <w:gridCol w:w="1529"/>
        <w:gridCol w:w="1143"/>
        <w:gridCol w:w="1931"/>
        <w:gridCol w:w="1839"/>
        <w:gridCol w:w="1839"/>
      </w:tblGrid>
      <w:tr w:rsidR="00141B2C" w:rsidRPr="004E52C2" w14:paraId="793B6590" w14:textId="77777777" w:rsidTr="00D85854">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7F7F7F" w:themeColor="text1" w:themeTint="80"/>
              <w:left w:val="nil"/>
              <w:right w:val="nil"/>
            </w:tcBorders>
            <w:hideMark/>
          </w:tcPr>
          <w:p w14:paraId="7C86D71F"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Reported cases of NCDs n=257</w:t>
            </w:r>
          </w:p>
        </w:tc>
        <w:tc>
          <w:tcPr>
            <w:tcW w:w="1530" w:type="dxa"/>
            <w:tcBorders>
              <w:top w:val="single" w:sz="4" w:space="0" w:color="7F7F7F" w:themeColor="text1" w:themeTint="80"/>
              <w:left w:val="nil"/>
              <w:right w:val="nil"/>
            </w:tcBorders>
            <w:hideMark/>
          </w:tcPr>
          <w:p w14:paraId="5BF7AA3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1144" w:type="dxa"/>
            <w:tcBorders>
              <w:top w:val="single" w:sz="4" w:space="0" w:color="7F7F7F" w:themeColor="text1" w:themeTint="80"/>
              <w:left w:val="nil"/>
              <w:right w:val="nil"/>
            </w:tcBorders>
            <w:hideMark/>
          </w:tcPr>
          <w:p w14:paraId="4749AD76"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70906B85"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932" w:type="dxa"/>
            <w:tcBorders>
              <w:top w:val="single" w:sz="4" w:space="0" w:color="7F7F7F" w:themeColor="text1" w:themeTint="80"/>
              <w:left w:val="nil"/>
              <w:right w:val="nil"/>
            </w:tcBorders>
            <w:hideMark/>
          </w:tcPr>
          <w:p w14:paraId="6F79BD7B"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840" w:type="dxa"/>
            <w:tcBorders>
              <w:top w:val="single" w:sz="4" w:space="0" w:color="7F7F7F" w:themeColor="text1" w:themeTint="80"/>
              <w:left w:val="nil"/>
              <w:right w:val="nil"/>
            </w:tcBorders>
            <w:hideMark/>
          </w:tcPr>
          <w:p w14:paraId="2C6714BE"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840" w:type="dxa"/>
            <w:tcBorders>
              <w:top w:val="single" w:sz="4" w:space="0" w:color="7F7F7F" w:themeColor="text1" w:themeTint="80"/>
              <w:left w:val="nil"/>
              <w:right w:val="nil"/>
            </w:tcBorders>
            <w:hideMark/>
          </w:tcPr>
          <w:p w14:paraId="099376A6"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17458AD4" w14:textId="77777777" w:rsidTr="00D8585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76B44C68"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&lt;2 Cases per household</w:t>
            </w:r>
          </w:p>
        </w:tc>
        <w:tc>
          <w:tcPr>
            <w:tcW w:w="1530" w:type="dxa"/>
            <w:tcBorders>
              <w:left w:val="nil"/>
              <w:right w:val="nil"/>
            </w:tcBorders>
            <w:hideMark/>
          </w:tcPr>
          <w:p w14:paraId="7DE41EC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77.43</w:t>
            </w:r>
          </w:p>
        </w:tc>
        <w:tc>
          <w:tcPr>
            <w:tcW w:w="1144" w:type="dxa"/>
            <w:tcBorders>
              <w:left w:val="nil"/>
              <w:right w:val="nil"/>
            </w:tcBorders>
            <w:hideMark/>
          </w:tcPr>
          <w:p w14:paraId="337E836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29.65</w:t>
            </w:r>
          </w:p>
        </w:tc>
        <w:tc>
          <w:tcPr>
            <w:tcW w:w="1932" w:type="dxa"/>
            <w:tcBorders>
              <w:left w:val="nil"/>
              <w:right w:val="nil"/>
            </w:tcBorders>
            <w:hideMark/>
          </w:tcPr>
          <w:p w14:paraId="1783D3A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51.26</w:t>
            </w:r>
          </w:p>
        </w:tc>
        <w:tc>
          <w:tcPr>
            <w:tcW w:w="1840" w:type="dxa"/>
            <w:tcBorders>
              <w:left w:val="nil"/>
              <w:right w:val="nil"/>
            </w:tcBorders>
            <w:hideMark/>
          </w:tcPr>
          <w:p w14:paraId="375C2B6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12.06</w:t>
            </w:r>
          </w:p>
        </w:tc>
        <w:tc>
          <w:tcPr>
            <w:tcW w:w="1840" w:type="dxa"/>
            <w:tcBorders>
              <w:left w:val="nil"/>
              <w:right w:val="nil"/>
            </w:tcBorders>
            <w:hideMark/>
          </w:tcPr>
          <w:p w14:paraId="65F8DD1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7.04</w:t>
            </w:r>
          </w:p>
        </w:tc>
      </w:tr>
      <w:tr w:rsidR="00141B2C" w:rsidRPr="004E52C2" w14:paraId="4B168306" w14:textId="77777777" w:rsidTr="00D85854">
        <w:trPr>
          <w:trHeight w:val="377"/>
        </w:trPr>
        <w:tc>
          <w:tcPr>
            <w:cnfStyle w:val="001000000000" w:firstRow="0" w:lastRow="0" w:firstColumn="1" w:lastColumn="0" w:oddVBand="0" w:evenVBand="0" w:oddHBand="0" w:evenHBand="0" w:firstRowFirstColumn="0" w:firstRowLastColumn="0" w:lastRowFirstColumn="0" w:lastRowLastColumn="0"/>
            <w:tcW w:w="2070" w:type="dxa"/>
            <w:tcBorders>
              <w:top w:val="nil"/>
              <w:left w:val="nil"/>
              <w:bottom w:val="nil"/>
              <w:right w:val="nil"/>
            </w:tcBorders>
            <w:hideMark/>
          </w:tcPr>
          <w:p w14:paraId="61EB9C9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3-4 Cases per household</w:t>
            </w:r>
          </w:p>
        </w:tc>
        <w:tc>
          <w:tcPr>
            <w:tcW w:w="1530" w:type="dxa"/>
            <w:tcBorders>
              <w:top w:val="nil"/>
              <w:left w:val="nil"/>
              <w:bottom w:val="nil"/>
              <w:right w:val="nil"/>
            </w:tcBorders>
            <w:hideMark/>
          </w:tcPr>
          <w:p w14:paraId="26E321D3"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16.34</w:t>
            </w:r>
          </w:p>
        </w:tc>
        <w:tc>
          <w:tcPr>
            <w:tcW w:w="1144" w:type="dxa"/>
            <w:tcBorders>
              <w:top w:val="nil"/>
              <w:left w:val="nil"/>
              <w:bottom w:val="nil"/>
              <w:right w:val="nil"/>
            </w:tcBorders>
            <w:hideMark/>
          </w:tcPr>
          <w:p w14:paraId="729574B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26.19</w:t>
            </w:r>
          </w:p>
        </w:tc>
        <w:tc>
          <w:tcPr>
            <w:tcW w:w="1932" w:type="dxa"/>
            <w:tcBorders>
              <w:top w:val="nil"/>
              <w:left w:val="nil"/>
              <w:bottom w:val="nil"/>
              <w:right w:val="nil"/>
            </w:tcBorders>
            <w:hideMark/>
          </w:tcPr>
          <w:p w14:paraId="6AAC75BC"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45.24</w:t>
            </w:r>
          </w:p>
        </w:tc>
        <w:tc>
          <w:tcPr>
            <w:tcW w:w="1840" w:type="dxa"/>
            <w:tcBorders>
              <w:top w:val="nil"/>
              <w:left w:val="nil"/>
              <w:bottom w:val="nil"/>
              <w:right w:val="nil"/>
            </w:tcBorders>
            <w:hideMark/>
          </w:tcPr>
          <w:p w14:paraId="752DAFE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23.81</w:t>
            </w:r>
          </w:p>
        </w:tc>
        <w:tc>
          <w:tcPr>
            <w:tcW w:w="1840" w:type="dxa"/>
            <w:tcBorders>
              <w:top w:val="nil"/>
              <w:left w:val="nil"/>
              <w:bottom w:val="nil"/>
              <w:right w:val="nil"/>
            </w:tcBorders>
            <w:hideMark/>
          </w:tcPr>
          <w:p w14:paraId="74C1D508"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4.76</w:t>
            </w:r>
          </w:p>
        </w:tc>
      </w:tr>
      <w:tr w:rsidR="00141B2C" w:rsidRPr="004E52C2" w14:paraId="259DB564" w14:textId="77777777" w:rsidTr="00D85854">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39AD6568"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5-6 Cases per household</w:t>
            </w:r>
          </w:p>
        </w:tc>
        <w:tc>
          <w:tcPr>
            <w:tcW w:w="1530" w:type="dxa"/>
            <w:tcBorders>
              <w:left w:val="nil"/>
              <w:right w:val="nil"/>
            </w:tcBorders>
            <w:hideMark/>
          </w:tcPr>
          <w:p w14:paraId="4C1813A8"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5.45</w:t>
            </w:r>
          </w:p>
        </w:tc>
        <w:tc>
          <w:tcPr>
            <w:tcW w:w="1144" w:type="dxa"/>
            <w:tcBorders>
              <w:left w:val="nil"/>
              <w:right w:val="nil"/>
            </w:tcBorders>
            <w:hideMark/>
          </w:tcPr>
          <w:p w14:paraId="52B6FBC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35.71</w:t>
            </w:r>
          </w:p>
        </w:tc>
        <w:tc>
          <w:tcPr>
            <w:tcW w:w="1932" w:type="dxa"/>
            <w:tcBorders>
              <w:left w:val="nil"/>
              <w:right w:val="nil"/>
            </w:tcBorders>
            <w:hideMark/>
          </w:tcPr>
          <w:p w14:paraId="50E6FDA1"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w:t>
            </w:r>
          </w:p>
        </w:tc>
        <w:tc>
          <w:tcPr>
            <w:tcW w:w="1840" w:type="dxa"/>
            <w:tcBorders>
              <w:left w:val="nil"/>
              <w:right w:val="nil"/>
            </w:tcBorders>
            <w:hideMark/>
          </w:tcPr>
          <w:p w14:paraId="489CE3A0"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14.29</w:t>
            </w:r>
          </w:p>
        </w:tc>
        <w:tc>
          <w:tcPr>
            <w:tcW w:w="1840" w:type="dxa"/>
            <w:tcBorders>
              <w:left w:val="nil"/>
              <w:right w:val="nil"/>
            </w:tcBorders>
            <w:hideMark/>
          </w:tcPr>
          <w:p w14:paraId="45D55EAC"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50BE6698" w14:textId="77777777" w:rsidTr="00D85854">
        <w:trPr>
          <w:trHeight w:val="380"/>
        </w:trPr>
        <w:tc>
          <w:tcPr>
            <w:cnfStyle w:val="001000000000" w:firstRow="0" w:lastRow="0" w:firstColumn="1" w:lastColumn="0" w:oddVBand="0" w:evenVBand="0" w:oddHBand="0" w:evenHBand="0" w:firstRowFirstColumn="0" w:firstRowLastColumn="0" w:lastRowFirstColumn="0" w:lastRowLastColumn="0"/>
            <w:tcW w:w="2070" w:type="dxa"/>
            <w:tcBorders>
              <w:top w:val="nil"/>
              <w:left w:val="nil"/>
              <w:bottom w:val="nil"/>
              <w:right w:val="nil"/>
            </w:tcBorders>
            <w:hideMark/>
          </w:tcPr>
          <w:p w14:paraId="2E448D0E"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&gt;7 Cases per household</w:t>
            </w:r>
          </w:p>
        </w:tc>
        <w:tc>
          <w:tcPr>
            <w:tcW w:w="1530" w:type="dxa"/>
            <w:tcBorders>
              <w:top w:val="nil"/>
              <w:left w:val="nil"/>
              <w:bottom w:val="nil"/>
              <w:right w:val="nil"/>
            </w:tcBorders>
            <w:hideMark/>
          </w:tcPr>
          <w:p w14:paraId="16E40FC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0.78</w:t>
            </w:r>
          </w:p>
        </w:tc>
        <w:tc>
          <w:tcPr>
            <w:tcW w:w="1144" w:type="dxa"/>
            <w:tcBorders>
              <w:top w:val="nil"/>
              <w:left w:val="nil"/>
              <w:bottom w:val="nil"/>
              <w:right w:val="nil"/>
            </w:tcBorders>
            <w:hideMark/>
          </w:tcPr>
          <w:p w14:paraId="463D256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932" w:type="dxa"/>
            <w:tcBorders>
              <w:top w:val="nil"/>
              <w:left w:val="nil"/>
              <w:bottom w:val="nil"/>
              <w:right w:val="nil"/>
            </w:tcBorders>
            <w:hideMark/>
          </w:tcPr>
          <w:p w14:paraId="32D07C1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50.00</w:t>
            </w:r>
          </w:p>
        </w:tc>
        <w:tc>
          <w:tcPr>
            <w:tcW w:w="1840" w:type="dxa"/>
            <w:tcBorders>
              <w:top w:val="nil"/>
              <w:left w:val="nil"/>
              <w:bottom w:val="nil"/>
              <w:right w:val="nil"/>
            </w:tcBorders>
            <w:hideMark/>
          </w:tcPr>
          <w:p w14:paraId="033472F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c>
          <w:tcPr>
            <w:tcW w:w="1840" w:type="dxa"/>
            <w:tcBorders>
              <w:top w:val="nil"/>
              <w:left w:val="nil"/>
              <w:bottom w:val="nil"/>
              <w:right w:val="nil"/>
            </w:tcBorders>
            <w:hideMark/>
          </w:tcPr>
          <w:p w14:paraId="0E2C3372"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0.00</w:t>
            </w:r>
          </w:p>
        </w:tc>
      </w:tr>
      <w:tr w:rsidR="00141B2C" w:rsidRPr="004E52C2" w14:paraId="1BA4323B" w14:textId="77777777" w:rsidTr="00D85854">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2070" w:type="dxa"/>
            <w:tcBorders>
              <w:left w:val="nil"/>
              <w:right w:val="nil"/>
            </w:tcBorders>
            <w:hideMark/>
          </w:tcPr>
          <w:p w14:paraId="3372BF51"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530" w:type="dxa"/>
            <w:tcBorders>
              <w:left w:val="nil"/>
              <w:right w:val="nil"/>
            </w:tcBorders>
            <w:hideMark/>
          </w:tcPr>
          <w:p w14:paraId="5422680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257</w:t>
            </w:r>
          </w:p>
        </w:tc>
        <w:tc>
          <w:tcPr>
            <w:tcW w:w="1144" w:type="dxa"/>
            <w:tcBorders>
              <w:left w:val="nil"/>
              <w:right w:val="nil"/>
            </w:tcBorders>
          </w:tcPr>
          <w:p w14:paraId="46FED4ED"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932" w:type="dxa"/>
            <w:tcBorders>
              <w:left w:val="nil"/>
              <w:right w:val="nil"/>
            </w:tcBorders>
          </w:tcPr>
          <w:p w14:paraId="393B5AE5"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40" w:type="dxa"/>
            <w:tcBorders>
              <w:left w:val="nil"/>
              <w:right w:val="nil"/>
            </w:tcBorders>
          </w:tcPr>
          <w:p w14:paraId="351AD204"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840" w:type="dxa"/>
            <w:tcBorders>
              <w:left w:val="nil"/>
              <w:right w:val="nil"/>
            </w:tcBorders>
          </w:tcPr>
          <w:p w14:paraId="60F7C09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527BEF4"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60D54EFC" w14:textId="77777777" w:rsidR="00141B2C" w:rsidRPr="004E52C2" w:rsidRDefault="00141B2C" w:rsidP="00F4229D">
      <w:pPr>
        <w:jc w:val="both"/>
        <w:rPr>
          <w:rFonts w:cstheme="minorHAnsi"/>
          <w:b/>
          <w:bCs/>
          <w:sz w:val="24"/>
          <w:szCs w:val="24"/>
          <w:lang w:val="en-US"/>
        </w:rPr>
      </w:pPr>
    </w:p>
    <w:p w14:paraId="72440A29" w14:textId="77777777" w:rsidR="00141B2C" w:rsidRPr="004E52C2" w:rsidRDefault="00141B2C" w:rsidP="00F4229D">
      <w:pPr>
        <w:jc w:val="both"/>
        <w:rPr>
          <w:rFonts w:cstheme="minorHAnsi"/>
          <w:b/>
          <w:bCs/>
          <w:sz w:val="24"/>
          <w:szCs w:val="24"/>
          <w:lang w:val="en-US"/>
        </w:rPr>
      </w:pPr>
    </w:p>
    <w:p w14:paraId="3746C753" w14:textId="6CD682BC" w:rsidR="00141B2C" w:rsidRPr="004E52C2" w:rsidRDefault="00B5477B" w:rsidP="00F4229D">
      <w:pPr>
        <w:jc w:val="both"/>
        <w:rPr>
          <w:rFonts w:cstheme="minorHAnsi"/>
          <w:b/>
          <w:bCs/>
          <w:sz w:val="24"/>
          <w:szCs w:val="24"/>
          <w:lang w:val="en-US"/>
        </w:rPr>
      </w:pPr>
      <w:bookmarkStart w:id="11" w:name="_Toc140036406"/>
      <w:bookmarkStart w:id="12" w:name="_Toc140036447"/>
      <w:r w:rsidRPr="004E52C2">
        <w:rPr>
          <w:rFonts w:cstheme="minorHAnsi"/>
          <w:b/>
          <w:bCs/>
          <w:sz w:val="24"/>
          <w:szCs w:val="24"/>
          <w:lang w:val="en-US"/>
        </w:rPr>
        <w:t>3</w:t>
      </w:r>
      <w:r w:rsidR="00141B2C" w:rsidRPr="004E52C2">
        <w:rPr>
          <w:rFonts w:cstheme="minorHAnsi"/>
          <w:b/>
          <w:bCs/>
          <w:sz w:val="24"/>
          <w:szCs w:val="24"/>
          <w:lang w:val="en-US"/>
        </w:rPr>
        <w:t>.2. Factors Influencing the Food Security Status of a Household</w:t>
      </w:r>
      <w:bookmarkEnd w:id="11"/>
      <w:bookmarkEnd w:id="12"/>
    </w:p>
    <w:p w14:paraId="31597B84" w14:textId="0E98A25D" w:rsidR="00141B2C" w:rsidRPr="004E52C2" w:rsidRDefault="00141B2C" w:rsidP="00F4229D">
      <w:pPr>
        <w:jc w:val="both"/>
        <w:rPr>
          <w:rFonts w:cstheme="minorHAnsi"/>
          <w:bCs/>
          <w:sz w:val="24"/>
          <w:szCs w:val="24"/>
          <w:lang w:val="en-US"/>
        </w:rPr>
      </w:pPr>
      <w:r w:rsidRPr="004E52C2">
        <w:rPr>
          <w:rFonts w:cstheme="minorHAnsi"/>
          <w:bCs/>
          <w:sz w:val="24"/>
          <w:szCs w:val="24"/>
          <w:lang w:val="en-US"/>
        </w:rPr>
        <w:lastRenderedPageBreak/>
        <w:t>The multinomial logit regression analysis in Table 1</w:t>
      </w:r>
      <w:r w:rsidR="004E52C2">
        <w:rPr>
          <w:rFonts w:cstheme="minorHAnsi"/>
          <w:bCs/>
          <w:sz w:val="24"/>
          <w:szCs w:val="24"/>
          <w:lang w:val="en-US"/>
        </w:rPr>
        <w:t>2</w:t>
      </w:r>
      <w:r w:rsidRPr="004E52C2">
        <w:rPr>
          <w:rFonts w:cstheme="minorHAnsi"/>
          <w:bCs/>
          <w:sz w:val="24"/>
          <w:szCs w:val="24"/>
          <w:lang w:val="en-US"/>
        </w:rPr>
        <w:t xml:space="preserve"> shows the factors influencing a household’s food security status attained by the Household Food Insecurity Access Scale (HFIAS) grouped into four categories: Food secure, Food insecure without hunger, Food insecure with moderate hunger and Food insecure with severe hunger (base outcome). The multinomial logit regression model is significant at 1% and has a Pseudo R-squared 0.1044, showing that the independent variable in this model explains 10.44% of the dependent viable. </w:t>
      </w:r>
    </w:p>
    <w:p w14:paraId="50E451EA" w14:textId="48D8AF8F" w:rsidR="00141B2C" w:rsidRPr="004E52C2" w:rsidRDefault="00B5477B" w:rsidP="00F4229D">
      <w:pPr>
        <w:jc w:val="both"/>
        <w:rPr>
          <w:rFonts w:cstheme="minorHAnsi"/>
          <w:bCs/>
          <w:sz w:val="24"/>
          <w:szCs w:val="24"/>
          <w:lang w:val="en-US"/>
        </w:rPr>
      </w:pPr>
      <w:r w:rsidRPr="004E52C2">
        <w:rPr>
          <w:rFonts w:cstheme="minorHAnsi"/>
          <w:bCs/>
          <w:sz w:val="24"/>
          <w:szCs w:val="24"/>
          <w:lang w:val="en-US"/>
        </w:rPr>
        <w:t>Table 1</w:t>
      </w:r>
      <w:r w:rsidR="004E52C2">
        <w:rPr>
          <w:rFonts w:cstheme="minorHAnsi"/>
          <w:bCs/>
          <w:sz w:val="24"/>
          <w:szCs w:val="24"/>
          <w:lang w:val="en-US"/>
        </w:rPr>
        <w:t>2</w:t>
      </w:r>
      <w:r w:rsidR="00141B2C" w:rsidRPr="004E52C2">
        <w:rPr>
          <w:rFonts w:cstheme="minorHAnsi"/>
          <w:bCs/>
          <w:sz w:val="24"/>
          <w:szCs w:val="24"/>
          <w:lang w:val="en-US"/>
        </w:rPr>
        <w:t xml:space="preserve"> shows the relationship between researched variables and food security categories. Marital status has a significance level at </w:t>
      </w:r>
      <w:r w:rsidR="002C1684" w:rsidRPr="004E52C2">
        <w:rPr>
          <w:rFonts w:cstheme="minorHAnsi"/>
          <w:bCs/>
          <w:sz w:val="24"/>
          <w:szCs w:val="24"/>
          <w:lang w:val="en-US"/>
        </w:rPr>
        <w:t>(P</w:t>
      </w:r>
      <w:r w:rsidR="00B959FA">
        <w:rPr>
          <w:rFonts w:cstheme="minorHAnsi"/>
          <w:bCs/>
          <w:sz w:val="24"/>
          <w:szCs w:val="24"/>
          <w:lang w:val="en-US"/>
        </w:rPr>
        <w:t>&lt;</w:t>
      </w:r>
      <w:r w:rsidR="00141B2C" w:rsidRPr="004E52C2">
        <w:rPr>
          <w:rFonts w:cstheme="minorHAnsi"/>
          <w:bCs/>
          <w:sz w:val="24"/>
          <w:szCs w:val="24"/>
          <w:lang w:val="en-US"/>
        </w:rPr>
        <w:t>0.063), indicating a statistical significance at 5%, a marginal effect of 0.105, which means the marital status of the head of household increases the probability of a household being food secure by 10.5%, with a standard error of 0.056. This suggests that being married is positively associated with higher levels of food security among the food-secure group. Fully food-secured households are often associated with the head of the household being married (Hanson, Sobal, and Frongillo, 2007).</w:t>
      </w:r>
    </w:p>
    <w:p w14:paraId="62276B7A" w14:textId="4777E055" w:rsidR="00141B2C" w:rsidRPr="004E52C2" w:rsidRDefault="00141B2C" w:rsidP="00F4229D">
      <w:pPr>
        <w:jc w:val="both"/>
        <w:rPr>
          <w:rFonts w:cstheme="minorHAnsi"/>
          <w:bCs/>
          <w:sz w:val="24"/>
          <w:szCs w:val="24"/>
          <w:lang w:val="en-US"/>
        </w:rPr>
      </w:pPr>
      <w:r w:rsidRPr="004E52C2">
        <w:rPr>
          <w:rFonts w:cstheme="minorHAnsi"/>
          <w:bCs/>
          <w:sz w:val="24"/>
          <w:szCs w:val="24"/>
          <w:lang w:val="en-US"/>
        </w:rPr>
        <w:t>Household size influences food-insecure households with moderate hunger, bearing a significance of (p</w:t>
      </w:r>
      <w:r w:rsidR="00B959FA">
        <w:rPr>
          <w:rFonts w:cstheme="minorHAnsi"/>
          <w:bCs/>
          <w:sz w:val="24"/>
          <w:szCs w:val="24"/>
          <w:lang w:val="en-US"/>
        </w:rPr>
        <w:t>&lt;</w:t>
      </w:r>
      <w:r w:rsidRPr="004E52C2">
        <w:rPr>
          <w:rFonts w:cstheme="minorHAnsi"/>
          <w:bCs/>
          <w:sz w:val="24"/>
          <w:szCs w:val="24"/>
          <w:lang w:val="en-US"/>
        </w:rPr>
        <w:t xml:space="preserve"> 0.038), indicating a statistical significance at 5%. The marginal effect of 0.017 means that the size of a household increases the probability of the house being food insecure with moderate hunger by 1.7%. There is a 1.7% likelihood of being Food insecure with moderate hunger when they have increased household size. Households with five-plus members have significantly higher odds of food insecurity than one or two-person households</w:t>
      </w:r>
    </w:p>
    <w:p w14:paraId="1D530F9F" w14:textId="7F13ED0B" w:rsidR="00141B2C" w:rsidRPr="004E52C2" w:rsidRDefault="00141B2C" w:rsidP="00F4229D">
      <w:pPr>
        <w:jc w:val="both"/>
        <w:rPr>
          <w:rFonts w:cstheme="minorHAnsi"/>
          <w:bCs/>
          <w:sz w:val="24"/>
          <w:szCs w:val="24"/>
          <w:lang w:val="en-US"/>
        </w:rPr>
      </w:pPr>
      <w:r w:rsidRPr="004E52C2">
        <w:rPr>
          <w:rFonts w:cstheme="minorHAnsi"/>
          <w:bCs/>
          <w:sz w:val="24"/>
          <w:szCs w:val="24"/>
          <w:lang w:val="en-US"/>
        </w:rPr>
        <w:t>The location of a household, with a significance level of (p&gt;0.018) indicates a statistical significance at 5%. This negative marginal effect of -0.056 means that a household's location decreases the probability of being food secure by 5.6%. This indicates that households in sparsely populated areas have a reduced chance of being food secure. For the food insecure category with moderate hunger, a significance level of (p</w:t>
      </w:r>
      <w:r w:rsidR="00B959FA">
        <w:rPr>
          <w:rFonts w:cstheme="minorHAnsi"/>
          <w:bCs/>
          <w:sz w:val="24"/>
          <w:szCs w:val="24"/>
          <w:lang w:val="en-US"/>
        </w:rPr>
        <w:t>&lt;</w:t>
      </w:r>
      <w:r w:rsidRPr="004E52C2">
        <w:rPr>
          <w:rFonts w:cstheme="minorHAnsi"/>
          <w:bCs/>
          <w:sz w:val="24"/>
          <w:szCs w:val="24"/>
          <w:lang w:val="en-US"/>
        </w:rPr>
        <w:t xml:space="preserve"> 0.050) indicates statistical significance at 5% and a marginal effect of 0.042, meaning that the location of a house increases the probability of the household being food insecure with moderate hunger by 4.2%. This suggests that households are more likely to be moderately food secure depending on their location.</w:t>
      </w:r>
    </w:p>
    <w:p w14:paraId="168B1A9C" w14:textId="6C8ECEED" w:rsidR="00141B2C" w:rsidRPr="004E52C2" w:rsidRDefault="00141B2C" w:rsidP="00F4229D">
      <w:pPr>
        <w:jc w:val="both"/>
        <w:rPr>
          <w:rFonts w:cstheme="minorHAnsi"/>
          <w:bCs/>
          <w:sz w:val="24"/>
          <w:szCs w:val="24"/>
          <w:lang w:val="en-US"/>
        </w:rPr>
      </w:pPr>
      <w:r w:rsidRPr="004E52C2">
        <w:rPr>
          <w:rFonts w:cstheme="minorHAnsi"/>
          <w:bCs/>
          <w:sz w:val="24"/>
          <w:szCs w:val="24"/>
          <w:lang w:val="en-US"/>
        </w:rPr>
        <w:t>As for the primary occupation, the significance level of (p</w:t>
      </w:r>
      <w:r w:rsidR="00B959FA">
        <w:rPr>
          <w:rFonts w:cstheme="minorHAnsi"/>
          <w:bCs/>
          <w:sz w:val="24"/>
          <w:szCs w:val="24"/>
          <w:lang w:val="en-US"/>
        </w:rPr>
        <w:t>&lt;</w:t>
      </w:r>
      <w:r w:rsidRPr="004E52C2">
        <w:rPr>
          <w:rFonts w:cstheme="minorHAnsi"/>
          <w:bCs/>
          <w:sz w:val="24"/>
          <w:szCs w:val="24"/>
          <w:lang w:val="en-US"/>
        </w:rPr>
        <w:t xml:space="preserve">0.041) indicates statistical significance at 5%. The marginal effect of -0.043, means that the primary occupation of a household head decreases the probability of the household being food secure by 4.3%. This suggests that households with farming as the primary occupation of the head of head household are less likely to be food secure. For the food insecure category without hunger, the significance level of 0.076 indicates statistical significance at 10%, and a marginal effect of 0.041 means that the primary occupation of the household head increases the probability of the household being food insecure without hunger. Households with farming as the primary occupation of the household head are more likely to be food insecure without hunger. </w:t>
      </w:r>
    </w:p>
    <w:p w14:paraId="1F07C08A" w14:textId="0B4630F6" w:rsidR="00141B2C" w:rsidRPr="004E52C2" w:rsidRDefault="00141B2C" w:rsidP="00F4229D">
      <w:pPr>
        <w:jc w:val="both"/>
        <w:rPr>
          <w:rFonts w:cstheme="minorHAnsi"/>
          <w:bCs/>
          <w:sz w:val="24"/>
          <w:szCs w:val="24"/>
          <w:lang w:val="en-US"/>
        </w:rPr>
      </w:pPr>
    </w:p>
    <w:p w14:paraId="07721E7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br w:type="page"/>
      </w:r>
    </w:p>
    <w:p w14:paraId="400774C7" w14:textId="1DAAB0F5" w:rsidR="00141B2C" w:rsidRPr="004E52C2" w:rsidRDefault="00141B2C" w:rsidP="00F4229D">
      <w:pPr>
        <w:jc w:val="both"/>
        <w:rPr>
          <w:rFonts w:cstheme="minorHAnsi"/>
          <w:bCs/>
          <w:sz w:val="24"/>
          <w:szCs w:val="24"/>
          <w:lang w:val="en-US"/>
        </w:rPr>
      </w:pPr>
      <w:r w:rsidRPr="004E52C2">
        <w:rPr>
          <w:rFonts w:cstheme="minorHAnsi"/>
          <w:bCs/>
          <w:sz w:val="24"/>
          <w:szCs w:val="24"/>
          <w:lang w:val="en-US"/>
        </w:rPr>
        <w:lastRenderedPageBreak/>
        <w:t>Table 1</w:t>
      </w:r>
      <w:r w:rsidR="00D92B88">
        <w:rPr>
          <w:rFonts w:cstheme="minorHAnsi"/>
          <w:bCs/>
          <w:sz w:val="24"/>
          <w:szCs w:val="24"/>
          <w:lang w:val="en-US"/>
        </w:rPr>
        <w:t>1</w:t>
      </w:r>
      <w:r w:rsidRPr="004E52C2">
        <w:rPr>
          <w:rFonts w:cstheme="minorHAnsi"/>
          <w:bCs/>
          <w:sz w:val="24"/>
          <w:szCs w:val="24"/>
          <w:lang w:val="en-US"/>
        </w:rPr>
        <w:t xml:space="preserve">: Multinomial Logit Regression Showing the Factors influencing household food security status. </w:t>
      </w:r>
    </w:p>
    <w:tbl>
      <w:tblPr>
        <w:tblW w:w="9535" w:type="dxa"/>
        <w:tblBorders>
          <w:insideH w:val="single" w:sz="4" w:space="0" w:color="auto"/>
          <w:insideV w:val="single" w:sz="4" w:space="0" w:color="auto"/>
        </w:tblBorders>
        <w:tblLook w:val="04A0" w:firstRow="1" w:lastRow="0" w:firstColumn="1" w:lastColumn="0" w:noHBand="0" w:noVBand="1"/>
      </w:tblPr>
      <w:tblGrid>
        <w:gridCol w:w="3600"/>
        <w:gridCol w:w="1890"/>
        <w:gridCol w:w="1890"/>
        <w:gridCol w:w="2155"/>
      </w:tblGrid>
      <w:tr w:rsidR="00141B2C" w:rsidRPr="004E52C2" w14:paraId="12785DC7" w14:textId="77777777" w:rsidTr="00D85854">
        <w:tc>
          <w:tcPr>
            <w:tcW w:w="3600" w:type="dxa"/>
            <w:tcBorders>
              <w:top w:val="single" w:sz="4" w:space="0" w:color="auto"/>
              <w:left w:val="nil"/>
              <w:bottom w:val="single" w:sz="4" w:space="0" w:color="auto"/>
              <w:right w:val="nil"/>
            </w:tcBorders>
            <w:vAlign w:val="center"/>
            <w:hideMark/>
          </w:tcPr>
          <w:p w14:paraId="7917BCF2"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Variables</w:t>
            </w:r>
          </w:p>
        </w:tc>
        <w:tc>
          <w:tcPr>
            <w:tcW w:w="1890" w:type="dxa"/>
            <w:tcBorders>
              <w:top w:val="single" w:sz="4" w:space="0" w:color="auto"/>
              <w:left w:val="nil"/>
              <w:bottom w:val="single" w:sz="4" w:space="0" w:color="auto"/>
              <w:right w:val="nil"/>
            </w:tcBorders>
            <w:vAlign w:val="center"/>
            <w:hideMark/>
          </w:tcPr>
          <w:p w14:paraId="1EB89B22"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Food secure (</w:t>
            </w:r>
            <w:proofErr w:type="spellStart"/>
            <w:r w:rsidRPr="004E52C2">
              <w:rPr>
                <w:rFonts w:cstheme="minorHAnsi"/>
                <w:b/>
                <w:bCs/>
                <w:sz w:val="24"/>
                <w:szCs w:val="24"/>
                <w:lang w:val="en-US"/>
              </w:rPr>
              <w:t>dy</w:t>
            </w:r>
            <w:proofErr w:type="spellEnd"/>
            <w:r w:rsidRPr="004E52C2">
              <w:rPr>
                <w:rFonts w:cstheme="minorHAnsi"/>
                <w:b/>
                <w:bCs/>
                <w:sz w:val="24"/>
                <w:szCs w:val="24"/>
                <w:lang w:val="en-US"/>
              </w:rPr>
              <w:t>/dx)</w:t>
            </w:r>
          </w:p>
        </w:tc>
        <w:tc>
          <w:tcPr>
            <w:tcW w:w="1890" w:type="dxa"/>
            <w:tcBorders>
              <w:top w:val="single" w:sz="4" w:space="0" w:color="auto"/>
              <w:left w:val="nil"/>
              <w:bottom w:val="single" w:sz="4" w:space="0" w:color="auto"/>
              <w:right w:val="nil"/>
            </w:tcBorders>
            <w:vAlign w:val="center"/>
            <w:hideMark/>
          </w:tcPr>
          <w:p w14:paraId="2B242DB6"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Food Insecure without hunger (</w:t>
            </w:r>
            <w:proofErr w:type="spellStart"/>
            <w:r w:rsidRPr="004E52C2">
              <w:rPr>
                <w:rFonts w:cstheme="minorHAnsi"/>
                <w:b/>
                <w:bCs/>
                <w:sz w:val="24"/>
                <w:szCs w:val="24"/>
                <w:lang w:val="en-US"/>
              </w:rPr>
              <w:t>dy</w:t>
            </w:r>
            <w:proofErr w:type="spellEnd"/>
            <w:r w:rsidRPr="004E52C2">
              <w:rPr>
                <w:rFonts w:cstheme="minorHAnsi"/>
                <w:b/>
                <w:bCs/>
                <w:sz w:val="24"/>
                <w:szCs w:val="24"/>
                <w:lang w:val="en-US"/>
              </w:rPr>
              <w:t>/dx)</w:t>
            </w:r>
          </w:p>
        </w:tc>
        <w:tc>
          <w:tcPr>
            <w:tcW w:w="2155" w:type="dxa"/>
            <w:tcBorders>
              <w:top w:val="single" w:sz="4" w:space="0" w:color="auto"/>
              <w:left w:val="nil"/>
              <w:bottom w:val="single" w:sz="4" w:space="0" w:color="auto"/>
              <w:right w:val="nil"/>
            </w:tcBorders>
            <w:vAlign w:val="center"/>
            <w:hideMark/>
          </w:tcPr>
          <w:p w14:paraId="25FA6819" w14:textId="77777777" w:rsidR="00141B2C" w:rsidRPr="004E52C2" w:rsidRDefault="00141B2C" w:rsidP="00F4229D">
            <w:pPr>
              <w:jc w:val="both"/>
              <w:rPr>
                <w:rFonts w:cstheme="minorHAnsi"/>
                <w:b/>
                <w:bCs/>
                <w:sz w:val="24"/>
                <w:szCs w:val="24"/>
                <w:lang w:val="en-US"/>
              </w:rPr>
            </w:pPr>
            <w:r w:rsidRPr="004E52C2">
              <w:rPr>
                <w:rFonts w:cstheme="minorHAnsi"/>
                <w:b/>
                <w:bCs/>
                <w:sz w:val="24"/>
                <w:szCs w:val="24"/>
                <w:lang w:val="en-US"/>
              </w:rPr>
              <w:t>Food Insecure with Moderate hunger (</w:t>
            </w:r>
            <w:proofErr w:type="spellStart"/>
            <w:r w:rsidRPr="004E52C2">
              <w:rPr>
                <w:rFonts w:cstheme="minorHAnsi"/>
                <w:b/>
                <w:bCs/>
                <w:sz w:val="24"/>
                <w:szCs w:val="24"/>
                <w:lang w:val="en-US"/>
              </w:rPr>
              <w:t>dy</w:t>
            </w:r>
            <w:proofErr w:type="spellEnd"/>
            <w:r w:rsidRPr="004E52C2">
              <w:rPr>
                <w:rFonts w:cstheme="minorHAnsi"/>
                <w:b/>
                <w:bCs/>
                <w:sz w:val="24"/>
                <w:szCs w:val="24"/>
                <w:lang w:val="en-US"/>
              </w:rPr>
              <w:t>/dx)</w:t>
            </w:r>
          </w:p>
        </w:tc>
      </w:tr>
      <w:tr w:rsidR="00141B2C" w:rsidRPr="004E52C2" w14:paraId="64552556" w14:textId="77777777" w:rsidTr="00D85854">
        <w:tc>
          <w:tcPr>
            <w:tcW w:w="3600" w:type="dxa"/>
            <w:tcBorders>
              <w:top w:val="single" w:sz="4" w:space="0" w:color="auto"/>
              <w:left w:val="nil"/>
              <w:bottom w:val="single" w:sz="4" w:space="0" w:color="auto"/>
              <w:right w:val="nil"/>
            </w:tcBorders>
            <w:hideMark/>
          </w:tcPr>
          <w:p w14:paraId="2EB254D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Sex of Household head</w:t>
            </w:r>
          </w:p>
        </w:tc>
        <w:tc>
          <w:tcPr>
            <w:tcW w:w="1890" w:type="dxa"/>
            <w:tcBorders>
              <w:top w:val="single" w:sz="4" w:space="0" w:color="auto"/>
              <w:left w:val="nil"/>
              <w:bottom w:val="single" w:sz="4" w:space="0" w:color="auto"/>
              <w:right w:val="nil"/>
            </w:tcBorders>
            <w:hideMark/>
          </w:tcPr>
          <w:p w14:paraId="0A6D82C4"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0.013</w:t>
            </w:r>
          </w:p>
          <w:p w14:paraId="263E57B2"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(0.062)</w:t>
            </w:r>
          </w:p>
        </w:tc>
        <w:tc>
          <w:tcPr>
            <w:tcW w:w="1890" w:type="dxa"/>
            <w:tcBorders>
              <w:top w:val="single" w:sz="4" w:space="0" w:color="auto"/>
              <w:left w:val="nil"/>
              <w:bottom w:val="single" w:sz="4" w:space="0" w:color="auto"/>
              <w:right w:val="nil"/>
            </w:tcBorders>
            <w:hideMark/>
          </w:tcPr>
          <w:p w14:paraId="40B70DD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0.050</w:t>
            </w:r>
          </w:p>
          <w:p w14:paraId="499C056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(0.073)</w:t>
            </w:r>
          </w:p>
        </w:tc>
        <w:tc>
          <w:tcPr>
            <w:tcW w:w="2155" w:type="dxa"/>
            <w:tcBorders>
              <w:top w:val="single" w:sz="4" w:space="0" w:color="auto"/>
              <w:left w:val="nil"/>
              <w:bottom w:val="single" w:sz="4" w:space="0" w:color="auto"/>
              <w:right w:val="nil"/>
            </w:tcBorders>
            <w:hideMark/>
          </w:tcPr>
          <w:p w14:paraId="0188B8C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0.008</w:t>
            </w:r>
          </w:p>
          <w:p w14:paraId="752695F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(0.050)</w:t>
            </w:r>
          </w:p>
        </w:tc>
      </w:tr>
      <w:tr w:rsidR="00141B2C" w:rsidRPr="004E52C2" w14:paraId="58C283E0" w14:textId="77777777" w:rsidTr="00D85854">
        <w:tc>
          <w:tcPr>
            <w:tcW w:w="3600" w:type="dxa"/>
            <w:tcBorders>
              <w:top w:val="single" w:sz="4" w:space="0" w:color="auto"/>
              <w:left w:val="nil"/>
              <w:bottom w:val="single" w:sz="4" w:space="0" w:color="auto"/>
              <w:right w:val="nil"/>
            </w:tcBorders>
            <w:hideMark/>
          </w:tcPr>
          <w:p w14:paraId="3186478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Age of Household head </w:t>
            </w:r>
          </w:p>
        </w:tc>
        <w:tc>
          <w:tcPr>
            <w:tcW w:w="1890" w:type="dxa"/>
            <w:tcBorders>
              <w:top w:val="single" w:sz="4" w:space="0" w:color="auto"/>
              <w:left w:val="nil"/>
              <w:bottom w:val="single" w:sz="4" w:space="0" w:color="auto"/>
              <w:right w:val="nil"/>
            </w:tcBorders>
            <w:hideMark/>
          </w:tcPr>
          <w:p w14:paraId="07740155"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0.004</w:t>
            </w:r>
          </w:p>
          <w:p w14:paraId="0863DF3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(0.016)</w:t>
            </w:r>
          </w:p>
        </w:tc>
        <w:tc>
          <w:tcPr>
            <w:tcW w:w="1890" w:type="dxa"/>
            <w:tcBorders>
              <w:top w:val="single" w:sz="4" w:space="0" w:color="auto"/>
              <w:left w:val="nil"/>
              <w:bottom w:val="single" w:sz="4" w:space="0" w:color="auto"/>
              <w:right w:val="nil"/>
            </w:tcBorders>
            <w:hideMark/>
          </w:tcPr>
          <w:p w14:paraId="7A760EF3"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-0.005</w:t>
            </w:r>
          </w:p>
          <w:p w14:paraId="1E286A4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(0.017)</w:t>
            </w:r>
          </w:p>
        </w:tc>
        <w:tc>
          <w:tcPr>
            <w:tcW w:w="2155" w:type="dxa"/>
            <w:tcBorders>
              <w:top w:val="single" w:sz="4" w:space="0" w:color="auto"/>
              <w:left w:val="nil"/>
              <w:bottom w:val="single" w:sz="4" w:space="0" w:color="auto"/>
              <w:right w:val="nil"/>
            </w:tcBorders>
            <w:hideMark/>
          </w:tcPr>
          <w:p w14:paraId="0F82E6B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-0.002</w:t>
            </w:r>
          </w:p>
          <w:p w14:paraId="2BD9ACA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(0.011)</w:t>
            </w:r>
          </w:p>
        </w:tc>
      </w:tr>
      <w:tr w:rsidR="00141B2C" w:rsidRPr="004E52C2" w14:paraId="73602938" w14:textId="77777777" w:rsidTr="00D85854">
        <w:tc>
          <w:tcPr>
            <w:tcW w:w="3600" w:type="dxa"/>
            <w:tcBorders>
              <w:top w:val="single" w:sz="4" w:space="0" w:color="auto"/>
              <w:left w:val="nil"/>
              <w:bottom w:val="single" w:sz="4" w:space="0" w:color="auto"/>
              <w:right w:val="nil"/>
            </w:tcBorders>
            <w:hideMark/>
          </w:tcPr>
          <w:p w14:paraId="3949FB1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Level of education of Household head</w:t>
            </w:r>
          </w:p>
        </w:tc>
        <w:tc>
          <w:tcPr>
            <w:tcW w:w="1890" w:type="dxa"/>
            <w:tcBorders>
              <w:top w:val="single" w:sz="4" w:space="0" w:color="auto"/>
              <w:left w:val="nil"/>
              <w:bottom w:val="single" w:sz="4" w:space="0" w:color="auto"/>
              <w:right w:val="nil"/>
            </w:tcBorders>
            <w:hideMark/>
          </w:tcPr>
          <w:p w14:paraId="6632B5F0"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0.0312</w:t>
            </w:r>
          </w:p>
          <w:p w14:paraId="427A9972"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(0.0244)</w:t>
            </w:r>
          </w:p>
        </w:tc>
        <w:tc>
          <w:tcPr>
            <w:tcW w:w="1890" w:type="dxa"/>
            <w:tcBorders>
              <w:top w:val="single" w:sz="4" w:space="0" w:color="auto"/>
              <w:left w:val="nil"/>
              <w:bottom w:val="single" w:sz="4" w:space="0" w:color="auto"/>
              <w:right w:val="nil"/>
            </w:tcBorders>
            <w:hideMark/>
          </w:tcPr>
          <w:p w14:paraId="745D7B6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-0.010</w:t>
            </w:r>
          </w:p>
          <w:p w14:paraId="4154528C"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(0.027)</w:t>
            </w:r>
          </w:p>
        </w:tc>
        <w:tc>
          <w:tcPr>
            <w:tcW w:w="2155" w:type="dxa"/>
            <w:tcBorders>
              <w:top w:val="single" w:sz="4" w:space="0" w:color="auto"/>
              <w:left w:val="nil"/>
              <w:bottom w:val="single" w:sz="4" w:space="0" w:color="auto"/>
              <w:right w:val="nil"/>
            </w:tcBorders>
            <w:hideMark/>
          </w:tcPr>
          <w:p w14:paraId="5AEF91C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-0.007</w:t>
            </w:r>
          </w:p>
          <w:p w14:paraId="33B9A0F2"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(0.018)</w:t>
            </w:r>
          </w:p>
        </w:tc>
      </w:tr>
      <w:tr w:rsidR="00141B2C" w:rsidRPr="004E52C2" w14:paraId="75577E32" w14:textId="77777777" w:rsidTr="00D85854">
        <w:tc>
          <w:tcPr>
            <w:tcW w:w="3600" w:type="dxa"/>
            <w:tcBorders>
              <w:top w:val="single" w:sz="4" w:space="0" w:color="auto"/>
              <w:left w:val="nil"/>
              <w:bottom w:val="single" w:sz="4" w:space="0" w:color="auto"/>
              <w:right w:val="nil"/>
            </w:tcBorders>
            <w:hideMark/>
          </w:tcPr>
          <w:p w14:paraId="4B1A4A38"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Marital status of Household head</w:t>
            </w:r>
          </w:p>
        </w:tc>
        <w:tc>
          <w:tcPr>
            <w:tcW w:w="1890" w:type="dxa"/>
            <w:tcBorders>
              <w:top w:val="single" w:sz="4" w:space="0" w:color="auto"/>
              <w:left w:val="nil"/>
              <w:bottom w:val="single" w:sz="4" w:space="0" w:color="auto"/>
              <w:right w:val="nil"/>
            </w:tcBorders>
            <w:hideMark/>
          </w:tcPr>
          <w:p w14:paraId="4A9E305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0.105**</w:t>
            </w:r>
          </w:p>
          <w:p w14:paraId="31B260D0"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(0.056)</w:t>
            </w:r>
          </w:p>
        </w:tc>
        <w:tc>
          <w:tcPr>
            <w:tcW w:w="1890" w:type="dxa"/>
            <w:tcBorders>
              <w:top w:val="single" w:sz="4" w:space="0" w:color="auto"/>
              <w:left w:val="nil"/>
              <w:bottom w:val="single" w:sz="4" w:space="0" w:color="auto"/>
              <w:right w:val="nil"/>
            </w:tcBorders>
            <w:hideMark/>
          </w:tcPr>
          <w:p w14:paraId="2338DD2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-0.088</w:t>
            </w:r>
          </w:p>
          <w:p w14:paraId="5789405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(0.068)</w:t>
            </w:r>
          </w:p>
        </w:tc>
        <w:tc>
          <w:tcPr>
            <w:tcW w:w="2155" w:type="dxa"/>
            <w:tcBorders>
              <w:top w:val="single" w:sz="4" w:space="0" w:color="auto"/>
              <w:left w:val="nil"/>
              <w:bottom w:val="single" w:sz="4" w:space="0" w:color="auto"/>
              <w:right w:val="nil"/>
            </w:tcBorders>
            <w:hideMark/>
          </w:tcPr>
          <w:p w14:paraId="477535C6"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-0.078   </w:t>
            </w:r>
          </w:p>
          <w:p w14:paraId="769CB84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(0.050)</w:t>
            </w:r>
          </w:p>
        </w:tc>
      </w:tr>
      <w:tr w:rsidR="00141B2C" w:rsidRPr="004E52C2" w14:paraId="6756A030" w14:textId="77777777" w:rsidTr="00D85854">
        <w:tc>
          <w:tcPr>
            <w:tcW w:w="3600" w:type="dxa"/>
            <w:tcBorders>
              <w:top w:val="single" w:sz="4" w:space="0" w:color="auto"/>
              <w:left w:val="nil"/>
              <w:bottom w:val="single" w:sz="4" w:space="0" w:color="auto"/>
              <w:right w:val="nil"/>
            </w:tcBorders>
            <w:hideMark/>
          </w:tcPr>
          <w:p w14:paraId="389139BA"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Household size </w:t>
            </w:r>
          </w:p>
        </w:tc>
        <w:tc>
          <w:tcPr>
            <w:tcW w:w="1890" w:type="dxa"/>
            <w:tcBorders>
              <w:top w:val="single" w:sz="4" w:space="0" w:color="auto"/>
              <w:left w:val="nil"/>
              <w:bottom w:val="single" w:sz="4" w:space="0" w:color="auto"/>
              <w:right w:val="nil"/>
            </w:tcBorders>
            <w:hideMark/>
          </w:tcPr>
          <w:p w14:paraId="36606E43"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-0.006</w:t>
            </w:r>
          </w:p>
          <w:p w14:paraId="2C72C414"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(0.131)</w:t>
            </w:r>
          </w:p>
        </w:tc>
        <w:tc>
          <w:tcPr>
            <w:tcW w:w="1890" w:type="dxa"/>
            <w:tcBorders>
              <w:top w:val="single" w:sz="4" w:space="0" w:color="auto"/>
              <w:left w:val="nil"/>
              <w:bottom w:val="single" w:sz="4" w:space="0" w:color="auto"/>
              <w:right w:val="nil"/>
            </w:tcBorders>
            <w:hideMark/>
          </w:tcPr>
          <w:p w14:paraId="49D8EE8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-0.008</w:t>
            </w:r>
          </w:p>
          <w:p w14:paraId="2243CB3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(0.014)</w:t>
            </w:r>
          </w:p>
        </w:tc>
        <w:tc>
          <w:tcPr>
            <w:tcW w:w="2155" w:type="dxa"/>
            <w:tcBorders>
              <w:top w:val="single" w:sz="4" w:space="0" w:color="auto"/>
              <w:left w:val="nil"/>
              <w:bottom w:val="single" w:sz="4" w:space="0" w:color="auto"/>
              <w:right w:val="nil"/>
            </w:tcBorders>
            <w:hideMark/>
          </w:tcPr>
          <w:p w14:paraId="1DD902A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 .017**</w:t>
            </w:r>
          </w:p>
          <w:p w14:paraId="2948C26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(0.008)</w:t>
            </w:r>
          </w:p>
        </w:tc>
      </w:tr>
      <w:tr w:rsidR="00141B2C" w:rsidRPr="004E52C2" w14:paraId="700C574D" w14:textId="77777777" w:rsidTr="00D85854">
        <w:tc>
          <w:tcPr>
            <w:tcW w:w="3600" w:type="dxa"/>
            <w:tcBorders>
              <w:top w:val="single" w:sz="4" w:space="0" w:color="auto"/>
              <w:left w:val="nil"/>
              <w:bottom w:val="single" w:sz="4" w:space="0" w:color="auto"/>
              <w:right w:val="nil"/>
            </w:tcBorders>
            <w:hideMark/>
          </w:tcPr>
          <w:p w14:paraId="014C492D"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Location of Household </w:t>
            </w:r>
          </w:p>
        </w:tc>
        <w:tc>
          <w:tcPr>
            <w:tcW w:w="1890" w:type="dxa"/>
            <w:tcBorders>
              <w:top w:val="single" w:sz="4" w:space="0" w:color="auto"/>
              <w:left w:val="nil"/>
              <w:bottom w:val="single" w:sz="4" w:space="0" w:color="auto"/>
              <w:right w:val="nil"/>
            </w:tcBorders>
            <w:hideMark/>
          </w:tcPr>
          <w:p w14:paraId="66A000DD"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-0.056**</w:t>
            </w:r>
          </w:p>
          <w:p w14:paraId="234DFCF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(0.024)</w:t>
            </w:r>
          </w:p>
        </w:tc>
        <w:tc>
          <w:tcPr>
            <w:tcW w:w="1890" w:type="dxa"/>
            <w:tcBorders>
              <w:top w:val="single" w:sz="4" w:space="0" w:color="auto"/>
              <w:left w:val="nil"/>
              <w:bottom w:val="single" w:sz="4" w:space="0" w:color="auto"/>
              <w:right w:val="nil"/>
            </w:tcBorders>
            <w:hideMark/>
          </w:tcPr>
          <w:p w14:paraId="01EF985C"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0.026</w:t>
            </w:r>
          </w:p>
          <w:p w14:paraId="5FB4AD1A"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(0.029)</w:t>
            </w:r>
          </w:p>
        </w:tc>
        <w:tc>
          <w:tcPr>
            <w:tcW w:w="2155" w:type="dxa"/>
            <w:tcBorders>
              <w:top w:val="single" w:sz="4" w:space="0" w:color="auto"/>
              <w:left w:val="nil"/>
              <w:bottom w:val="single" w:sz="4" w:space="0" w:color="auto"/>
              <w:right w:val="nil"/>
            </w:tcBorders>
            <w:hideMark/>
          </w:tcPr>
          <w:p w14:paraId="3161BAA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0.042**</w:t>
            </w:r>
          </w:p>
          <w:p w14:paraId="0D4375D6"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(0.021)</w:t>
            </w:r>
          </w:p>
        </w:tc>
      </w:tr>
      <w:tr w:rsidR="00141B2C" w:rsidRPr="004E52C2" w14:paraId="1B6057DC" w14:textId="77777777" w:rsidTr="00D85854">
        <w:tc>
          <w:tcPr>
            <w:tcW w:w="3600" w:type="dxa"/>
            <w:tcBorders>
              <w:top w:val="single" w:sz="4" w:space="0" w:color="auto"/>
              <w:left w:val="nil"/>
              <w:bottom w:val="single" w:sz="4" w:space="0" w:color="auto"/>
              <w:right w:val="nil"/>
            </w:tcBorders>
            <w:hideMark/>
          </w:tcPr>
          <w:p w14:paraId="247E0688"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Primary of Household head Occupation</w:t>
            </w:r>
          </w:p>
        </w:tc>
        <w:tc>
          <w:tcPr>
            <w:tcW w:w="1890" w:type="dxa"/>
            <w:tcBorders>
              <w:top w:val="single" w:sz="4" w:space="0" w:color="auto"/>
              <w:left w:val="nil"/>
              <w:bottom w:val="single" w:sz="4" w:space="0" w:color="auto"/>
              <w:right w:val="nil"/>
            </w:tcBorders>
            <w:hideMark/>
          </w:tcPr>
          <w:p w14:paraId="11CD561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-0.043**</w:t>
            </w:r>
          </w:p>
          <w:p w14:paraId="0D6B88A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(0.021)</w:t>
            </w:r>
          </w:p>
        </w:tc>
        <w:tc>
          <w:tcPr>
            <w:tcW w:w="1890" w:type="dxa"/>
            <w:tcBorders>
              <w:top w:val="single" w:sz="4" w:space="0" w:color="auto"/>
              <w:left w:val="nil"/>
              <w:bottom w:val="single" w:sz="4" w:space="0" w:color="auto"/>
              <w:right w:val="nil"/>
            </w:tcBorders>
            <w:hideMark/>
          </w:tcPr>
          <w:p w14:paraId="7166CE54"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0.041*</w:t>
            </w:r>
          </w:p>
          <w:p w14:paraId="10064DED"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(0.023)</w:t>
            </w:r>
          </w:p>
        </w:tc>
        <w:tc>
          <w:tcPr>
            <w:tcW w:w="2155" w:type="dxa"/>
            <w:tcBorders>
              <w:top w:val="single" w:sz="4" w:space="0" w:color="auto"/>
              <w:left w:val="nil"/>
              <w:bottom w:val="single" w:sz="4" w:space="0" w:color="auto"/>
              <w:right w:val="nil"/>
            </w:tcBorders>
            <w:hideMark/>
          </w:tcPr>
          <w:p w14:paraId="5CE835A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(-0.002) </w:t>
            </w:r>
          </w:p>
          <w:p w14:paraId="535FC047"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0.016</w:t>
            </w:r>
          </w:p>
        </w:tc>
      </w:tr>
      <w:tr w:rsidR="00141B2C" w:rsidRPr="004E52C2" w14:paraId="25791EA4" w14:textId="77777777" w:rsidTr="00D85854">
        <w:tc>
          <w:tcPr>
            <w:tcW w:w="3600" w:type="dxa"/>
            <w:tcBorders>
              <w:top w:val="single" w:sz="4" w:space="0" w:color="auto"/>
              <w:left w:val="nil"/>
              <w:bottom w:val="single" w:sz="4" w:space="0" w:color="auto"/>
              <w:right w:val="nil"/>
            </w:tcBorders>
            <w:hideMark/>
          </w:tcPr>
          <w:p w14:paraId="5A175442"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Income of Household head</w:t>
            </w:r>
          </w:p>
        </w:tc>
        <w:tc>
          <w:tcPr>
            <w:tcW w:w="1890" w:type="dxa"/>
            <w:tcBorders>
              <w:top w:val="single" w:sz="4" w:space="0" w:color="auto"/>
              <w:left w:val="nil"/>
              <w:bottom w:val="single" w:sz="4" w:space="0" w:color="auto"/>
              <w:right w:val="nil"/>
            </w:tcBorders>
            <w:hideMark/>
          </w:tcPr>
          <w:p w14:paraId="4C0850CD"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4.12e-07***</w:t>
            </w:r>
          </w:p>
          <w:p w14:paraId="7610A6B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(1.18e-07)</w:t>
            </w:r>
          </w:p>
        </w:tc>
        <w:tc>
          <w:tcPr>
            <w:tcW w:w="1890" w:type="dxa"/>
            <w:tcBorders>
              <w:top w:val="single" w:sz="4" w:space="0" w:color="auto"/>
              <w:left w:val="nil"/>
              <w:bottom w:val="single" w:sz="4" w:space="0" w:color="auto"/>
              <w:right w:val="nil"/>
            </w:tcBorders>
            <w:hideMark/>
          </w:tcPr>
          <w:p w14:paraId="77D9411A"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5.75e-08</w:t>
            </w:r>
          </w:p>
          <w:p w14:paraId="64A3754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(1.84e-07)</w:t>
            </w:r>
          </w:p>
        </w:tc>
        <w:tc>
          <w:tcPr>
            <w:tcW w:w="2155" w:type="dxa"/>
            <w:tcBorders>
              <w:top w:val="single" w:sz="4" w:space="0" w:color="auto"/>
              <w:left w:val="nil"/>
              <w:bottom w:val="single" w:sz="4" w:space="0" w:color="auto"/>
              <w:right w:val="nil"/>
            </w:tcBorders>
            <w:hideMark/>
          </w:tcPr>
          <w:p w14:paraId="6DD84312"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-5.66e-08   </w:t>
            </w:r>
          </w:p>
          <w:p w14:paraId="1C91EE8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(1.28e-07)</w:t>
            </w:r>
          </w:p>
        </w:tc>
      </w:tr>
      <w:tr w:rsidR="00141B2C" w:rsidRPr="004E52C2" w14:paraId="362851DF" w14:textId="77777777" w:rsidTr="00D85854">
        <w:tc>
          <w:tcPr>
            <w:tcW w:w="3600" w:type="dxa"/>
            <w:tcBorders>
              <w:top w:val="single" w:sz="4" w:space="0" w:color="auto"/>
              <w:left w:val="nil"/>
              <w:bottom w:val="nil"/>
              <w:right w:val="nil"/>
            </w:tcBorders>
            <w:hideMark/>
          </w:tcPr>
          <w:p w14:paraId="329952BE"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No of Observations</w:t>
            </w:r>
          </w:p>
        </w:tc>
        <w:tc>
          <w:tcPr>
            <w:tcW w:w="5935" w:type="dxa"/>
            <w:gridSpan w:val="3"/>
            <w:tcBorders>
              <w:top w:val="single" w:sz="4" w:space="0" w:color="auto"/>
              <w:left w:val="nil"/>
              <w:bottom w:val="nil"/>
              <w:right w:val="nil"/>
            </w:tcBorders>
            <w:hideMark/>
          </w:tcPr>
          <w:p w14:paraId="3F0822B5"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257</w:t>
            </w:r>
          </w:p>
        </w:tc>
      </w:tr>
      <w:tr w:rsidR="00141B2C" w:rsidRPr="004E52C2" w14:paraId="20B268E8" w14:textId="77777777" w:rsidTr="00D85854">
        <w:tc>
          <w:tcPr>
            <w:tcW w:w="3600" w:type="dxa"/>
            <w:hideMark/>
          </w:tcPr>
          <w:p w14:paraId="43D9A2DD"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Pseudo R-squared</w:t>
            </w:r>
          </w:p>
        </w:tc>
        <w:tc>
          <w:tcPr>
            <w:tcW w:w="5935" w:type="dxa"/>
            <w:gridSpan w:val="3"/>
            <w:hideMark/>
          </w:tcPr>
          <w:p w14:paraId="0F49E3BC"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0.1044</w:t>
            </w:r>
          </w:p>
        </w:tc>
      </w:tr>
      <w:tr w:rsidR="00141B2C" w:rsidRPr="004E52C2" w14:paraId="38C96E9D" w14:textId="77777777" w:rsidTr="00D85854">
        <w:tc>
          <w:tcPr>
            <w:tcW w:w="3600" w:type="dxa"/>
            <w:hideMark/>
          </w:tcPr>
          <w:p w14:paraId="776F5C4D"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LR Chi-squared (11)</w:t>
            </w:r>
          </w:p>
        </w:tc>
        <w:tc>
          <w:tcPr>
            <w:tcW w:w="5935" w:type="dxa"/>
            <w:gridSpan w:val="3"/>
            <w:hideMark/>
          </w:tcPr>
          <w:p w14:paraId="0634F5E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0.0001</w:t>
            </w:r>
          </w:p>
        </w:tc>
      </w:tr>
      <w:tr w:rsidR="00141B2C" w:rsidRPr="004E52C2" w14:paraId="7D865729" w14:textId="77777777" w:rsidTr="00D85854">
        <w:tc>
          <w:tcPr>
            <w:tcW w:w="3600" w:type="dxa"/>
            <w:tcBorders>
              <w:top w:val="nil"/>
              <w:left w:val="nil"/>
              <w:bottom w:val="single" w:sz="4" w:space="0" w:color="auto"/>
              <w:right w:val="nil"/>
            </w:tcBorders>
            <w:hideMark/>
          </w:tcPr>
          <w:p w14:paraId="22A54784"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Log-likelihood</w:t>
            </w:r>
          </w:p>
        </w:tc>
        <w:tc>
          <w:tcPr>
            <w:tcW w:w="5935" w:type="dxa"/>
            <w:gridSpan w:val="3"/>
            <w:tcBorders>
              <w:top w:val="nil"/>
              <w:left w:val="nil"/>
              <w:bottom w:val="single" w:sz="4" w:space="0" w:color="auto"/>
              <w:right w:val="nil"/>
            </w:tcBorders>
            <w:hideMark/>
          </w:tcPr>
          <w:p w14:paraId="39B55B8F"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265.70901  </w:t>
            </w:r>
          </w:p>
        </w:tc>
      </w:tr>
    </w:tbl>
    <w:p w14:paraId="25CAB46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Note: ***, ** and  *denote significance at the 0.01, 0.05 and 0.10 levels, respectively.</w:t>
      </w:r>
    </w:p>
    <w:p w14:paraId="6C77E500"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Standard Error in parenthesis.</w:t>
      </w:r>
    </w:p>
    <w:p w14:paraId="65970E7F" w14:textId="6E352693" w:rsidR="00141B2C" w:rsidRPr="004E52C2" w:rsidRDefault="00141B2C" w:rsidP="00F4229D">
      <w:pPr>
        <w:jc w:val="both"/>
        <w:rPr>
          <w:rFonts w:cstheme="minorHAnsi"/>
          <w:b/>
          <w:bCs/>
          <w:sz w:val="24"/>
          <w:szCs w:val="24"/>
          <w:lang w:val="en-US"/>
        </w:rPr>
      </w:pPr>
      <w:r w:rsidRPr="004E52C2">
        <w:rPr>
          <w:rFonts w:cstheme="minorHAnsi"/>
          <w:bCs/>
          <w:sz w:val="24"/>
          <w:szCs w:val="24"/>
          <w:lang w:val="en-US"/>
        </w:rPr>
        <w:t>Source: Field survey, 2023.</w:t>
      </w:r>
    </w:p>
    <w:p w14:paraId="6F14047C" w14:textId="1DEF6370" w:rsidR="00141B2C" w:rsidRPr="004E52C2" w:rsidRDefault="00B5477B" w:rsidP="00F4229D">
      <w:pPr>
        <w:jc w:val="both"/>
        <w:rPr>
          <w:rFonts w:cstheme="minorHAnsi"/>
          <w:b/>
          <w:bCs/>
          <w:sz w:val="24"/>
          <w:szCs w:val="24"/>
          <w:lang w:val="en-US"/>
        </w:rPr>
      </w:pPr>
      <w:bookmarkStart w:id="13" w:name="_Toc140036407"/>
      <w:bookmarkStart w:id="14" w:name="_Toc140036448"/>
      <w:r w:rsidRPr="004E52C2">
        <w:rPr>
          <w:rFonts w:cstheme="minorHAnsi"/>
          <w:b/>
          <w:bCs/>
          <w:sz w:val="24"/>
          <w:szCs w:val="24"/>
          <w:lang w:val="en-US"/>
        </w:rPr>
        <w:lastRenderedPageBreak/>
        <w:t>3</w:t>
      </w:r>
      <w:r w:rsidR="00141B2C" w:rsidRPr="004E52C2">
        <w:rPr>
          <w:rFonts w:cstheme="minorHAnsi"/>
          <w:b/>
          <w:bCs/>
          <w:sz w:val="24"/>
          <w:szCs w:val="24"/>
          <w:lang w:val="en-US"/>
        </w:rPr>
        <w:t>.3 Factors Influencing the Wellness Sustainability of Households.</w:t>
      </w:r>
      <w:bookmarkEnd w:id="13"/>
      <w:bookmarkEnd w:id="14"/>
    </w:p>
    <w:p w14:paraId="6DFD0DE4" w14:textId="2D47DE23" w:rsidR="00141B2C" w:rsidRPr="004E52C2" w:rsidRDefault="00F4229D" w:rsidP="00F4229D">
      <w:pPr>
        <w:jc w:val="both"/>
        <w:rPr>
          <w:rFonts w:cstheme="minorHAnsi"/>
          <w:bCs/>
          <w:sz w:val="24"/>
          <w:szCs w:val="24"/>
          <w:lang w:val="en-US"/>
        </w:rPr>
      </w:pPr>
      <w:r>
        <w:rPr>
          <w:rFonts w:cstheme="minorHAnsi"/>
          <w:bCs/>
          <w:sz w:val="24"/>
          <w:szCs w:val="24"/>
          <w:lang w:val="en-US"/>
        </w:rPr>
        <w:t>T</w:t>
      </w:r>
      <w:r w:rsidR="00141B2C" w:rsidRPr="004E52C2">
        <w:rPr>
          <w:rFonts w:cstheme="minorHAnsi"/>
          <w:bCs/>
          <w:sz w:val="24"/>
          <w:szCs w:val="24"/>
          <w:lang w:val="en-US"/>
        </w:rPr>
        <w:t>able</w:t>
      </w:r>
      <w:r>
        <w:rPr>
          <w:rFonts w:cstheme="minorHAnsi"/>
          <w:bCs/>
          <w:sz w:val="24"/>
          <w:szCs w:val="24"/>
          <w:lang w:val="en-US"/>
        </w:rPr>
        <w:t xml:space="preserve"> </w:t>
      </w:r>
      <w:r w:rsidR="00F535A1">
        <w:rPr>
          <w:rFonts w:cstheme="minorHAnsi"/>
          <w:bCs/>
          <w:sz w:val="24"/>
          <w:szCs w:val="24"/>
          <w:lang w:val="en-US"/>
        </w:rPr>
        <w:t>12</w:t>
      </w:r>
      <w:r w:rsidR="00141B2C" w:rsidRPr="004E52C2">
        <w:rPr>
          <w:rFonts w:cstheme="minorHAnsi"/>
          <w:bCs/>
          <w:sz w:val="24"/>
          <w:szCs w:val="24"/>
          <w:lang w:val="en-US"/>
        </w:rPr>
        <w:t xml:space="preserve"> shows the results of a logistic regression analysis. The logistic regression model is statistically significant, as indicated by the LR chi-square test with a value of 60.99 and a p-value of 0.0000. The logit regression Model in Table 1</w:t>
      </w:r>
      <w:r w:rsidR="004E52C2">
        <w:rPr>
          <w:rFonts w:cstheme="minorHAnsi"/>
          <w:bCs/>
          <w:sz w:val="24"/>
          <w:szCs w:val="24"/>
          <w:lang w:val="en-US"/>
        </w:rPr>
        <w:t>4</w:t>
      </w:r>
      <w:r w:rsidR="00141B2C" w:rsidRPr="004E52C2">
        <w:rPr>
          <w:rFonts w:cstheme="minorHAnsi"/>
          <w:bCs/>
          <w:sz w:val="24"/>
          <w:szCs w:val="24"/>
          <w:lang w:val="en-US"/>
        </w:rPr>
        <w:t xml:space="preserve"> is significant at 1% and has a Pseudo R-squared 0.1869, showing that the independent variable in this model explains 18.69% of the dependent viable. </w:t>
      </w:r>
    </w:p>
    <w:p w14:paraId="200AE5FB" w14:textId="213761B4"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The logistic regression analysis investigates the factors influencing the dietary wellness sustainability of households. Here, we consider the consumption patterns of households with healthy food exceeding 45% of their complete diet. This considers eating foods closest to wholeness, and this means that the food classified as healthy are whole food plant-based diets that consist of vegetables, fruits, whole grains, legumes, seeds, and nuts. In contrast, unhealthy foods like added sugars, white flour, processed oils, and processed foods are considered refined </w:t>
      </w:r>
      <w:sdt>
        <w:sdtPr>
          <w:rPr>
            <w:rFonts w:cstheme="minorHAnsi"/>
            <w:bCs/>
            <w:sz w:val="24"/>
            <w:szCs w:val="24"/>
            <w:lang w:val="en-US"/>
          </w:rPr>
          <w:id w:val="-1524007461"/>
          <w:citation/>
        </w:sdtPr>
        <w:sdtContent>
          <w:r w:rsidRPr="004E52C2">
            <w:rPr>
              <w:rFonts w:cstheme="minorHAnsi"/>
              <w:bCs/>
              <w:sz w:val="24"/>
              <w:szCs w:val="24"/>
              <w:lang w:val="en-US"/>
            </w:rPr>
            <w:fldChar w:fldCharType="begin"/>
          </w:r>
          <w:r w:rsidRPr="004E52C2">
            <w:rPr>
              <w:rFonts w:cstheme="minorHAnsi"/>
              <w:bCs/>
              <w:sz w:val="24"/>
              <w:szCs w:val="24"/>
              <w:lang w:val="en-US"/>
            </w:rPr>
            <w:instrText xml:space="preserve"> CITATION Kub23 \l 1033 </w:instrText>
          </w:r>
          <w:r w:rsidRPr="004E52C2">
            <w:rPr>
              <w:rFonts w:cstheme="minorHAnsi"/>
              <w:bCs/>
              <w:sz w:val="24"/>
              <w:szCs w:val="24"/>
              <w:lang w:val="en-US"/>
            </w:rPr>
            <w:fldChar w:fldCharType="separate"/>
          </w:r>
          <w:r w:rsidRPr="004E52C2">
            <w:rPr>
              <w:rFonts w:cstheme="minorHAnsi"/>
              <w:bCs/>
              <w:sz w:val="24"/>
              <w:szCs w:val="24"/>
              <w:lang w:val="en-US"/>
            </w:rPr>
            <w:t>(Kubala, 2023)</w:t>
          </w:r>
          <w:r w:rsidRPr="004E52C2">
            <w:rPr>
              <w:rFonts w:cstheme="minorHAnsi"/>
              <w:bCs/>
              <w:sz w:val="24"/>
              <w:szCs w:val="24"/>
              <w:lang w:val="en-US"/>
            </w:rPr>
            <w:fldChar w:fldCharType="end"/>
          </w:r>
        </w:sdtContent>
      </w:sdt>
      <w:r w:rsidRPr="004E52C2">
        <w:rPr>
          <w:rFonts w:cstheme="minorHAnsi"/>
          <w:bCs/>
          <w:sz w:val="24"/>
          <w:szCs w:val="24"/>
          <w:lang w:val="en-US"/>
        </w:rPr>
        <w:t xml:space="preserve">. The factors considered here highlight significance when the consumption of WFPBD is </w:t>
      </w:r>
      <w:r w:rsidR="002C1684" w:rsidRPr="004E52C2">
        <w:rPr>
          <w:rFonts w:cstheme="minorHAnsi"/>
          <w:bCs/>
          <w:sz w:val="24"/>
          <w:szCs w:val="24"/>
          <w:lang w:val="en-US"/>
        </w:rPr>
        <w:t>above 45</w:t>
      </w:r>
      <w:r w:rsidRPr="004E52C2">
        <w:rPr>
          <w:rFonts w:cstheme="minorHAnsi"/>
          <w:bCs/>
          <w:sz w:val="24"/>
          <w:szCs w:val="24"/>
          <w:lang w:val="en-US"/>
        </w:rPr>
        <w:t>% of total consumption. The aim is to identify significant predictors influencing Dietary Wellness Sustainability.</w:t>
      </w:r>
    </w:p>
    <w:p w14:paraId="5D25954A" w14:textId="5519DC0E" w:rsidR="00141B2C" w:rsidRPr="004E52C2" w:rsidRDefault="00141B2C" w:rsidP="00F4229D">
      <w:pPr>
        <w:jc w:val="both"/>
        <w:rPr>
          <w:rFonts w:cstheme="minorHAnsi"/>
          <w:bCs/>
          <w:sz w:val="24"/>
          <w:szCs w:val="24"/>
          <w:lang w:val="en-US"/>
        </w:rPr>
      </w:pPr>
      <w:r w:rsidRPr="004E52C2">
        <w:rPr>
          <w:rFonts w:cstheme="minorHAnsi"/>
          <w:bCs/>
          <w:sz w:val="24"/>
          <w:szCs w:val="24"/>
          <w:lang w:val="en-US"/>
        </w:rPr>
        <w:t>Household size bears a significance of (p</w:t>
      </w:r>
      <w:r w:rsidR="00B959FA">
        <w:rPr>
          <w:rFonts w:cstheme="minorHAnsi"/>
          <w:bCs/>
          <w:sz w:val="24"/>
          <w:szCs w:val="24"/>
          <w:lang w:val="en-US"/>
        </w:rPr>
        <w:t>&lt;</w:t>
      </w:r>
      <w:r w:rsidRPr="004E52C2">
        <w:rPr>
          <w:rFonts w:cstheme="minorHAnsi"/>
          <w:bCs/>
          <w:sz w:val="24"/>
          <w:szCs w:val="24"/>
          <w:lang w:val="en-US"/>
        </w:rPr>
        <w:t xml:space="preserve">0.015), indicating a statistical significance at 5%. The marginal effect of -0.152 means that the size of a household decreases the probability of the household’s wellness sustainability by 15.2%. This indicates that households with larger sizes are more likely to be </w:t>
      </w:r>
      <w:r w:rsidR="003C54B2">
        <w:rPr>
          <w:rFonts w:cstheme="minorHAnsi"/>
          <w:bCs/>
          <w:sz w:val="24"/>
          <w:szCs w:val="24"/>
          <w:lang w:val="en-US"/>
        </w:rPr>
        <w:t>devoid of</w:t>
      </w:r>
      <w:r w:rsidRPr="004E52C2">
        <w:rPr>
          <w:rFonts w:cstheme="minorHAnsi"/>
          <w:bCs/>
          <w:sz w:val="24"/>
          <w:szCs w:val="24"/>
          <w:lang w:val="en-US"/>
        </w:rPr>
        <w:t xml:space="preserve"> </w:t>
      </w:r>
      <w:proofErr w:type="spellStart"/>
      <w:r w:rsidRPr="004E52C2">
        <w:rPr>
          <w:rFonts w:cstheme="minorHAnsi"/>
          <w:bCs/>
          <w:sz w:val="24"/>
          <w:szCs w:val="24"/>
          <w:lang w:val="en-US"/>
        </w:rPr>
        <w:t>of</w:t>
      </w:r>
      <w:proofErr w:type="spellEnd"/>
      <w:r w:rsidRPr="004E52C2">
        <w:rPr>
          <w:rFonts w:cstheme="minorHAnsi"/>
          <w:bCs/>
          <w:sz w:val="24"/>
          <w:szCs w:val="24"/>
          <w:lang w:val="en-US"/>
        </w:rPr>
        <w:t xml:space="preserve"> wellness sustainability. The primary occupation of the household head is significant at (p</w:t>
      </w:r>
      <w:r w:rsidR="00B959FA">
        <w:rPr>
          <w:rFonts w:cstheme="minorHAnsi"/>
          <w:bCs/>
          <w:sz w:val="24"/>
          <w:szCs w:val="24"/>
          <w:lang w:val="en-US"/>
        </w:rPr>
        <w:t>&lt;</w:t>
      </w:r>
      <w:r w:rsidRPr="004E52C2">
        <w:rPr>
          <w:rFonts w:cstheme="minorHAnsi"/>
          <w:bCs/>
          <w:sz w:val="24"/>
          <w:szCs w:val="24"/>
          <w:lang w:val="en-US"/>
        </w:rPr>
        <w:t>0.009), indicating a statistical significance of 1%. The marginal effect of -0.055 means that a household head's primary occupation decreases the household's probability of attaining wellness sustainability by 5.5%. This suggests that households with non-farming as the primary occupation of the head of head household are less likely to attain wellness sustainability. Full-time working mothers reported spending less time in meal preparation, preparing fewer family meals, and consuming fewer fruits and vegetables. When work-life stress was higher, the outcome was a less healthful food environment, exemplified by even fewer family meals and more frequent fast foods and sugar-sweetened beverages.</w:t>
      </w:r>
      <w:r w:rsidR="002C1684" w:rsidRPr="004E52C2">
        <w:rPr>
          <w:rFonts w:cstheme="minorHAnsi"/>
          <w:bCs/>
          <w:sz w:val="24"/>
          <w:szCs w:val="24"/>
          <w:lang w:val="en-US"/>
        </w:rPr>
        <w:t xml:space="preserve"> </w:t>
      </w:r>
    </w:p>
    <w:p w14:paraId="05DD2030" w14:textId="159FECF5"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In contrast, variables such as sex, age, education, size, location, income, and the number of reported cases of </w:t>
      </w:r>
      <w:r w:rsidR="002C1684" w:rsidRPr="004E52C2">
        <w:rPr>
          <w:rFonts w:cstheme="minorHAnsi"/>
          <w:bCs/>
          <w:sz w:val="24"/>
          <w:szCs w:val="24"/>
          <w:lang w:val="en-US"/>
        </w:rPr>
        <w:t>non-communicable</w:t>
      </w:r>
      <w:r w:rsidRPr="004E52C2">
        <w:rPr>
          <w:rFonts w:cstheme="minorHAnsi"/>
          <w:bCs/>
          <w:sz w:val="24"/>
          <w:szCs w:val="24"/>
          <w:lang w:val="en-US"/>
        </w:rPr>
        <w:t xml:space="preserve"> diseases do not exhibit statistically significant associations with wellness sustainability at an above 45% healthy consumption. This implies that these factors may not substantially impact achieving dietary wellness sustainability above 45% in the context of a whole-food, plant-based diet. It is worth noting that the concept of dietary wellness sustainability may be a unique study area with limited previous research directly examining this specific measure.</w:t>
      </w:r>
    </w:p>
    <w:p w14:paraId="0F287EEC" w14:textId="49B6A6B5"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2</w:t>
      </w:r>
      <w:r w:rsidRPr="004E52C2">
        <w:rPr>
          <w:rFonts w:cstheme="minorHAnsi"/>
          <w:bCs/>
          <w:sz w:val="24"/>
          <w:szCs w:val="24"/>
          <w:lang w:val="en-US"/>
        </w:rPr>
        <w:t xml:space="preserve">: </w:t>
      </w:r>
      <w:r w:rsidR="00F4229D">
        <w:rPr>
          <w:rFonts w:cstheme="minorHAnsi"/>
          <w:bCs/>
          <w:sz w:val="24"/>
          <w:szCs w:val="24"/>
          <w:lang w:val="en-US"/>
        </w:rPr>
        <w:t>Logistic regression analysis of</w:t>
      </w:r>
      <w:r w:rsidRPr="004E52C2">
        <w:rPr>
          <w:rFonts w:cstheme="minorHAnsi"/>
          <w:bCs/>
          <w:sz w:val="24"/>
          <w:szCs w:val="24"/>
          <w:lang w:val="en-US"/>
        </w:rPr>
        <w:t xml:space="preserve"> Factors influencing wellness sustainability of households. </w:t>
      </w:r>
    </w:p>
    <w:tbl>
      <w:tblPr>
        <w:tblStyle w:val="TableGrid1"/>
        <w:tblW w:w="927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870"/>
        <w:gridCol w:w="1440"/>
        <w:gridCol w:w="1350"/>
        <w:gridCol w:w="1255"/>
        <w:gridCol w:w="1355"/>
      </w:tblGrid>
      <w:tr w:rsidR="00141B2C" w:rsidRPr="004E52C2" w14:paraId="21DC16BE" w14:textId="77777777" w:rsidTr="00D85854">
        <w:trPr>
          <w:trHeight w:val="260"/>
        </w:trPr>
        <w:tc>
          <w:tcPr>
            <w:tcW w:w="3870" w:type="dxa"/>
            <w:tcBorders>
              <w:top w:val="single" w:sz="4" w:space="0" w:color="auto"/>
              <w:left w:val="nil"/>
              <w:bottom w:val="single" w:sz="4" w:space="0" w:color="auto"/>
              <w:right w:val="nil"/>
            </w:tcBorders>
            <w:hideMark/>
          </w:tcPr>
          <w:p w14:paraId="1F99E10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Variables</w:t>
            </w:r>
          </w:p>
        </w:tc>
        <w:tc>
          <w:tcPr>
            <w:tcW w:w="1440" w:type="dxa"/>
            <w:tcBorders>
              <w:top w:val="single" w:sz="4" w:space="0" w:color="auto"/>
              <w:left w:val="nil"/>
              <w:bottom w:val="single" w:sz="4" w:space="0" w:color="auto"/>
              <w:right w:val="nil"/>
            </w:tcBorders>
            <w:vAlign w:val="center"/>
            <w:hideMark/>
          </w:tcPr>
          <w:p w14:paraId="6D5A935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Dy/dx</w:t>
            </w:r>
          </w:p>
        </w:tc>
        <w:tc>
          <w:tcPr>
            <w:tcW w:w="1350" w:type="dxa"/>
            <w:tcBorders>
              <w:top w:val="single" w:sz="4" w:space="0" w:color="auto"/>
              <w:left w:val="nil"/>
              <w:bottom w:val="single" w:sz="4" w:space="0" w:color="auto"/>
              <w:right w:val="nil"/>
            </w:tcBorders>
            <w:vAlign w:val="center"/>
            <w:hideMark/>
          </w:tcPr>
          <w:p w14:paraId="46D393F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Std. Err.</w:t>
            </w:r>
          </w:p>
        </w:tc>
        <w:tc>
          <w:tcPr>
            <w:tcW w:w="1255" w:type="dxa"/>
            <w:tcBorders>
              <w:top w:val="single" w:sz="4" w:space="0" w:color="auto"/>
              <w:left w:val="nil"/>
              <w:bottom w:val="single" w:sz="4" w:space="0" w:color="auto"/>
              <w:right w:val="nil"/>
            </w:tcBorders>
            <w:vAlign w:val="center"/>
            <w:hideMark/>
          </w:tcPr>
          <w:p w14:paraId="3DDFAA3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   Z</w:t>
            </w:r>
          </w:p>
        </w:tc>
        <w:tc>
          <w:tcPr>
            <w:tcW w:w="1355" w:type="dxa"/>
            <w:tcBorders>
              <w:top w:val="single" w:sz="4" w:space="0" w:color="auto"/>
              <w:left w:val="nil"/>
              <w:bottom w:val="single" w:sz="4" w:space="0" w:color="auto"/>
              <w:right w:val="nil"/>
            </w:tcBorders>
            <w:vAlign w:val="center"/>
            <w:hideMark/>
          </w:tcPr>
          <w:p w14:paraId="4891F11F" w14:textId="0C0A13E6"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 </w:t>
            </w:r>
          </w:p>
        </w:tc>
      </w:tr>
      <w:tr w:rsidR="00141B2C" w:rsidRPr="004E52C2" w14:paraId="0B2CCCAB" w14:textId="77777777" w:rsidTr="00D85854">
        <w:tc>
          <w:tcPr>
            <w:tcW w:w="3870" w:type="dxa"/>
            <w:tcBorders>
              <w:top w:val="single" w:sz="4" w:space="0" w:color="auto"/>
              <w:left w:val="nil"/>
              <w:bottom w:val="single" w:sz="4" w:space="0" w:color="auto"/>
              <w:right w:val="nil"/>
            </w:tcBorders>
            <w:hideMark/>
          </w:tcPr>
          <w:p w14:paraId="136140C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lastRenderedPageBreak/>
              <w:t>Sex of household head</w:t>
            </w:r>
          </w:p>
        </w:tc>
        <w:tc>
          <w:tcPr>
            <w:tcW w:w="1440" w:type="dxa"/>
            <w:tcBorders>
              <w:top w:val="single" w:sz="4" w:space="0" w:color="auto"/>
              <w:left w:val="nil"/>
              <w:bottom w:val="single" w:sz="4" w:space="0" w:color="auto"/>
              <w:right w:val="nil"/>
            </w:tcBorders>
            <w:hideMark/>
          </w:tcPr>
          <w:p w14:paraId="14FDFBC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-0.031 </w:t>
            </w:r>
          </w:p>
        </w:tc>
        <w:tc>
          <w:tcPr>
            <w:tcW w:w="1350" w:type="dxa"/>
            <w:tcBorders>
              <w:top w:val="single" w:sz="4" w:space="0" w:color="auto"/>
              <w:left w:val="nil"/>
              <w:bottom w:val="single" w:sz="4" w:space="0" w:color="auto"/>
              <w:right w:val="nil"/>
            </w:tcBorders>
            <w:hideMark/>
          </w:tcPr>
          <w:p w14:paraId="6EB044E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0.069  </w:t>
            </w:r>
          </w:p>
        </w:tc>
        <w:tc>
          <w:tcPr>
            <w:tcW w:w="1255" w:type="dxa"/>
            <w:tcBorders>
              <w:top w:val="single" w:sz="4" w:space="0" w:color="auto"/>
              <w:left w:val="nil"/>
              <w:bottom w:val="single" w:sz="4" w:space="0" w:color="auto"/>
              <w:right w:val="nil"/>
            </w:tcBorders>
            <w:hideMark/>
          </w:tcPr>
          <w:p w14:paraId="7B501C5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-0.44   </w:t>
            </w:r>
          </w:p>
        </w:tc>
        <w:tc>
          <w:tcPr>
            <w:tcW w:w="1355" w:type="dxa"/>
            <w:tcBorders>
              <w:top w:val="single" w:sz="4" w:space="0" w:color="auto"/>
              <w:left w:val="nil"/>
              <w:bottom w:val="single" w:sz="4" w:space="0" w:color="auto"/>
              <w:right w:val="nil"/>
            </w:tcBorders>
            <w:hideMark/>
          </w:tcPr>
          <w:p w14:paraId="4B5B5DD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0.658</w:t>
            </w:r>
          </w:p>
        </w:tc>
      </w:tr>
      <w:tr w:rsidR="00141B2C" w:rsidRPr="004E52C2" w14:paraId="00377C29" w14:textId="77777777" w:rsidTr="00D85854">
        <w:tc>
          <w:tcPr>
            <w:tcW w:w="3870" w:type="dxa"/>
            <w:tcBorders>
              <w:top w:val="single" w:sz="4" w:space="0" w:color="auto"/>
              <w:left w:val="nil"/>
              <w:bottom w:val="single" w:sz="4" w:space="0" w:color="auto"/>
              <w:right w:val="nil"/>
            </w:tcBorders>
            <w:hideMark/>
          </w:tcPr>
          <w:p w14:paraId="50B4666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Age of household head</w:t>
            </w:r>
          </w:p>
        </w:tc>
        <w:tc>
          <w:tcPr>
            <w:tcW w:w="1440" w:type="dxa"/>
            <w:tcBorders>
              <w:top w:val="single" w:sz="4" w:space="0" w:color="auto"/>
              <w:left w:val="nil"/>
              <w:bottom w:val="single" w:sz="4" w:space="0" w:color="auto"/>
              <w:right w:val="nil"/>
            </w:tcBorders>
            <w:hideMark/>
          </w:tcPr>
          <w:p w14:paraId="33C8822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tc>
        <w:tc>
          <w:tcPr>
            <w:tcW w:w="1350" w:type="dxa"/>
            <w:tcBorders>
              <w:top w:val="single" w:sz="4" w:space="0" w:color="auto"/>
              <w:left w:val="nil"/>
              <w:bottom w:val="single" w:sz="4" w:space="0" w:color="auto"/>
              <w:right w:val="nil"/>
            </w:tcBorders>
            <w:hideMark/>
          </w:tcPr>
          <w:p w14:paraId="2E36407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0.003   </w:t>
            </w:r>
          </w:p>
        </w:tc>
        <w:tc>
          <w:tcPr>
            <w:tcW w:w="1255" w:type="dxa"/>
            <w:tcBorders>
              <w:top w:val="single" w:sz="4" w:space="0" w:color="auto"/>
              <w:left w:val="nil"/>
              <w:bottom w:val="single" w:sz="4" w:space="0" w:color="auto"/>
              <w:right w:val="nil"/>
            </w:tcBorders>
            <w:hideMark/>
          </w:tcPr>
          <w:p w14:paraId="725368A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-0.19   </w:t>
            </w:r>
          </w:p>
        </w:tc>
        <w:tc>
          <w:tcPr>
            <w:tcW w:w="1355" w:type="dxa"/>
            <w:tcBorders>
              <w:top w:val="single" w:sz="4" w:space="0" w:color="auto"/>
              <w:left w:val="nil"/>
              <w:bottom w:val="single" w:sz="4" w:space="0" w:color="auto"/>
              <w:right w:val="nil"/>
            </w:tcBorders>
            <w:hideMark/>
          </w:tcPr>
          <w:p w14:paraId="04E27F3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0.851</w:t>
            </w:r>
          </w:p>
        </w:tc>
      </w:tr>
      <w:tr w:rsidR="00141B2C" w:rsidRPr="004E52C2" w14:paraId="33536493" w14:textId="77777777" w:rsidTr="00D85854">
        <w:tc>
          <w:tcPr>
            <w:tcW w:w="3870" w:type="dxa"/>
            <w:tcBorders>
              <w:top w:val="single" w:sz="4" w:space="0" w:color="auto"/>
              <w:left w:val="nil"/>
              <w:bottom w:val="single" w:sz="4" w:space="0" w:color="auto"/>
              <w:right w:val="nil"/>
            </w:tcBorders>
            <w:hideMark/>
          </w:tcPr>
          <w:p w14:paraId="6BA2EB3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440" w:type="dxa"/>
            <w:tcBorders>
              <w:top w:val="single" w:sz="4" w:space="0" w:color="auto"/>
              <w:left w:val="nil"/>
              <w:bottom w:val="single" w:sz="4" w:space="0" w:color="auto"/>
              <w:right w:val="nil"/>
            </w:tcBorders>
            <w:hideMark/>
          </w:tcPr>
          <w:p w14:paraId="6425766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-0.065   </w:t>
            </w:r>
          </w:p>
        </w:tc>
        <w:tc>
          <w:tcPr>
            <w:tcW w:w="1350" w:type="dxa"/>
            <w:tcBorders>
              <w:top w:val="single" w:sz="4" w:space="0" w:color="auto"/>
              <w:left w:val="nil"/>
              <w:bottom w:val="single" w:sz="4" w:space="0" w:color="auto"/>
              <w:right w:val="nil"/>
            </w:tcBorders>
            <w:hideMark/>
          </w:tcPr>
          <w:p w14:paraId="0C3CB0F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0.190    </w:t>
            </w:r>
          </w:p>
        </w:tc>
        <w:tc>
          <w:tcPr>
            <w:tcW w:w="1255" w:type="dxa"/>
            <w:tcBorders>
              <w:top w:val="single" w:sz="4" w:space="0" w:color="auto"/>
              <w:left w:val="nil"/>
              <w:bottom w:val="single" w:sz="4" w:space="0" w:color="auto"/>
              <w:right w:val="nil"/>
            </w:tcBorders>
            <w:hideMark/>
          </w:tcPr>
          <w:p w14:paraId="0F5E32F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-0.34   </w:t>
            </w:r>
          </w:p>
        </w:tc>
        <w:tc>
          <w:tcPr>
            <w:tcW w:w="1355" w:type="dxa"/>
            <w:tcBorders>
              <w:top w:val="single" w:sz="4" w:space="0" w:color="auto"/>
              <w:left w:val="nil"/>
              <w:bottom w:val="single" w:sz="4" w:space="0" w:color="auto"/>
              <w:right w:val="nil"/>
            </w:tcBorders>
            <w:hideMark/>
          </w:tcPr>
          <w:p w14:paraId="2BD55CB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0.733</w:t>
            </w:r>
          </w:p>
        </w:tc>
      </w:tr>
      <w:tr w:rsidR="00141B2C" w:rsidRPr="004E52C2" w14:paraId="2638C1B5" w14:textId="77777777" w:rsidTr="00D85854">
        <w:tc>
          <w:tcPr>
            <w:tcW w:w="3870" w:type="dxa"/>
            <w:tcBorders>
              <w:top w:val="single" w:sz="4" w:space="0" w:color="auto"/>
              <w:left w:val="nil"/>
              <w:bottom w:val="single" w:sz="4" w:space="0" w:color="auto"/>
              <w:right w:val="nil"/>
            </w:tcBorders>
            <w:hideMark/>
          </w:tcPr>
          <w:p w14:paraId="214631C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440" w:type="dxa"/>
            <w:tcBorders>
              <w:top w:val="single" w:sz="4" w:space="0" w:color="auto"/>
              <w:left w:val="nil"/>
              <w:bottom w:val="single" w:sz="4" w:space="0" w:color="auto"/>
              <w:right w:val="nil"/>
            </w:tcBorders>
            <w:hideMark/>
          </w:tcPr>
          <w:p w14:paraId="1CF1232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0.087   </w:t>
            </w:r>
          </w:p>
        </w:tc>
        <w:tc>
          <w:tcPr>
            <w:tcW w:w="1350" w:type="dxa"/>
            <w:tcBorders>
              <w:top w:val="single" w:sz="4" w:space="0" w:color="auto"/>
              <w:left w:val="nil"/>
              <w:bottom w:val="single" w:sz="4" w:space="0" w:color="auto"/>
              <w:right w:val="nil"/>
            </w:tcBorders>
            <w:hideMark/>
          </w:tcPr>
          <w:p w14:paraId="69DE199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0.063    </w:t>
            </w:r>
          </w:p>
        </w:tc>
        <w:tc>
          <w:tcPr>
            <w:tcW w:w="1255" w:type="dxa"/>
            <w:tcBorders>
              <w:top w:val="single" w:sz="4" w:space="0" w:color="auto"/>
              <w:left w:val="nil"/>
              <w:bottom w:val="single" w:sz="4" w:space="0" w:color="auto"/>
              <w:right w:val="nil"/>
            </w:tcBorders>
            <w:hideMark/>
          </w:tcPr>
          <w:p w14:paraId="08884C7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1.38   </w:t>
            </w:r>
          </w:p>
        </w:tc>
        <w:tc>
          <w:tcPr>
            <w:tcW w:w="1355" w:type="dxa"/>
            <w:tcBorders>
              <w:top w:val="single" w:sz="4" w:space="0" w:color="auto"/>
              <w:left w:val="nil"/>
              <w:bottom w:val="single" w:sz="4" w:space="0" w:color="auto"/>
              <w:right w:val="nil"/>
            </w:tcBorders>
            <w:hideMark/>
          </w:tcPr>
          <w:p w14:paraId="6FEB055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0.169</w:t>
            </w:r>
          </w:p>
        </w:tc>
      </w:tr>
      <w:tr w:rsidR="00141B2C" w:rsidRPr="004E52C2" w14:paraId="2A8C22B8" w14:textId="77777777" w:rsidTr="00D85854">
        <w:tc>
          <w:tcPr>
            <w:tcW w:w="3870" w:type="dxa"/>
            <w:tcBorders>
              <w:top w:val="single" w:sz="4" w:space="0" w:color="auto"/>
              <w:left w:val="nil"/>
              <w:bottom w:val="single" w:sz="4" w:space="0" w:color="auto"/>
              <w:right w:val="nil"/>
            </w:tcBorders>
            <w:hideMark/>
          </w:tcPr>
          <w:p w14:paraId="6A6C143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Household size</w:t>
            </w:r>
          </w:p>
        </w:tc>
        <w:tc>
          <w:tcPr>
            <w:tcW w:w="1440" w:type="dxa"/>
            <w:tcBorders>
              <w:top w:val="single" w:sz="4" w:space="0" w:color="auto"/>
              <w:left w:val="nil"/>
              <w:bottom w:val="single" w:sz="4" w:space="0" w:color="auto"/>
              <w:right w:val="nil"/>
            </w:tcBorders>
            <w:hideMark/>
          </w:tcPr>
          <w:p w14:paraId="4F4F9B0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-0.152   </w:t>
            </w:r>
          </w:p>
        </w:tc>
        <w:tc>
          <w:tcPr>
            <w:tcW w:w="1350" w:type="dxa"/>
            <w:tcBorders>
              <w:top w:val="single" w:sz="4" w:space="0" w:color="auto"/>
              <w:left w:val="nil"/>
              <w:bottom w:val="single" w:sz="4" w:space="0" w:color="auto"/>
              <w:right w:val="nil"/>
            </w:tcBorders>
            <w:hideMark/>
          </w:tcPr>
          <w:p w14:paraId="3BFB45B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0.063    </w:t>
            </w:r>
          </w:p>
        </w:tc>
        <w:tc>
          <w:tcPr>
            <w:tcW w:w="1255" w:type="dxa"/>
            <w:tcBorders>
              <w:top w:val="single" w:sz="4" w:space="0" w:color="auto"/>
              <w:left w:val="nil"/>
              <w:bottom w:val="single" w:sz="4" w:space="0" w:color="auto"/>
              <w:right w:val="nil"/>
            </w:tcBorders>
            <w:hideMark/>
          </w:tcPr>
          <w:p w14:paraId="31AE661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-2.42   </w:t>
            </w:r>
          </w:p>
        </w:tc>
        <w:tc>
          <w:tcPr>
            <w:tcW w:w="1355" w:type="dxa"/>
            <w:tcBorders>
              <w:top w:val="single" w:sz="4" w:space="0" w:color="auto"/>
              <w:left w:val="nil"/>
              <w:bottom w:val="single" w:sz="4" w:space="0" w:color="auto"/>
              <w:right w:val="nil"/>
            </w:tcBorders>
            <w:hideMark/>
          </w:tcPr>
          <w:p w14:paraId="0A8EFCF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0.015**</w:t>
            </w:r>
          </w:p>
        </w:tc>
      </w:tr>
      <w:tr w:rsidR="00141B2C" w:rsidRPr="004E52C2" w14:paraId="4F5BB52B" w14:textId="77777777" w:rsidTr="00D85854">
        <w:tc>
          <w:tcPr>
            <w:tcW w:w="3870" w:type="dxa"/>
            <w:tcBorders>
              <w:top w:val="single" w:sz="4" w:space="0" w:color="auto"/>
              <w:left w:val="nil"/>
              <w:bottom w:val="single" w:sz="4" w:space="0" w:color="auto"/>
              <w:right w:val="nil"/>
            </w:tcBorders>
            <w:hideMark/>
          </w:tcPr>
          <w:p w14:paraId="5D1CB82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440" w:type="dxa"/>
            <w:tcBorders>
              <w:top w:val="single" w:sz="4" w:space="0" w:color="auto"/>
              <w:left w:val="nil"/>
              <w:bottom w:val="single" w:sz="4" w:space="0" w:color="auto"/>
              <w:right w:val="nil"/>
            </w:tcBorders>
            <w:hideMark/>
          </w:tcPr>
          <w:p w14:paraId="31D1525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-0.008   </w:t>
            </w:r>
          </w:p>
        </w:tc>
        <w:tc>
          <w:tcPr>
            <w:tcW w:w="1350" w:type="dxa"/>
            <w:tcBorders>
              <w:top w:val="single" w:sz="4" w:space="0" w:color="auto"/>
              <w:left w:val="nil"/>
              <w:bottom w:val="single" w:sz="4" w:space="0" w:color="auto"/>
              <w:right w:val="nil"/>
            </w:tcBorders>
            <w:hideMark/>
          </w:tcPr>
          <w:p w14:paraId="4650807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0.027    </w:t>
            </w:r>
          </w:p>
        </w:tc>
        <w:tc>
          <w:tcPr>
            <w:tcW w:w="1255" w:type="dxa"/>
            <w:tcBorders>
              <w:top w:val="single" w:sz="4" w:space="0" w:color="auto"/>
              <w:left w:val="nil"/>
              <w:bottom w:val="single" w:sz="4" w:space="0" w:color="auto"/>
              <w:right w:val="nil"/>
            </w:tcBorders>
            <w:hideMark/>
          </w:tcPr>
          <w:p w14:paraId="195E0DA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-0.30   </w:t>
            </w:r>
          </w:p>
        </w:tc>
        <w:tc>
          <w:tcPr>
            <w:tcW w:w="1355" w:type="dxa"/>
            <w:tcBorders>
              <w:top w:val="single" w:sz="4" w:space="0" w:color="auto"/>
              <w:left w:val="nil"/>
              <w:bottom w:val="single" w:sz="4" w:space="0" w:color="auto"/>
              <w:right w:val="nil"/>
            </w:tcBorders>
            <w:hideMark/>
          </w:tcPr>
          <w:p w14:paraId="483FB6F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0.767</w:t>
            </w:r>
          </w:p>
        </w:tc>
      </w:tr>
      <w:tr w:rsidR="00141B2C" w:rsidRPr="004E52C2" w14:paraId="4ABD7818" w14:textId="77777777" w:rsidTr="00D85854">
        <w:tc>
          <w:tcPr>
            <w:tcW w:w="3870" w:type="dxa"/>
            <w:tcBorders>
              <w:top w:val="single" w:sz="4" w:space="0" w:color="auto"/>
              <w:left w:val="nil"/>
              <w:bottom w:val="single" w:sz="4" w:space="0" w:color="auto"/>
              <w:right w:val="nil"/>
            </w:tcBorders>
            <w:hideMark/>
          </w:tcPr>
          <w:p w14:paraId="0C42016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Occupation of household head</w:t>
            </w:r>
          </w:p>
        </w:tc>
        <w:tc>
          <w:tcPr>
            <w:tcW w:w="1440" w:type="dxa"/>
            <w:tcBorders>
              <w:top w:val="single" w:sz="4" w:space="0" w:color="auto"/>
              <w:left w:val="nil"/>
              <w:bottom w:val="single" w:sz="4" w:space="0" w:color="auto"/>
              <w:right w:val="nil"/>
            </w:tcBorders>
            <w:hideMark/>
          </w:tcPr>
          <w:p w14:paraId="5B3B6FA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-0.055   </w:t>
            </w:r>
          </w:p>
        </w:tc>
        <w:tc>
          <w:tcPr>
            <w:tcW w:w="1350" w:type="dxa"/>
            <w:tcBorders>
              <w:top w:val="single" w:sz="4" w:space="0" w:color="auto"/>
              <w:left w:val="nil"/>
              <w:bottom w:val="single" w:sz="4" w:space="0" w:color="auto"/>
              <w:right w:val="nil"/>
            </w:tcBorders>
            <w:hideMark/>
          </w:tcPr>
          <w:p w14:paraId="12383BB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0.021      </w:t>
            </w:r>
          </w:p>
        </w:tc>
        <w:tc>
          <w:tcPr>
            <w:tcW w:w="1255" w:type="dxa"/>
            <w:tcBorders>
              <w:top w:val="single" w:sz="4" w:space="0" w:color="auto"/>
              <w:left w:val="nil"/>
              <w:bottom w:val="single" w:sz="4" w:space="0" w:color="auto"/>
              <w:right w:val="nil"/>
            </w:tcBorders>
            <w:hideMark/>
          </w:tcPr>
          <w:p w14:paraId="12574BE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-2.60</w:t>
            </w:r>
          </w:p>
        </w:tc>
        <w:tc>
          <w:tcPr>
            <w:tcW w:w="1355" w:type="dxa"/>
            <w:tcBorders>
              <w:top w:val="single" w:sz="4" w:space="0" w:color="auto"/>
              <w:left w:val="nil"/>
              <w:bottom w:val="single" w:sz="4" w:space="0" w:color="auto"/>
              <w:right w:val="nil"/>
            </w:tcBorders>
            <w:hideMark/>
          </w:tcPr>
          <w:p w14:paraId="3A07726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0.009***</w:t>
            </w:r>
          </w:p>
        </w:tc>
      </w:tr>
      <w:tr w:rsidR="00141B2C" w:rsidRPr="004E52C2" w14:paraId="77666956" w14:textId="77777777" w:rsidTr="00D85854">
        <w:tc>
          <w:tcPr>
            <w:tcW w:w="3870" w:type="dxa"/>
            <w:tcBorders>
              <w:top w:val="single" w:sz="4" w:space="0" w:color="auto"/>
              <w:left w:val="nil"/>
              <w:bottom w:val="single" w:sz="4" w:space="0" w:color="auto"/>
              <w:right w:val="nil"/>
            </w:tcBorders>
            <w:hideMark/>
          </w:tcPr>
          <w:p w14:paraId="61B508E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Income of household head</w:t>
            </w:r>
          </w:p>
        </w:tc>
        <w:tc>
          <w:tcPr>
            <w:tcW w:w="1440" w:type="dxa"/>
            <w:tcBorders>
              <w:top w:val="single" w:sz="4" w:space="0" w:color="auto"/>
              <w:left w:val="nil"/>
              <w:bottom w:val="single" w:sz="4" w:space="0" w:color="auto"/>
              <w:right w:val="nil"/>
            </w:tcBorders>
            <w:hideMark/>
          </w:tcPr>
          <w:p w14:paraId="7923A47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5.02e-09   </w:t>
            </w:r>
          </w:p>
        </w:tc>
        <w:tc>
          <w:tcPr>
            <w:tcW w:w="1350" w:type="dxa"/>
            <w:tcBorders>
              <w:top w:val="single" w:sz="4" w:space="0" w:color="auto"/>
              <w:left w:val="nil"/>
              <w:bottom w:val="single" w:sz="4" w:space="0" w:color="auto"/>
              <w:right w:val="nil"/>
            </w:tcBorders>
            <w:hideMark/>
          </w:tcPr>
          <w:p w14:paraId="6769508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1.15e-07     </w:t>
            </w:r>
          </w:p>
        </w:tc>
        <w:tc>
          <w:tcPr>
            <w:tcW w:w="1255" w:type="dxa"/>
            <w:tcBorders>
              <w:top w:val="single" w:sz="4" w:space="0" w:color="auto"/>
              <w:left w:val="nil"/>
              <w:bottom w:val="single" w:sz="4" w:space="0" w:color="auto"/>
              <w:right w:val="nil"/>
            </w:tcBorders>
            <w:hideMark/>
          </w:tcPr>
          <w:p w14:paraId="4E44440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   </w:t>
            </w:r>
          </w:p>
        </w:tc>
        <w:tc>
          <w:tcPr>
            <w:tcW w:w="1355" w:type="dxa"/>
            <w:tcBorders>
              <w:top w:val="single" w:sz="4" w:space="0" w:color="auto"/>
              <w:left w:val="nil"/>
              <w:bottom w:val="single" w:sz="4" w:space="0" w:color="auto"/>
              <w:right w:val="nil"/>
            </w:tcBorders>
            <w:hideMark/>
          </w:tcPr>
          <w:p w14:paraId="2BF1D43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0.965</w:t>
            </w:r>
          </w:p>
        </w:tc>
      </w:tr>
      <w:tr w:rsidR="00141B2C" w:rsidRPr="004E52C2" w14:paraId="091243C5" w14:textId="77777777" w:rsidTr="00D85854">
        <w:tc>
          <w:tcPr>
            <w:tcW w:w="3870" w:type="dxa"/>
            <w:tcBorders>
              <w:top w:val="single" w:sz="4" w:space="0" w:color="auto"/>
              <w:left w:val="nil"/>
              <w:bottom w:val="single" w:sz="4" w:space="0" w:color="auto"/>
              <w:right w:val="nil"/>
            </w:tcBorders>
            <w:hideMark/>
          </w:tcPr>
          <w:p w14:paraId="2EE40D0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Reported cases of NCDs</w:t>
            </w:r>
          </w:p>
        </w:tc>
        <w:tc>
          <w:tcPr>
            <w:tcW w:w="1440" w:type="dxa"/>
            <w:tcBorders>
              <w:top w:val="single" w:sz="4" w:space="0" w:color="auto"/>
              <w:left w:val="nil"/>
              <w:bottom w:val="single" w:sz="4" w:space="0" w:color="auto"/>
              <w:right w:val="nil"/>
            </w:tcBorders>
            <w:hideMark/>
          </w:tcPr>
          <w:p w14:paraId="7DD4273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0.015   </w:t>
            </w:r>
          </w:p>
        </w:tc>
        <w:tc>
          <w:tcPr>
            <w:tcW w:w="1350" w:type="dxa"/>
            <w:tcBorders>
              <w:top w:val="single" w:sz="4" w:space="0" w:color="auto"/>
              <w:left w:val="nil"/>
              <w:bottom w:val="single" w:sz="4" w:space="0" w:color="auto"/>
              <w:right w:val="nil"/>
            </w:tcBorders>
            <w:hideMark/>
          </w:tcPr>
          <w:p w14:paraId="4EF093B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tc>
        <w:tc>
          <w:tcPr>
            <w:tcW w:w="1255" w:type="dxa"/>
            <w:tcBorders>
              <w:top w:val="single" w:sz="4" w:space="0" w:color="auto"/>
              <w:left w:val="nil"/>
              <w:bottom w:val="single" w:sz="4" w:space="0" w:color="auto"/>
              <w:right w:val="nil"/>
            </w:tcBorders>
            <w:hideMark/>
          </w:tcPr>
          <w:p w14:paraId="7E5F925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0.81   </w:t>
            </w:r>
          </w:p>
        </w:tc>
        <w:tc>
          <w:tcPr>
            <w:tcW w:w="1355" w:type="dxa"/>
            <w:tcBorders>
              <w:top w:val="single" w:sz="4" w:space="0" w:color="auto"/>
              <w:left w:val="nil"/>
              <w:bottom w:val="single" w:sz="4" w:space="0" w:color="auto"/>
              <w:right w:val="nil"/>
            </w:tcBorders>
            <w:hideMark/>
          </w:tcPr>
          <w:p w14:paraId="337E230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0.420</w:t>
            </w:r>
          </w:p>
        </w:tc>
      </w:tr>
      <w:tr w:rsidR="00141B2C" w:rsidRPr="004E52C2" w14:paraId="057F2DF6" w14:textId="77777777" w:rsidTr="00D85854">
        <w:tc>
          <w:tcPr>
            <w:tcW w:w="3870" w:type="dxa"/>
            <w:tcBorders>
              <w:top w:val="single" w:sz="4" w:space="0" w:color="auto"/>
              <w:left w:val="nil"/>
              <w:bottom w:val="single" w:sz="4" w:space="0" w:color="auto"/>
              <w:right w:val="nil"/>
            </w:tcBorders>
            <w:hideMark/>
          </w:tcPr>
          <w:p w14:paraId="1CBEA4F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440" w:type="dxa"/>
            <w:tcBorders>
              <w:top w:val="single" w:sz="4" w:space="0" w:color="auto"/>
              <w:left w:val="nil"/>
              <w:bottom w:val="single" w:sz="4" w:space="0" w:color="auto"/>
              <w:right w:val="nil"/>
            </w:tcBorders>
            <w:hideMark/>
          </w:tcPr>
          <w:p w14:paraId="58CAC39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350" w:type="dxa"/>
            <w:tcBorders>
              <w:top w:val="single" w:sz="4" w:space="0" w:color="auto"/>
              <w:left w:val="nil"/>
              <w:bottom w:val="single" w:sz="4" w:space="0" w:color="auto"/>
              <w:right w:val="nil"/>
            </w:tcBorders>
          </w:tcPr>
          <w:p w14:paraId="75BE2C0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1BAB0C6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0C070CB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r>
      <w:tr w:rsidR="00141B2C" w:rsidRPr="004E52C2" w14:paraId="6CE4D261" w14:textId="77777777" w:rsidTr="00D85854">
        <w:tc>
          <w:tcPr>
            <w:tcW w:w="3870" w:type="dxa"/>
            <w:tcBorders>
              <w:top w:val="single" w:sz="4" w:space="0" w:color="auto"/>
              <w:left w:val="nil"/>
              <w:bottom w:val="single" w:sz="4" w:space="0" w:color="auto"/>
              <w:right w:val="nil"/>
            </w:tcBorders>
            <w:hideMark/>
          </w:tcPr>
          <w:p w14:paraId="7B12DE4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440" w:type="dxa"/>
            <w:tcBorders>
              <w:top w:val="single" w:sz="4" w:space="0" w:color="auto"/>
              <w:left w:val="nil"/>
              <w:bottom w:val="single" w:sz="4" w:space="0" w:color="auto"/>
              <w:right w:val="nil"/>
            </w:tcBorders>
            <w:hideMark/>
          </w:tcPr>
          <w:p w14:paraId="1DE7290F" w14:textId="1DE687B2"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w:t>
            </w:r>
            <w:r w:rsidRPr="00AB79FD">
              <w:rPr>
                <w:rFonts w:asciiTheme="minorHAnsi" w:eastAsiaTheme="minorHAnsi" w:hAnsiTheme="minorHAnsi" w:cstheme="minorHAnsi"/>
                <w:color w:val="FF0000"/>
                <w:sz w:val="24"/>
                <w:szCs w:val="24"/>
                <w:lang w:val="en-US"/>
              </w:rPr>
              <w:t>.0</w:t>
            </w:r>
            <w:r w:rsidR="00AB79FD" w:rsidRPr="00AB79FD">
              <w:rPr>
                <w:rFonts w:asciiTheme="minorHAnsi" w:eastAsiaTheme="minorHAnsi" w:hAnsiTheme="minorHAnsi" w:cstheme="minorHAnsi"/>
                <w:color w:val="FF0000"/>
                <w:sz w:val="24"/>
                <w:szCs w:val="24"/>
                <w:lang w:val="en-US"/>
              </w:rPr>
              <w:t>1869</w:t>
            </w:r>
          </w:p>
        </w:tc>
        <w:tc>
          <w:tcPr>
            <w:tcW w:w="1350" w:type="dxa"/>
            <w:tcBorders>
              <w:top w:val="single" w:sz="4" w:space="0" w:color="auto"/>
              <w:left w:val="nil"/>
              <w:bottom w:val="single" w:sz="4" w:space="0" w:color="auto"/>
              <w:right w:val="nil"/>
            </w:tcBorders>
          </w:tcPr>
          <w:p w14:paraId="481EEC4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655C4D9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2119913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r>
      <w:tr w:rsidR="00141B2C" w:rsidRPr="004E52C2" w14:paraId="537B9414" w14:textId="77777777" w:rsidTr="00D85854">
        <w:tc>
          <w:tcPr>
            <w:tcW w:w="3870" w:type="dxa"/>
            <w:tcBorders>
              <w:top w:val="single" w:sz="4" w:space="0" w:color="auto"/>
              <w:left w:val="nil"/>
              <w:bottom w:val="single" w:sz="4" w:space="0" w:color="auto"/>
              <w:right w:val="nil"/>
            </w:tcBorders>
            <w:hideMark/>
          </w:tcPr>
          <w:p w14:paraId="2167C68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Chi-squared (11)</w:t>
            </w:r>
          </w:p>
        </w:tc>
        <w:tc>
          <w:tcPr>
            <w:tcW w:w="1440" w:type="dxa"/>
            <w:tcBorders>
              <w:top w:val="single" w:sz="4" w:space="0" w:color="auto"/>
              <w:left w:val="nil"/>
              <w:bottom w:val="single" w:sz="4" w:space="0" w:color="auto"/>
              <w:right w:val="nil"/>
            </w:tcBorders>
            <w:hideMark/>
          </w:tcPr>
          <w:p w14:paraId="2538FE0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17.36</w:t>
            </w:r>
          </w:p>
        </w:tc>
        <w:tc>
          <w:tcPr>
            <w:tcW w:w="1350" w:type="dxa"/>
            <w:tcBorders>
              <w:top w:val="single" w:sz="4" w:space="0" w:color="auto"/>
              <w:left w:val="nil"/>
              <w:bottom w:val="single" w:sz="4" w:space="0" w:color="auto"/>
              <w:right w:val="nil"/>
            </w:tcBorders>
          </w:tcPr>
          <w:p w14:paraId="1676B84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63882BD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7A0601A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r>
      <w:tr w:rsidR="00141B2C" w:rsidRPr="004E52C2" w14:paraId="0E8B18EB" w14:textId="77777777" w:rsidTr="00D85854">
        <w:tc>
          <w:tcPr>
            <w:tcW w:w="3870" w:type="dxa"/>
            <w:tcBorders>
              <w:top w:val="single" w:sz="4" w:space="0" w:color="auto"/>
              <w:left w:val="nil"/>
              <w:bottom w:val="single" w:sz="4" w:space="0" w:color="auto"/>
              <w:right w:val="nil"/>
            </w:tcBorders>
            <w:hideMark/>
          </w:tcPr>
          <w:p w14:paraId="46ECA6B2" w14:textId="0C8E0E10"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Prob </w:t>
            </w:r>
            <w:r w:rsidR="00B959FA">
              <w:rPr>
                <w:rFonts w:asciiTheme="minorHAnsi" w:eastAsiaTheme="minorHAnsi" w:hAnsiTheme="minorHAnsi" w:cstheme="minorHAnsi"/>
                <w:b/>
                <w:bCs/>
                <w:sz w:val="24"/>
                <w:szCs w:val="24"/>
                <w:lang w:val="en-US"/>
              </w:rPr>
              <w:t>&lt;</w:t>
            </w:r>
            <w:r w:rsidRPr="004E52C2">
              <w:rPr>
                <w:rFonts w:asciiTheme="minorHAnsi" w:eastAsiaTheme="minorHAnsi" w:hAnsiTheme="minorHAnsi" w:cstheme="minorHAnsi"/>
                <w:b/>
                <w:bCs/>
                <w:sz w:val="24"/>
                <w:szCs w:val="24"/>
                <w:lang w:val="en-US"/>
              </w:rPr>
              <w:t xml:space="preserve"> Chi-squared</w:t>
            </w:r>
          </w:p>
        </w:tc>
        <w:tc>
          <w:tcPr>
            <w:tcW w:w="1440" w:type="dxa"/>
            <w:tcBorders>
              <w:top w:val="single" w:sz="4" w:space="0" w:color="auto"/>
              <w:left w:val="nil"/>
              <w:bottom w:val="single" w:sz="4" w:space="0" w:color="auto"/>
              <w:right w:val="nil"/>
            </w:tcBorders>
            <w:hideMark/>
          </w:tcPr>
          <w:p w14:paraId="7FC3D5E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0.0434</w:t>
            </w:r>
          </w:p>
        </w:tc>
        <w:tc>
          <w:tcPr>
            <w:tcW w:w="1350" w:type="dxa"/>
            <w:tcBorders>
              <w:top w:val="single" w:sz="4" w:space="0" w:color="auto"/>
              <w:left w:val="nil"/>
              <w:bottom w:val="single" w:sz="4" w:space="0" w:color="auto"/>
              <w:right w:val="nil"/>
            </w:tcBorders>
          </w:tcPr>
          <w:p w14:paraId="16F2C81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7AF27F2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4404FDD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r>
      <w:tr w:rsidR="00141B2C" w:rsidRPr="004E52C2" w14:paraId="0B7067AA" w14:textId="77777777" w:rsidTr="00D85854">
        <w:tc>
          <w:tcPr>
            <w:tcW w:w="3870" w:type="dxa"/>
            <w:tcBorders>
              <w:top w:val="single" w:sz="4" w:space="0" w:color="auto"/>
              <w:left w:val="nil"/>
              <w:bottom w:val="single" w:sz="4" w:space="0" w:color="auto"/>
              <w:right w:val="nil"/>
            </w:tcBorders>
            <w:hideMark/>
          </w:tcPr>
          <w:p w14:paraId="0947B3D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440" w:type="dxa"/>
            <w:tcBorders>
              <w:top w:val="single" w:sz="4" w:space="0" w:color="auto"/>
              <w:left w:val="nil"/>
              <w:bottom w:val="single" w:sz="4" w:space="0" w:color="auto"/>
              <w:right w:val="nil"/>
            </w:tcBorders>
            <w:hideMark/>
          </w:tcPr>
          <w:p w14:paraId="1ECBB32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-154.43959</w:t>
            </w:r>
          </w:p>
        </w:tc>
        <w:tc>
          <w:tcPr>
            <w:tcW w:w="1350" w:type="dxa"/>
            <w:tcBorders>
              <w:top w:val="single" w:sz="4" w:space="0" w:color="auto"/>
              <w:left w:val="nil"/>
              <w:bottom w:val="single" w:sz="4" w:space="0" w:color="auto"/>
              <w:right w:val="nil"/>
            </w:tcBorders>
          </w:tcPr>
          <w:p w14:paraId="07A4837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255" w:type="dxa"/>
            <w:tcBorders>
              <w:top w:val="single" w:sz="4" w:space="0" w:color="auto"/>
              <w:left w:val="nil"/>
              <w:bottom w:val="single" w:sz="4" w:space="0" w:color="auto"/>
              <w:right w:val="nil"/>
            </w:tcBorders>
          </w:tcPr>
          <w:p w14:paraId="4D530FD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c>
          <w:tcPr>
            <w:tcW w:w="1355" w:type="dxa"/>
            <w:tcBorders>
              <w:top w:val="single" w:sz="4" w:space="0" w:color="auto"/>
              <w:left w:val="nil"/>
              <w:bottom w:val="single" w:sz="4" w:space="0" w:color="auto"/>
              <w:right w:val="nil"/>
            </w:tcBorders>
          </w:tcPr>
          <w:p w14:paraId="069489A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p>
        </w:tc>
      </w:tr>
    </w:tbl>
    <w:p w14:paraId="7245A27F" w14:textId="5F09BF80" w:rsidR="00141B2C" w:rsidRDefault="00141B2C" w:rsidP="00F4229D">
      <w:pPr>
        <w:jc w:val="both"/>
        <w:rPr>
          <w:rFonts w:cstheme="minorHAnsi"/>
          <w:bCs/>
          <w:sz w:val="24"/>
          <w:szCs w:val="24"/>
          <w:lang w:val="en-US"/>
        </w:rPr>
      </w:pPr>
      <w:r w:rsidRPr="004E52C2">
        <w:rPr>
          <w:rFonts w:cstheme="minorHAnsi"/>
          <w:bCs/>
          <w:sz w:val="24"/>
          <w:szCs w:val="24"/>
          <w:lang w:val="en-US"/>
        </w:rPr>
        <w:t>Note: ***, ** and *denote significance at the 0.01, 0.05 and 0.10 levels, respectively.</w:t>
      </w:r>
    </w:p>
    <w:p w14:paraId="1EAB0ED3" w14:textId="77777777" w:rsidR="008532CF" w:rsidRPr="008532CF" w:rsidRDefault="008532CF" w:rsidP="008532CF">
      <w:pPr>
        <w:jc w:val="both"/>
        <w:rPr>
          <w:rFonts w:cstheme="minorHAnsi"/>
          <w:bCs/>
          <w:sz w:val="24"/>
          <w:szCs w:val="24"/>
          <w:lang w:val="en-US"/>
        </w:rPr>
      </w:pPr>
      <w:r w:rsidRPr="008532CF">
        <w:rPr>
          <w:rFonts w:cstheme="minorHAnsi"/>
          <w:bCs/>
          <w:sz w:val="24"/>
          <w:szCs w:val="24"/>
          <w:lang w:val="en-US"/>
        </w:rPr>
        <w:t>Source: Field survey, 2023.</w:t>
      </w:r>
    </w:p>
    <w:p w14:paraId="522717F5" w14:textId="77777777" w:rsidR="008532CF" w:rsidRPr="004E52C2" w:rsidRDefault="008532CF" w:rsidP="00F4229D">
      <w:pPr>
        <w:jc w:val="both"/>
        <w:rPr>
          <w:rFonts w:cstheme="minorHAnsi"/>
          <w:bCs/>
          <w:sz w:val="24"/>
          <w:szCs w:val="24"/>
          <w:lang w:val="en-US"/>
        </w:rPr>
      </w:pPr>
    </w:p>
    <w:p w14:paraId="34500B14" w14:textId="084E43CF" w:rsidR="00141B2C" w:rsidRPr="004E52C2" w:rsidRDefault="00B5477B" w:rsidP="00F4229D">
      <w:pPr>
        <w:jc w:val="both"/>
        <w:rPr>
          <w:rFonts w:cstheme="minorHAnsi"/>
          <w:b/>
          <w:bCs/>
          <w:sz w:val="24"/>
          <w:szCs w:val="24"/>
          <w:lang w:val="en-US"/>
        </w:rPr>
      </w:pPr>
      <w:bookmarkStart w:id="15" w:name="_Toc140036408"/>
      <w:bookmarkStart w:id="16" w:name="_Toc140036449"/>
      <w:r w:rsidRPr="004E52C2">
        <w:rPr>
          <w:rFonts w:cstheme="minorHAnsi"/>
          <w:b/>
          <w:bCs/>
          <w:sz w:val="24"/>
          <w:szCs w:val="24"/>
          <w:lang w:val="en-US"/>
        </w:rPr>
        <w:t>3</w:t>
      </w:r>
      <w:r w:rsidR="00141B2C" w:rsidRPr="004E52C2">
        <w:rPr>
          <w:rFonts w:cstheme="minorHAnsi"/>
          <w:b/>
          <w:bCs/>
          <w:sz w:val="24"/>
          <w:szCs w:val="24"/>
          <w:lang w:val="en-US"/>
        </w:rPr>
        <w:t>.4 Household Wellness Sustainability By Food Security Categories</w:t>
      </w:r>
      <w:bookmarkEnd w:id="15"/>
      <w:bookmarkEnd w:id="16"/>
    </w:p>
    <w:p w14:paraId="7DC5E07E" w14:textId="431C7C2E"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.4.1 Distribution of Household's Wellness Sustainability by food security category.</w:t>
      </w:r>
    </w:p>
    <w:p w14:paraId="2B4246FF" w14:textId="39DD906A"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Table </w:t>
      </w:r>
      <w:r w:rsidR="00F4229D">
        <w:rPr>
          <w:rFonts w:cstheme="minorHAnsi"/>
          <w:bCs/>
          <w:sz w:val="24"/>
          <w:szCs w:val="24"/>
          <w:lang w:val="en-US"/>
        </w:rPr>
        <w:t>13</w:t>
      </w:r>
      <w:r w:rsidRPr="004E52C2">
        <w:rPr>
          <w:rFonts w:cstheme="minorHAnsi"/>
          <w:bCs/>
          <w:sz w:val="24"/>
          <w:szCs w:val="24"/>
          <w:lang w:val="en-US"/>
        </w:rPr>
        <w:t xml:space="preserve"> illustrates that 33.07% of all households surveyed had dietary wellness sustainability. This diet is measured in alignment above 45% consumption of a healthy diet based on whole food plant-based diets. These diets emphasize consuming whole, unrefined plant foods such as fruits, vegetables, whole grains, legumes, roots and </w:t>
      </w:r>
      <w:r w:rsidR="002C1684" w:rsidRPr="004E52C2">
        <w:rPr>
          <w:rFonts w:cstheme="minorHAnsi"/>
          <w:bCs/>
          <w:sz w:val="24"/>
          <w:szCs w:val="24"/>
          <w:lang w:val="en-US"/>
        </w:rPr>
        <w:t>tubers, nuts</w:t>
      </w:r>
      <w:r w:rsidRPr="004E52C2">
        <w:rPr>
          <w:rFonts w:cstheme="minorHAnsi"/>
          <w:bCs/>
          <w:sz w:val="24"/>
          <w:szCs w:val="24"/>
          <w:lang w:val="en-US"/>
        </w:rPr>
        <w:t>, and seeds. Among these households, 31.76% are food secure, 42.35% experience food insecurity without hunger, 18.82 experience moderate hunger, and 7.06% experience severe hunger.</w:t>
      </w:r>
    </w:p>
    <w:p w14:paraId="28AA7CFB"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Conversely, more households consume an unwholesome or unsustainable diet characterized by consuming highly processed or refined foods and drinks containing high amounts of fat, salt, and sugars. These diets tend towards a prospect of illness, as NCDs are commonly associated with </w:t>
      </w:r>
      <w:r w:rsidRPr="004E52C2">
        <w:rPr>
          <w:rFonts w:cstheme="minorHAnsi"/>
          <w:bCs/>
          <w:sz w:val="24"/>
          <w:szCs w:val="24"/>
          <w:lang w:val="en-US"/>
        </w:rPr>
        <w:lastRenderedPageBreak/>
        <w:t>poor dietary practices. 66.93 % of the total households consumed an unwholesome diet at =/&lt;45% of WFPBD. This means that approximately 7 in 10 households eat diets that have greater than 55% of their portion high in salt, sugar, fat, processed oils or processed meats this poises these households towards wellness unsustainability. Within this group, 30.84% are food secure, 48.13% experience food insecurity without hunger, 15.42% experience food insecurity with moderate hunger, and 5.61% experience food insecurity with severe hunger.</w:t>
      </w:r>
    </w:p>
    <w:p w14:paraId="4497A6DA" w14:textId="45F72802" w:rsidR="00141B2C" w:rsidRPr="004E52C2" w:rsidRDefault="00141B2C" w:rsidP="00F4229D">
      <w:pPr>
        <w:jc w:val="both"/>
        <w:rPr>
          <w:rFonts w:cstheme="minorHAnsi"/>
          <w:bCs/>
          <w:sz w:val="24"/>
          <w:szCs w:val="24"/>
          <w:lang w:val="en-US"/>
        </w:rPr>
      </w:pPr>
      <w:r w:rsidRPr="004E52C2">
        <w:rPr>
          <w:rFonts w:cstheme="minorHAnsi"/>
          <w:bCs/>
          <w:sz w:val="24"/>
          <w:szCs w:val="24"/>
          <w:lang w:val="en-US"/>
        </w:rPr>
        <w:t>It is imperative to state that a larger portion of sustainable households are in the food secure category at 31.76%, compared to households with unsustainable diets at 28.49%.</w:t>
      </w:r>
      <w:r w:rsidR="00204963">
        <w:rPr>
          <w:rFonts w:cstheme="minorHAnsi"/>
          <w:bCs/>
          <w:sz w:val="24"/>
          <w:szCs w:val="24"/>
          <w:lang w:val="en-US"/>
        </w:rPr>
        <w:t xml:space="preserve"> </w:t>
      </w:r>
      <w:r w:rsidRPr="004E52C2">
        <w:rPr>
          <w:rFonts w:cstheme="minorHAnsi"/>
          <w:bCs/>
          <w:sz w:val="24"/>
          <w:szCs w:val="24"/>
          <w:lang w:val="en-US"/>
        </w:rPr>
        <w:t xml:space="preserve">A diet that is predominantly plant-based and low in salt, saturated fats and added sugars is recommended as part of a healthy lifestyle. </w:t>
      </w:r>
    </w:p>
    <w:p w14:paraId="08E8BFEE" w14:textId="6A6BD805"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3</w:t>
      </w:r>
      <w:r w:rsidRPr="004E52C2">
        <w:rPr>
          <w:rFonts w:cstheme="minorHAnsi"/>
          <w:bCs/>
          <w:sz w:val="24"/>
          <w:szCs w:val="24"/>
          <w:lang w:val="en-US"/>
        </w:rPr>
        <w:t>: Distribution of households by wellness sustainability</w:t>
      </w:r>
    </w:p>
    <w:tbl>
      <w:tblPr>
        <w:tblStyle w:val="PlainTable2"/>
        <w:tblW w:w="10125" w:type="dxa"/>
        <w:tblLayout w:type="fixed"/>
        <w:tblLook w:val="04A0" w:firstRow="1" w:lastRow="0" w:firstColumn="1" w:lastColumn="0" w:noHBand="0" w:noVBand="1"/>
      </w:tblPr>
      <w:tblGrid>
        <w:gridCol w:w="2699"/>
        <w:gridCol w:w="1349"/>
        <w:gridCol w:w="989"/>
        <w:gridCol w:w="1619"/>
        <w:gridCol w:w="1709"/>
        <w:gridCol w:w="1760"/>
      </w:tblGrid>
      <w:tr w:rsidR="00141B2C" w:rsidRPr="004E52C2" w14:paraId="6311799C" w14:textId="77777777" w:rsidTr="00D858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7F7F7F" w:themeColor="text1" w:themeTint="80"/>
              <w:left w:val="nil"/>
              <w:right w:val="nil"/>
            </w:tcBorders>
            <w:hideMark/>
          </w:tcPr>
          <w:p w14:paraId="6417D2EB"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Wellness sustainability of a household</w:t>
            </w:r>
          </w:p>
          <w:p w14:paraId="010369D3"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n=257</w:t>
            </w:r>
          </w:p>
        </w:tc>
        <w:tc>
          <w:tcPr>
            <w:tcW w:w="1350" w:type="dxa"/>
            <w:tcBorders>
              <w:top w:val="single" w:sz="4" w:space="0" w:color="7F7F7F" w:themeColor="text1" w:themeTint="80"/>
              <w:left w:val="nil"/>
              <w:right w:val="nil"/>
            </w:tcBorders>
            <w:hideMark/>
          </w:tcPr>
          <w:p w14:paraId="7AFF7F11"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Frequency (%)</w:t>
            </w:r>
          </w:p>
        </w:tc>
        <w:tc>
          <w:tcPr>
            <w:tcW w:w="990" w:type="dxa"/>
            <w:tcBorders>
              <w:top w:val="single" w:sz="4" w:space="0" w:color="7F7F7F" w:themeColor="text1" w:themeTint="80"/>
              <w:left w:val="nil"/>
              <w:right w:val="nil"/>
            </w:tcBorders>
            <w:hideMark/>
          </w:tcPr>
          <w:p w14:paraId="36BAB0F4"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Secure</w:t>
            </w:r>
          </w:p>
          <w:p w14:paraId="332356BC"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w:t>
            </w:r>
          </w:p>
        </w:tc>
        <w:tc>
          <w:tcPr>
            <w:tcW w:w="1620" w:type="dxa"/>
            <w:tcBorders>
              <w:top w:val="single" w:sz="4" w:space="0" w:color="7F7F7F" w:themeColor="text1" w:themeTint="80"/>
              <w:left w:val="nil"/>
              <w:right w:val="nil"/>
            </w:tcBorders>
            <w:hideMark/>
          </w:tcPr>
          <w:p w14:paraId="6DC338D2"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without hunger (%)</w:t>
            </w:r>
          </w:p>
        </w:tc>
        <w:tc>
          <w:tcPr>
            <w:tcW w:w="1710" w:type="dxa"/>
            <w:tcBorders>
              <w:top w:val="single" w:sz="4" w:space="0" w:color="7F7F7F" w:themeColor="text1" w:themeTint="80"/>
              <w:left w:val="nil"/>
              <w:right w:val="nil"/>
            </w:tcBorders>
            <w:hideMark/>
          </w:tcPr>
          <w:p w14:paraId="7567B7E9"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moderate hunger (%)</w:t>
            </w:r>
          </w:p>
        </w:tc>
        <w:tc>
          <w:tcPr>
            <w:tcW w:w="1761" w:type="dxa"/>
            <w:tcBorders>
              <w:top w:val="single" w:sz="4" w:space="0" w:color="7F7F7F" w:themeColor="text1" w:themeTint="80"/>
              <w:left w:val="nil"/>
              <w:right w:val="nil"/>
            </w:tcBorders>
            <w:hideMark/>
          </w:tcPr>
          <w:p w14:paraId="27076DF1" w14:textId="77777777" w:rsidR="00141B2C" w:rsidRPr="004E52C2" w:rsidRDefault="00141B2C" w:rsidP="00F4229D">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en-US"/>
              </w:rPr>
            </w:pPr>
            <w:r w:rsidRPr="004E52C2">
              <w:rPr>
                <w:rFonts w:cstheme="minorHAnsi"/>
                <w:sz w:val="24"/>
                <w:szCs w:val="24"/>
                <w:lang w:val="en-US"/>
              </w:rPr>
              <w:t>Food insecure with severe hunger (%)</w:t>
            </w:r>
          </w:p>
        </w:tc>
      </w:tr>
      <w:tr w:rsidR="00141B2C" w:rsidRPr="004E52C2" w14:paraId="795288FB"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nil"/>
              <w:right w:val="nil"/>
            </w:tcBorders>
            <w:hideMark/>
          </w:tcPr>
          <w:p w14:paraId="30734551"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With wellness sustainability </w:t>
            </w:r>
          </w:p>
        </w:tc>
        <w:tc>
          <w:tcPr>
            <w:tcW w:w="1350" w:type="dxa"/>
            <w:tcBorders>
              <w:left w:val="nil"/>
              <w:right w:val="nil"/>
            </w:tcBorders>
            <w:hideMark/>
          </w:tcPr>
          <w:p w14:paraId="513700A1"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33.07</w:t>
            </w:r>
          </w:p>
        </w:tc>
        <w:tc>
          <w:tcPr>
            <w:tcW w:w="990" w:type="dxa"/>
            <w:tcBorders>
              <w:left w:val="nil"/>
              <w:right w:val="nil"/>
            </w:tcBorders>
            <w:hideMark/>
          </w:tcPr>
          <w:p w14:paraId="461FEFE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31.76      </w:t>
            </w:r>
          </w:p>
        </w:tc>
        <w:tc>
          <w:tcPr>
            <w:tcW w:w="1620" w:type="dxa"/>
            <w:tcBorders>
              <w:left w:val="nil"/>
              <w:right w:val="nil"/>
            </w:tcBorders>
            <w:hideMark/>
          </w:tcPr>
          <w:p w14:paraId="5243AC2A"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42.35      </w:t>
            </w:r>
          </w:p>
        </w:tc>
        <w:tc>
          <w:tcPr>
            <w:tcW w:w="1710" w:type="dxa"/>
            <w:tcBorders>
              <w:left w:val="nil"/>
              <w:right w:val="nil"/>
            </w:tcBorders>
            <w:hideMark/>
          </w:tcPr>
          <w:p w14:paraId="09309E07"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18.82       </w:t>
            </w:r>
          </w:p>
        </w:tc>
        <w:tc>
          <w:tcPr>
            <w:tcW w:w="1761" w:type="dxa"/>
            <w:tcBorders>
              <w:left w:val="nil"/>
              <w:right w:val="nil"/>
            </w:tcBorders>
            <w:hideMark/>
          </w:tcPr>
          <w:p w14:paraId="292B330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7.06</w:t>
            </w:r>
          </w:p>
        </w:tc>
      </w:tr>
      <w:tr w:rsidR="00141B2C" w:rsidRPr="004E52C2" w14:paraId="6B2A30AA" w14:textId="77777777" w:rsidTr="00D85854">
        <w:tc>
          <w:tcPr>
            <w:cnfStyle w:val="001000000000" w:firstRow="0" w:lastRow="0" w:firstColumn="1" w:lastColumn="0" w:oddVBand="0" w:evenVBand="0" w:oddHBand="0" w:evenHBand="0" w:firstRowFirstColumn="0" w:firstRowLastColumn="0" w:lastRowFirstColumn="0" w:lastRowLastColumn="0"/>
            <w:tcW w:w="2700" w:type="dxa"/>
            <w:tcBorders>
              <w:top w:val="nil"/>
              <w:left w:val="nil"/>
              <w:bottom w:val="nil"/>
              <w:right w:val="nil"/>
            </w:tcBorders>
            <w:hideMark/>
          </w:tcPr>
          <w:p w14:paraId="6E5E10C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Without wellness sustainability</w:t>
            </w:r>
          </w:p>
        </w:tc>
        <w:tc>
          <w:tcPr>
            <w:tcW w:w="1350" w:type="dxa"/>
            <w:tcBorders>
              <w:top w:val="nil"/>
              <w:left w:val="nil"/>
              <w:bottom w:val="nil"/>
              <w:right w:val="nil"/>
            </w:tcBorders>
            <w:hideMark/>
          </w:tcPr>
          <w:p w14:paraId="29B6650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66.93</w:t>
            </w:r>
          </w:p>
        </w:tc>
        <w:tc>
          <w:tcPr>
            <w:tcW w:w="990" w:type="dxa"/>
            <w:tcBorders>
              <w:top w:val="nil"/>
              <w:left w:val="nil"/>
              <w:bottom w:val="nil"/>
              <w:right w:val="nil"/>
            </w:tcBorders>
            <w:hideMark/>
          </w:tcPr>
          <w:p w14:paraId="554F9DEE"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28.49      </w:t>
            </w:r>
          </w:p>
        </w:tc>
        <w:tc>
          <w:tcPr>
            <w:tcW w:w="1620" w:type="dxa"/>
            <w:tcBorders>
              <w:top w:val="nil"/>
              <w:left w:val="nil"/>
              <w:bottom w:val="nil"/>
              <w:right w:val="nil"/>
            </w:tcBorders>
            <w:hideMark/>
          </w:tcPr>
          <w:p w14:paraId="6A6A971D"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54.07      </w:t>
            </w:r>
          </w:p>
        </w:tc>
        <w:tc>
          <w:tcPr>
            <w:tcW w:w="1710" w:type="dxa"/>
            <w:tcBorders>
              <w:top w:val="nil"/>
              <w:left w:val="nil"/>
              <w:bottom w:val="nil"/>
              <w:right w:val="nil"/>
            </w:tcBorders>
            <w:hideMark/>
          </w:tcPr>
          <w:p w14:paraId="163423B5"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 xml:space="preserve">11.63       </w:t>
            </w:r>
          </w:p>
        </w:tc>
        <w:tc>
          <w:tcPr>
            <w:tcW w:w="1761" w:type="dxa"/>
            <w:tcBorders>
              <w:top w:val="nil"/>
              <w:left w:val="nil"/>
              <w:bottom w:val="nil"/>
              <w:right w:val="nil"/>
            </w:tcBorders>
            <w:hideMark/>
          </w:tcPr>
          <w:p w14:paraId="694A8701" w14:textId="77777777" w:rsidR="00141B2C" w:rsidRPr="004E52C2" w:rsidRDefault="00141B2C" w:rsidP="00F4229D">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5.81</w:t>
            </w:r>
          </w:p>
        </w:tc>
      </w:tr>
      <w:tr w:rsidR="00141B2C" w:rsidRPr="004E52C2" w14:paraId="37426809" w14:textId="77777777" w:rsidTr="00D858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Borders>
              <w:left w:val="nil"/>
              <w:right w:val="nil"/>
            </w:tcBorders>
            <w:hideMark/>
          </w:tcPr>
          <w:p w14:paraId="4C99DAE6" w14:textId="77777777" w:rsidR="00141B2C" w:rsidRPr="004E52C2" w:rsidRDefault="00141B2C" w:rsidP="00F4229D">
            <w:pPr>
              <w:spacing w:after="160" w:line="259" w:lineRule="auto"/>
              <w:jc w:val="both"/>
              <w:rPr>
                <w:rFonts w:cstheme="minorHAnsi"/>
                <w:sz w:val="24"/>
                <w:szCs w:val="24"/>
                <w:lang w:val="en-US"/>
              </w:rPr>
            </w:pPr>
            <w:r w:rsidRPr="004E52C2">
              <w:rPr>
                <w:rFonts w:cstheme="minorHAnsi"/>
                <w:sz w:val="24"/>
                <w:szCs w:val="24"/>
                <w:lang w:val="en-US"/>
              </w:rPr>
              <w:t xml:space="preserve">Total </w:t>
            </w:r>
          </w:p>
        </w:tc>
        <w:tc>
          <w:tcPr>
            <w:tcW w:w="1350" w:type="dxa"/>
            <w:tcBorders>
              <w:left w:val="nil"/>
              <w:right w:val="nil"/>
            </w:tcBorders>
            <w:hideMark/>
          </w:tcPr>
          <w:p w14:paraId="456F8E2F"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r w:rsidRPr="004E52C2">
              <w:rPr>
                <w:rFonts w:cstheme="minorHAnsi"/>
                <w:bCs/>
                <w:sz w:val="24"/>
                <w:szCs w:val="24"/>
                <w:lang w:val="en-US"/>
              </w:rPr>
              <w:t>100</w:t>
            </w:r>
          </w:p>
        </w:tc>
        <w:tc>
          <w:tcPr>
            <w:tcW w:w="990" w:type="dxa"/>
            <w:tcBorders>
              <w:left w:val="nil"/>
              <w:right w:val="nil"/>
            </w:tcBorders>
          </w:tcPr>
          <w:p w14:paraId="63AE78BD"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620" w:type="dxa"/>
            <w:tcBorders>
              <w:left w:val="nil"/>
              <w:right w:val="nil"/>
            </w:tcBorders>
          </w:tcPr>
          <w:p w14:paraId="375AD86E"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710" w:type="dxa"/>
            <w:tcBorders>
              <w:left w:val="nil"/>
              <w:right w:val="nil"/>
            </w:tcBorders>
          </w:tcPr>
          <w:p w14:paraId="332DD1C6"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c>
          <w:tcPr>
            <w:tcW w:w="1761" w:type="dxa"/>
            <w:tcBorders>
              <w:left w:val="nil"/>
              <w:right w:val="nil"/>
            </w:tcBorders>
          </w:tcPr>
          <w:p w14:paraId="7FD55C49" w14:textId="77777777" w:rsidR="00141B2C" w:rsidRPr="004E52C2" w:rsidRDefault="00141B2C" w:rsidP="00F4229D">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cstheme="minorHAnsi"/>
                <w:bCs/>
                <w:sz w:val="24"/>
                <w:szCs w:val="24"/>
                <w:lang w:val="en-US"/>
              </w:rPr>
            </w:pPr>
          </w:p>
        </w:tc>
      </w:tr>
    </w:tbl>
    <w:p w14:paraId="099E038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0DF9245D" w14:textId="77777777" w:rsidR="00141B2C" w:rsidRPr="004E52C2" w:rsidRDefault="00141B2C" w:rsidP="00F4229D">
      <w:pPr>
        <w:jc w:val="both"/>
        <w:rPr>
          <w:rFonts w:cstheme="minorHAnsi"/>
          <w:bCs/>
          <w:sz w:val="24"/>
          <w:szCs w:val="24"/>
          <w:lang w:val="en-US"/>
        </w:rPr>
      </w:pPr>
    </w:p>
    <w:p w14:paraId="29F4B59D" w14:textId="6E0ADCB7"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4E52C2">
        <w:rPr>
          <w:rFonts w:cstheme="minorHAnsi"/>
          <w:bCs/>
          <w:sz w:val="24"/>
          <w:szCs w:val="24"/>
          <w:lang w:val="en-US"/>
        </w:rPr>
        <w:t xml:space="preserve">6 </w:t>
      </w:r>
      <w:r w:rsidRPr="004E52C2">
        <w:rPr>
          <w:rFonts w:cstheme="minorHAnsi"/>
          <w:bCs/>
          <w:sz w:val="24"/>
          <w:szCs w:val="24"/>
          <w:lang w:val="en-US"/>
        </w:rPr>
        <w:t>presents the distribution of the food security-wellness nexus among a sample of 257 households, categorized into eight groups: food secure with and without wellness, food insecure without hunger with and without wellness sustainability, food insecure with moderate hunger with and without wellness sustainability, and food insecure with severe hunger with and without wellness sustainability.</w:t>
      </w:r>
    </w:p>
    <w:p w14:paraId="2BE819DC" w14:textId="55CADB7F"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Food Secure </w:t>
      </w:r>
      <w:r w:rsidR="00AC2005" w:rsidRPr="004E52C2">
        <w:rPr>
          <w:rFonts w:cstheme="minorHAnsi"/>
          <w:bCs/>
          <w:sz w:val="24"/>
          <w:szCs w:val="24"/>
          <w:lang w:val="en-US"/>
        </w:rPr>
        <w:t>with</w:t>
      </w:r>
      <w:r w:rsidRPr="004E52C2">
        <w:rPr>
          <w:rFonts w:cstheme="minorHAnsi"/>
          <w:bCs/>
          <w:sz w:val="24"/>
          <w:szCs w:val="24"/>
          <w:lang w:val="en-US"/>
        </w:rPr>
        <w:t xml:space="preserve"> Wellness Sustainability at 10.51%, these households have consistent access to nutrition and health, which promotes overall well-being. This is an ideal category. However, this is representative of only one-tenth of the total sample.  Food Insecure Without Hunger </w:t>
      </w:r>
      <w:r w:rsidR="00AC2005" w:rsidRPr="004E52C2">
        <w:rPr>
          <w:rFonts w:cstheme="minorHAnsi"/>
          <w:bCs/>
          <w:sz w:val="24"/>
          <w:szCs w:val="24"/>
          <w:lang w:val="en-US"/>
        </w:rPr>
        <w:t>with</w:t>
      </w:r>
      <w:r w:rsidRPr="004E52C2">
        <w:rPr>
          <w:rFonts w:cstheme="minorHAnsi"/>
          <w:bCs/>
          <w:sz w:val="24"/>
          <w:szCs w:val="24"/>
          <w:lang w:val="en-US"/>
        </w:rPr>
        <w:t xml:space="preserve"> Wellness Sustainability 14.01%, these households may not face hunger, but they encounter challenges in accessing a consistently nutritious and diverse diet despite the presence of wellness programs. Food Insecure </w:t>
      </w:r>
      <w:r w:rsidR="00AC2005" w:rsidRPr="004E52C2">
        <w:rPr>
          <w:rFonts w:cstheme="minorHAnsi"/>
          <w:bCs/>
          <w:sz w:val="24"/>
          <w:szCs w:val="24"/>
          <w:lang w:val="en-US"/>
        </w:rPr>
        <w:t>with</w:t>
      </w:r>
      <w:r w:rsidRPr="004E52C2">
        <w:rPr>
          <w:rFonts w:cstheme="minorHAnsi"/>
          <w:bCs/>
          <w:sz w:val="24"/>
          <w:szCs w:val="24"/>
          <w:lang w:val="en-US"/>
        </w:rPr>
        <w:t xml:space="preserve"> Moderate Hunger With Wellness Sustainability 6.23%, these household experience food insecurity with moderate levels of hunger, while also having access to wellness sustainability initiatives. These households face more pronounced food insecurity, including occasional experiences of moderate hunger, despite the presence of wellness </w:t>
      </w:r>
      <w:r w:rsidRPr="004E52C2">
        <w:rPr>
          <w:rFonts w:cstheme="minorHAnsi"/>
          <w:bCs/>
          <w:sz w:val="24"/>
          <w:szCs w:val="24"/>
          <w:lang w:val="en-US"/>
        </w:rPr>
        <w:lastRenderedPageBreak/>
        <w:t xml:space="preserve">programs. Food Insecure </w:t>
      </w:r>
      <w:r w:rsidR="00D85854" w:rsidRPr="004E52C2">
        <w:rPr>
          <w:rFonts w:cstheme="minorHAnsi"/>
          <w:bCs/>
          <w:sz w:val="24"/>
          <w:szCs w:val="24"/>
          <w:lang w:val="en-US"/>
        </w:rPr>
        <w:t>with</w:t>
      </w:r>
      <w:r w:rsidRPr="004E52C2">
        <w:rPr>
          <w:rFonts w:cstheme="minorHAnsi"/>
          <w:bCs/>
          <w:sz w:val="24"/>
          <w:szCs w:val="24"/>
          <w:lang w:val="en-US"/>
        </w:rPr>
        <w:t xml:space="preserve"> Severe Hunger With Wellness, 2.33% of household experience severe food insecurity and severe hunger while still having access to wellness sustainability initiatives. These households face the most severe challenges in food, even with the presence of wellness sustainability. This is the least</w:t>
      </w:r>
      <w:r w:rsidR="003C54B2">
        <w:rPr>
          <w:rFonts w:cstheme="minorHAnsi"/>
          <w:bCs/>
          <w:sz w:val="24"/>
          <w:szCs w:val="24"/>
          <w:lang w:val="en-US"/>
        </w:rPr>
        <w:t xml:space="preserve"> represented</w:t>
      </w:r>
      <w:r w:rsidRPr="004E52C2">
        <w:rPr>
          <w:rFonts w:cstheme="minorHAnsi"/>
          <w:bCs/>
          <w:sz w:val="24"/>
          <w:szCs w:val="24"/>
          <w:lang w:val="en-US"/>
        </w:rPr>
        <w:t xml:space="preserve"> of all eight groups.</w:t>
      </w:r>
    </w:p>
    <w:p w14:paraId="0234CDE4" w14:textId="7664A3CA"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Food Secure Without Wellness Sustainability, 19.07% of these households do not have access to wellness sustainability. These households have consistent access to food but lack wellness sustainability. These households tend to consume more refined sugars, processed meals, and high salt and fat diets, which predisposes the household to illnesses commonly NCDs related. This is the second largest category. Where one in every five families sampled were categorized in this group. Food Insecure Without Hunger Without Wellness Sustainability, 36.19% of these households face challenges accessing food and well-being concerns. This is the largest category where two of every five households sampled were </w:t>
      </w:r>
      <w:r w:rsidR="00B5477B" w:rsidRPr="004E52C2">
        <w:rPr>
          <w:rFonts w:cstheme="minorHAnsi"/>
          <w:bCs/>
          <w:sz w:val="24"/>
          <w:szCs w:val="24"/>
          <w:lang w:val="en-US"/>
        </w:rPr>
        <w:t>categorized</w:t>
      </w:r>
      <w:r w:rsidRPr="004E52C2">
        <w:rPr>
          <w:rFonts w:cstheme="minorHAnsi"/>
          <w:bCs/>
          <w:sz w:val="24"/>
          <w:szCs w:val="24"/>
          <w:lang w:val="en-US"/>
        </w:rPr>
        <w:t xml:space="preserve"> under.  Food Insecure With Moderate Hunger Without Wellness Sustainability 7.78% of households face more pronounced food insecurity, including occasional experiences of moderate hunger, and do not have wellness sustainability. This household </w:t>
      </w:r>
      <w:r w:rsidR="00AC2005" w:rsidRPr="004E52C2">
        <w:rPr>
          <w:rFonts w:cstheme="minorHAnsi"/>
          <w:bCs/>
          <w:sz w:val="24"/>
          <w:szCs w:val="24"/>
          <w:lang w:val="en-US"/>
        </w:rPr>
        <w:t>barely</w:t>
      </w:r>
      <w:r w:rsidRPr="004E52C2">
        <w:rPr>
          <w:rFonts w:cstheme="minorHAnsi"/>
          <w:bCs/>
          <w:sz w:val="24"/>
          <w:szCs w:val="24"/>
          <w:lang w:val="en-US"/>
        </w:rPr>
        <w:t xml:space="preserve"> eats and has a </w:t>
      </w:r>
      <w:r w:rsidR="003C54B2">
        <w:rPr>
          <w:rFonts w:cstheme="minorHAnsi"/>
          <w:bCs/>
          <w:sz w:val="24"/>
          <w:szCs w:val="24"/>
          <w:lang w:val="en-US"/>
        </w:rPr>
        <w:t>greater risk</w:t>
      </w:r>
      <w:r w:rsidRPr="004E52C2">
        <w:rPr>
          <w:rFonts w:cstheme="minorHAnsi"/>
          <w:bCs/>
          <w:sz w:val="24"/>
          <w:szCs w:val="24"/>
          <w:lang w:val="en-US"/>
        </w:rPr>
        <w:t xml:space="preserve"> of illnesses in their later years. Food Insecure </w:t>
      </w:r>
      <w:r w:rsidR="00AC2005" w:rsidRPr="004E52C2">
        <w:rPr>
          <w:rFonts w:cstheme="minorHAnsi"/>
          <w:bCs/>
          <w:sz w:val="24"/>
          <w:szCs w:val="24"/>
          <w:lang w:val="en-US"/>
        </w:rPr>
        <w:t>with</w:t>
      </w:r>
      <w:r w:rsidRPr="004E52C2">
        <w:rPr>
          <w:rFonts w:cstheme="minorHAnsi"/>
          <w:bCs/>
          <w:sz w:val="24"/>
          <w:szCs w:val="24"/>
          <w:lang w:val="en-US"/>
        </w:rPr>
        <w:t xml:space="preserve"> Severe Hunger Without Wellness Sustainability 3.89%, these households face the most severe challenges in accessing food and wellness sustainability. This group suffers the most, as they lack both food and wellness. </w:t>
      </w:r>
    </w:p>
    <w:p w14:paraId="3ECB4373"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In conclusion, these findings indicate the importance of wellness sustainability in promoting food security. The data suggests that households with wellness sustainability exhibit lower rates of food insecurity, emphasizing the positive impact of such interventions in ensuring consistent access to proper and wholesome food. This highlights the significance of holistic approaches that address both hunger and broader dimensions of food security and well-being.</w:t>
      </w:r>
    </w:p>
    <w:p w14:paraId="16E75F49" w14:textId="4B21B27C"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4</w:t>
      </w:r>
      <w:r w:rsidRPr="004E52C2">
        <w:rPr>
          <w:rFonts w:cstheme="minorHAnsi"/>
          <w:bCs/>
          <w:sz w:val="24"/>
          <w:szCs w:val="24"/>
          <w:lang w:val="en-US"/>
        </w:rPr>
        <w:t>: Distribution of household by food security-wellness nexus</w:t>
      </w:r>
    </w:p>
    <w:tbl>
      <w:tblPr>
        <w:tblStyle w:val="TableGrid"/>
        <w:tblW w:w="9355" w:type="dxa"/>
        <w:tblInd w:w="0" w:type="dxa"/>
        <w:tblLook w:val="04A0" w:firstRow="1" w:lastRow="0" w:firstColumn="1" w:lastColumn="0" w:noHBand="0" w:noVBand="1"/>
      </w:tblPr>
      <w:tblGrid>
        <w:gridCol w:w="2245"/>
        <w:gridCol w:w="1530"/>
        <w:gridCol w:w="1800"/>
        <w:gridCol w:w="1890"/>
        <w:gridCol w:w="1890"/>
      </w:tblGrid>
      <w:tr w:rsidR="00141B2C" w:rsidRPr="004E52C2" w14:paraId="2B6FEB58"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453F2918"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n=257</w:t>
            </w:r>
          </w:p>
        </w:tc>
        <w:tc>
          <w:tcPr>
            <w:tcW w:w="1530" w:type="dxa"/>
            <w:tcBorders>
              <w:top w:val="single" w:sz="4" w:space="0" w:color="auto"/>
              <w:left w:val="single" w:sz="4" w:space="0" w:color="auto"/>
              <w:bottom w:val="single" w:sz="4" w:space="0" w:color="auto"/>
              <w:right w:val="single" w:sz="4" w:space="0" w:color="auto"/>
            </w:tcBorders>
            <w:hideMark/>
          </w:tcPr>
          <w:p w14:paraId="231852B1"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Food Secure</w:t>
            </w:r>
          </w:p>
          <w:p w14:paraId="77290306"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w:t>
            </w:r>
          </w:p>
        </w:tc>
        <w:tc>
          <w:tcPr>
            <w:tcW w:w="1800" w:type="dxa"/>
            <w:tcBorders>
              <w:top w:val="single" w:sz="4" w:space="0" w:color="auto"/>
              <w:left w:val="single" w:sz="4" w:space="0" w:color="auto"/>
              <w:bottom w:val="single" w:sz="4" w:space="0" w:color="auto"/>
              <w:right w:val="single" w:sz="4" w:space="0" w:color="auto"/>
            </w:tcBorders>
            <w:hideMark/>
          </w:tcPr>
          <w:p w14:paraId="7B65FC41"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Food insecure without hunger (%)</w:t>
            </w:r>
          </w:p>
        </w:tc>
        <w:tc>
          <w:tcPr>
            <w:tcW w:w="1890" w:type="dxa"/>
            <w:tcBorders>
              <w:top w:val="single" w:sz="4" w:space="0" w:color="auto"/>
              <w:left w:val="single" w:sz="4" w:space="0" w:color="auto"/>
              <w:bottom w:val="single" w:sz="4" w:space="0" w:color="auto"/>
              <w:right w:val="single" w:sz="4" w:space="0" w:color="auto"/>
            </w:tcBorders>
            <w:hideMark/>
          </w:tcPr>
          <w:p w14:paraId="128B4C37"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Food insecure with moderate hunger (%)</w:t>
            </w:r>
          </w:p>
        </w:tc>
        <w:tc>
          <w:tcPr>
            <w:tcW w:w="1890" w:type="dxa"/>
            <w:tcBorders>
              <w:top w:val="single" w:sz="4" w:space="0" w:color="auto"/>
              <w:left w:val="single" w:sz="4" w:space="0" w:color="auto"/>
              <w:bottom w:val="single" w:sz="4" w:space="0" w:color="auto"/>
              <w:right w:val="single" w:sz="4" w:space="0" w:color="auto"/>
            </w:tcBorders>
            <w:hideMark/>
          </w:tcPr>
          <w:p w14:paraId="04F7A48A"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Food insecure with severe hunger (%)</w:t>
            </w:r>
          </w:p>
        </w:tc>
      </w:tr>
      <w:tr w:rsidR="00141B2C" w:rsidRPr="004E52C2" w14:paraId="6D41EF51"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7FA4650F"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 xml:space="preserve">With Wellness sustainability </w:t>
            </w:r>
          </w:p>
        </w:tc>
        <w:tc>
          <w:tcPr>
            <w:tcW w:w="1530" w:type="dxa"/>
            <w:tcBorders>
              <w:top w:val="single" w:sz="4" w:space="0" w:color="auto"/>
              <w:left w:val="single" w:sz="4" w:space="0" w:color="auto"/>
              <w:bottom w:val="single" w:sz="4" w:space="0" w:color="auto"/>
              <w:right w:val="single" w:sz="4" w:space="0" w:color="auto"/>
            </w:tcBorders>
            <w:hideMark/>
          </w:tcPr>
          <w:p w14:paraId="60C5E556"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10.51</w:t>
            </w:r>
          </w:p>
        </w:tc>
        <w:tc>
          <w:tcPr>
            <w:tcW w:w="1800" w:type="dxa"/>
            <w:tcBorders>
              <w:top w:val="single" w:sz="4" w:space="0" w:color="auto"/>
              <w:left w:val="single" w:sz="4" w:space="0" w:color="auto"/>
              <w:bottom w:val="single" w:sz="4" w:space="0" w:color="auto"/>
              <w:right w:val="single" w:sz="4" w:space="0" w:color="auto"/>
            </w:tcBorders>
            <w:hideMark/>
          </w:tcPr>
          <w:p w14:paraId="22FBFBDF"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14.01</w:t>
            </w:r>
          </w:p>
        </w:tc>
        <w:tc>
          <w:tcPr>
            <w:tcW w:w="1890" w:type="dxa"/>
            <w:tcBorders>
              <w:top w:val="single" w:sz="4" w:space="0" w:color="auto"/>
              <w:left w:val="single" w:sz="4" w:space="0" w:color="auto"/>
              <w:bottom w:val="single" w:sz="4" w:space="0" w:color="auto"/>
              <w:right w:val="single" w:sz="4" w:space="0" w:color="auto"/>
            </w:tcBorders>
            <w:hideMark/>
          </w:tcPr>
          <w:p w14:paraId="37FA5581"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6.23</w:t>
            </w:r>
          </w:p>
        </w:tc>
        <w:tc>
          <w:tcPr>
            <w:tcW w:w="1890" w:type="dxa"/>
            <w:tcBorders>
              <w:top w:val="single" w:sz="4" w:space="0" w:color="auto"/>
              <w:left w:val="single" w:sz="4" w:space="0" w:color="auto"/>
              <w:bottom w:val="single" w:sz="4" w:space="0" w:color="auto"/>
              <w:right w:val="single" w:sz="4" w:space="0" w:color="auto"/>
            </w:tcBorders>
            <w:hideMark/>
          </w:tcPr>
          <w:p w14:paraId="19AF183F"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2.33</w:t>
            </w:r>
          </w:p>
        </w:tc>
      </w:tr>
      <w:tr w:rsidR="00141B2C" w:rsidRPr="004E52C2" w14:paraId="794DAF8D" w14:textId="77777777" w:rsidTr="00D85854">
        <w:tc>
          <w:tcPr>
            <w:tcW w:w="2245" w:type="dxa"/>
            <w:tcBorders>
              <w:top w:val="single" w:sz="4" w:space="0" w:color="auto"/>
              <w:left w:val="single" w:sz="4" w:space="0" w:color="auto"/>
              <w:bottom w:val="single" w:sz="4" w:space="0" w:color="auto"/>
              <w:right w:val="single" w:sz="4" w:space="0" w:color="auto"/>
            </w:tcBorders>
            <w:hideMark/>
          </w:tcPr>
          <w:p w14:paraId="1586ECBE" w14:textId="77777777" w:rsidR="00141B2C" w:rsidRPr="004E52C2" w:rsidRDefault="00141B2C" w:rsidP="00F4229D">
            <w:pPr>
              <w:spacing w:after="160" w:line="259" w:lineRule="auto"/>
              <w:ind w:left="0" w:right="0" w:firstLine="0"/>
              <w:jc w:val="both"/>
              <w:rPr>
                <w:rFonts w:cstheme="minorHAnsi"/>
                <w:b/>
                <w:bCs/>
                <w:sz w:val="24"/>
                <w:szCs w:val="24"/>
                <w:lang w:val="en-US"/>
              </w:rPr>
            </w:pPr>
            <w:r w:rsidRPr="004E52C2">
              <w:rPr>
                <w:rFonts w:cstheme="minorHAnsi"/>
                <w:b/>
                <w:bCs/>
                <w:sz w:val="24"/>
                <w:szCs w:val="24"/>
                <w:lang w:val="en-US"/>
              </w:rPr>
              <w:t>Without Wellness sustainability</w:t>
            </w:r>
          </w:p>
        </w:tc>
        <w:tc>
          <w:tcPr>
            <w:tcW w:w="1530" w:type="dxa"/>
            <w:tcBorders>
              <w:top w:val="single" w:sz="4" w:space="0" w:color="auto"/>
              <w:left w:val="single" w:sz="4" w:space="0" w:color="auto"/>
              <w:bottom w:val="single" w:sz="4" w:space="0" w:color="auto"/>
              <w:right w:val="single" w:sz="4" w:space="0" w:color="auto"/>
            </w:tcBorders>
            <w:hideMark/>
          </w:tcPr>
          <w:p w14:paraId="7434E14E"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19.07</w:t>
            </w:r>
          </w:p>
        </w:tc>
        <w:tc>
          <w:tcPr>
            <w:tcW w:w="1800" w:type="dxa"/>
            <w:tcBorders>
              <w:top w:val="single" w:sz="4" w:space="0" w:color="auto"/>
              <w:left w:val="single" w:sz="4" w:space="0" w:color="auto"/>
              <w:bottom w:val="single" w:sz="4" w:space="0" w:color="auto"/>
              <w:right w:val="single" w:sz="4" w:space="0" w:color="auto"/>
            </w:tcBorders>
            <w:hideMark/>
          </w:tcPr>
          <w:p w14:paraId="2BB45497"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36.19</w:t>
            </w:r>
          </w:p>
        </w:tc>
        <w:tc>
          <w:tcPr>
            <w:tcW w:w="1890" w:type="dxa"/>
            <w:tcBorders>
              <w:top w:val="single" w:sz="4" w:space="0" w:color="auto"/>
              <w:left w:val="single" w:sz="4" w:space="0" w:color="auto"/>
              <w:bottom w:val="single" w:sz="4" w:space="0" w:color="auto"/>
              <w:right w:val="single" w:sz="4" w:space="0" w:color="auto"/>
            </w:tcBorders>
            <w:hideMark/>
          </w:tcPr>
          <w:p w14:paraId="401DE405"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7.78</w:t>
            </w:r>
          </w:p>
        </w:tc>
        <w:tc>
          <w:tcPr>
            <w:tcW w:w="1890" w:type="dxa"/>
            <w:tcBorders>
              <w:top w:val="single" w:sz="4" w:space="0" w:color="auto"/>
              <w:left w:val="single" w:sz="4" w:space="0" w:color="auto"/>
              <w:bottom w:val="single" w:sz="4" w:space="0" w:color="auto"/>
              <w:right w:val="single" w:sz="4" w:space="0" w:color="auto"/>
            </w:tcBorders>
            <w:hideMark/>
          </w:tcPr>
          <w:p w14:paraId="55C17260" w14:textId="77777777" w:rsidR="00141B2C" w:rsidRPr="004E52C2" w:rsidRDefault="00141B2C" w:rsidP="00F4229D">
            <w:pPr>
              <w:spacing w:after="160" w:line="259" w:lineRule="auto"/>
              <w:ind w:left="0" w:right="0" w:firstLine="0"/>
              <w:jc w:val="both"/>
              <w:rPr>
                <w:rFonts w:cstheme="minorHAnsi"/>
                <w:bCs/>
                <w:sz w:val="24"/>
                <w:szCs w:val="24"/>
                <w:lang w:val="en-US"/>
              </w:rPr>
            </w:pPr>
            <w:r w:rsidRPr="004E52C2">
              <w:rPr>
                <w:rFonts w:cstheme="minorHAnsi"/>
                <w:bCs/>
                <w:sz w:val="24"/>
                <w:szCs w:val="24"/>
                <w:lang w:val="en-US"/>
              </w:rPr>
              <w:t>3.89</w:t>
            </w:r>
          </w:p>
        </w:tc>
      </w:tr>
    </w:tbl>
    <w:p w14:paraId="3454BCE5"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31DF5CA8" w14:textId="77777777" w:rsidR="00141B2C" w:rsidRPr="004E52C2" w:rsidRDefault="00141B2C" w:rsidP="00F4229D">
      <w:pPr>
        <w:jc w:val="both"/>
        <w:rPr>
          <w:rFonts w:cstheme="minorHAnsi"/>
          <w:b/>
          <w:bCs/>
          <w:sz w:val="24"/>
          <w:szCs w:val="24"/>
          <w:lang w:val="en-US"/>
        </w:rPr>
      </w:pPr>
    </w:p>
    <w:p w14:paraId="60F26D19" w14:textId="22C7B24A"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.4.2 Factors Influencing Household Wellness Sustainability By Food Security Categories</w:t>
      </w:r>
    </w:p>
    <w:p w14:paraId="57328762" w14:textId="1366C385" w:rsidR="00141B2C" w:rsidRPr="004E52C2" w:rsidRDefault="00F4229D" w:rsidP="00F4229D">
      <w:pPr>
        <w:jc w:val="both"/>
        <w:rPr>
          <w:rFonts w:cstheme="minorHAnsi"/>
          <w:bCs/>
          <w:sz w:val="24"/>
          <w:szCs w:val="24"/>
          <w:lang w:val="en-US"/>
        </w:rPr>
      </w:pPr>
      <w:r>
        <w:rPr>
          <w:rFonts w:cstheme="minorHAnsi"/>
          <w:bCs/>
          <w:sz w:val="24"/>
          <w:szCs w:val="24"/>
          <w:lang w:val="en-US"/>
        </w:rPr>
        <w:lastRenderedPageBreak/>
        <w:t>Table 15</w:t>
      </w:r>
      <w:r w:rsidR="00141B2C" w:rsidRPr="004E52C2">
        <w:rPr>
          <w:rFonts w:cstheme="minorHAnsi"/>
          <w:bCs/>
          <w:sz w:val="24"/>
          <w:szCs w:val="24"/>
          <w:lang w:val="en-US"/>
        </w:rPr>
        <w:t xml:space="preserve"> shows the results of a series of logistic regressions of the factors influencing a household to attain wellness sustainability by food security status. </w:t>
      </w:r>
    </w:p>
    <w:p w14:paraId="48809258"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For food Secure with wellness sustainability: Age of the Household head is significant at 10%. The marginal effect of -0.003 means for every unit increase in the age of the household head, the probability of being food secure with wellness sustainability decreases by 0.3%. This suggests that older household heads are more likely to experience food insecurity. Location of Household is significant at 1%. The marginal effect of 0.108 means that a household's location increases the probability of the household being food secure with wellness sustainability by 10.8%. This suggests that the locality of a household influences the household’s wellness sustainability towards being food secure.</w:t>
      </w:r>
    </w:p>
    <w:p w14:paraId="077B085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Food Insecure without Hunger with wellness sustainability: The marital status of the Household head is significant at 10%. The marginal effect of 0.088 means the household head's marital status increases the probability of attaining wellness sustainability in the food insecure without hunger category by 8.8%. Being married is associated with being food insecure without hunger with wellness sustainability. The primary occupation of the household head is significant at 10%. The marginal effect of -0.157 means that the primary occupation of the household head decreases the probability of the household attaining wellness sustainability in the food insecure without hunger category by 15.7%. This suggests that having a farming occupation decreases your probability of being food insecure with wellness sustainability. </w:t>
      </w:r>
    </w:p>
    <w:p w14:paraId="15FBF1A9"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Food Insecure with Moderate Hunger: Location of Households is significant at 5%. The marginal effect of -0.124 means that the location of a household decreases the probability of the household attaining wellness sustainability in the food insecure with moderate hunger category by 12.4%. Living in a sparsely populated area decreases a household's likelihood of being food insecure, with moderate hunger, while attaining wellness sustainability. </w:t>
      </w:r>
    </w:p>
    <w:p w14:paraId="7D72A420"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Food Insecure with Severe Hunger: Age of the Household head is significant at 1%. The marginal effect of -0.003 means that for every unit increase in the age of the household head, the probability of the household attaining wellness sustainability in the food insecure with severe hunger category decreases by 0.3%. This suggests that older household heads are less likely to experience food insecurity with severe hunger while attaining wellness sustainability. The monthly income of the Household head is significant at 5%. The marginal effect of 7.67e-07 means that the unit increase per naira in the monthly income of the household head increases the probability of the household attaining wellness sustainability in the food insecure with severe hunger category by 0.000077%</w:t>
      </w:r>
    </w:p>
    <w:p w14:paraId="320F679F" w14:textId="77777777" w:rsidR="00141B2C" w:rsidRPr="004E52C2" w:rsidRDefault="00141B2C" w:rsidP="00F4229D">
      <w:pPr>
        <w:jc w:val="both"/>
        <w:rPr>
          <w:rFonts w:cstheme="minorHAnsi"/>
          <w:bCs/>
          <w:sz w:val="24"/>
          <w:szCs w:val="24"/>
          <w:lang w:val="en-US"/>
        </w:rPr>
      </w:pPr>
    </w:p>
    <w:p w14:paraId="14070C51"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br w:type="page"/>
      </w:r>
    </w:p>
    <w:p w14:paraId="6D7032D3" w14:textId="4E1A5BA6" w:rsidR="00141B2C" w:rsidRPr="004E52C2" w:rsidRDefault="00141B2C" w:rsidP="00F4229D">
      <w:pPr>
        <w:jc w:val="both"/>
        <w:rPr>
          <w:rFonts w:cstheme="minorHAnsi"/>
          <w:bCs/>
          <w:sz w:val="24"/>
          <w:szCs w:val="24"/>
          <w:lang w:val="en-US"/>
        </w:rPr>
      </w:pPr>
      <w:r w:rsidRPr="004E52C2">
        <w:rPr>
          <w:rFonts w:cstheme="minorHAnsi"/>
          <w:bCs/>
          <w:sz w:val="24"/>
          <w:szCs w:val="24"/>
          <w:lang w:val="en-US"/>
        </w:rPr>
        <w:lastRenderedPageBreak/>
        <w:t>Table 1</w:t>
      </w:r>
      <w:r w:rsidR="00D92B88">
        <w:rPr>
          <w:rFonts w:cstheme="minorHAnsi"/>
          <w:bCs/>
          <w:sz w:val="24"/>
          <w:szCs w:val="24"/>
          <w:lang w:val="en-US"/>
        </w:rPr>
        <w:t>5</w:t>
      </w:r>
      <w:r w:rsidRPr="004E52C2">
        <w:rPr>
          <w:rFonts w:cstheme="minorHAnsi"/>
          <w:bCs/>
          <w:sz w:val="24"/>
          <w:szCs w:val="24"/>
          <w:lang w:val="en-US"/>
        </w:rPr>
        <w:t xml:space="preserve">: Showing the Factors influencing households to attain wellness sustainability by food security status. </w:t>
      </w:r>
    </w:p>
    <w:tbl>
      <w:tblPr>
        <w:tblStyle w:val="TableGrid1"/>
        <w:tblW w:w="10080" w:type="dxa"/>
        <w:tblInd w:w="-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50"/>
        <w:gridCol w:w="1530"/>
        <w:gridCol w:w="1800"/>
        <w:gridCol w:w="1800"/>
        <w:gridCol w:w="1800"/>
      </w:tblGrid>
      <w:tr w:rsidR="00141B2C" w:rsidRPr="004E52C2" w14:paraId="16B2C82C" w14:textId="77777777" w:rsidTr="00D85854">
        <w:tc>
          <w:tcPr>
            <w:tcW w:w="3150" w:type="dxa"/>
            <w:tcBorders>
              <w:top w:val="single" w:sz="4" w:space="0" w:color="auto"/>
              <w:left w:val="nil"/>
              <w:bottom w:val="single" w:sz="4" w:space="0" w:color="auto"/>
              <w:right w:val="nil"/>
            </w:tcBorders>
            <w:hideMark/>
          </w:tcPr>
          <w:p w14:paraId="045AB9B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Variables</w:t>
            </w:r>
          </w:p>
        </w:tc>
        <w:tc>
          <w:tcPr>
            <w:tcW w:w="1530" w:type="dxa"/>
            <w:tcBorders>
              <w:top w:val="single" w:sz="4" w:space="0" w:color="auto"/>
              <w:left w:val="nil"/>
              <w:bottom w:val="single" w:sz="4" w:space="0" w:color="auto"/>
              <w:right w:val="nil"/>
            </w:tcBorders>
            <w:hideMark/>
          </w:tcPr>
          <w:p w14:paraId="2793A56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secure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663E41C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without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7D6E60C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Moderate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0E84C62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Severe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r>
      <w:tr w:rsidR="00141B2C" w:rsidRPr="004E52C2" w14:paraId="3A21C479" w14:textId="77777777" w:rsidTr="00D85854">
        <w:tc>
          <w:tcPr>
            <w:tcW w:w="3150" w:type="dxa"/>
            <w:tcBorders>
              <w:top w:val="single" w:sz="4" w:space="0" w:color="auto"/>
              <w:left w:val="nil"/>
              <w:bottom w:val="single" w:sz="4" w:space="0" w:color="auto"/>
              <w:right w:val="nil"/>
            </w:tcBorders>
            <w:hideMark/>
          </w:tcPr>
          <w:p w14:paraId="63B5F91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Sex of Household head</w:t>
            </w:r>
          </w:p>
        </w:tc>
        <w:tc>
          <w:tcPr>
            <w:tcW w:w="1530" w:type="dxa"/>
            <w:tcBorders>
              <w:top w:val="single" w:sz="4" w:space="0" w:color="auto"/>
              <w:left w:val="nil"/>
              <w:bottom w:val="single" w:sz="4" w:space="0" w:color="auto"/>
              <w:right w:val="nil"/>
            </w:tcBorders>
            <w:vAlign w:val="center"/>
            <w:hideMark/>
          </w:tcPr>
          <w:p w14:paraId="57215DD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0.0454 (0.051)</w:t>
            </w:r>
          </w:p>
        </w:tc>
        <w:tc>
          <w:tcPr>
            <w:tcW w:w="1800" w:type="dxa"/>
            <w:tcBorders>
              <w:top w:val="single" w:sz="4" w:space="0" w:color="auto"/>
              <w:left w:val="nil"/>
              <w:bottom w:val="single" w:sz="4" w:space="0" w:color="auto"/>
              <w:right w:val="nil"/>
            </w:tcBorders>
            <w:vAlign w:val="center"/>
            <w:hideMark/>
          </w:tcPr>
          <w:p w14:paraId="3619D85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w:t>
            </w:r>
          </w:p>
          <w:p w14:paraId="188CAC1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(0.048)</w:t>
            </w:r>
          </w:p>
        </w:tc>
        <w:tc>
          <w:tcPr>
            <w:tcW w:w="1800" w:type="dxa"/>
            <w:tcBorders>
              <w:top w:val="single" w:sz="4" w:space="0" w:color="auto"/>
              <w:left w:val="nil"/>
              <w:bottom w:val="single" w:sz="4" w:space="0" w:color="auto"/>
              <w:right w:val="nil"/>
            </w:tcBorders>
            <w:vAlign w:val="center"/>
            <w:hideMark/>
          </w:tcPr>
          <w:p w14:paraId="67B3A4B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-0.004</w:t>
            </w:r>
          </w:p>
          <w:p w14:paraId="71C29B3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(0.036)</w:t>
            </w:r>
          </w:p>
        </w:tc>
        <w:tc>
          <w:tcPr>
            <w:tcW w:w="1800" w:type="dxa"/>
            <w:tcBorders>
              <w:top w:val="single" w:sz="4" w:space="0" w:color="auto"/>
              <w:left w:val="nil"/>
              <w:bottom w:val="single" w:sz="4" w:space="0" w:color="auto"/>
              <w:right w:val="nil"/>
            </w:tcBorders>
            <w:vAlign w:val="center"/>
            <w:hideMark/>
          </w:tcPr>
          <w:p w14:paraId="51C9FA5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p w14:paraId="4C96395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(0.023)</w:t>
            </w:r>
          </w:p>
        </w:tc>
      </w:tr>
      <w:tr w:rsidR="00141B2C" w:rsidRPr="004E52C2" w14:paraId="1BF9D768" w14:textId="77777777" w:rsidTr="00D85854">
        <w:tc>
          <w:tcPr>
            <w:tcW w:w="3150" w:type="dxa"/>
            <w:tcBorders>
              <w:top w:val="single" w:sz="4" w:space="0" w:color="auto"/>
              <w:left w:val="nil"/>
              <w:bottom w:val="single" w:sz="4" w:space="0" w:color="auto"/>
              <w:right w:val="nil"/>
            </w:tcBorders>
            <w:hideMark/>
          </w:tcPr>
          <w:p w14:paraId="3C7B2CF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Age of Household head </w:t>
            </w:r>
          </w:p>
        </w:tc>
        <w:tc>
          <w:tcPr>
            <w:tcW w:w="1530" w:type="dxa"/>
            <w:tcBorders>
              <w:top w:val="single" w:sz="4" w:space="0" w:color="auto"/>
              <w:left w:val="nil"/>
              <w:bottom w:val="single" w:sz="4" w:space="0" w:color="auto"/>
              <w:right w:val="nil"/>
            </w:tcBorders>
            <w:vAlign w:val="center"/>
            <w:hideMark/>
          </w:tcPr>
          <w:p w14:paraId="5C783BB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p w14:paraId="0B96F83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vAlign w:val="center"/>
            <w:hideMark/>
          </w:tcPr>
          <w:p w14:paraId="39BCA2E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14C1703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tc>
        <w:tc>
          <w:tcPr>
            <w:tcW w:w="1800" w:type="dxa"/>
            <w:tcBorders>
              <w:top w:val="single" w:sz="4" w:space="0" w:color="auto"/>
              <w:left w:val="nil"/>
              <w:bottom w:val="single" w:sz="4" w:space="0" w:color="auto"/>
              <w:right w:val="nil"/>
            </w:tcBorders>
            <w:vAlign w:val="center"/>
            <w:hideMark/>
          </w:tcPr>
          <w:p w14:paraId="5BFB166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4A97ED4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tc>
        <w:tc>
          <w:tcPr>
            <w:tcW w:w="1800" w:type="dxa"/>
            <w:tcBorders>
              <w:top w:val="single" w:sz="4" w:space="0" w:color="auto"/>
              <w:left w:val="nil"/>
              <w:bottom w:val="single" w:sz="4" w:space="0" w:color="auto"/>
              <w:right w:val="nil"/>
            </w:tcBorders>
            <w:vAlign w:val="center"/>
            <w:hideMark/>
          </w:tcPr>
          <w:p w14:paraId="4177621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   (0.001)</w:t>
            </w:r>
          </w:p>
        </w:tc>
      </w:tr>
      <w:tr w:rsidR="00141B2C" w:rsidRPr="004E52C2" w14:paraId="7A04279B" w14:textId="77777777" w:rsidTr="00D85854">
        <w:tc>
          <w:tcPr>
            <w:tcW w:w="3150" w:type="dxa"/>
            <w:tcBorders>
              <w:top w:val="single" w:sz="4" w:space="0" w:color="auto"/>
              <w:left w:val="nil"/>
              <w:bottom w:val="single" w:sz="4" w:space="0" w:color="auto"/>
              <w:right w:val="nil"/>
            </w:tcBorders>
            <w:hideMark/>
          </w:tcPr>
          <w:p w14:paraId="5AC9713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530" w:type="dxa"/>
            <w:tcBorders>
              <w:top w:val="single" w:sz="4" w:space="0" w:color="auto"/>
              <w:left w:val="nil"/>
              <w:bottom w:val="single" w:sz="4" w:space="0" w:color="auto"/>
              <w:right w:val="nil"/>
            </w:tcBorders>
            <w:vAlign w:val="center"/>
            <w:hideMark/>
          </w:tcPr>
          <w:p w14:paraId="7D09534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-0.010</w:t>
            </w:r>
          </w:p>
          <w:p w14:paraId="69CC8DC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(0.017)</w:t>
            </w:r>
          </w:p>
        </w:tc>
        <w:tc>
          <w:tcPr>
            <w:tcW w:w="1800" w:type="dxa"/>
            <w:tcBorders>
              <w:top w:val="single" w:sz="4" w:space="0" w:color="auto"/>
              <w:left w:val="nil"/>
              <w:bottom w:val="single" w:sz="4" w:space="0" w:color="auto"/>
              <w:right w:val="nil"/>
            </w:tcBorders>
            <w:vAlign w:val="center"/>
            <w:hideMark/>
          </w:tcPr>
          <w:p w14:paraId="6767F41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-0.016</w:t>
            </w:r>
          </w:p>
          <w:p w14:paraId="1A0D012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(0.020)</w:t>
            </w:r>
          </w:p>
        </w:tc>
        <w:tc>
          <w:tcPr>
            <w:tcW w:w="1800" w:type="dxa"/>
            <w:tcBorders>
              <w:top w:val="single" w:sz="4" w:space="0" w:color="auto"/>
              <w:left w:val="nil"/>
              <w:bottom w:val="single" w:sz="4" w:space="0" w:color="auto"/>
              <w:right w:val="nil"/>
            </w:tcBorders>
            <w:vAlign w:val="center"/>
            <w:hideMark/>
          </w:tcPr>
          <w:p w14:paraId="7FF248B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0.014</w:t>
            </w:r>
          </w:p>
          <w:p w14:paraId="0CDBEDD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(0.012)</w:t>
            </w:r>
          </w:p>
        </w:tc>
        <w:tc>
          <w:tcPr>
            <w:tcW w:w="1800" w:type="dxa"/>
            <w:tcBorders>
              <w:top w:val="single" w:sz="4" w:space="0" w:color="auto"/>
              <w:left w:val="nil"/>
              <w:bottom w:val="single" w:sz="4" w:space="0" w:color="auto"/>
              <w:right w:val="nil"/>
            </w:tcBorders>
            <w:vAlign w:val="center"/>
            <w:hideMark/>
          </w:tcPr>
          <w:p w14:paraId="6C3F4F4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w:t>
            </w:r>
          </w:p>
          <w:p w14:paraId="53D052C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r>
      <w:tr w:rsidR="00141B2C" w:rsidRPr="004E52C2" w14:paraId="71B87AE4" w14:textId="77777777" w:rsidTr="00D85854">
        <w:tc>
          <w:tcPr>
            <w:tcW w:w="3150" w:type="dxa"/>
            <w:tcBorders>
              <w:top w:val="single" w:sz="4" w:space="0" w:color="auto"/>
              <w:left w:val="nil"/>
              <w:bottom w:val="single" w:sz="4" w:space="0" w:color="auto"/>
              <w:right w:val="nil"/>
            </w:tcBorders>
            <w:hideMark/>
          </w:tcPr>
          <w:p w14:paraId="0C704F8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530" w:type="dxa"/>
            <w:tcBorders>
              <w:top w:val="single" w:sz="4" w:space="0" w:color="auto"/>
              <w:left w:val="nil"/>
              <w:bottom w:val="single" w:sz="4" w:space="0" w:color="auto"/>
              <w:right w:val="nil"/>
            </w:tcBorders>
            <w:vAlign w:val="center"/>
            <w:hideMark/>
          </w:tcPr>
          <w:p w14:paraId="4BA8EA4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-0.008   (0.041)</w:t>
            </w:r>
          </w:p>
        </w:tc>
        <w:tc>
          <w:tcPr>
            <w:tcW w:w="1800" w:type="dxa"/>
            <w:tcBorders>
              <w:top w:val="single" w:sz="4" w:space="0" w:color="auto"/>
              <w:left w:val="nil"/>
              <w:bottom w:val="single" w:sz="4" w:space="0" w:color="auto"/>
              <w:right w:val="nil"/>
            </w:tcBorders>
            <w:vAlign w:val="center"/>
            <w:hideMark/>
          </w:tcPr>
          <w:p w14:paraId="2A31858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0.088*</w:t>
            </w:r>
          </w:p>
          <w:p w14:paraId="48DB978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(0.051)</w:t>
            </w:r>
          </w:p>
        </w:tc>
        <w:tc>
          <w:tcPr>
            <w:tcW w:w="1800" w:type="dxa"/>
            <w:tcBorders>
              <w:top w:val="single" w:sz="4" w:space="0" w:color="auto"/>
              <w:left w:val="nil"/>
              <w:bottom w:val="single" w:sz="4" w:space="0" w:color="auto"/>
              <w:right w:val="nil"/>
            </w:tcBorders>
            <w:vAlign w:val="center"/>
            <w:hideMark/>
          </w:tcPr>
          <w:p w14:paraId="2B5104F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0.058</w:t>
            </w:r>
          </w:p>
          <w:p w14:paraId="5E373E6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(0.040)</w:t>
            </w:r>
          </w:p>
        </w:tc>
        <w:tc>
          <w:tcPr>
            <w:tcW w:w="1800" w:type="dxa"/>
            <w:tcBorders>
              <w:top w:val="single" w:sz="4" w:space="0" w:color="auto"/>
              <w:left w:val="nil"/>
              <w:bottom w:val="single" w:sz="4" w:space="0" w:color="auto"/>
              <w:right w:val="nil"/>
            </w:tcBorders>
            <w:vAlign w:val="center"/>
            <w:hideMark/>
          </w:tcPr>
          <w:p w14:paraId="0862FA9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-0.018</w:t>
            </w:r>
          </w:p>
          <w:p w14:paraId="583483F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(0.017)</w:t>
            </w:r>
          </w:p>
        </w:tc>
      </w:tr>
      <w:tr w:rsidR="00141B2C" w:rsidRPr="004E52C2" w14:paraId="60F75154" w14:textId="77777777" w:rsidTr="00D85854">
        <w:tc>
          <w:tcPr>
            <w:tcW w:w="3150" w:type="dxa"/>
            <w:tcBorders>
              <w:top w:val="single" w:sz="4" w:space="0" w:color="auto"/>
              <w:left w:val="nil"/>
              <w:bottom w:val="single" w:sz="4" w:space="0" w:color="auto"/>
              <w:right w:val="nil"/>
            </w:tcBorders>
            <w:hideMark/>
          </w:tcPr>
          <w:p w14:paraId="4D4F71F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Household size </w:t>
            </w:r>
          </w:p>
        </w:tc>
        <w:tc>
          <w:tcPr>
            <w:tcW w:w="1530" w:type="dxa"/>
            <w:tcBorders>
              <w:top w:val="single" w:sz="4" w:space="0" w:color="auto"/>
              <w:left w:val="nil"/>
              <w:bottom w:val="single" w:sz="4" w:space="0" w:color="auto"/>
              <w:right w:val="nil"/>
            </w:tcBorders>
            <w:vAlign w:val="center"/>
            <w:hideMark/>
          </w:tcPr>
          <w:p w14:paraId="7BD300C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-0.009</w:t>
            </w:r>
          </w:p>
          <w:p w14:paraId="68D2483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c>
          <w:tcPr>
            <w:tcW w:w="1800" w:type="dxa"/>
            <w:tcBorders>
              <w:top w:val="single" w:sz="4" w:space="0" w:color="auto"/>
              <w:left w:val="nil"/>
              <w:bottom w:val="single" w:sz="4" w:space="0" w:color="auto"/>
              <w:right w:val="nil"/>
            </w:tcBorders>
            <w:vAlign w:val="center"/>
            <w:hideMark/>
          </w:tcPr>
          <w:p w14:paraId="6628F8C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p w14:paraId="4CDD279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(0.011)</w:t>
            </w:r>
          </w:p>
        </w:tc>
        <w:tc>
          <w:tcPr>
            <w:tcW w:w="1800" w:type="dxa"/>
            <w:tcBorders>
              <w:top w:val="single" w:sz="4" w:space="0" w:color="auto"/>
              <w:left w:val="nil"/>
              <w:bottom w:val="single" w:sz="4" w:space="0" w:color="auto"/>
              <w:right w:val="nil"/>
            </w:tcBorders>
            <w:vAlign w:val="center"/>
            <w:hideMark/>
          </w:tcPr>
          <w:p w14:paraId="5B43926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-0.002</w:t>
            </w:r>
          </w:p>
          <w:p w14:paraId="4A548A7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tc>
        <w:tc>
          <w:tcPr>
            <w:tcW w:w="1800" w:type="dxa"/>
            <w:tcBorders>
              <w:top w:val="single" w:sz="4" w:space="0" w:color="auto"/>
              <w:left w:val="nil"/>
              <w:bottom w:val="single" w:sz="4" w:space="0" w:color="auto"/>
              <w:right w:val="nil"/>
            </w:tcBorders>
            <w:vAlign w:val="center"/>
            <w:hideMark/>
          </w:tcPr>
          <w:p w14:paraId="28515D5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54767F1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tc>
      </w:tr>
      <w:tr w:rsidR="00141B2C" w:rsidRPr="004E52C2" w14:paraId="4467FCDE" w14:textId="77777777" w:rsidTr="00D85854">
        <w:tc>
          <w:tcPr>
            <w:tcW w:w="3150" w:type="dxa"/>
            <w:tcBorders>
              <w:top w:val="single" w:sz="4" w:space="0" w:color="auto"/>
              <w:left w:val="nil"/>
              <w:bottom w:val="single" w:sz="4" w:space="0" w:color="auto"/>
              <w:right w:val="nil"/>
            </w:tcBorders>
            <w:hideMark/>
          </w:tcPr>
          <w:p w14:paraId="0AF7DC8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530" w:type="dxa"/>
            <w:tcBorders>
              <w:top w:val="single" w:sz="4" w:space="0" w:color="auto"/>
              <w:left w:val="nil"/>
              <w:bottom w:val="single" w:sz="4" w:space="0" w:color="auto"/>
              <w:right w:val="nil"/>
            </w:tcBorders>
            <w:vAlign w:val="center"/>
            <w:hideMark/>
          </w:tcPr>
          <w:p w14:paraId="61D41F27" w14:textId="0DB57F4F"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0.108*** (0.042)</w:t>
            </w:r>
          </w:p>
        </w:tc>
        <w:tc>
          <w:tcPr>
            <w:tcW w:w="1800" w:type="dxa"/>
            <w:tcBorders>
              <w:top w:val="single" w:sz="4" w:space="0" w:color="auto"/>
              <w:left w:val="nil"/>
              <w:bottom w:val="single" w:sz="4" w:space="0" w:color="auto"/>
              <w:right w:val="nil"/>
            </w:tcBorders>
            <w:vAlign w:val="center"/>
            <w:hideMark/>
          </w:tcPr>
          <w:p w14:paraId="21BBFB8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0.050</w:t>
            </w:r>
          </w:p>
          <w:p w14:paraId="43AD342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(0.045)</w:t>
            </w:r>
          </w:p>
        </w:tc>
        <w:tc>
          <w:tcPr>
            <w:tcW w:w="1800" w:type="dxa"/>
            <w:tcBorders>
              <w:top w:val="single" w:sz="4" w:space="0" w:color="auto"/>
              <w:left w:val="nil"/>
              <w:bottom w:val="single" w:sz="4" w:space="0" w:color="auto"/>
              <w:right w:val="nil"/>
            </w:tcBorders>
            <w:vAlign w:val="center"/>
            <w:hideMark/>
          </w:tcPr>
          <w:p w14:paraId="66B661EE" w14:textId="1AC328C3"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-0.124** (0.062)</w:t>
            </w:r>
          </w:p>
        </w:tc>
        <w:tc>
          <w:tcPr>
            <w:tcW w:w="1800" w:type="dxa"/>
            <w:tcBorders>
              <w:top w:val="single" w:sz="4" w:space="0" w:color="auto"/>
              <w:left w:val="nil"/>
              <w:bottom w:val="single" w:sz="4" w:space="0" w:color="auto"/>
              <w:right w:val="nil"/>
            </w:tcBorders>
            <w:vAlign w:val="center"/>
            <w:hideMark/>
          </w:tcPr>
          <w:p w14:paraId="7DD7D64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p w14:paraId="5C44546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(0.019)</w:t>
            </w:r>
          </w:p>
        </w:tc>
      </w:tr>
      <w:tr w:rsidR="00141B2C" w:rsidRPr="004E52C2" w14:paraId="2D270BA3" w14:textId="77777777" w:rsidTr="00D85854">
        <w:tc>
          <w:tcPr>
            <w:tcW w:w="3150" w:type="dxa"/>
            <w:tcBorders>
              <w:top w:val="single" w:sz="4" w:space="0" w:color="auto"/>
              <w:left w:val="nil"/>
              <w:bottom w:val="single" w:sz="4" w:space="0" w:color="auto"/>
              <w:right w:val="nil"/>
            </w:tcBorders>
            <w:hideMark/>
          </w:tcPr>
          <w:p w14:paraId="645CA29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of Household head Occupation</w:t>
            </w:r>
          </w:p>
        </w:tc>
        <w:tc>
          <w:tcPr>
            <w:tcW w:w="1530" w:type="dxa"/>
            <w:tcBorders>
              <w:top w:val="single" w:sz="4" w:space="0" w:color="auto"/>
              <w:left w:val="nil"/>
              <w:bottom w:val="single" w:sz="4" w:space="0" w:color="auto"/>
              <w:right w:val="nil"/>
            </w:tcBorders>
            <w:vAlign w:val="center"/>
            <w:hideMark/>
          </w:tcPr>
          <w:p w14:paraId="50D77CA9" w14:textId="4BFF91FD"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0.033 (0.048)</w:t>
            </w:r>
          </w:p>
        </w:tc>
        <w:tc>
          <w:tcPr>
            <w:tcW w:w="1800" w:type="dxa"/>
            <w:tcBorders>
              <w:top w:val="single" w:sz="4" w:space="0" w:color="auto"/>
              <w:left w:val="nil"/>
              <w:bottom w:val="single" w:sz="4" w:space="0" w:color="auto"/>
              <w:right w:val="nil"/>
            </w:tcBorders>
            <w:vAlign w:val="center"/>
            <w:hideMark/>
          </w:tcPr>
          <w:p w14:paraId="75D6437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-0.157*</w:t>
            </w:r>
          </w:p>
          <w:p w14:paraId="37E852C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(0.087)</w:t>
            </w:r>
          </w:p>
        </w:tc>
        <w:tc>
          <w:tcPr>
            <w:tcW w:w="1800" w:type="dxa"/>
            <w:tcBorders>
              <w:top w:val="single" w:sz="4" w:space="0" w:color="auto"/>
              <w:left w:val="nil"/>
              <w:bottom w:val="single" w:sz="4" w:space="0" w:color="auto"/>
              <w:right w:val="nil"/>
            </w:tcBorders>
            <w:vAlign w:val="center"/>
            <w:hideMark/>
          </w:tcPr>
          <w:p w14:paraId="66BB741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0.025</w:t>
            </w:r>
          </w:p>
          <w:p w14:paraId="4061056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(0.035)</w:t>
            </w:r>
          </w:p>
        </w:tc>
        <w:tc>
          <w:tcPr>
            <w:tcW w:w="1800" w:type="dxa"/>
            <w:tcBorders>
              <w:top w:val="single" w:sz="4" w:space="0" w:color="auto"/>
              <w:left w:val="nil"/>
              <w:bottom w:val="single" w:sz="4" w:space="0" w:color="auto"/>
              <w:right w:val="nil"/>
            </w:tcBorders>
            <w:vAlign w:val="center"/>
            <w:hideMark/>
          </w:tcPr>
          <w:p w14:paraId="6519D82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2B851FF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tc>
      </w:tr>
      <w:tr w:rsidR="00141B2C" w:rsidRPr="004E52C2" w14:paraId="77789BC7" w14:textId="77777777" w:rsidTr="00D85854">
        <w:tc>
          <w:tcPr>
            <w:tcW w:w="3150" w:type="dxa"/>
            <w:tcBorders>
              <w:top w:val="single" w:sz="4" w:space="0" w:color="auto"/>
              <w:left w:val="nil"/>
              <w:bottom w:val="single" w:sz="4" w:space="0" w:color="auto"/>
              <w:right w:val="nil"/>
            </w:tcBorders>
            <w:hideMark/>
          </w:tcPr>
          <w:p w14:paraId="4DF630B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Monthly income of Household head</w:t>
            </w:r>
          </w:p>
        </w:tc>
        <w:tc>
          <w:tcPr>
            <w:tcW w:w="1530" w:type="dxa"/>
            <w:tcBorders>
              <w:top w:val="single" w:sz="4" w:space="0" w:color="auto"/>
              <w:left w:val="nil"/>
              <w:bottom w:val="single" w:sz="4" w:space="0" w:color="auto"/>
              <w:right w:val="nil"/>
            </w:tcBorders>
            <w:vAlign w:val="center"/>
            <w:hideMark/>
          </w:tcPr>
          <w:p w14:paraId="78B71D9D" w14:textId="269065E3"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-1.69e-08 (5.56e-08)</w:t>
            </w:r>
          </w:p>
        </w:tc>
        <w:tc>
          <w:tcPr>
            <w:tcW w:w="1800" w:type="dxa"/>
            <w:tcBorders>
              <w:top w:val="single" w:sz="4" w:space="0" w:color="auto"/>
              <w:left w:val="nil"/>
              <w:bottom w:val="single" w:sz="4" w:space="0" w:color="auto"/>
              <w:right w:val="nil"/>
            </w:tcBorders>
            <w:vAlign w:val="center"/>
            <w:hideMark/>
          </w:tcPr>
          <w:p w14:paraId="23F80107" w14:textId="0CA17A2D"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2.36e-08 (9.37e-08)</w:t>
            </w:r>
          </w:p>
        </w:tc>
        <w:tc>
          <w:tcPr>
            <w:tcW w:w="1800" w:type="dxa"/>
            <w:tcBorders>
              <w:top w:val="single" w:sz="4" w:space="0" w:color="auto"/>
              <w:left w:val="nil"/>
              <w:bottom w:val="single" w:sz="4" w:space="0" w:color="auto"/>
              <w:right w:val="nil"/>
            </w:tcBorders>
            <w:vAlign w:val="center"/>
            <w:hideMark/>
          </w:tcPr>
          <w:p w14:paraId="7C4C4015" w14:textId="06E1AD54"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2.32e-08 (9.00e-08)</w:t>
            </w:r>
          </w:p>
        </w:tc>
        <w:tc>
          <w:tcPr>
            <w:tcW w:w="1800" w:type="dxa"/>
            <w:tcBorders>
              <w:top w:val="single" w:sz="4" w:space="0" w:color="auto"/>
              <w:left w:val="nil"/>
              <w:bottom w:val="single" w:sz="4" w:space="0" w:color="auto"/>
              <w:right w:val="nil"/>
            </w:tcBorders>
            <w:vAlign w:val="center"/>
            <w:hideMark/>
          </w:tcPr>
          <w:p w14:paraId="14435DF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7.67e-07**   (3.07e-07)</w:t>
            </w:r>
          </w:p>
        </w:tc>
      </w:tr>
      <w:tr w:rsidR="00141B2C" w:rsidRPr="004E52C2" w14:paraId="11618501" w14:textId="77777777" w:rsidTr="00D85854">
        <w:tc>
          <w:tcPr>
            <w:tcW w:w="3150" w:type="dxa"/>
            <w:tcBorders>
              <w:top w:val="single" w:sz="4" w:space="0" w:color="auto"/>
              <w:left w:val="nil"/>
              <w:bottom w:val="single" w:sz="4" w:space="0" w:color="auto"/>
              <w:right w:val="nil"/>
            </w:tcBorders>
            <w:hideMark/>
          </w:tcPr>
          <w:p w14:paraId="68FD135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530" w:type="dxa"/>
            <w:tcBorders>
              <w:top w:val="single" w:sz="4" w:space="0" w:color="auto"/>
              <w:left w:val="nil"/>
              <w:bottom w:val="single" w:sz="4" w:space="0" w:color="auto"/>
              <w:right w:val="nil"/>
            </w:tcBorders>
            <w:vAlign w:val="center"/>
            <w:hideMark/>
          </w:tcPr>
          <w:p w14:paraId="4FDB8F6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35192EF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222CB88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vAlign w:val="center"/>
            <w:hideMark/>
          </w:tcPr>
          <w:p w14:paraId="28B0600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r>
      <w:tr w:rsidR="00141B2C" w:rsidRPr="004E52C2" w14:paraId="469590C1" w14:textId="77777777" w:rsidTr="00D85854">
        <w:tc>
          <w:tcPr>
            <w:tcW w:w="3150" w:type="dxa"/>
            <w:tcBorders>
              <w:top w:val="single" w:sz="4" w:space="0" w:color="auto"/>
              <w:left w:val="nil"/>
              <w:bottom w:val="single" w:sz="4" w:space="0" w:color="auto"/>
              <w:right w:val="nil"/>
            </w:tcBorders>
            <w:hideMark/>
          </w:tcPr>
          <w:p w14:paraId="6538264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530" w:type="dxa"/>
            <w:tcBorders>
              <w:top w:val="single" w:sz="4" w:space="0" w:color="auto"/>
              <w:left w:val="nil"/>
              <w:bottom w:val="single" w:sz="4" w:space="0" w:color="auto"/>
              <w:right w:val="nil"/>
            </w:tcBorders>
            <w:vAlign w:val="center"/>
            <w:hideMark/>
          </w:tcPr>
          <w:p w14:paraId="3620F3A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0.1211</w:t>
            </w:r>
          </w:p>
        </w:tc>
        <w:tc>
          <w:tcPr>
            <w:tcW w:w="1800" w:type="dxa"/>
            <w:tcBorders>
              <w:top w:val="single" w:sz="4" w:space="0" w:color="auto"/>
              <w:left w:val="nil"/>
              <w:bottom w:val="single" w:sz="4" w:space="0" w:color="auto"/>
              <w:right w:val="nil"/>
            </w:tcBorders>
            <w:vAlign w:val="center"/>
            <w:hideMark/>
          </w:tcPr>
          <w:p w14:paraId="2930AF5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0.0560</w:t>
            </w:r>
          </w:p>
        </w:tc>
        <w:tc>
          <w:tcPr>
            <w:tcW w:w="1800" w:type="dxa"/>
            <w:tcBorders>
              <w:top w:val="single" w:sz="4" w:space="0" w:color="auto"/>
              <w:left w:val="nil"/>
              <w:bottom w:val="single" w:sz="4" w:space="0" w:color="auto"/>
              <w:right w:val="nil"/>
            </w:tcBorders>
            <w:vAlign w:val="center"/>
            <w:hideMark/>
          </w:tcPr>
          <w:p w14:paraId="4BC3ED6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0.1279</w:t>
            </w:r>
          </w:p>
        </w:tc>
        <w:tc>
          <w:tcPr>
            <w:tcW w:w="1800" w:type="dxa"/>
            <w:tcBorders>
              <w:top w:val="single" w:sz="4" w:space="0" w:color="auto"/>
              <w:left w:val="nil"/>
              <w:bottom w:val="single" w:sz="4" w:space="0" w:color="auto"/>
              <w:right w:val="nil"/>
            </w:tcBorders>
            <w:vAlign w:val="center"/>
            <w:hideMark/>
          </w:tcPr>
          <w:p w14:paraId="367877B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0.4950</w:t>
            </w:r>
          </w:p>
        </w:tc>
      </w:tr>
      <w:tr w:rsidR="00141B2C" w:rsidRPr="004E52C2" w14:paraId="0D5EA32B" w14:textId="77777777" w:rsidTr="00D85854">
        <w:tc>
          <w:tcPr>
            <w:tcW w:w="3150" w:type="dxa"/>
            <w:tcBorders>
              <w:top w:val="single" w:sz="4" w:space="0" w:color="auto"/>
              <w:left w:val="nil"/>
              <w:bottom w:val="single" w:sz="4" w:space="0" w:color="auto"/>
              <w:right w:val="nil"/>
            </w:tcBorders>
            <w:hideMark/>
          </w:tcPr>
          <w:p w14:paraId="72DF1DD1" w14:textId="059BF31C"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w:t>
            </w:r>
            <w:r w:rsidR="00B959FA">
              <w:rPr>
                <w:rFonts w:asciiTheme="minorHAnsi" w:eastAsiaTheme="minorHAnsi" w:hAnsiTheme="minorHAnsi" w:cstheme="minorHAnsi"/>
                <w:b/>
                <w:bCs/>
                <w:sz w:val="24"/>
                <w:szCs w:val="24"/>
                <w:lang w:val="en-US"/>
              </w:rPr>
              <w:t>-value</w:t>
            </w:r>
          </w:p>
        </w:tc>
        <w:tc>
          <w:tcPr>
            <w:tcW w:w="1530" w:type="dxa"/>
            <w:tcBorders>
              <w:top w:val="single" w:sz="4" w:space="0" w:color="auto"/>
              <w:left w:val="nil"/>
              <w:bottom w:val="single" w:sz="4" w:space="0" w:color="auto"/>
              <w:right w:val="nil"/>
            </w:tcBorders>
            <w:vAlign w:val="center"/>
            <w:hideMark/>
          </w:tcPr>
          <w:p w14:paraId="7487D5B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0.0074</w:t>
            </w:r>
          </w:p>
        </w:tc>
        <w:tc>
          <w:tcPr>
            <w:tcW w:w="1800" w:type="dxa"/>
            <w:tcBorders>
              <w:top w:val="single" w:sz="4" w:space="0" w:color="auto"/>
              <w:left w:val="nil"/>
              <w:bottom w:val="single" w:sz="4" w:space="0" w:color="auto"/>
              <w:right w:val="nil"/>
            </w:tcBorders>
            <w:vAlign w:val="center"/>
            <w:hideMark/>
          </w:tcPr>
          <w:p w14:paraId="1A1F5C0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0.0167</w:t>
            </w:r>
          </w:p>
        </w:tc>
        <w:tc>
          <w:tcPr>
            <w:tcW w:w="1800" w:type="dxa"/>
            <w:tcBorders>
              <w:top w:val="single" w:sz="4" w:space="0" w:color="auto"/>
              <w:left w:val="nil"/>
              <w:bottom w:val="single" w:sz="4" w:space="0" w:color="auto"/>
              <w:right w:val="nil"/>
            </w:tcBorders>
            <w:vAlign w:val="center"/>
            <w:hideMark/>
          </w:tcPr>
          <w:p w14:paraId="401B0E9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0.050</w:t>
            </w:r>
          </w:p>
        </w:tc>
        <w:tc>
          <w:tcPr>
            <w:tcW w:w="1800" w:type="dxa"/>
            <w:tcBorders>
              <w:top w:val="single" w:sz="4" w:space="0" w:color="auto"/>
              <w:left w:val="nil"/>
              <w:bottom w:val="single" w:sz="4" w:space="0" w:color="auto"/>
              <w:right w:val="nil"/>
            </w:tcBorders>
            <w:vAlign w:val="center"/>
            <w:hideMark/>
          </w:tcPr>
          <w:p w14:paraId="690C066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0.0004</w:t>
            </w:r>
          </w:p>
        </w:tc>
      </w:tr>
      <w:tr w:rsidR="00141B2C" w:rsidRPr="004E52C2" w14:paraId="442D24B6" w14:textId="77777777" w:rsidTr="00D85854">
        <w:tc>
          <w:tcPr>
            <w:tcW w:w="3150" w:type="dxa"/>
            <w:tcBorders>
              <w:top w:val="single" w:sz="4" w:space="0" w:color="auto"/>
              <w:left w:val="nil"/>
              <w:bottom w:val="single" w:sz="4" w:space="0" w:color="auto"/>
              <w:right w:val="nil"/>
            </w:tcBorders>
            <w:hideMark/>
          </w:tcPr>
          <w:p w14:paraId="02A664D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chi2(8)</w:t>
            </w:r>
          </w:p>
        </w:tc>
        <w:tc>
          <w:tcPr>
            <w:tcW w:w="1530" w:type="dxa"/>
            <w:tcBorders>
              <w:top w:val="single" w:sz="4" w:space="0" w:color="auto"/>
              <w:left w:val="nil"/>
              <w:bottom w:val="single" w:sz="4" w:space="0" w:color="auto"/>
              <w:right w:val="nil"/>
            </w:tcBorders>
            <w:vAlign w:val="center"/>
            <w:hideMark/>
          </w:tcPr>
          <w:p w14:paraId="44784D9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20.92</w:t>
            </w:r>
          </w:p>
        </w:tc>
        <w:tc>
          <w:tcPr>
            <w:tcW w:w="1800" w:type="dxa"/>
            <w:tcBorders>
              <w:top w:val="single" w:sz="4" w:space="0" w:color="auto"/>
              <w:left w:val="nil"/>
              <w:bottom w:val="single" w:sz="4" w:space="0" w:color="auto"/>
              <w:right w:val="nil"/>
            </w:tcBorders>
            <w:vAlign w:val="center"/>
            <w:hideMark/>
          </w:tcPr>
          <w:p w14:paraId="5646B6B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11.66</w:t>
            </w:r>
          </w:p>
        </w:tc>
        <w:tc>
          <w:tcPr>
            <w:tcW w:w="1800" w:type="dxa"/>
            <w:tcBorders>
              <w:top w:val="single" w:sz="4" w:space="0" w:color="auto"/>
              <w:left w:val="nil"/>
              <w:bottom w:val="single" w:sz="4" w:space="0" w:color="auto"/>
              <w:right w:val="nil"/>
            </w:tcBorders>
            <w:vAlign w:val="center"/>
            <w:hideMark/>
          </w:tcPr>
          <w:p w14:paraId="71DC4ED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15.32</w:t>
            </w:r>
          </w:p>
        </w:tc>
        <w:tc>
          <w:tcPr>
            <w:tcW w:w="1800" w:type="dxa"/>
            <w:tcBorders>
              <w:top w:val="single" w:sz="4" w:space="0" w:color="auto"/>
              <w:left w:val="nil"/>
              <w:bottom w:val="single" w:sz="4" w:space="0" w:color="auto"/>
              <w:right w:val="nil"/>
            </w:tcBorders>
            <w:vAlign w:val="center"/>
            <w:hideMark/>
          </w:tcPr>
          <w:p w14:paraId="2BC8749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28.19</w:t>
            </w:r>
          </w:p>
        </w:tc>
      </w:tr>
      <w:tr w:rsidR="00141B2C" w:rsidRPr="004E52C2" w14:paraId="77BF0C0A" w14:textId="77777777" w:rsidTr="00D85854">
        <w:tc>
          <w:tcPr>
            <w:tcW w:w="3150" w:type="dxa"/>
            <w:tcBorders>
              <w:top w:val="single" w:sz="4" w:space="0" w:color="auto"/>
              <w:left w:val="nil"/>
              <w:bottom w:val="single" w:sz="4" w:space="0" w:color="auto"/>
              <w:right w:val="nil"/>
            </w:tcBorders>
            <w:hideMark/>
          </w:tcPr>
          <w:p w14:paraId="12E636E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530" w:type="dxa"/>
            <w:tcBorders>
              <w:top w:val="single" w:sz="4" w:space="0" w:color="auto"/>
              <w:left w:val="nil"/>
              <w:bottom w:val="single" w:sz="4" w:space="0" w:color="auto"/>
              <w:right w:val="nil"/>
            </w:tcBorders>
            <w:hideMark/>
          </w:tcPr>
          <w:p w14:paraId="24D42AA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-75.909148</w:t>
            </w:r>
          </w:p>
        </w:tc>
        <w:tc>
          <w:tcPr>
            <w:tcW w:w="1800" w:type="dxa"/>
            <w:tcBorders>
              <w:top w:val="single" w:sz="4" w:space="0" w:color="auto"/>
              <w:left w:val="nil"/>
              <w:bottom w:val="single" w:sz="4" w:space="0" w:color="auto"/>
              <w:right w:val="nil"/>
            </w:tcBorders>
            <w:hideMark/>
          </w:tcPr>
          <w:p w14:paraId="7A745AF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-98.281928</w:t>
            </w:r>
          </w:p>
        </w:tc>
        <w:tc>
          <w:tcPr>
            <w:tcW w:w="1800" w:type="dxa"/>
            <w:tcBorders>
              <w:top w:val="single" w:sz="4" w:space="0" w:color="auto"/>
              <w:left w:val="nil"/>
              <w:bottom w:val="single" w:sz="4" w:space="0" w:color="auto"/>
              <w:right w:val="nil"/>
            </w:tcBorders>
            <w:hideMark/>
          </w:tcPr>
          <w:p w14:paraId="5CD2DF4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-52.253397</w:t>
            </w:r>
          </w:p>
        </w:tc>
        <w:tc>
          <w:tcPr>
            <w:tcW w:w="1800" w:type="dxa"/>
            <w:tcBorders>
              <w:top w:val="single" w:sz="4" w:space="0" w:color="auto"/>
              <w:left w:val="nil"/>
              <w:bottom w:val="single" w:sz="4" w:space="0" w:color="auto"/>
              <w:right w:val="nil"/>
            </w:tcBorders>
            <w:hideMark/>
          </w:tcPr>
          <w:p w14:paraId="20CD1C2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-14.377851</w:t>
            </w:r>
          </w:p>
        </w:tc>
      </w:tr>
    </w:tbl>
    <w:p w14:paraId="1B0AB3C9" w14:textId="70839EF1" w:rsidR="00141B2C" w:rsidRPr="004E52C2" w:rsidRDefault="00141B2C" w:rsidP="00F4229D">
      <w:pPr>
        <w:jc w:val="both"/>
        <w:rPr>
          <w:rFonts w:cstheme="minorHAnsi"/>
          <w:bCs/>
          <w:sz w:val="24"/>
          <w:szCs w:val="24"/>
          <w:lang w:val="en-US"/>
        </w:rPr>
      </w:pPr>
      <w:r w:rsidRPr="004E52C2">
        <w:rPr>
          <w:rFonts w:cstheme="minorHAnsi"/>
          <w:bCs/>
          <w:sz w:val="24"/>
          <w:szCs w:val="24"/>
          <w:lang w:val="en-US"/>
        </w:rPr>
        <w:t>Note: ***, ** and  *denote significance at the 0.01, 0.05 and 0.10 levels, respectively.</w:t>
      </w:r>
    </w:p>
    <w:p w14:paraId="049FE2F1" w14:textId="0815C786" w:rsidR="00141B2C" w:rsidRPr="004E52C2" w:rsidRDefault="00141B2C" w:rsidP="00F4229D">
      <w:pPr>
        <w:jc w:val="both"/>
        <w:rPr>
          <w:rFonts w:cstheme="minorHAnsi"/>
          <w:bCs/>
          <w:sz w:val="24"/>
          <w:szCs w:val="24"/>
          <w:lang w:val="en-US"/>
        </w:rPr>
      </w:pPr>
      <w:r w:rsidRPr="004E52C2">
        <w:rPr>
          <w:rFonts w:cstheme="minorHAnsi"/>
          <w:bCs/>
          <w:sz w:val="24"/>
          <w:szCs w:val="24"/>
          <w:lang w:val="en-US"/>
        </w:rPr>
        <w:t>Source: Field survey, 2023</w:t>
      </w:r>
    </w:p>
    <w:p w14:paraId="379ECF00" w14:textId="77777777" w:rsidR="000578A7" w:rsidRPr="004E52C2" w:rsidRDefault="000578A7" w:rsidP="00F4229D">
      <w:pPr>
        <w:jc w:val="both"/>
        <w:rPr>
          <w:rFonts w:cstheme="minorHAnsi"/>
          <w:bCs/>
          <w:sz w:val="24"/>
          <w:szCs w:val="24"/>
          <w:lang w:val="en-US"/>
        </w:rPr>
      </w:pPr>
    </w:p>
    <w:p w14:paraId="025232D1" w14:textId="6EF92592" w:rsidR="00141B2C" w:rsidRPr="004E52C2" w:rsidRDefault="00B5477B" w:rsidP="00F4229D">
      <w:pPr>
        <w:jc w:val="both"/>
        <w:rPr>
          <w:rFonts w:cstheme="minorHAnsi"/>
          <w:b/>
          <w:bCs/>
          <w:sz w:val="24"/>
          <w:szCs w:val="24"/>
          <w:lang w:val="en-US"/>
        </w:rPr>
      </w:pPr>
      <w:r w:rsidRPr="004E52C2">
        <w:rPr>
          <w:rFonts w:cstheme="minorHAnsi"/>
          <w:b/>
          <w:bCs/>
          <w:sz w:val="24"/>
          <w:szCs w:val="24"/>
          <w:lang w:val="en-US"/>
        </w:rPr>
        <w:t>3</w:t>
      </w:r>
      <w:r w:rsidR="00141B2C" w:rsidRPr="004E52C2">
        <w:rPr>
          <w:rFonts w:cstheme="minorHAnsi"/>
          <w:b/>
          <w:bCs/>
          <w:sz w:val="24"/>
          <w:szCs w:val="24"/>
          <w:lang w:val="en-US"/>
        </w:rPr>
        <w:t>.2.1 Factors Influencing Households to be Devoid of Wellness Sustainability by Food Security Status.</w:t>
      </w:r>
    </w:p>
    <w:p w14:paraId="26742CA2" w14:textId="4436DF6F" w:rsidR="00141B2C" w:rsidRPr="004E52C2" w:rsidRDefault="00D85854" w:rsidP="00F4229D">
      <w:pPr>
        <w:jc w:val="both"/>
        <w:rPr>
          <w:rFonts w:cstheme="minorHAnsi"/>
          <w:bCs/>
          <w:sz w:val="24"/>
          <w:szCs w:val="24"/>
          <w:lang w:val="en-US"/>
        </w:rPr>
      </w:pPr>
      <w:r w:rsidRPr="004E52C2">
        <w:rPr>
          <w:rFonts w:cstheme="minorHAnsi"/>
          <w:bCs/>
          <w:sz w:val="24"/>
          <w:szCs w:val="24"/>
          <w:lang w:val="en-US"/>
        </w:rPr>
        <w:t>Table 1</w:t>
      </w:r>
      <w:r w:rsidR="00A41F2F">
        <w:rPr>
          <w:rFonts w:cstheme="minorHAnsi"/>
          <w:bCs/>
          <w:sz w:val="24"/>
          <w:szCs w:val="24"/>
          <w:lang w:val="en-US"/>
        </w:rPr>
        <w:t xml:space="preserve">6 </w:t>
      </w:r>
      <w:r w:rsidR="00141B2C" w:rsidRPr="004E52C2">
        <w:rPr>
          <w:rFonts w:cstheme="minorHAnsi"/>
          <w:bCs/>
          <w:sz w:val="24"/>
          <w:szCs w:val="24"/>
          <w:lang w:val="en-US"/>
        </w:rPr>
        <w:t xml:space="preserve">shows the results of a series of logistic regressions of the factors influencing a household to be without wellness sustainability by food security status. </w:t>
      </w:r>
    </w:p>
    <w:p w14:paraId="3EB898CB" w14:textId="570B3CE2" w:rsidR="00141B2C" w:rsidRPr="004E52C2" w:rsidRDefault="00141B2C" w:rsidP="00F4229D">
      <w:pPr>
        <w:jc w:val="both"/>
        <w:rPr>
          <w:rFonts w:cstheme="minorHAnsi"/>
          <w:bCs/>
          <w:sz w:val="24"/>
          <w:szCs w:val="24"/>
          <w:lang w:val="en-US"/>
        </w:rPr>
      </w:pPr>
      <w:r w:rsidRPr="004E52C2">
        <w:rPr>
          <w:rFonts w:cstheme="minorHAnsi"/>
          <w:bCs/>
          <w:sz w:val="24"/>
          <w:szCs w:val="24"/>
          <w:lang w:val="en-US"/>
        </w:rPr>
        <w:t xml:space="preserve">Food Secure: Household size is significant at 10%. The marginal effect of 0.024 means that the household size increases the probability of a household being devoid of wellness sustainability under the food secure category by 2.4%. This suggests that larger households are more likely to be food secure without wellness sustainability. The primary occupation of the household head is significant at 5%. The marginal effect of 0.106 means that the primary occupation of the household head increases the probability of the household being </w:t>
      </w:r>
      <w:r w:rsidR="003C54B2">
        <w:rPr>
          <w:rFonts w:cstheme="minorHAnsi"/>
          <w:bCs/>
          <w:sz w:val="24"/>
          <w:szCs w:val="24"/>
          <w:lang w:val="en-US"/>
        </w:rPr>
        <w:t>devoid of</w:t>
      </w:r>
      <w:r w:rsidRPr="004E52C2">
        <w:rPr>
          <w:rFonts w:cstheme="minorHAnsi"/>
          <w:bCs/>
          <w:sz w:val="24"/>
          <w:szCs w:val="24"/>
          <w:lang w:val="en-US"/>
        </w:rPr>
        <w:t xml:space="preserve"> </w:t>
      </w:r>
      <w:proofErr w:type="spellStart"/>
      <w:r w:rsidRPr="004E52C2">
        <w:rPr>
          <w:rFonts w:cstheme="minorHAnsi"/>
          <w:bCs/>
          <w:sz w:val="24"/>
          <w:szCs w:val="24"/>
          <w:lang w:val="en-US"/>
        </w:rPr>
        <w:t>of</w:t>
      </w:r>
      <w:proofErr w:type="spellEnd"/>
      <w:r w:rsidRPr="004E52C2">
        <w:rPr>
          <w:rFonts w:cstheme="minorHAnsi"/>
          <w:bCs/>
          <w:sz w:val="24"/>
          <w:szCs w:val="24"/>
          <w:lang w:val="en-US"/>
        </w:rPr>
        <w:t xml:space="preserve"> wellness sustainability in the food secure category by 10.6%. This suggests that having a farming occupation increases the probability of a household being food insecure without wellness sustainability. The monthly income of the household head is significant at 1%. The marginal effect of -2.47e-07 means that the monthly income of the household head decreases the probability of the household being </w:t>
      </w:r>
      <w:r w:rsidR="003C54B2">
        <w:rPr>
          <w:rFonts w:cstheme="minorHAnsi"/>
          <w:bCs/>
          <w:sz w:val="24"/>
          <w:szCs w:val="24"/>
          <w:lang w:val="en-US"/>
        </w:rPr>
        <w:t>devoid of</w:t>
      </w:r>
      <w:r w:rsidRPr="004E52C2">
        <w:rPr>
          <w:rFonts w:cstheme="minorHAnsi"/>
          <w:bCs/>
          <w:sz w:val="24"/>
          <w:szCs w:val="24"/>
          <w:lang w:val="en-US"/>
        </w:rPr>
        <w:t xml:space="preserve"> </w:t>
      </w:r>
      <w:proofErr w:type="spellStart"/>
      <w:r w:rsidRPr="004E52C2">
        <w:rPr>
          <w:rFonts w:cstheme="minorHAnsi"/>
          <w:bCs/>
          <w:sz w:val="24"/>
          <w:szCs w:val="24"/>
          <w:lang w:val="en-US"/>
        </w:rPr>
        <w:t>of</w:t>
      </w:r>
      <w:proofErr w:type="spellEnd"/>
      <w:r w:rsidRPr="004E52C2">
        <w:rPr>
          <w:rFonts w:cstheme="minorHAnsi"/>
          <w:bCs/>
          <w:sz w:val="24"/>
          <w:szCs w:val="24"/>
          <w:lang w:val="en-US"/>
        </w:rPr>
        <w:t xml:space="preserve"> wellness sustainability in the food secure category by 7.67e-07. This suggests that a decrease in monthly income influences a household to be food secure without wellness sustainability.</w:t>
      </w:r>
      <w:r w:rsidR="00B5477B" w:rsidRPr="004E52C2">
        <w:rPr>
          <w:rFonts w:cstheme="minorHAnsi"/>
          <w:bCs/>
          <w:sz w:val="24"/>
          <w:szCs w:val="24"/>
          <w:lang w:val="en-US"/>
        </w:rPr>
        <w:t xml:space="preserve"> </w:t>
      </w:r>
      <w:r w:rsidRPr="004E52C2">
        <w:rPr>
          <w:rFonts w:cstheme="minorHAnsi"/>
          <w:bCs/>
          <w:sz w:val="24"/>
          <w:szCs w:val="24"/>
          <w:lang w:val="en-US"/>
        </w:rPr>
        <w:t xml:space="preserve">Food Insecure without Hunger: Location of Household is significant at 10%. The marginal effect of -0.119 means that the location of a household decreases the probability of the household being </w:t>
      </w:r>
      <w:r w:rsidR="003C54B2">
        <w:rPr>
          <w:rFonts w:cstheme="minorHAnsi"/>
          <w:bCs/>
          <w:sz w:val="24"/>
          <w:szCs w:val="24"/>
          <w:lang w:val="en-US"/>
        </w:rPr>
        <w:t>devoid of</w:t>
      </w:r>
      <w:r w:rsidRPr="004E52C2">
        <w:rPr>
          <w:rFonts w:cstheme="minorHAnsi"/>
          <w:bCs/>
          <w:sz w:val="24"/>
          <w:szCs w:val="24"/>
          <w:lang w:val="en-US"/>
        </w:rPr>
        <w:t xml:space="preserve"> </w:t>
      </w:r>
      <w:proofErr w:type="spellStart"/>
      <w:r w:rsidRPr="004E52C2">
        <w:rPr>
          <w:rFonts w:cstheme="minorHAnsi"/>
          <w:bCs/>
          <w:sz w:val="24"/>
          <w:szCs w:val="24"/>
          <w:lang w:val="en-US"/>
        </w:rPr>
        <w:t>of</w:t>
      </w:r>
      <w:proofErr w:type="spellEnd"/>
      <w:r w:rsidRPr="004E52C2">
        <w:rPr>
          <w:rFonts w:cstheme="minorHAnsi"/>
          <w:bCs/>
          <w:sz w:val="24"/>
          <w:szCs w:val="24"/>
          <w:lang w:val="en-US"/>
        </w:rPr>
        <w:t xml:space="preserve"> wellness sustainability in the food insecure without hunger category by 11.9%. Living in a sparsely populated area decreases a household's likelihood of being food insecure, without hunger, while </w:t>
      </w:r>
      <w:proofErr w:type="spellStart"/>
      <w:r w:rsidRPr="004E52C2">
        <w:rPr>
          <w:rFonts w:cstheme="minorHAnsi"/>
          <w:bCs/>
          <w:sz w:val="24"/>
          <w:szCs w:val="24"/>
          <w:lang w:val="en-US"/>
        </w:rPr>
        <w:t>devoiding</w:t>
      </w:r>
      <w:proofErr w:type="spellEnd"/>
      <w:r w:rsidRPr="004E52C2">
        <w:rPr>
          <w:rFonts w:cstheme="minorHAnsi"/>
          <w:bCs/>
          <w:sz w:val="24"/>
          <w:szCs w:val="24"/>
          <w:lang w:val="en-US"/>
        </w:rPr>
        <w:t xml:space="preserve"> the wellness sustainability of the household.</w:t>
      </w:r>
    </w:p>
    <w:p w14:paraId="55D34E91" w14:textId="02B91A3C" w:rsidR="00141B2C" w:rsidRPr="004E52C2" w:rsidRDefault="00141B2C" w:rsidP="00F4229D">
      <w:pPr>
        <w:jc w:val="both"/>
        <w:rPr>
          <w:rFonts w:cstheme="minorHAnsi"/>
          <w:bCs/>
          <w:sz w:val="24"/>
          <w:szCs w:val="24"/>
          <w:lang w:val="en-US"/>
        </w:rPr>
      </w:pPr>
      <w:r w:rsidRPr="004E52C2">
        <w:rPr>
          <w:rFonts w:cstheme="minorHAnsi"/>
          <w:bCs/>
          <w:sz w:val="24"/>
          <w:szCs w:val="24"/>
          <w:lang w:val="en-US"/>
        </w:rPr>
        <w:t>Food Insecure with Moderate Hunger: Household size is significant at 5%. The marginal effect of -0.012 means that the household size decreases the probability of a household being devoid of wellness sustainability under the food insecure with moderate hunger category by 1.2%. This suggests that smaller households are more likely to be food insecure with moderate hunger without wellness sustainability.</w:t>
      </w:r>
      <w:r w:rsidR="00B5477B" w:rsidRPr="004E52C2">
        <w:rPr>
          <w:rFonts w:cstheme="minorHAnsi"/>
          <w:bCs/>
          <w:sz w:val="24"/>
          <w:szCs w:val="24"/>
          <w:lang w:val="en-US"/>
        </w:rPr>
        <w:t xml:space="preserve"> </w:t>
      </w:r>
      <w:r w:rsidRPr="004E52C2">
        <w:rPr>
          <w:rFonts w:cstheme="minorHAnsi"/>
          <w:bCs/>
          <w:sz w:val="24"/>
          <w:szCs w:val="24"/>
          <w:lang w:val="en-US"/>
        </w:rPr>
        <w:t xml:space="preserve">Food Insecure with Severe Hunger: The monthly income of the household head is significant at 1%. The marginal effect of 1.17e-06 means that the monthly income of the household head increases the probability of the household being </w:t>
      </w:r>
      <w:r w:rsidR="003C54B2">
        <w:rPr>
          <w:rFonts w:cstheme="minorHAnsi"/>
          <w:bCs/>
          <w:sz w:val="24"/>
          <w:szCs w:val="24"/>
          <w:lang w:val="en-US"/>
        </w:rPr>
        <w:t>devoid of</w:t>
      </w:r>
      <w:r w:rsidRPr="004E52C2">
        <w:rPr>
          <w:rFonts w:cstheme="minorHAnsi"/>
          <w:bCs/>
          <w:sz w:val="24"/>
          <w:szCs w:val="24"/>
          <w:lang w:val="en-US"/>
        </w:rPr>
        <w:t xml:space="preserve"> </w:t>
      </w:r>
      <w:proofErr w:type="spellStart"/>
      <w:r w:rsidRPr="004E52C2">
        <w:rPr>
          <w:rFonts w:cstheme="minorHAnsi"/>
          <w:bCs/>
          <w:sz w:val="24"/>
          <w:szCs w:val="24"/>
          <w:lang w:val="en-US"/>
        </w:rPr>
        <w:t>of</w:t>
      </w:r>
      <w:proofErr w:type="spellEnd"/>
      <w:r w:rsidRPr="004E52C2">
        <w:rPr>
          <w:rFonts w:cstheme="minorHAnsi"/>
          <w:bCs/>
          <w:sz w:val="24"/>
          <w:szCs w:val="24"/>
          <w:lang w:val="en-US"/>
        </w:rPr>
        <w:t xml:space="preserve"> wellness sustainability in the food insecure with severe hunger category. This suggests that an increase in monthly income influences a household to be food insecure with severe hunger while being </w:t>
      </w:r>
      <w:r w:rsidR="003C54B2">
        <w:rPr>
          <w:rFonts w:cstheme="minorHAnsi"/>
          <w:bCs/>
          <w:sz w:val="24"/>
          <w:szCs w:val="24"/>
          <w:lang w:val="en-US"/>
        </w:rPr>
        <w:t>devoid of</w:t>
      </w:r>
      <w:r w:rsidRPr="004E52C2">
        <w:rPr>
          <w:rFonts w:cstheme="minorHAnsi"/>
          <w:bCs/>
          <w:sz w:val="24"/>
          <w:szCs w:val="24"/>
          <w:lang w:val="en-US"/>
        </w:rPr>
        <w:t xml:space="preserve"> by wellness sustainability.</w:t>
      </w:r>
    </w:p>
    <w:p w14:paraId="2679FE13" w14:textId="5FE7A44A" w:rsidR="00141B2C" w:rsidRPr="004E52C2" w:rsidRDefault="00141B2C" w:rsidP="00F4229D">
      <w:pPr>
        <w:jc w:val="both"/>
        <w:rPr>
          <w:rFonts w:cstheme="minorHAnsi"/>
          <w:bCs/>
          <w:sz w:val="24"/>
          <w:szCs w:val="24"/>
          <w:lang w:val="en-US"/>
        </w:rPr>
      </w:pPr>
      <w:r w:rsidRPr="004E52C2">
        <w:rPr>
          <w:rFonts w:cstheme="minorHAnsi"/>
          <w:bCs/>
          <w:sz w:val="24"/>
          <w:szCs w:val="24"/>
          <w:lang w:val="en-US"/>
        </w:rPr>
        <w:t>Table 1</w:t>
      </w:r>
      <w:r w:rsidR="00D92B88">
        <w:rPr>
          <w:rFonts w:cstheme="minorHAnsi"/>
          <w:bCs/>
          <w:sz w:val="24"/>
          <w:szCs w:val="24"/>
          <w:lang w:val="en-US"/>
        </w:rPr>
        <w:t>6</w:t>
      </w:r>
      <w:r w:rsidRPr="004E52C2">
        <w:rPr>
          <w:rFonts w:cstheme="minorHAnsi"/>
          <w:bCs/>
          <w:sz w:val="24"/>
          <w:szCs w:val="24"/>
          <w:lang w:val="en-US"/>
        </w:rPr>
        <w:t>: Logit Regression Showing the Factors influencing households to be devoid of wellness sustainability by food security status.</w:t>
      </w:r>
    </w:p>
    <w:tbl>
      <w:tblPr>
        <w:tblStyle w:val="TableGrid1"/>
        <w:tblW w:w="10080"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3060"/>
        <w:gridCol w:w="1620"/>
        <w:gridCol w:w="1800"/>
        <w:gridCol w:w="1800"/>
        <w:gridCol w:w="1800"/>
      </w:tblGrid>
      <w:tr w:rsidR="00141B2C" w:rsidRPr="004E52C2" w14:paraId="7F021772" w14:textId="77777777" w:rsidTr="00D85854">
        <w:tc>
          <w:tcPr>
            <w:tcW w:w="3060" w:type="dxa"/>
            <w:tcBorders>
              <w:top w:val="single" w:sz="4" w:space="0" w:color="auto"/>
              <w:left w:val="nil"/>
              <w:bottom w:val="single" w:sz="4" w:space="0" w:color="auto"/>
              <w:right w:val="nil"/>
            </w:tcBorders>
            <w:hideMark/>
          </w:tcPr>
          <w:p w14:paraId="3114D9D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lastRenderedPageBreak/>
              <w:t>Variables</w:t>
            </w:r>
          </w:p>
        </w:tc>
        <w:tc>
          <w:tcPr>
            <w:tcW w:w="1620" w:type="dxa"/>
            <w:tcBorders>
              <w:top w:val="single" w:sz="4" w:space="0" w:color="auto"/>
              <w:left w:val="nil"/>
              <w:bottom w:val="single" w:sz="4" w:space="0" w:color="auto"/>
              <w:right w:val="nil"/>
            </w:tcBorders>
            <w:hideMark/>
          </w:tcPr>
          <w:p w14:paraId="07F717F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secure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2D5FB51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without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4BB373C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Moderate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c>
          <w:tcPr>
            <w:tcW w:w="1800" w:type="dxa"/>
            <w:tcBorders>
              <w:top w:val="single" w:sz="4" w:space="0" w:color="auto"/>
              <w:left w:val="nil"/>
              <w:bottom w:val="single" w:sz="4" w:space="0" w:color="auto"/>
              <w:right w:val="nil"/>
            </w:tcBorders>
            <w:hideMark/>
          </w:tcPr>
          <w:p w14:paraId="3E6D37C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Food Insecure with Severe hunger (</w:t>
            </w:r>
            <w:proofErr w:type="spellStart"/>
            <w:r w:rsidRPr="004E52C2">
              <w:rPr>
                <w:rFonts w:asciiTheme="minorHAnsi" w:eastAsiaTheme="minorHAnsi" w:hAnsiTheme="minorHAnsi" w:cstheme="minorHAnsi"/>
                <w:b/>
                <w:bCs/>
                <w:sz w:val="24"/>
                <w:szCs w:val="24"/>
                <w:lang w:val="en-US"/>
              </w:rPr>
              <w:t>dy</w:t>
            </w:r>
            <w:proofErr w:type="spellEnd"/>
            <w:r w:rsidRPr="004E52C2">
              <w:rPr>
                <w:rFonts w:asciiTheme="minorHAnsi" w:eastAsiaTheme="minorHAnsi" w:hAnsiTheme="minorHAnsi" w:cstheme="minorHAnsi"/>
                <w:b/>
                <w:bCs/>
                <w:sz w:val="24"/>
                <w:szCs w:val="24"/>
                <w:lang w:val="en-US"/>
              </w:rPr>
              <w:t>/dx)</w:t>
            </w:r>
          </w:p>
        </w:tc>
      </w:tr>
      <w:tr w:rsidR="00141B2C" w:rsidRPr="004E52C2" w14:paraId="0A3519D8" w14:textId="77777777" w:rsidTr="00D85854">
        <w:tc>
          <w:tcPr>
            <w:tcW w:w="3060" w:type="dxa"/>
            <w:tcBorders>
              <w:top w:val="single" w:sz="4" w:space="0" w:color="auto"/>
              <w:left w:val="nil"/>
              <w:bottom w:val="single" w:sz="4" w:space="0" w:color="auto"/>
              <w:right w:val="nil"/>
            </w:tcBorders>
            <w:hideMark/>
          </w:tcPr>
          <w:p w14:paraId="0E4A732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Sex of Household head</w:t>
            </w:r>
          </w:p>
        </w:tc>
        <w:tc>
          <w:tcPr>
            <w:tcW w:w="1620" w:type="dxa"/>
            <w:tcBorders>
              <w:top w:val="single" w:sz="4" w:space="0" w:color="auto"/>
              <w:left w:val="nil"/>
              <w:bottom w:val="single" w:sz="4" w:space="0" w:color="auto"/>
              <w:right w:val="nil"/>
            </w:tcBorders>
            <w:hideMark/>
          </w:tcPr>
          <w:p w14:paraId="5930EAB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-0.055  (0.052)</w:t>
            </w:r>
          </w:p>
        </w:tc>
        <w:tc>
          <w:tcPr>
            <w:tcW w:w="1800" w:type="dxa"/>
            <w:tcBorders>
              <w:top w:val="single" w:sz="4" w:space="0" w:color="auto"/>
              <w:left w:val="nil"/>
              <w:bottom w:val="single" w:sz="4" w:space="0" w:color="auto"/>
              <w:right w:val="nil"/>
            </w:tcBorders>
            <w:hideMark/>
          </w:tcPr>
          <w:p w14:paraId="44AA8F1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p w14:paraId="5E3FEF7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(0.069)</w:t>
            </w:r>
          </w:p>
        </w:tc>
        <w:tc>
          <w:tcPr>
            <w:tcW w:w="1800" w:type="dxa"/>
            <w:tcBorders>
              <w:top w:val="single" w:sz="4" w:space="0" w:color="auto"/>
              <w:left w:val="nil"/>
              <w:bottom w:val="single" w:sz="4" w:space="0" w:color="auto"/>
              <w:right w:val="nil"/>
            </w:tcBorders>
            <w:hideMark/>
          </w:tcPr>
          <w:p w14:paraId="55D2BC7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-0.005 </w:t>
            </w:r>
          </w:p>
          <w:p w14:paraId="1093F97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(0.039)</w:t>
            </w:r>
          </w:p>
        </w:tc>
        <w:tc>
          <w:tcPr>
            <w:tcW w:w="1800" w:type="dxa"/>
            <w:tcBorders>
              <w:top w:val="single" w:sz="4" w:space="0" w:color="auto"/>
              <w:left w:val="nil"/>
              <w:bottom w:val="single" w:sz="4" w:space="0" w:color="auto"/>
              <w:right w:val="nil"/>
            </w:tcBorders>
            <w:hideMark/>
          </w:tcPr>
          <w:p w14:paraId="17D62FD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0.050 </w:t>
            </w:r>
          </w:p>
          <w:p w14:paraId="0EF5E3E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(0.039)</w:t>
            </w:r>
          </w:p>
        </w:tc>
      </w:tr>
      <w:tr w:rsidR="00141B2C" w:rsidRPr="004E52C2" w14:paraId="28405EC4" w14:textId="77777777" w:rsidTr="00D85854">
        <w:tc>
          <w:tcPr>
            <w:tcW w:w="3060" w:type="dxa"/>
            <w:tcBorders>
              <w:top w:val="single" w:sz="4" w:space="0" w:color="auto"/>
              <w:left w:val="nil"/>
              <w:bottom w:val="single" w:sz="4" w:space="0" w:color="auto"/>
              <w:right w:val="nil"/>
            </w:tcBorders>
            <w:hideMark/>
          </w:tcPr>
          <w:p w14:paraId="322D2FC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Age of Household head </w:t>
            </w:r>
          </w:p>
        </w:tc>
        <w:tc>
          <w:tcPr>
            <w:tcW w:w="1620" w:type="dxa"/>
            <w:tcBorders>
              <w:top w:val="single" w:sz="4" w:space="0" w:color="auto"/>
              <w:left w:val="nil"/>
              <w:bottom w:val="single" w:sz="4" w:space="0" w:color="auto"/>
              <w:right w:val="nil"/>
            </w:tcBorders>
            <w:hideMark/>
          </w:tcPr>
          <w:p w14:paraId="0A8F145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   (0.002)</w:t>
            </w:r>
          </w:p>
        </w:tc>
        <w:tc>
          <w:tcPr>
            <w:tcW w:w="1800" w:type="dxa"/>
            <w:tcBorders>
              <w:top w:val="single" w:sz="4" w:space="0" w:color="auto"/>
              <w:left w:val="nil"/>
              <w:bottom w:val="single" w:sz="4" w:space="0" w:color="auto"/>
              <w:right w:val="nil"/>
            </w:tcBorders>
            <w:hideMark/>
          </w:tcPr>
          <w:p w14:paraId="2E0B99F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0.002 </w:t>
            </w:r>
          </w:p>
          <w:p w14:paraId="0E1F064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(0.003)</w:t>
            </w:r>
          </w:p>
        </w:tc>
        <w:tc>
          <w:tcPr>
            <w:tcW w:w="1800" w:type="dxa"/>
            <w:tcBorders>
              <w:top w:val="single" w:sz="4" w:space="0" w:color="auto"/>
              <w:left w:val="nil"/>
              <w:bottom w:val="single" w:sz="4" w:space="0" w:color="auto"/>
              <w:right w:val="nil"/>
            </w:tcBorders>
            <w:hideMark/>
          </w:tcPr>
          <w:p w14:paraId="573FBDC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0.000   </w:t>
            </w:r>
          </w:p>
          <w:p w14:paraId="4361920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w:t>
            </w:r>
          </w:p>
        </w:tc>
        <w:tc>
          <w:tcPr>
            <w:tcW w:w="1800" w:type="dxa"/>
            <w:tcBorders>
              <w:top w:val="single" w:sz="4" w:space="0" w:color="auto"/>
              <w:left w:val="nil"/>
              <w:bottom w:val="single" w:sz="4" w:space="0" w:color="auto"/>
              <w:right w:val="nil"/>
            </w:tcBorders>
            <w:hideMark/>
          </w:tcPr>
          <w:p w14:paraId="112B081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p w14:paraId="3AE2C22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w:t>
            </w:r>
          </w:p>
        </w:tc>
      </w:tr>
      <w:tr w:rsidR="00141B2C" w:rsidRPr="004E52C2" w14:paraId="348A89CC" w14:textId="77777777" w:rsidTr="00D85854">
        <w:tc>
          <w:tcPr>
            <w:tcW w:w="3060" w:type="dxa"/>
            <w:tcBorders>
              <w:top w:val="single" w:sz="4" w:space="0" w:color="auto"/>
              <w:left w:val="nil"/>
              <w:bottom w:val="single" w:sz="4" w:space="0" w:color="auto"/>
              <w:right w:val="nil"/>
            </w:tcBorders>
            <w:hideMark/>
          </w:tcPr>
          <w:p w14:paraId="488048F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Level of education of Household head</w:t>
            </w:r>
          </w:p>
        </w:tc>
        <w:tc>
          <w:tcPr>
            <w:tcW w:w="1620" w:type="dxa"/>
            <w:tcBorders>
              <w:top w:val="single" w:sz="4" w:space="0" w:color="auto"/>
              <w:left w:val="nil"/>
              <w:bottom w:val="single" w:sz="4" w:space="0" w:color="auto"/>
              <w:right w:val="nil"/>
            </w:tcBorders>
            <w:hideMark/>
          </w:tcPr>
          <w:p w14:paraId="7C7B00D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-0.020   (0.022)</w:t>
            </w:r>
          </w:p>
        </w:tc>
        <w:tc>
          <w:tcPr>
            <w:tcW w:w="1800" w:type="dxa"/>
            <w:tcBorders>
              <w:top w:val="single" w:sz="4" w:space="0" w:color="auto"/>
              <w:left w:val="nil"/>
              <w:bottom w:val="single" w:sz="4" w:space="0" w:color="auto"/>
              <w:right w:val="nil"/>
            </w:tcBorders>
            <w:hideMark/>
          </w:tcPr>
          <w:p w14:paraId="15DB45C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0.0136 </w:t>
            </w:r>
          </w:p>
          <w:p w14:paraId="1810432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(0.026)</w:t>
            </w:r>
          </w:p>
        </w:tc>
        <w:tc>
          <w:tcPr>
            <w:tcW w:w="1800" w:type="dxa"/>
            <w:tcBorders>
              <w:top w:val="single" w:sz="4" w:space="0" w:color="auto"/>
              <w:left w:val="nil"/>
              <w:bottom w:val="single" w:sz="4" w:space="0" w:color="auto"/>
              <w:right w:val="nil"/>
            </w:tcBorders>
            <w:hideMark/>
          </w:tcPr>
          <w:p w14:paraId="42ECE59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-0.011  </w:t>
            </w:r>
          </w:p>
          <w:p w14:paraId="152FC09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(0.015)</w:t>
            </w:r>
          </w:p>
        </w:tc>
        <w:tc>
          <w:tcPr>
            <w:tcW w:w="1800" w:type="dxa"/>
            <w:tcBorders>
              <w:top w:val="single" w:sz="4" w:space="0" w:color="auto"/>
              <w:left w:val="nil"/>
              <w:bottom w:val="single" w:sz="4" w:space="0" w:color="auto"/>
              <w:right w:val="nil"/>
            </w:tcBorders>
            <w:hideMark/>
          </w:tcPr>
          <w:p w14:paraId="63FB732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0.004 </w:t>
            </w:r>
          </w:p>
          <w:p w14:paraId="407DC8B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(0.010)</w:t>
            </w:r>
          </w:p>
        </w:tc>
      </w:tr>
      <w:tr w:rsidR="00141B2C" w:rsidRPr="004E52C2" w14:paraId="1E90C158" w14:textId="77777777" w:rsidTr="00D85854">
        <w:tc>
          <w:tcPr>
            <w:tcW w:w="3060" w:type="dxa"/>
            <w:tcBorders>
              <w:top w:val="single" w:sz="4" w:space="0" w:color="auto"/>
              <w:left w:val="nil"/>
              <w:bottom w:val="single" w:sz="4" w:space="0" w:color="auto"/>
              <w:right w:val="nil"/>
            </w:tcBorders>
            <w:hideMark/>
          </w:tcPr>
          <w:p w14:paraId="41D5251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Marital status of Household head</w:t>
            </w:r>
          </w:p>
        </w:tc>
        <w:tc>
          <w:tcPr>
            <w:tcW w:w="1620" w:type="dxa"/>
            <w:tcBorders>
              <w:top w:val="single" w:sz="4" w:space="0" w:color="auto"/>
              <w:left w:val="nil"/>
              <w:bottom w:val="single" w:sz="4" w:space="0" w:color="auto"/>
              <w:right w:val="nil"/>
            </w:tcBorders>
            <w:hideMark/>
          </w:tcPr>
          <w:p w14:paraId="28FD806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-0.079   (0.049)</w:t>
            </w:r>
          </w:p>
        </w:tc>
        <w:tc>
          <w:tcPr>
            <w:tcW w:w="1800" w:type="dxa"/>
            <w:tcBorders>
              <w:top w:val="single" w:sz="4" w:space="0" w:color="auto"/>
              <w:left w:val="nil"/>
              <w:bottom w:val="single" w:sz="4" w:space="0" w:color="auto"/>
              <w:right w:val="nil"/>
            </w:tcBorders>
            <w:hideMark/>
          </w:tcPr>
          <w:p w14:paraId="203307F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0.018 </w:t>
            </w:r>
          </w:p>
          <w:p w14:paraId="60C4884F"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(0.065)</w:t>
            </w:r>
          </w:p>
        </w:tc>
        <w:tc>
          <w:tcPr>
            <w:tcW w:w="1800" w:type="dxa"/>
            <w:tcBorders>
              <w:top w:val="single" w:sz="4" w:space="0" w:color="auto"/>
              <w:left w:val="nil"/>
              <w:bottom w:val="single" w:sz="4" w:space="0" w:color="auto"/>
              <w:right w:val="nil"/>
            </w:tcBorders>
            <w:hideMark/>
          </w:tcPr>
          <w:p w14:paraId="6EAE1DC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0.030 </w:t>
            </w:r>
          </w:p>
          <w:p w14:paraId="28B96EC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(0.038)</w:t>
            </w:r>
          </w:p>
        </w:tc>
        <w:tc>
          <w:tcPr>
            <w:tcW w:w="1800" w:type="dxa"/>
            <w:tcBorders>
              <w:top w:val="single" w:sz="4" w:space="0" w:color="auto"/>
              <w:left w:val="nil"/>
              <w:bottom w:val="single" w:sz="4" w:space="0" w:color="auto"/>
              <w:right w:val="nil"/>
            </w:tcBorders>
            <w:hideMark/>
          </w:tcPr>
          <w:p w14:paraId="6CDAA79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-0.020   </w:t>
            </w:r>
          </w:p>
          <w:p w14:paraId="1B5B747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(0.024)</w:t>
            </w:r>
          </w:p>
        </w:tc>
      </w:tr>
      <w:tr w:rsidR="00141B2C" w:rsidRPr="004E52C2" w14:paraId="31CE37D7" w14:textId="77777777" w:rsidTr="00D85854">
        <w:tc>
          <w:tcPr>
            <w:tcW w:w="3060" w:type="dxa"/>
            <w:tcBorders>
              <w:top w:val="single" w:sz="4" w:space="0" w:color="auto"/>
              <w:left w:val="nil"/>
              <w:bottom w:val="single" w:sz="4" w:space="0" w:color="auto"/>
              <w:right w:val="nil"/>
            </w:tcBorders>
            <w:hideMark/>
          </w:tcPr>
          <w:p w14:paraId="32560FF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Household size </w:t>
            </w:r>
          </w:p>
        </w:tc>
        <w:tc>
          <w:tcPr>
            <w:tcW w:w="1620" w:type="dxa"/>
            <w:tcBorders>
              <w:top w:val="single" w:sz="4" w:space="0" w:color="auto"/>
              <w:left w:val="nil"/>
              <w:bottom w:val="single" w:sz="4" w:space="0" w:color="auto"/>
              <w:right w:val="nil"/>
            </w:tcBorders>
            <w:hideMark/>
          </w:tcPr>
          <w:p w14:paraId="2AAEEC5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0.024*   (0.013)</w:t>
            </w:r>
          </w:p>
        </w:tc>
        <w:tc>
          <w:tcPr>
            <w:tcW w:w="1800" w:type="dxa"/>
            <w:tcBorders>
              <w:top w:val="single" w:sz="4" w:space="0" w:color="auto"/>
              <w:left w:val="nil"/>
              <w:bottom w:val="single" w:sz="4" w:space="0" w:color="auto"/>
              <w:right w:val="nil"/>
            </w:tcBorders>
            <w:hideMark/>
          </w:tcPr>
          <w:p w14:paraId="13ACAFC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0.012 </w:t>
            </w:r>
          </w:p>
          <w:p w14:paraId="62DF27C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(0.014)</w:t>
            </w:r>
          </w:p>
        </w:tc>
        <w:tc>
          <w:tcPr>
            <w:tcW w:w="1800" w:type="dxa"/>
            <w:tcBorders>
              <w:top w:val="single" w:sz="4" w:space="0" w:color="auto"/>
              <w:left w:val="nil"/>
              <w:bottom w:val="single" w:sz="4" w:space="0" w:color="auto"/>
              <w:right w:val="nil"/>
            </w:tcBorders>
            <w:hideMark/>
          </w:tcPr>
          <w:p w14:paraId="2606AF2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-0.012**  (0.005)</w:t>
            </w:r>
          </w:p>
        </w:tc>
        <w:tc>
          <w:tcPr>
            <w:tcW w:w="1800" w:type="dxa"/>
            <w:tcBorders>
              <w:top w:val="single" w:sz="4" w:space="0" w:color="auto"/>
              <w:left w:val="nil"/>
              <w:bottom w:val="single" w:sz="4" w:space="0" w:color="auto"/>
              <w:right w:val="nil"/>
            </w:tcBorders>
            <w:hideMark/>
          </w:tcPr>
          <w:p w14:paraId="697A302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-0.001  </w:t>
            </w:r>
          </w:p>
          <w:p w14:paraId="0F97135B"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(0.006)</w:t>
            </w:r>
          </w:p>
        </w:tc>
      </w:tr>
      <w:tr w:rsidR="00141B2C" w:rsidRPr="004E52C2" w14:paraId="1BBE0472" w14:textId="77777777" w:rsidTr="00D85854">
        <w:tc>
          <w:tcPr>
            <w:tcW w:w="3060" w:type="dxa"/>
            <w:tcBorders>
              <w:top w:val="single" w:sz="4" w:space="0" w:color="auto"/>
              <w:left w:val="nil"/>
              <w:bottom w:val="single" w:sz="4" w:space="0" w:color="auto"/>
              <w:right w:val="nil"/>
            </w:tcBorders>
            <w:hideMark/>
          </w:tcPr>
          <w:p w14:paraId="4F410C4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Location of Household </w:t>
            </w:r>
          </w:p>
        </w:tc>
        <w:tc>
          <w:tcPr>
            <w:tcW w:w="1620" w:type="dxa"/>
            <w:tcBorders>
              <w:top w:val="single" w:sz="4" w:space="0" w:color="auto"/>
              <w:left w:val="nil"/>
              <w:bottom w:val="single" w:sz="4" w:space="0" w:color="auto"/>
              <w:right w:val="nil"/>
            </w:tcBorders>
            <w:hideMark/>
          </w:tcPr>
          <w:p w14:paraId="0D8092C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0.073 </w:t>
            </w:r>
          </w:p>
          <w:p w14:paraId="188AA7D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(0.049)</w:t>
            </w:r>
          </w:p>
        </w:tc>
        <w:tc>
          <w:tcPr>
            <w:tcW w:w="1800" w:type="dxa"/>
            <w:tcBorders>
              <w:top w:val="single" w:sz="4" w:space="0" w:color="auto"/>
              <w:left w:val="nil"/>
              <w:bottom w:val="single" w:sz="4" w:space="0" w:color="auto"/>
              <w:right w:val="nil"/>
            </w:tcBorders>
            <w:hideMark/>
          </w:tcPr>
          <w:p w14:paraId="1A56BA8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-0.119*     (0.063)</w:t>
            </w:r>
          </w:p>
        </w:tc>
        <w:tc>
          <w:tcPr>
            <w:tcW w:w="1800" w:type="dxa"/>
            <w:tcBorders>
              <w:top w:val="single" w:sz="4" w:space="0" w:color="auto"/>
              <w:left w:val="nil"/>
              <w:bottom w:val="single" w:sz="4" w:space="0" w:color="auto"/>
              <w:right w:val="nil"/>
            </w:tcBorders>
            <w:hideMark/>
          </w:tcPr>
          <w:p w14:paraId="0C3DABF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-0.019 </w:t>
            </w:r>
          </w:p>
          <w:p w14:paraId="34FA4EE3"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(0.036)</w:t>
            </w:r>
          </w:p>
        </w:tc>
        <w:tc>
          <w:tcPr>
            <w:tcW w:w="1800" w:type="dxa"/>
            <w:tcBorders>
              <w:top w:val="single" w:sz="4" w:space="0" w:color="auto"/>
              <w:left w:val="nil"/>
              <w:bottom w:val="single" w:sz="4" w:space="0" w:color="auto"/>
              <w:right w:val="nil"/>
            </w:tcBorders>
            <w:hideMark/>
          </w:tcPr>
          <w:p w14:paraId="01B12A7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0.005</w:t>
            </w:r>
          </w:p>
          <w:p w14:paraId="04B7D6F4"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(0.026)</w:t>
            </w:r>
          </w:p>
        </w:tc>
      </w:tr>
      <w:tr w:rsidR="00141B2C" w:rsidRPr="004E52C2" w14:paraId="0EC27CD0" w14:textId="77777777" w:rsidTr="00D85854">
        <w:tc>
          <w:tcPr>
            <w:tcW w:w="3060" w:type="dxa"/>
            <w:tcBorders>
              <w:top w:val="single" w:sz="4" w:space="0" w:color="auto"/>
              <w:left w:val="nil"/>
              <w:bottom w:val="single" w:sz="4" w:space="0" w:color="auto"/>
              <w:right w:val="nil"/>
            </w:tcBorders>
            <w:hideMark/>
          </w:tcPr>
          <w:p w14:paraId="63BD3D8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Primary of Household head Occupation</w:t>
            </w:r>
          </w:p>
        </w:tc>
        <w:tc>
          <w:tcPr>
            <w:tcW w:w="1620" w:type="dxa"/>
            <w:tcBorders>
              <w:top w:val="single" w:sz="4" w:space="0" w:color="auto"/>
              <w:left w:val="nil"/>
              <w:bottom w:val="single" w:sz="4" w:space="0" w:color="auto"/>
              <w:right w:val="nil"/>
            </w:tcBorders>
            <w:hideMark/>
          </w:tcPr>
          <w:p w14:paraId="6DEF4B5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0.106**   (0.055)</w:t>
            </w:r>
          </w:p>
        </w:tc>
        <w:tc>
          <w:tcPr>
            <w:tcW w:w="1800" w:type="dxa"/>
            <w:tcBorders>
              <w:top w:val="single" w:sz="4" w:space="0" w:color="auto"/>
              <w:left w:val="nil"/>
              <w:bottom w:val="single" w:sz="4" w:space="0" w:color="auto"/>
              <w:right w:val="nil"/>
            </w:tcBorders>
            <w:hideMark/>
          </w:tcPr>
          <w:p w14:paraId="102AF79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0.040 </w:t>
            </w:r>
          </w:p>
          <w:p w14:paraId="5B6A312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(0.077)</w:t>
            </w:r>
          </w:p>
        </w:tc>
        <w:tc>
          <w:tcPr>
            <w:tcW w:w="1800" w:type="dxa"/>
            <w:tcBorders>
              <w:top w:val="single" w:sz="4" w:space="0" w:color="auto"/>
              <w:left w:val="nil"/>
              <w:bottom w:val="single" w:sz="4" w:space="0" w:color="auto"/>
              <w:right w:val="nil"/>
            </w:tcBorders>
            <w:hideMark/>
          </w:tcPr>
          <w:p w14:paraId="13EC8D5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-0.047 </w:t>
            </w:r>
          </w:p>
          <w:p w14:paraId="74F648B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(0.053)</w:t>
            </w:r>
          </w:p>
        </w:tc>
        <w:tc>
          <w:tcPr>
            <w:tcW w:w="1800" w:type="dxa"/>
            <w:tcBorders>
              <w:top w:val="single" w:sz="4" w:space="0" w:color="auto"/>
              <w:left w:val="nil"/>
              <w:bottom w:val="single" w:sz="4" w:space="0" w:color="auto"/>
              <w:right w:val="nil"/>
            </w:tcBorders>
            <w:hideMark/>
          </w:tcPr>
          <w:p w14:paraId="274FC09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 xml:space="preserve">0.006 </w:t>
            </w:r>
          </w:p>
          <w:p w14:paraId="399B1D5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(0.007)</w:t>
            </w:r>
          </w:p>
        </w:tc>
      </w:tr>
      <w:tr w:rsidR="00141B2C" w:rsidRPr="004E52C2" w14:paraId="1BB1B0D5" w14:textId="77777777" w:rsidTr="00D85854">
        <w:tc>
          <w:tcPr>
            <w:tcW w:w="3060" w:type="dxa"/>
            <w:tcBorders>
              <w:top w:val="single" w:sz="4" w:space="0" w:color="auto"/>
              <w:left w:val="nil"/>
              <w:bottom w:val="single" w:sz="4" w:space="0" w:color="auto"/>
              <w:right w:val="nil"/>
            </w:tcBorders>
            <w:hideMark/>
          </w:tcPr>
          <w:p w14:paraId="563AECF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Monthly income of Household head</w:t>
            </w:r>
          </w:p>
        </w:tc>
        <w:tc>
          <w:tcPr>
            <w:tcW w:w="1620" w:type="dxa"/>
            <w:tcBorders>
              <w:top w:val="single" w:sz="4" w:space="0" w:color="auto"/>
              <w:left w:val="nil"/>
              <w:bottom w:val="single" w:sz="4" w:space="0" w:color="auto"/>
              <w:right w:val="nil"/>
            </w:tcBorders>
            <w:hideMark/>
          </w:tcPr>
          <w:p w14:paraId="2DA26CF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-2.47e-07***   (8.76e-08)</w:t>
            </w:r>
          </w:p>
        </w:tc>
        <w:tc>
          <w:tcPr>
            <w:tcW w:w="1800" w:type="dxa"/>
            <w:tcBorders>
              <w:top w:val="single" w:sz="4" w:space="0" w:color="auto"/>
              <w:left w:val="nil"/>
              <w:bottom w:val="single" w:sz="4" w:space="0" w:color="auto"/>
              <w:right w:val="nil"/>
            </w:tcBorders>
            <w:hideMark/>
          </w:tcPr>
          <w:p w14:paraId="4B3A3AE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1.19e-07   (1.39e-07)</w:t>
            </w:r>
          </w:p>
        </w:tc>
        <w:tc>
          <w:tcPr>
            <w:tcW w:w="1800" w:type="dxa"/>
            <w:tcBorders>
              <w:top w:val="single" w:sz="4" w:space="0" w:color="auto"/>
              <w:left w:val="nil"/>
              <w:bottom w:val="single" w:sz="4" w:space="0" w:color="auto"/>
              <w:right w:val="nil"/>
            </w:tcBorders>
            <w:hideMark/>
          </w:tcPr>
          <w:p w14:paraId="13F1C81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6.89e-08   (9.30e-08)</w:t>
            </w:r>
          </w:p>
        </w:tc>
        <w:tc>
          <w:tcPr>
            <w:tcW w:w="1800" w:type="dxa"/>
            <w:tcBorders>
              <w:top w:val="single" w:sz="4" w:space="0" w:color="auto"/>
              <w:left w:val="nil"/>
              <w:bottom w:val="single" w:sz="4" w:space="0" w:color="auto"/>
              <w:right w:val="nil"/>
            </w:tcBorders>
            <w:hideMark/>
          </w:tcPr>
          <w:p w14:paraId="3D95177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1.17e-06***   (4.39e-07)</w:t>
            </w:r>
          </w:p>
        </w:tc>
      </w:tr>
      <w:tr w:rsidR="00141B2C" w:rsidRPr="004E52C2" w14:paraId="7E34AC0B" w14:textId="77777777" w:rsidTr="00D85854">
        <w:tc>
          <w:tcPr>
            <w:tcW w:w="3060" w:type="dxa"/>
            <w:tcBorders>
              <w:top w:val="single" w:sz="4" w:space="0" w:color="auto"/>
              <w:left w:val="nil"/>
              <w:bottom w:val="single" w:sz="4" w:space="0" w:color="auto"/>
              <w:right w:val="nil"/>
            </w:tcBorders>
            <w:hideMark/>
          </w:tcPr>
          <w:p w14:paraId="0AD9A03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No of Observations</w:t>
            </w:r>
          </w:p>
        </w:tc>
        <w:tc>
          <w:tcPr>
            <w:tcW w:w="1620" w:type="dxa"/>
            <w:tcBorders>
              <w:top w:val="single" w:sz="4" w:space="0" w:color="auto"/>
              <w:left w:val="nil"/>
              <w:bottom w:val="single" w:sz="4" w:space="0" w:color="auto"/>
              <w:right w:val="nil"/>
            </w:tcBorders>
            <w:hideMark/>
          </w:tcPr>
          <w:p w14:paraId="59E51B3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45525C75"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03B1CCE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c>
          <w:tcPr>
            <w:tcW w:w="1800" w:type="dxa"/>
            <w:tcBorders>
              <w:top w:val="single" w:sz="4" w:space="0" w:color="auto"/>
              <w:left w:val="nil"/>
              <w:bottom w:val="single" w:sz="4" w:space="0" w:color="auto"/>
              <w:right w:val="nil"/>
            </w:tcBorders>
            <w:hideMark/>
          </w:tcPr>
          <w:p w14:paraId="570F3A1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257</w:t>
            </w:r>
          </w:p>
        </w:tc>
      </w:tr>
      <w:tr w:rsidR="00141B2C" w:rsidRPr="004E52C2" w14:paraId="634B92FA" w14:textId="77777777" w:rsidTr="00D85854">
        <w:tc>
          <w:tcPr>
            <w:tcW w:w="3060" w:type="dxa"/>
            <w:tcBorders>
              <w:top w:val="single" w:sz="4" w:space="0" w:color="auto"/>
              <w:left w:val="nil"/>
              <w:bottom w:val="single" w:sz="4" w:space="0" w:color="auto"/>
              <w:right w:val="nil"/>
            </w:tcBorders>
            <w:hideMark/>
          </w:tcPr>
          <w:p w14:paraId="45B90F7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Pseudo R-squared</w:t>
            </w:r>
          </w:p>
        </w:tc>
        <w:tc>
          <w:tcPr>
            <w:tcW w:w="1620" w:type="dxa"/>
            <w:tcBorders>
              <w:top w:val="single" w:sz="4" w:space="0" w:color="auto"/>
              <w:left w:val="nil"/>
              <w:bottom w:val="single" w:sz="4" w:space="0" w:color="auto"/>
              <w:right w:val="nil"/>
            </w:tcBorders>
            <w:hideMark/>
          </w:tcPr>
          <w:p w14:paraId="6793309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0.1046</w:t>
            </w:r>
          </w:p>
        </w:tc>
        <w:tc>
          <w:tcPr>
            <w:tcW w:w="1800" w:type="dxa"/>
            <w:tcBorders>
              <w:top w:val="single" w:sz="4" w:space="0" w:color="auto"/>
              <w:left w:val="nil"/>
              <w:bottom w:val="single" w:sz="4" w:space="0" w:color="auto"/>
              <w:right w:val="nil"/>
            </w:tcBorders>
            <w:hideMark/>
          </w:tcPr>
          <w:p w14:paraId="14BC852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0.0313</w:t>
            </w:r>
          </w:p>
        </w:tc>
        <w:tc>
          <w:tcPr>
            <w:tcW w:w="1800" w:type="dxa"/>
            <w:tcBorders>
              <w:top w:val="single" w:sz="4" w:space="0" w:color="auto"/>
              <w:left w:val="nil"/>
              <w:bottom w:val="single" w:sz="4" w:space="0" w:color="auto"/>
              <w:right w:val="nil"/>
            </w:tcBorders>
            <w:hideMark/>
          </w:tcPr>
          <w:p w14:paraId="1F4BD5C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0.0569</w:t>
            </w:r>
          </w:p>
        </w:tc>
        <w:tc>
          <w:tcPr>
            <w:tcW w:w="1800" w:type="dxa"/>
            <w:tcBorders>
              <w:top w:val="single" w:sz="4" w:space="0" w:color="auto"/>
              <w:left w:val="nil"/>
              <w:bottom w:val="single" w:sz="4" w:space="0" w:color="auto"/>
              <w:right w:val="nil"/>
            </w:tcBorders>
            <w:hideMark/>
          </w:tcPr>
          <w:p w14:paraId="3B55BD4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0.3317</w:t>
            </w:r>
          </w:p>
        </w:tc>
      </w:tr>
      <w:tr w:rsidR="00141B2C" w:rsidRPr="004E52C2" w14:paraId="4EECCD69" w14:textId="77777777" w:rsidTr="00D85854">
        <w:tc>
          <w:tcPr>
            <w:tcW w:w="3060" w:type="dxa"/>
            <w:tcBorders>
              <w:top w:val="single" w:sz="4" w:space="0" w:color="auto"/>
              <w:left w:val="nil"/>
              <w:bottom w:val="single" w:sz="4" w:space="0" w:color="auto"/>
              <w:right w:val="nil"/>
            </w:tcBorders>
            <w:hideMark/>
          </w:tcPr>
          <w:p w14:paraId="65526B84" w14:textId="5AA08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 xml:space="preserve">P </w:t>
            </w:r>
            <w:r w:rsidR="00B959FA">
              <w:rPr>
                <w:rFonts w:asciiTheme="minorHAnsi" w:eastAsiaTheme="minorHAnsi" w:hAnsiTheme="minorHAnsi" w:cstheme="minorHAnsi"/>
                <w:b/>
                <w:bCs/>
                <w:sz w:val="24"/>
                <w:szCs w:val="24"/>
                <w:lang w:val="en-US"/>
              </w:rPr>
              <w:t>value</w:t>
            </w:r>
            <w:r w:rsidRPr="004E52C2">
              <w:rPr>
                <w:rFonts w:asciiTheme="minorHAnsi" w:eastAsiaTheme="minorHAnsi" w:hAnsiTheme="minorHAnsi" w:cstheme="minorHAnsi"/>
                <w:b/>
                <w:bCs/>
                <w:sz w:val="24"/>
                <w:szCs w:val="24"/>
                <w:lang w:val="en-US"/>
              </w:rPr>
              <w:t xml:space="preserve"> </w:t>
            </w:r>
          </w:p>
        </w:tc>
        <w:tc>
          <w:tcPr>
            <w:tcW w:w="1620" w:type="dxa"/>
            <w:tcBorders>
              <w:top w:val="single" w:sz="4" w:space="0" w:color="auto"/>
              <w:left w:val="nil"/>
              <w:bottom w:val="single" w:sz="4" w:space="0" w:color="auto"/>
              <w:right w:val="nil"/>
            </w:tcBorders>
            <w:hideMark/>
          </w:tcPr>
          <w:p w14:paraId="25F399F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0.0010</w:t>
            </w:r>
          </w:p>
        </w:tc>
        <w:tc>
          <w:tcPr>
            <w:tcW w:w="1800" w:type="dxa"/>
            <w:tcBorders>
              <w:top w:val="single" w:sz="4" w:space="0" w:color="auto"/>
              <w:left w:val="nil"/>
              <w:bottom w:val="single" w:sz="4" w:space="0" w:color="auto"/>
              <w:right w:val="nil"/>
            </w:tcBorders>
            <w:hideMark/>
          </w:tcPr>
          <w:p w14:paraId="0D6691F8"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0.2306</w:t>
            </w:r>
          </w:p>
        </w:tc>
        <w:tc>
          <w:tcPr>
            <w:tcW w:w="1800" w:type="dxa"/>
            <w:tcBorders>
              <w:top w:val="single" w:sz="4" w:space="0" w:color="auto"/>
              <w:left w:val="nil"/>
              <w:bottom w:val="single" w:sz="4" w:space="0" w:color="auto"/>
              <w:right w:val="nil"/>
            </w:tcBorders>
            <w:hideMark/>
          </w:tcPr>
          <w:p w14:paraId="32FA8686"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0.0434</w:t>
            </w:r>
          </w:p>
        </w:tc>
        <w:tc>
          <w:tcPr>
            <w:tcW w:w="1800" w:type="dxa"/>
            <w:tcBorders>
              <w:top w:val="single" w:sz="4" w:space="0" w:color="auto"/>
              <w:left w:val="nil"/>
              <w:bottom w:val="single" w:sz="4" w:space="0" w:color="auto"/>
              <w:right w:val="nil"/>
            </w:tcBorders>
            <w:hideMark/>
          </w:tcPr>
          <w:p w14:paraId="50079BB2"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0.0005</w:t>
            </w:r>
          </w:p>
        </w:tc>
      </w:tr>
      <w:tr w:rsidR="00141B2C" w:rsidRPr="004E52C2" w14:paraId="0B435B42" w14:textId="77777777" w:rsidTr="00D85854">
        <w:tc>
          <w:tcPr>
            <w:tcW w:w="3060" w:type="dxa"/>
            <w:tcBorders>
              <w:top w:val="single" w:sz="4" w:space="0" w:color="auto"/>
              <w:left w:val="nil"/>
              <w:bottom w:val="single" w:sz="4" w:space="0" w:color="auto"/>
              <w:right w:val="nil"/>
            </w:tcBorders>
            <w:hideMark/>
          </w:tcPr>
          <w:p w14:paraId="6D911580"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LR chi2(8)</w:t>
            </w:r>
          </w:p>
        </w:tc>
        <w:tc>
          <w:tcPr>
            <w:tcW w:w="1620" w:type="dxa"/>
            <w:tcBorders>
              <w:top w:val="single" w:sz="4" w:space="0" w:color="auto"/>
              <w:left w:val="nil"/>
              <w:bottom w:val="single" w:sz="4" w:space="0" w:color="auto"/>
              <w:right w:val="nil"/>
            </w:tcBorders>
            <w:hideMark/>
          </w:tcPr>
          <w:p w14:paraId="71F2BFF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26.19</w:t>
            </w:r>
          </w:p>
        </w:tc>
        <w:tc>
          <w:tcPr>
            <w:tcW w:w="1800" w:type="dxa"/>
            <w:tcBorders>
              <w:top w:val="single" w:sz="4" w:space="0" w:color="auto"/>
              <w:left w:val="nil"/>
              <w:bottom w:val="single" w:sz="4" w:space="0" w:color="auto"/>
              <w:right w:val="nil"/>
            </w:tcBorders>
            <w:hideMark/>
          </w:tcPr>
          <w:p w14:paraId="08BB594D"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10.52</w:t>
            </w:r>
          </w:p>
        </w:tc>
        <w:tc>
          <w:tcPr>
            <w:tcW w:w="1800" w:type="dxa"/>
            <w:tcBorders>
              <w:top w:val="single" w:sz="4" w:space="0" w:color="auto"/>
              <w:left w:val="nil"/>
              <w:bottom w:val="single" w:sz="4" w:space="0" w:color="auto"/>
              <w:right w:val="nil"/>
            </w:tcBorders>
            <w:hideMark/>
          </w:tcPr>
          <w:p w14:paraId="165D881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7.99</w:t>
            </w:r>
          </w:p>
        </w:tc>
        <w:tc>
          <w:tcPr>
            <w:tcW w:w="1800" w:type="dxa"/>
            <w:tcBorders>
              <w:top w:val="single" w:sz="4" w:space="0" w:color="auto"/>
              <w:left w:val="nil"/>
              <w:bottom w:val="single" w:sz="4" w:space="0" w:color="auto"/>
              <w:right w:val="nil"/>
            </w:tcBorders>
            <w:hideMark/>
          </w:tcPr>
          <w:p w14:paraId="1D3B694C"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28.04</w:t>
            </w:r>
          </w:p>
        </w:tc>
      </w:tr>
      <w:tr w:rsidR="00141B2C" w:rsidRPr="004E52C2" w14:paraId="275EE685" w14:textId="77777777" w:rsidTr="00D85854">
        <w:tc>
          <w:tcPr>
            <w:tcW w:w="3060" w:type="dxa"/>
            <w:tcBorders>
              <w:top w:val="single" w:sz="4" w:space="0" w:color="auto"/>
              <w:left w:val="nil"/>
              <w:bottom w:val="single" w:sz="4" w:space="0" w:color="auto"/>
              <w:right w:val="nil"/>
            </w:tcBorders>
            <w:hideMark/>
          </w:tcPr>
          <w:p w14:paraId="3210B3DE"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b/>
                <w:bCs/>
                <w:sz w:val="24"/>
                <w:szCs w:val="24"/>
                <w:lang w:val="en-US"/>
              </w:rPr>
            </w:pPr>
            <w:r w:rsidRPr="004E52C2">
              <w:rPr>
                <w:rFonts w:asciiTheme="minorHAnsi" w:eastAsiaTheme="minorHAnsi" w:hAnsiTheme="minorHAnsi" w:cstheme="minorHAnsi"/>
                <w:b/>
                <w:bCs/>
                <w:sz w:val="24"/>
                <w:szCs w:val="24"/>
                <w:lang w:val="en-US"/>
              </w:rPr>
              <w:t>Log-likelihood</w:t>
            </w:r>
          </w:p>
        </w:tc>
        <w:tc>
          <w:tcPr>
            <w:tcW w:w="1620" w:type="dxa"/>
            <w:tcBorders>
              <w:top w:val="single" w:sz="4" w:space="0" w:color="auto"/>
              <w:left w:val="nil"/>
              <w:bottom w:val="single" w:sz="4" w:space="0" w:color="auto"/>
              <w:right w:val="nil"/>
            </w:tcBorders>
            <w:hideMark/>
          </w:tcPr>
          <w:p w14:paraId="45D10AAA"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-112.11038</w:t>
            </w:r>
          </w:p>
        </w:tc>
        <w:tc>
          <w:tcPr>
            <w:tcW w:w="1800" w:type="dxa"/>
            <w:tcBorders>
              <w:top w:val="single" w:sz="4" w:space="0" w:color="auto"/>
              <w:left w:val="nil"/>
              <w:bottom w:val="single" w:sz="4" w:space="0" w:color="auto"/>
              <w:right w:val="nil"/>
            </w:tcBorders>
            <w:hideMark/>
          </w:tcPr>
          <w:p w14:paraId="7F92EC61"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-162.94462</w:t>
            </w:r>
          </w:p>
        </w:tc>
        <w:tc>
          <w:tcPr>
            <w:tcW w:w="1800" w:type="dxa"/>
            <w:tcBorders>
              <w:top w:val="single" w:sz="4" w:space="0" w:color="auto"/>
              <w:left w:val="nil"/>
              <w:bottom w:val="single" w:sz="4" w:space="0" w:color="auto"/>
              <w:right w:val="nil"/>
            </w:tcBorders>
            <w:hideMark/>
          </w:tcPr>
          <w:p w14:paraId="42833029"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-66.271974</w:t>
            </w:r>
          </w:p>
        </w:tc>
        <w:tc>
          <w:tcPr>
            <w:tcW w:w="1800" w:type="dxa"/>
            <w:tcBorders>
              <w:top w:val="single" w:sz="4" w:space="0" w:color="auto"/>
              <w:left w:val="nil"/>
              <w:bottom w:val="single" w:sz="4" w:space="0" w:color="auto"/>
              <w:right w:val="nil"/>
            </w:tcBorders>
            <w:hideMark/>
          </w:tcPr>
          <w:p w14:paraId="3DDB7687" w14:textId="77777777" w:rsidR="00141B2C" w:rsidRPr="004E52C2" w:rsidRDefault="00141B2C" w:rsidP="00F4229D">
            <w:pPr>
              <w:spacing w:after="160" w:line="259" w:lineRule="auto"/>
              <w:ind w:left="0" w:right="0" w:firstLine="0"/>
              <w:jc w:val="both"/>
              <w:rPr>
                <w:rFonts w:asciiTheme="minorHAnsi" w:eastAsiaTheme="minorHAnsi" w:hAnsiTheme="minorHAnsi" w:cstheme="minorHAnsi"/>
                <w:sz w:val="24"/>
                <w:szCs w:val="24"/>
                <w:lang w:val="en-US"/>
              </w:rPr>
            </w:pPr>
            <w:r w:rsidRPr="004E52C2">
              <w:rPr>
                <w:rFonts w:asciiTheme="minorHAnsi" w:eastAsiaTheme="minorHAnsi" w:hAnsiTheme="minorHAnsi" w:cstheme="minorHAnsi"/>
                <w:sz w:val="24"/>
                <w:szCs w:val="24"/>
                <w:lang w:val="en-US"/>
              </w:rPr>
              <w:t>-28.247523</w:t>
            </w:r>
          </w:p>
        </w:tc>
      </w:tr>
    </w:tbl>
    <w:p w14:paraId="7EBE4F1C" w14:textId="77777777" w:rsidR="00141B2C" w:rsidRPr="004E52C2" w:rsidRDefault="00141B2C" w:rsidP="00F4229D">
      <w:pPr>
        <w:jc w:val="both"/>
        <w:rPr>
          <w:rFonts w:cstheme="minorHAnsi"/>
          <w:bCs/>
          <w:sz w:val="24"/>
          <w:szCs w:val="24"/>
          <w:lang w:val="en-US"/>
        </w:rPr>
      </w:pPr>
      <w:r w:rsidRPr="004E52C2">
        <w:rPr>
          <w:rFonts w:cstheme="minorHAnsi"/>
          <w:bCs/>
          <w:sz w:val="24"/>
          <w:szCs w:val="24"/>
          <w:lang w:val="en-US"/>
        </w:rPr>
        <w:t>Note: ***, ** and  *denote significance at the 0.01, 0.05 and 0.10 levels, respectively. Standard Error in parenthesis. Source: Field survey, 2023.</w:t>
      </w:r>
    </w:p>
    <w:p w14:paraId="7E31F82E" w14:textId="77777777" w:rsidR="00437210" w:rsidRPr="004E52C2" w:rsidRDefault="00437210" w:rsidP="00F4229D">
      <w:pPr>
        <w:jc w:val="both"/>
        <w:rPr>
          <w:rFonts w:cstheme="minorHAnsi"/>
          <w:bCs/>
          <w:sz w:val="24"/>
          <w:szCs w:val="24"/>
          <w:lang w:val="en-US"/>
        </w:rPr>
      </w:pPr>
    </w:p>
    <w:p w14:paraId="3026B753" w14:textId="57582D76" w:rsidR="00141B2C" w:rsidRPr="004E52C2" w:rsidRDefault="00B5477B" w:rsidP="00F4229D">
      <w:pPr>
        <w:jc w:val="both"/>
        <w:rPr>
          <w:rFonts w:cstheme="minorHAnsi"/>
          <w:b/>
          <w:bCs/>
          <w:sz w:val="24"/>
          <w:szCs w:val="24"/>
          <w:lang w:val="en-US"/>
        </w:rPr>
      </w:pPr>
      <w:bookmarkStart w:id="17" w:name="_Toc140036410"/>
      <w:bookmarkStart w:id="18" w:name="_Toc140036451"/>
      <w:r w:rsidRPr="004E52C2">
        <w:rPr>
          <w:rFonts w:cstheme="minorHAnsi"/>
          <w:b/>
          <w:bCs/>
          <w:sz w:val="24"/>
          <w:szCs w:val="24"/>
          <w:lang w:val="en-US"/>
        </w:rPr>
        <w:t>4</w:t>
      </w:r>
      <w:r w:rsidR="00141B2C" w:rsidRPr="004E52C2">
        <w:rPr>
          <w:rFonts w:cstheme="minorHAnsi"/>
          <w:b/>
          <w:bCs/>
          <w:sz w:val="24"/>
          <w:szCs w:val="24"/>
          <w:lang w:val="en-US"/>
        </w:rPr>
        <w:t xml:space="preserve">.1. </w:t>
      </w:r>
      <w:bookmarkEnd w:id="17"/>
      <w:bookmarkEnd w:id="18"/>
      <w:r w:rsidR="00437210" w:rsidRPr="004E52C2">
        <w:rPr>
          <w:rFonts w:cstheme="minorHAnsi"/>
          <w:b/>
          <w:bCs/>
          <w:sz w:val="24"/>
          <w:szCs w:val="24"/>
          <w:lang w:val="en-US"/>
        </w:rPr>
        <w:t>Discussion</w:t>
      </w:r>
    </w:p>
    <w:p w14:paraId="791AC3D4" w14:textId="6230633C" w:rsidR="00F535A1" w:rsidRPr="00F535A1" w:rsidRDefault="00F535A1" w:rsidP="00F4229D">
      <w:pPr>
        <w:jc w:val="both"/>
        <w:rPr>
          <w:rFonts w:cstheme="minorHAnsi"/>
          <w:bCs/>
          <w:sz w:val="24"/>
          <w:szCs w:val="24"/>
          <w:lang w:val="en-US"/>
        </w:rPr>
      </w:pPr>
      <w:bookmarkStart w:id="19" w:name="_Toc140036411"/>
      <w:bookmarkStart w:id="20" w:name="_Toc140036452"/>
      <w:r w:rsidRPr="00F535A1">
        <w:rPr>
          <w:rFonts w:cstheme="minorHAnsi"/>
          <w:bCs/>
          <w:sz w:val="24"/>
          <w:szCs w:val="24"/>
          <w:lang w:val="en-US"/>
        </w:rPr>
        <w:lastRenderedPageBreak/>
        <w:t>The study investigated the association between the Households' food security status and sustainability of wellness for HHs in Ibadan North Local Government Area (LGA). The results indicated that food insecurity and dietary inappropriateness are still important issues for urban households, notwithstanding the availability of food in urban communities. The study also revealed that the socioeconomic variables, household dietary practices, and living conditions have significant effects on food security and wellness sustainability of the households.</w:t>
      </w:r>
    </w:p>
    <w:p w14:paraId="7163669D" w14:textId="603AFC0E" w:rsidR="00F535A1" w:rsidRPr="00F535A1" w:rsidRDefault="00F535A1" w:rsidP="00F4229D">
      <w:pPr>
        <w:jc w:val="both"/>
        <w:rPr>
          <w:rFonts w:cstheme="minorHAnsi"/>
          <w:bCs/>
          <w:sz w:val="24"/>
          <w:szCs w:val="24"/>
          <w:lang w:val="en-US"/>
        </w:rPr>
      </w:pPr>
      <w:r w:rsidRPr="00F535A1">
        <w:rPr>
          <w:rFonts w:cstheme="minorHAnsi"/>
          <w:bCs/>
          <w:sz w:val="24"/>
          <w:szCs w:val="24"/>
          <w:lang w:val="en-US"/>
        </w:rPr>
        <w:t xml:space="preserve">The study found that male headed households were the majority of the sampled households and had a relatively high level of food insecurity relative to female headed households. The result could relate to the high income and household commitment often placed on male household heads in urban Nigeria. Despite resource constraints, female-headed households can exemplify good household rationing and budgeting practices. This result corroborates that of Ene-Obong et al (2017) who however found that women are better than men in nutrition and food management in the household. The result, however, stands in contrast with the result of </w:t>
      </w:r>
      <w:proofErr w:type="spellStart"/>
      <w:r w:rsidRPr="00F535A1">
        <w:rPr>
          <w:rFonts w:cstheme="minorHAnsi"/>
          <w:bCs/>
          <w:sz w:val="24"/>
          <w:szCs w:val="24"/>
          <w:lang w:val="en-US"/>
        </w:rPr>
        <w:t>Ashagidigbi</w:t>
      </w:r>
      <w:proofErr w:type="spellEnd"/>
      <w:r w:rsidRPr="00F535A1">
        <w:rPr>
          <w:rFonts w:cstheme="minorHAnsi"/>
          <w:bCs/>
          <w:sz w:val="24"/>
          <w:szCs w:val="24"/>
          <w:lang w:val="en-US"/>
        </w:rPr>
        <w:t xml:space="preserve"> et al. (2022) who reported that the female headed households experienced higher food insecurity because of their limited economic opportunities and productive resources.</w:t>
      </w:r>
    </w:p>
    <w:p w14:paraId="633A5F76" w14:textId="51E48D03" w:rsidR="00F535A1" w:rsidRPr="00F535A1" w:rsidRDefault="00F535A1" w:rsidP="00F4229D">
      <w:pPr>
        <w:jc w:val="both"/>
        <w:rPr>
          <w:rFonts w:cstheme="minorHAnsi"/>
          <w:bCs/>
          <w:sz w:val="24"/>
          <w:szCs w:val="24"/>
          <w:lang w:val="en-US"/>
        </w:rPr>
      </w:pPr>
      <w:r w:rsidRPr="00F535A1">
        <w:rPr>
          <w:rFonts w:cstheme="minorHAnsi"/>
          <w:bCs/>
          <w:sz w:val="24"/>
          <w:szCs w:val="24"/>
          <w:lang w:val="en-US"/>
        </w:rPr>
        <w:t>Household heads' age also affected food security outcomes. The older age group of household heads showed higher food security status as well as lower food security status. This pattern might indicate disparities in the lives of older people, with some having a more favorable retirement outcome due to past savings, pensions, or family support, whereas others may have negative retirement outcomes in terms of income reduction and economic vulnerability. Adetunji and Gumede (2024) also reported similar results in the case of older household heads in urban Nigeria who might be more vulnerable economically upon retirement. The severe hunger situation seemed to be worse in the households headed by the younger adults, possibly due to their greater economic participation and ability to adjust to economic shifts.</w:t>
      </w:r>
    </w:p>
    <w:p w14:paraId="5F41921B" w14:textId="48028375" w:rsidR="00F535A1" w:rsidRPr="00F535A1" w:rsidRDefault="00F535A1" w:rsidP="00F4229D">
      <w:pPr>
        <w:jc w:val="both"/>
        <w:rPr>
          <w:rFonts w:cstheme="minorHAnsi"/>
          <w:bCs/>
          <w:sz w:val="24"/>
          <w:szCs w:val="24"/>
          <w:lang w:val="en-US"/>
        </w:rPr>
      </w:pPr>
      <w:r w:rsidRPr="00F535A1">
        <w:rPr>
          <w:rFonts w:cstheme="minorHAnsi"/>
          <w:bCs/>
          <w:sz w:val="24"/>
          <w:szCs w:val="24"/>
          <w:lang w:val="en-US"/>
        </w:rPr>
        <w:t>Household food security status was positively related with educational attainment. Households where the head had a tertiary education level had in general higher levels of food security and lower severe hunger rates than households with lower education level. Education can offer better job prospects, income opportunities, financial skills and knowledge, and awareness of nutrition, all of which contribute to better access to nutritious foods and food choices within the household. The result corroborates previous research showing that higher levels of education are associated with better nutrition and food security results.</w:t>
      </w:r>
    </w:p>
    <w:p w14:paraId="718EFE68" w14:textId="77777777" w:rsidR="00F535A1" w:rsidRPr="00F535A1" w:rsidRDefault="00F535A1" w:rsidP="00F4229D">
      <w:pPr>
        <w:jc w:val="both"/>
        <w:rPr>
          <w:rFonts w:cstheme="minorHAnsi"/>
          <w:bCs/>
          <w:sz w:val="24"/>
          <w:szCs w:val="24"/>
          <w:lang w:val="en-US"/>
        </w:rPr>
      </w:pPr>
      <w:r w:rsidRPr="00F535A1">
        <w:rPr>
          <w:rFonts w:cstheme="minorHAnsi"/>
          <w:bCs/>
          <w:sz w:val="24"/>
          <w:szCs w:val="24"/>
          <w:lang w:val="en-US"/>
        </w:rPr>
        <w:t xml:space="preserve">There was a strong association between household size and food insecurity. Household size was associated with moderate and severe food insecurity, as larger households faced more pressure on their household income and food resources. Household food demand, dependency burden and expenditure pressures can also increase with the size of the household, which can lead to lower food adequacy and dietary quality. The result is in line with the results of Drammeh et al. (2019) who found that there is a negative relationship between household size and household food security; and a negative relationship between dependency ratios and household food </w:t>
      </w:r>
      <w:r w:rsidRPr="00F535A1">
        <w:rPr>
          <w:rFonts w:cstheme="minorHAnsi"/>
          <w:bCs/>
          <w:sz w:val="24"/>
          <w:szCs w:val="24"/>
          <w:lang w:val="en-US"/>
        </w:rPr>
        <w:lastRenderedPageBreak/>
        <w:t>security. Households with larger size might thus be at higher risk of experiencing reduced food diversity and nutritional adequacy at times of economic stress.</w:t>
      </w:r>
    </w:p>
    <w:p w14:paraId="10C031A9" w14:textId="788A06B6" w:rsidR="00F535A1" w:rsidRPr="00F535A1" w:rsidRDefault="00F535A1" w:rsidP="00F4229D">
      <w:pPr>
        <w:jc w:val="both"/>
        <w:rPr>
          <w:rFonts w:cstheme="minorHAnsi"/>
          <w:bCs/>
          <w:sz w:val="24"/>
          <w:szCs w:val="24"/>
          <w:lang w:val="en-US"/>
        </w:rPr>
      </w:pPr>
      <w:r w:rsidRPr="00F535A1">
        <w:rPr>
          <w:rFonts w:cstheme="minorHAnsi"/>
          <w:bCs/>
          <w:sz w:val="24"/>
          <w:szCs w:val="24"/>
          <w:lang w:val="en-US"/>
        </w:rPr>
        <w:t>Household food security outcomes were highly affected by residential location. The food security conditions were worse for those living in rural areas that are less densely populated than those in urban areas. This could be linked to limited food markets and transportation systems, limited health care facilities and limited employment in less developed residential areas. City areas can offer more economic and better food distribution resources which can benefit household food access and food quality.</w:t>
      </w:r>
    </w:p>
    <w:p w14:paraId="39854633" w14:textId="40EA534A" w:rsidR="00F535A1" w:rsidRPr="00F535A1" w:rsidRDefault="00F535A1" w:rsidP="00F4229D">
      <w:pPr>
        <w:jc w:val="both"/>
        <w:rPr>
          <w:rFonts w:cstheme="minorHAnsi"/>
          <w:bCs/>
          <w:sz w:val="24"/>
          <w:szCs w:val="24"/>
          <w:lang w:val="en-US"/>
        </w:rPr>
      </w:pPr>
      <w:r w:rsidRPr="00F535A1">
        <w:rPr>
          <w:rFonts w:cstheme="minorHAnsi"/>
          <w:bCs/>
          <w:sz w:val="24"/>
          <w:szCs w:val="24"/>
          <w:lang w:val="en-US"/>
        </w:rPr>
        <w:t>The property status and household income were significant factors in determining food security status. The food security results were significantly better for households whose household members had higher monthly incomes. Income directly affects a household's purchasing power and household resources to access sufficient and nutritious foods. Likewise, food security was better for households headed by people working in stable salaried jobs than for those who worked as artisans or in low-paying jobs. This is consistent with the results of Roberts et al. (2019) which revealed that the strongest predictor of urban food security in Nigeria was household income. This finding underscores the need to improve economic empowerment and livelihoods to alleviate household food insecurity.</w:t>
      </w:r>
    </w:p>
    <w:p w14:paraId="41AD0530" w14:textId="39ABAB7B" w:rsidR="00F535A1" w:rsidRPr="00F535A1" w:rsidRDefault="00F535A1" w:rsidP="00F4229D">
      <w:pPr>
        <w:jc w:val="both"/>
        <w:rPr>
          <w:rFonts w:cstheme="minorHAnsi"/>
          <w:bCs/>
          <w:sz w:val="24"/>
          <w:szCs w:val="24"/>
          <w:lang w:val="en-US"/>
        </w:rPr>
      </w:pPr>
      <w:r w:rsidRPr="00F535A1">
        <w:rPr>
          <w:rFonts w:cstheme="minorHAnsi"/>
          <w:bCs/>
          <w:sz w:val="24"/>
          <w:szCs w:val="24"/>
          <w:lang w:val="en-US"/>
        </w:rPr>
        <w:t>The research also found a large number of households had food insecurity, but not hunger. Therefore, while many households are physically able to access food, the types, quantities and variety of foods consumed could be inadequate for optimal nutritional wellbeing. Moderate and severe hunger was also present in some households, indicating an increasing food insecurity risk among the urban population. The same results were obtained by the Food and Agriculture Organization (FAO, 202</w:t>
      </w:r>
      <w:r w:rsidR="00090D05">
        <w:rPr>
          <w:rFonts w:cstheme="minorHAnsi"/>
          <w:bCs/>
          <w:sz w:val="24"/>
          <w:szCs w:val="24"/>
          <w:lang w:val="en-US"/>
        </w:rPr>
        <w:t>5</w:t>
      </w:r>
      <w:r w:rsidRPr="00F535A1">
        <w:rPr>
          <w:rFonts w:cstheme="minorHAnsi"/>
          <w:bCs/>
          <w:sz w:val="24"/>
          <w:szCs w:val="24"/>
          <w:lang w:val="en-US"/>
        </w:rPr>
        <w:t>) in its finding of food insecurity in urban areas of the developing world which increased as a result of inflation, unemployment and rising food prices.</w:t>
      </w:r>
    </w:p>
    <w:p w14:paraId="71D6751F" w14:textId="6D6C264A" w:rsidR="00F535A1" w:rsidRPr="00F535A1" w:rsidRDefault="00F535A1" w:rsidP="00F4229D">
      <w:pPr>
        <w:jc w:val="both"/>
        <w:rPr>
          <w:rFonts w:cstheme="minorHAnsi"/>
          <w:bCs/>
          <w:sz w:val="24"/>
          <w:szCs w:val="24"/>
          <w:lang w:val="en-US"/>
        </w:rPr>
      </w:pPr>
      <w:r w:rsidRPr="00F535A1">
        <w:rPr>
          <w:rFonts w:cstheme="minorHAnsi"/>
          <w:bCs/>
          <w:sz w:val="24"/>
          <w:szCs w:val="24"/>
          <w:lang w:val="en-US"/>
        </w:rPr>
        <w:t xml:space="preserve">The results also showed that the households' diet diversity, household occupation, household size, and consumption patterns affected the sustainability of wellness. Familiarity with healthier, more diverse diets, which featured more whole and minimally processed foods, correlated with higher odds of outcomes of a successful transition to wellness. Dietary diversity is considered a good indicator of nutritional adequacy and overall health. The result supports Islam et al (2023) who claimed that dietary diversity is positively associated with micronutrient intake and helps to prevent malnutrition. </w:t>
      </w:r>
    </w:p>
    <w:p w14:paraId="0BDA623F" w14:textId="408B73E8" w:rsidR="00F535A1" w:rsidRPr="00F535A1" w:rsidRDefault="00F535A1" w:rsidP="00F4229D">
      <w:pPr>
        <w:jc w:val="both"/>
        <w:rPr>
          <w:rFonts w:cstheme="minorHAnsi"/>
          <w:bCs/>
          <w:sz w:val="24"/>
          <w:szCs w:val="24"/>
          <w:lang w:val="en-US"/>
        </w:rPr>
      </w:pPr>
      <w:r w:rsidRPr="00F535A1">
        <w:rPr>
          <w:rFonts w:cstheme="minorHAnsi"/>
          <w:bCs/>
          <w:sz w:val="24"/>
          <w:szCs w:val="24"/>
          <w:lang w:val="en-US"/>
        </w:rPr>
        <w:t>Results from the analysis of whole food plant-based dietary intake indicate that more healthy diets could be a positive factor in achieving sustainable health outcomes. Fruits, vegetables, legumes, whole grains, nuts, roots and tubers are dietary components that could help lower risk of non-communicable diseases and enhance long-term physiological wellbeing. On the other hand, there may be families who have access to enough food but are living poor health due to their consumption of high processed foods, refined sugars, excessive fats and processed meats.</w:t>
      </w:r>
    </w:p>
    <w:p w14:paraId="5B2594F4" w14:textId="182EC45A" w:rsidR="00F535A1" w:rsidRDefault="00F535A1" w:rsidP="00F4229D">
      <w:pPr>
        <w:jc w:val="both"/>
        <w:rPr>
          <w:rFonts w:cstheme="minorHAnsi"/>
          <w:bCs/>
          <w:sz w:val="24"/>
          <w:szCs w:val="24"/>
        </w:rPr>
      </w:pPr>
      <w:r w:rsidRPr="00F535A1">
        <w:rPr>
          <w:rFonts w:cstheme="minorHAnsi"/>
          <w:bCs/>
          <w:sz w:val="24"/>
          <w:szCs w:val="24"/>
          <w:lang w:val="en-US"/>
        </w:rPr>
        <w:lastRenderedPageBreak/>
        <w:t>The study also identified distinctions among the factors that affect the sustainability of wellness among the food security categories. The frequency of food insecurity among food secure households was strongly related to age and residence, indicating that the environment and demographic context still matter for food security even in the absence of food insecurity. Households with limited food access but not hungry, where marital status and occupation had a significant impact on the sustainability of their level of wellness, suggest that socioeconomic stability is also relevant in maintaining healthier food practices when food is limited.</w:t>
      </w:r>
      <w:r>
        <w:rPr>
          <w:rFonts w:cstheme="minorHAnsi"/>
          <w:bCs/>
          <w:sz w:val="24"/>
          <w:szCs w:val="24"/>
          <w:lang w:val="en-US"/>
        </w:rPr>
        <w:t xml:space="preserve"> </w:t>
      </w:r>
      <w:r w:rsidRPr="00F535A1">
        <w:rPr>
          <w:rFonts w:cstheme="minorHAnsi"/>
          <w:bCs/>
          <w:sz w:val="24"/>
          <w:szCs w:val="24"/>
        </w:rPr>
        <w:t>Overall, the findings of this study demonstrate that food security should not be assessed solely based on food availability or access. Many households that appear food secure may still consume nutritionally poor diets that predispose them to non-communicable diseases and poor long-term health outcomes. The study therefore emphasizes the importance of integrating dietary quality and wellness sustainability into food security assessments and public health interventions in Nigeria.</w:t>
      </w:r>
    </w:p>
    <w:p w14:paraId="7D5F93FA" w14:textId="23F792B5" w:rsidR="00F535A1" w:rsidRPr="00F535A1" w:rsidRDefault="00F535A1" w:rsidP="00F4229D">
      <w:pPr>
        <w:jc w:val="both"/>
        <w:rPr>
          <w:rFonts w:cstheme="minorHAnsi"/>
          <w:b/>
          <w:sz w:val="24"/>
          <w:szCs w:val="24"/>
        </w:rPr>
      </w:pPr>
      <w:r>
        <w:rPr>
          <w:rFonts w:cstheme="minorHAnsi"/>
          <w:b/>
          <w:sz w:val="24"/>
          <w:szCs w:val="24"/>
        </w:rPr>
        <w:t>5. Conclusion</w:t>
      </w:r>
    </w:p>
    <w:p w14:paraId="2567EBE5" w14:textId="6BC3E10C" w:rsidR="00F535A1" w:rsidRPr="00F535A1" w:rsidRDefault="00F535A1" w:rsidP="00F4229D">
      <w:pPr>
        <w:jc w:val="both"/>
        <w:rPr>
          <w:rFonts w:cstheme="minorHAnsi"/>
          <w:bCs/>
          <w:sz w:val="24"/>
          <w:szCs w:val="24"/>
        </w:rPr>
      </w:pPr>
      <w:r w:rsidRPr="00F535A1">
        <w:rPr>
          <w:rFonts w:cstheme="minorHAnsi"/>
          <w:bCs/>
          <w:sz w:val="24"/>
          <w:szCs w:val="24"/>
        </w:rPr>
        <w:t>This study looked at the link between household food security status and households wellness sustainability in Ibadan North Local Government Area. The results showed that many families were having various levels of food insecurity, including food insecurity without hunger, despite living in an urban area where food is available. Many households also had diets with low diversity and diets with high consumption of processed and refined foods that may have adverse impacts on future health and wellness outcomes, the study revealed.</w:t>
      </w:r>
    </w:p>
    <w:p w14:paraId="6658D5B5" w14:textId="549D8B82" w:rsidR="00F535A1" w:rsidRPr="00F535A1" w:rsidRDefault="00F535A1" w:rsidP="00F4229D">
      <w:pPr>
        <w:jc w:val="both"/>
        <w:rPr>
          <w:rFonts w:cstheme="minorHAnsi"/>
          <w:bCs/>
          <w:sz w:val="24"/>
          <w:szCs w:val="24"/>
        </w:rPr>
      </w:pPr>
      <w:r w:rsidRPr="00F535A1">
        <w:rPr>
          <w:rFonts w:cstheme="minorHAnsi"/>
          <w:bCs/>
          <w:sz w:val="24"/>
          <w:szCs w:val="24"/>
        </w:rPr>
        <w:t>Household income, household occupation, marital status, household size, and location of residence were factors identified in the study that are important to consider when discussing household food security status. Household size, occupation, diet, and socioeconomic status also affected wellness sustainability. The households with healthier and diversified eating habits were more likely to achieve wellness sustainability, whereas the larger family size and less stable economic conditions were more likely to be vulnerable to poor dietary choices and food insecurity.</w:t>
      </w:r>
    </w:p>
    <w:p w14:paraId="1392C55F" w14:textId="37890A28" w:rsidR="008D4BF1" w:rsidRDefault="00F535A1" w:rsidP="00F4229D">
      <w:pPr>
        <w:jc w:val="both"/>
        <w:rPr>
          <w:rFonts w:eastAsia="Calibri" w:cstheme="minorHAnsi"/>
          <w:b/>
          <w:bCs/>
          <w:sz w:val="24"/>
          <w:szCs w:val="24"/>
          <w:lang w:val="en-US"/>
        </w:rPr>
      </w:pPr>
      <w:r w:rsidRPr="00F535A1">
        <w:rPr>
          <w:rFonts w:cstheme="minorHAnsi"/>
          <w:bCs/>
          <w:sz w:val="24"/>
          <w:szCs w:val="24"/>
        </w:rPr>
        <w:t>The results also showed that food security does not necessarily lead to sustainable wellness. Food secure households had some unhealthy eating patterns that can increase their risk of non-communicable diseases and poor nutritional outcomes. Households' food security measures should go beyond food supply and access and incorporate dietary quality and long-term health effects.</w:t>
      </w:r>
      <w:bookmarkEnd w:id="19"/>
      <w:bookmarkEnd w:id="20"/>
      <w:r w:rsidRPr="004E52C2">
        <w:rPr>
          <w:rFonts w:eastAsia="Calibri" w:cstheme="minorHAnsi"/>
          <w:sz w:val="24"/>
          <w:szCs w:val="24"/>
        </w:rPr>
        <w:t xml:space="preserve"> </w:t>
      </w:r>
    </w:p>
    <w:p w14:paraId="5858F36B" w14:textId="3DB3C096" w:rsidR="00F535A1" w:rsidRPr="00F535A1" w:rsidRDefault="00F535A1" w:rsidP="00F4229D">
      <w:pPr>
        <w:jc w:val="both"/>
        <w:rPr>
          <w:rFonts w:cstheme="minorHAnsi"/>
          <w:b/>
          <w:bCs/>
          <w:sz w:val="24"/>
          <w:szCs w:val="24"/>
        </w:rPr>
      </w:pPr>
      <w:r w:rsidRPr="00F535A1">
        <w:rPr>
          <w:rFonts w:cstheme="minorHAnsi"/>
          <w:b/>
          <w:bCs/>
          <w:sz w:val="24"/>
          <w:szCs w:val="24"/>
        </w:rPr>
        <w:t>5.1 Study Limitations</w:t>
      </w:r>
    </w:p>
    <w:p w14:paraId="1630689E" w14:textId="33F01D8C" w:rsidR="00F535A1" w:rsidRPr="00F535A1" w:rsidRDefault="00F535A1" w:rsidP="00F4229D">
      <w:pPr>
        <w:jc w:val="both"/>
        <w:rPr>
          <w:rFonts w:cstheme="minorHAnsi"/>
          <w:sz w:val="24"/>
          <w:szCs w:val="24"/>
        </w:rPr>
      </w:pPr>
      <w:r w:rsidRPr="00F535A1">
        <w:rPr>
          <w:rFonts w:cstheme="minorHAnsi"/>
          <w:sz w:val="24"/>
          <w:szCs w:val="24"/>
        </w:rPr>
        <w:t>Self-reported data was the main source of data in the study and may have been susceptible to recall bias or reporting errors. The respondents may not have recalled and reported their household food consumption and expenditure correctly when completing the questionnaires.</w:t>
      </w:r>
    </w:p>
    <w:p w14:paraId="1FC21BCA" w14:textId="483A4A4B" w:rsidR="00F535A1" w:rsidRPr="00F535A1" w:rsidRDefault="00F535A1" w:rsidP="00F4229D">
      <w:pPr>
        <w:jc w:val="both"/>
        <w:rPr>
          <w:rFonts w:cstheme="minorHAnsi"/>
          <w:sz w:val="24"/>
          <w:szCs w:val="24"/>
        </w:rPr>
      </w:pPr>
      <w:r w:rsidRPr="00F535A1">
        <w:rPr>
          <w:rFonts w:cstheme="minorHAnsi"/>
          <w:sz w:val="24"/>
          <w:szCs w:val="24"/>
        </w:rPr>
        <w:t xml:space="preserve">The study also included an evaluation of wellness sustainability primarily by food or beverage consumption patterns, in this case, the percentage of WFPPD intake compared to the total </w:t>
      </w:r>
      <w:r w:rsidRPr="00F535A1">
        <w:rPr>
          <w:rFonts w:cstheme="minorHAnsi"/>
          <w:sz w:val="24"/>
          <w:szCs w:val="24"/>
        </w:rPr>
        <w:lastRenderedPageBreak/>
        <w:t>family's food consumption. While dietary quality is one aspect of wellness sustainability, it cannot necessarily reflect all other important aspects of wellness like mental wellness status, physical activity, access to health care, lifestyle behaviours, or environmental factors.</w:t>
      </w:r>
    </w:p>
    <w:p w14:paraId="3EBBFFE7" w14:textId="7C3995F1" w:rsidR="00F535A1" w:rsidRPr="00F535A1" w:rsidRDefault="00F535A1" w:rsidP="00F4229D">
      <w:pPr>
        <w:jc w:val="both"/>
        <w:rPr>
          <w:rFonts w:cstheme="minorHAnsi"/>
          <w:sz w:val="24"/>
          <w:szCs w:val="24"/>
        </w:rPr>
      </w:pPr>
      <w:r w:rsidRPr="00F535A1">
        <w:rPr>
          <w:rFonts w:cstheme="minorHAnsi"/>
          <w:sz w:val="24"/>
          <w:szCs w:val="24"/>
        </w:rPr>
        <w:t>Additionally, the cross-sectional study design does not allow for causal relationships between household food security and wellness sustainability outcomes to be inferred. The results, therefore, should be interpreted as associations, and not as cause-and-effect relationships between variables.</w:t>
      </w:r>
    </w:p>
    <w:p w14:paraId="31D4FD1D" w14:textId="1DAA62A5" w:rsidR="00F535A1" w:rsidRPr="00F535A1" w:rsidRDefault="00F535A1" w:rsidP="00F4229D">
      <w:pPr>
        <w:jc w:val="both"/>
        <w:rPr>
          <w:rFonts w:cstheme="minorHAnsi"/>
          <w:sz w:val="24"/>
          <w:szCs w:val="24"/>
        </w:rPr>
      </w:pPr>
      <w:r w:rsidRPr="00F535A1">
        <w:rPr>
          <w:rFonts w:cstheme="minorHAnsi"/>
          <w:sz w:val="24"/>
          <w:szCs w:val="24"/>
        </w:rPr>
        <w:t>Moreover, the study was carried out only in Ibadan North Local Government Area, which may not allow the findings to be generalized to other urban or rural population of Nigeria as there are socioeconomic and cultural differences between the regions.</w:t>
      </w:r>
    </w:p>
    <w:p w14:paraId="160DB103" w14:textId="0743CA47" w:rsidR="00F535A1" w:rsidRPr="00F535A1" w:rsidRDefault="00F535A1" w:rsidP="00F4229D">
      <w:pPr>
        <w:jc w:val="both"/>
        <w:rPr>
          <w:rFonts w:cstheme="minorHAnsi"/>
          <w:b/>
          <w:bCs/>
          <w:sz w:val="24"/>
          <w:szCs w:val="24"/>
        </w:rPr>
      </w:pPr>
      <w:r w:rsidRPr="00F535A1">
        <w:rPr>
          <w:rFonts w:cstheme="minorHAnsi"/>
          <w:b/>
          <w:bCs/>
          <w:sz w:val="24"/>
          <w:szCs w:val="24"/>
        </w:rPr>
        <w:t>5.2 Recommendations</w:t>
      </w:r>
    </w:p>
    <w:p w14:paraId="264C84A7" w14:textId="77777777" w:rsidR="00F535A1" w:rsidRPr="00F535A1" w:rsidRDefault="00F535A1" w:rsidP="00F4229D">
      <w:pPr>
        <w:pStyle w:val="ListParagraph"/>
        <w:numPr>
          <w:ilvl w:val="0"/>
          <w:numId w:val="16"/>
        </w:numPr>
        <w:jc w:val="both"/>
        <w:rPr>
          <w:rFonts w:cstheme="minorHAnsi"/>
          <w:sz w:val="24"/>
          <w:szCs w:val="24"/>
        </w:rPr>
      </w:pPr>
      <w:r w:rsidRPr="00F535A1">
        <w:rPr>
          <w:rFonts w:cstheme="minorHAnsi"/>
          <w:sz w:val="24"/>
          <w:szCs w:val="24"/>
        </w:rPr>
        <w:t>Food security intervention programs for low-income urban households need to be bolstered, including those vulnerable to moderate and severe food insecurity, by the government and relevant public health agencies.</w:t>
      </w:r>
    </w:p>
    <w:p w14:paraId="6089B5DC" w14:textId="77777777" w:rsidR="00F535A1" w:rsidRPr="00F535A1" w:rsidRDefault="00F535A1" w:rsidP="00F4229D">
      <w:pPr>
        <w:pStyle w:val="ListParagraph"/>
        <w:numPr>
          <w:ilvl w:val="0"/>
          <w:numId w:val="16"/>
        </w:numPr>
        <w:jc w:val="both"/>
        <w:rPr>
          <w:rFonts w:cstheme="minorHAnsi"/>
          <w:sz w:val="24"/>
          <w:szCs w:val="24"/>
        </w:rPr>
      </w:pPr>
      <w:r w:rsidRPr="00F535A1">
        <w:rPr>
          <w:rFonts w:cstheme="minorHAnsi"/>
          <w:sz w:val="24"/>
          <w:szCs w:val="24"/>
        </w:rPr>
        <w:t>Nutrition education and awareness campaigns should be intensified to promote healthier diet habits and to increase consumption of fruits, vegetables, legumes, whole grains, nuts, roots and tubers and lessen the consumption of processed foods, sugary foods, unhealthy fats, and high salt food intake.</w:t>
      </w:r>
    </w:p>
    <w:p w14:paraId="1E12A5CC" w14:textId="77777777" w:rsidR="00F535A1" w:rsidRPr="00F535A1" w:rsidRDefault="00F535A1" w:rsidP="00F4229D">
      <w:pPr>
        <w:pStyle w:val="ListParagraph"/>
        <w:numPr>
          <w:ilvl w:val="0"/>
          <w:numId w:val="16"/>
        </w:numPr>
        <w:jc w:val="both"/>
        <w:rPr>
          <w:rFonts w:cstheme="minorHAnsi"/>
          <w:sz w:val="24"/>
          <w:szCs w:val="24"/>
        </w:rPr>
      </w:pPr>
      <w:r w:rsidRPr="00F535A1">
        <w:rPr>
          <w:rFonts w:cstheme="minorHAnsi"/>
          <w:sz w:val="24"/>
          <w:szCs w:val="24"/>
        </w:rPr>
        <w:t>Economic empowerment activities (e.g. employment, vocational training, small business development and livelihood development) should be increased to enhance the household's purchasing power and access to nutritious foods.</w:t>
      </w:r>
    </w:p>
    <w:p w14:paraId="611DCF35" w14:textId="77777777" w:rsidR="00F535A1" w:rsidRPr="00F535A1" w:rsidRDefault="00F535A1" w:rsidP="00F4229D">
      <w:pPr>
        <w:pStyle w:val="ListParagraph"/>
        <w:numPr>
          <w:ilvl w:val="0"/>
          <w:numId w:val="16"/>
        </w:numPr>
        <w:jc w:val="both"/>
        <w:rPr>
          <w:rFonts w:cstheme="minorHAnsi"/>
          <w:sz w:val="24"/>
          <w:szCs w:val="24"/>
        </w:rPr>
      </w:pPr>
      <w:r w:rsidRPr="00F535A1">
        <w:rPr>
          <w:rFonts w:cstheme="minorHAnsi"/>
          <w:sz w:val="24"/>
          <w:szCs w:val="24"/>
        </w:rPr>
        <w:t>To reflect the importance of ensuring that food security interventions not only improve food access and food availability, but also contribute to improving long-term nutrition outcomes and food security, policies should include indicators of wellness in household food security assessments.</w:t>
      </w:r>
    </w:p>
    <w:p w14:paraId="4FA304E9" w14:textId="77777777" w:rsidR="00F535A1" w:rsidRDefault="00F535A1" w:rsidP="00F4229D">
      <w:pPr>
        <w:pStyle w:val="ListParagraph"/>
        <w:numPr>
          <w:ilvl w:val="0"/>
          <w:numId w:val="16"/>
        </w:numPr>
        <w:jc w:val="both"/>
        <w:rPr>
          <w:rFonts w:cstheme="minorHAnsi"/>
          <w:sz w:val="24"/>
          <w:szCs w:val="24"/>
        </w:rPr>
      </w:pPr>
      <w:r w:rsidRPr="00F535A1">
        <w:rPr>
          <w:rFonts w:cstheme="minorHAnsi"/>
          <w:sz w:val="24"/>
          <w:szCs w:val="24"/>
        </w:rPr>
        <w:t>Sparsely populated urban communities should be made more accessible to people's lives in terms of infrastructure and market access, to better facilitate household access to affordable and nutritious foods.</w:t>
      </w:r>
    </w:p>
    <w:p w14:paraId="533F190B" w14:textId="77777777" w:rsidR="00F62AFE" w:rsidRDefault="00F62AFE" w:rsidP="00F62AFE">
      <w:pPr>
        <w:jc w:val="both"/>
        <w:rPr>
          <w:rFonts w:cstheme="minorHAnsi"/>
          <w:sz w:val="24"/>
          <w:szCs w:val="24"/>
        </w:rPr>
      </w:pPr>
    </w:p>
    <w:p w14:paraId="32662E2C" w14:textId="77777777" w:rsidR="00F62AFE" w:rsidRPr="00F62AFE" w:rsidRDefault="00F62AFE" w:rsidP="00F62AFE">
      <w:pPr>
        <w:jc w:val="both"/>
        <w:rPr>
          <w:rFonts w:cstheme="minorHAnsi"/>
          <w:sz w:val="24"/>
          <w:szCs w:val="24"/>
        </w:rPr>
      </w:pPr>
      <w:r w:rsidRPr="00F62AFE">
        <w:rPr>
          <w:rFonts w:cstheme="minorHAnsi"/>
          <w:sz w:val="24"/>
          <w:szCs w:val="24"/>
        </w:rPr>
        <w:t>Disclaimer (Artificial intelligence)</w:t>
      </w:r>
    </w:p>
    <w:p w14:paraId="15060F06" w14:textId="77777777" w:rsidR="00F62AFE" w:rsidRPr="00F62AFE" w:rsidRDefault="00F62AFE" w:rsidP="00F62AFE">
      <w:pPr>
        <w:jc w:val="both"/>
        <w:rPr>
          <w:rFonts w:cstheme="minorHAnsi"/>
          <w:sz w:val="24"/>
          <w:szCs w:val="24"/>
        </w:rPr>
      </w:pPr>
      <w:r w:rsidRPr="00F62AFE">
        <w:rPr>
          <w:rFonts w:cstheme="minorHAnsi"/>
          <w:sz w:val="24"/>
          <w:szCs w:val="24"/>
        </w:rPr>
        <w:t xml:space="preserve">Author(s) hereby declare that NO generative AI technologies such as Large Language Models (ChatGPT, COPILOT, etc.) and text-to-image generators have been used during the writing or editing of this manuscript. </w:t>
      </w:r>
    </w:p>
    <w:p w14:paraId="1491D835" w14:textId="77777777" w:rsidR="00F62AFE" w:rsidRDefault="00F62AFE" w:rsidP="00F62AFE">
      <w:pPr>
        <w:jc w:val="both"/>
        <w:rPr>
          <w:rFonts w:cstheme="minorHAnsi"/>
          <w:sz w:val="24"/>
          <w:szCs w:val="24"/>
        </w:rPr>
      </w:pPr>
    </w:p>
    <w:p w14:paraId="56D0457E" w14:textId="77777777" w:rsidR="00E37D99" w:rsidRDefault="00E37D99" w:rsidP="00F62AFE">
      <w:pPr>
        <w:jc w:val="both"/>
        <w:rPr>
          <w:rFonts w:cstheme="minorHAnsi"/>
          <w:sz w:val="24"/>
          <w:szCs w:val="24"/>
        </w:rPr>
      </w:pPr>
    </w:p>
    <w:p w14:paraId="20D27202" w14:textId="77777777" w:rsidR="00E37D99" w:rsidRPr="00E37D99" w:rsidRDefault="00E37D99" w:rsidP="00E37D99">
      <w:pPr>
        <w:jc w:val="both"/>
        <w:rPr>
          <w:rFonts w:cstheme="minorHAnsi"/>
          <w:sz w:val="24"/>
          <w:szCs w:val="24"/>
        </w:rPr>
      </w:pPr>
      <w:r w:rsidRPr="00E37D99">
        <w:rPr>
          <w:rFonts w:cstheme="minorHAnsi"/>
          <w:sz w:val="24"/>
          <w:szCs w:val="24"/>
        </w:rPr>
        <w:lastRenderedPageBreak/>
        <w:t xml:space="preserve">Consent </w:t>
      </w:r>
    </w:p>
    <w:p w14:paraId="26872645" w14:textId="446C6C73" w:rsidR="00E37D99" w:rsidRDefault="00E37D99" w:rsidP="00E37D99">
      <w:pPr>
        <w:jc w:val="both"/>
        <w:rPr>
          <w:rFonts w:cstheme="minorHAnsi"/>
          <w:sz w:val="24"/>
          <w:szCs w:val="24"/>
        </w:rPr>
      </w:pPr>
      <w:r w:rsidRPr="00E37D99">
        <w:rPr>
          <w:rFonts w:cstheme="minorHAnsi"/>
          <w:sz w:val="24"/>
          <w:szCs w:val="24"/>
        </w:rPr>
        <w:t>As per international standards or university standards, respondents’ written consent has been collected and preserved by the author(s).</w:t>
      </w:r>
    </w:p>
    <w:p w14:paraId="055B7823" w14:textId="77777777" w:rsidR="00E37D99" w:rsidRPr="00F62AFE" w:rsidRDefault="00E37D99" w:rsidP="00E37D99">
      <w:pPr>
        <w:jc w:val="both"/>
        <w:rPr>
          <w:rFonts w:cstheme="minorHAnsi"/>
          <w:sz w:val="24"/>
          <w:szCs w:val="24"/>
        </w:rPr>
      </w:pPr>
    </w:p>
    <w:p w14:paraId="2698A289" w14:textId="0751FA9F" w:rsidR="008D4BF1" w:rsidRPr="004E52C2" w:rsidRDefault="008D4BF1" w:rsidP="00F4229D">
      <w:pPr>
        <w:jc w:val="both"/>
        <w:rPr>
          <w:rFonts w:cstheme="minorHAnsi"/>
          <w:b/>
          <w:sz w:val="24"/>
          <w:szCs w:val="24"/>
          <w:lang w:val="en-US"/>
        </w:rPr>
      </w:pPr>
      <w:bookmarkStart w:id="21" w:name="_Toc140036413"/>
      <w:bookmarkStart w:id="22" w:name="_Toc140036454"/>
      <w:r w:rsidRPr="004E52C2">
        <w:rPr>
          <w:rFonts w:cstheme="minorHAnsi"/>
          <w:b/>
          <w:sz w:val="24"/>
          <w:szCs w:val="24"/>
          <w:lang w:val="en-US"/>
        </w:rPr>
        <w:t>References</w:t>
      </w:r>
      <w:bookmarkEnd w:id="21"/>
      <w:bookmarkEnd w:id="22"/>
    </w:p>
    <w:p w14:paraId="3BC787FE"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Adetunji, A. J., &amp; Gumede, E. Z. (2024). The quality of life of retirees as affected by Socio-economic factors in Southwestern Nigeria: An Interpretative Phenomenology. </w:t>
      </w:r>
      <w:r w:rsidRPr="002E0CD8">
        <w:rPr>
          <w:rFonts w:cstheme="minorHAnsi"/>
          <w:i/>
          <w:iCs/>
          <w:sz w:val="24"/>
          <w:szCs w:val="24"/>
        </w:rPr>
        <w:t>Health Open Research</w:t>
      </w:r>
      <w:r w:rsidRPr="002E0CD8">
        <w:rPr>
          <w:rFonts w:cstheme="minorHAnsi"/>
          <w:sz w:val="24"/>
          <w:szCs w:val="24"/>
        </w:rPr>
        <w:t>, </w:t>
      </w:r>
      <w:r w:rsidRPr="002E0CD8">
        <w:rPr>
          <w:rFonts w:cstheme="minorHAnsi"/>
          <w:i/>
          <w:iCs/>
          <w:sz w:val="24"/>
          <w:szCs w:val="24"/>
        </w:rPr>
        <w:t>6</w:t>
      </w:r>
      <w:r w:rsidRPr="002E0CD8">
        <w:rPr>
          <w:rFonts w:cstheme="minorHAnsi"/>
          <w:sz w:val="24"/>
          <w:szCs w:val="24"/>
        </w:rPr>
        <w:t xml:space="preserve">, 20. </w:t>
      </w:r>
      <w:hyperlink r:id="rId9" w:tgtFrame="_blank" w:history="1">
        <w:r w:rsidRPr="002E0CD8">
          <w:rPr>
            <w:rStyle w:val="Hyperlink"/>
            <w:rFonts w:cstheme="minorHAnsi"/>
            <w:sz w:val="24"/>
            <w:szCs w:val="24"/>
          </w:rPr>
          <w:t>https://doi.org/10.12688/healthopenres.13771.1</w:t>
        </w:r>
      </w:hyperlink>
    </w:p>
    <w:p w14:paraId="70B8F2A3" w14:textId="77777777" w:rsidR="002E0CD8" w:rsidRPr="002E0CD8" w:rsidRDefault="002E0CD8" w:rsidP="002E0CD8">
      <w:pPr>
        <w:ind w:left="270" w:hanging="270"/>
        <w:jc w:val="both"/>
        <w:rPr>
          <w:rFonts w:cstheme="minorHAnsi"/>
          <w:sz w:val="24"/>
          <w:szCs w:val="24"/>
        </w:rPr>
      </w:pPr>
      <w:proofErr w:type="spellStart"/>
      <w:r w:rsidRPr="002E0CD8">
        <w:rPr>
          <w:rFonts w:cstheme="minorHAnsi"/>
          <w:sz w:val="24"/>
          <w:szCs w:val="24"/>
        </w:rPr>
        <w:t>Alristina</w:t>
      </w:r>
      <w:proofErr w:type="spellEnd"/>
      <w:r w:rsidRPr="002E0CD8">
        <w:rPr>
          <w:rFonts w:cstheme="minorHAnsi"/>
          <w:sz w:val="24"/>
          <w:szCs w:val="24"/>
        </w:rPr>
        <w:t xml:space="preserve">, A. D., </w:t>
      </w:r>
      <w:proofErr w:type="spellStart"/>
      <w:r w:rsidRPr="002E0CD8">
        <w:rPr>
          <w:rFonts w:cstheme="minorHAnsi"/>
          <w:sz w:val="24"/>
          <w:szCs w:val="24"/>
        </w:rPr>
        <w:t>Mahrouseh</w:t>
      </w:r>
      <w:proofErr w:type="spellEnd"/>
      <w:r w:rsidRPr="002E0CD8">
        <w:rPr>
          <w:rFonts w:cstheme="minorHAnsi"/>
          <w:sz w:val="24"/>
          <w:szCs w:val="24"/>
        </w:rPr>
        <w:t>, N., Irawan, A. S., Laili, R. D., Zimonyi-Bakó, A. V., &amp; Feith, H. J. (2025). Prematurity and Low Birth Weight Among Food-Secure and Food-Insecure Households: A Comparative Study in Surabaya, Indonesia. </w:t>
      </w:r>
      <w:r w:rsidRPr="002E0CD8">
        <w:rPr>
          <w:rFonts w:cstheme="minorHAnsi"/>
          <w:i/>
          <w:iCs/>
          <w:sz w:val="24"/>
          <w:szCs w:val="24"/>
        </w:rPr>
        <w:t>Nutrients</w:t>
      </w:r>
      <w:r w:rsidRPr="002E0CD8">
        <w:rPr>
          <w:rFonts w:cstheme="minorHAnsi"/>
          <w:sz w:val="24"/>
          <w:szCs w:val="24"/>
        </w:rPr>
        <w:t>, </w:t>
      </w:r>
      <w:r w:rsidRPr="002E0CD8">
        <w:rPr>
          <w:rFonts w:cstheme="minorHAnsi"/>
          <w:i/>
          <w:iCs/>
          <w:sz w:val="24"/>
          <w:szCs w:val="24"/>
        </w:rPr>
        <w:t>17</w:t>
      </w:r>
      <w:r w:rsidRPr="002E0CD8">
        <w:rPr>
          <w:rFonts w:cstheme="minorHAnsi"/>
          <w:sz w:val="24"/>
          <w:szCs w:val="24"/>
        </w:rPr>
        <w:t>(15), 2479. https://doi.org/10.3390/nu17152479</w:t>
      </w:r>
    </w:p>
    <w:p w14:paraId="02414F7B"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 xml:space="preserve">Ann, U. D., &amp; Samuel, O. O. (2018). Post-harvest Storage Handling of Parkia </w:t>
      </w:r>
      <w:proofErr w:type="spellStart"/>
      <w:r w:rsidRPr="002E0CD8">
        <w:rPr>
          <w:rFonts w:cstheme="minorHAnsi"/>
          <w:sz w:val="24"/>
          <w:szCs w:val="24"/>
        </w:rPr>
        <w:t>biglobosa</w:t>
      </w:r>
      <w:proofErr w:type="spellEnd"/>
      <w:r w:rsidRPr="002E0CD8">
        <w:rPr>
          <w:rFonts w:cstheme="minorHAnsi"/>
          <w:sz w:val="24"/>
          <w:szCs w:val="24"/>
        </w:rPr>
        <w:t xml:space="preserve"> Benth. Sold in Ibada North Local Government Area, Oyo State, Nigeria. In </w:t>
      </w:r>
      <w:r w:rsidRPr="002E0CD8">
        <w:rPr>
          <w:rFonts w:cstheme="minorHAnsi"/>
          <w:i/>
          <w:iCs/>
          <w:sz w:val="24"/>
          <w:szCs w:val="24"/>
        </w:rPr>
        <w:t>39th Annual Conference of Forestry Association of Nigeria Proceedings</w:t>
      </w:r>
      <w:r w:rsidRPr="002E0CD8">
        <w:rPr>
          <w:rFonts w:cstheme="minorHAnsi"/>
          <w:sz w:val="24"/>
          <w:szCs w:val="24"/>
        </w:rPr>
        <w:t> (p. 917).</w:t>
      </w:r>
    </w:p>
    <w:p w14:paraId="1E92C354"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lang w:val="fi-FI"/>
        </w:rPr>
        <w:t xml:space="preserve">Appah, N., Adeosun, K., &amp; Omonona, B. (2021). </w:t>
      </w:r>
      <w:r w:rsidRPr="002E0CD8">
        <w:rPr>
          <w:rFonts w:cstheme="minorHAnsi"/>
          <w:sz w:val="24"/>
          <w:szCs w:val="24"/>
          <w:lang w:val="en-US"/>
        </w:rPr>
        <w:t xml:space="preserve">Awareness and Willingness to Consume Whole Plant-based Food in Ibadan North Local Government Area of Oyo State, Nigeria. </w:t>
      </w:r>
      <w:r w:rsidRPr="002E0CD8">
        <w:rPr>
          <w:rFonts w:cstheme="minorHAnsi"/>
          <w:i/>
          <w:iCs/>
          <w:sz w:val="24"/>
          <w:szCs w:val="24"/>
          <w:lang w:val="en-US"/>
        </w:rPr>
        <w:t>Journal of Agriculture and food Sciences</w:t>
      </w:r>
      <w:r w:rsidRPr="002E0CD8">
        <w:rPr>
          <w:rFonts w:cstheme="minorHAnsi"/>
          <w:sz w:val="24"/>
          <w:szCs w:val="24"/>
          <w:lang w:val="en-US"/>
        </w:rPr>
        <w:t xml:space="preserve">, 1-4. doi:10.4314/jafs.v19i2.8 </w:t>
      </w:r>
    </w:p>
    <w:p w14:paraId="0F9DD418" w14:textId="77777777" w:rsidR="002E0CD8" w:rsidRPr="002E0CD8" w:rsidRDefault="002E0CD8" w:rsidP="002E0CD8">
      <w:pPr>
        <w:ind w:left="270" w:hanging="270"/>
        <w:jc w:val="both"/>
        <w:rPr>
          <w:rFonts w:cstheme="minorHAnsi"/>
          <w:sz w:val="24"/>
          <w:szCs w:val="24"/>
          <w:lang w:val="pt-BR"/>
        </w:rPr>
      </w:pPr>
      <w:proofErr w:type="spellStart"/>
      <w:r w:rsidRPr="002E0CD8">
        <w:rPr>
          <w:rFonts w:cstheme="minorHAnsi"/>
          <w:sz w:val="24"/>
          <w:szCs w:val="24"/>
        </w:rPr>
        <w:t>Ashagidigbi</w:t>
      </w:r>
      <w:proofErr w:type="spellEnd"/>
      <w:r w:rsidRPr="002E0CD8">
        <w:rPr>
          <w:rFonts w:cstheme="minorHAnsi"/>
          <w:sz w:val="24"/>
          <w:szCs w:val="24"/>
        </w:rPr>
        <w:t xml:space="preserve">, W. M., </w:t>
      </w:r>
      <w:proofErr w:type="spellStart"/>
      <w:r w:rsidRPr="002E0CD8">
        <w:rPr>
          <w:rFonts w:cstheme="minorHAnsi"/>
          <w:sz w:val="24"/>
          <w:szCs w:val="24"/>
        </w:rPr>
        <w:t>Orilua</w:t>
      </w:r>
      <w:proofErr w:type="spellEnd"/>
      <w:r w:rsidRPr="002E0CD8">
        <w:rPr>
          <w:rFonts w:cstheme="minorHAnsi"/>
          <w:sz w:val="24"/>
          <w:szCs w:val="24"/>
        </w:rPr>
        <w:t>, O. O., Olagunju, K. A., &amp; Omotayo, A. O. (2022). Gender, empowerment and food security status of households in Nigeria. </w:t>
      </w:r>
      <w:r w:rsidRPr="002E0CD8">
        <w:rPr>
          <w:rFonts w:cstheme="minorHAnsi"/>
          <w:i/>
          <w:iCs/>
          <w:sz w:val="24"/>
          <w:szCs w:val="24"/>
          <w:lang w:val="pt-BR"/>
        </w:rPr>
        <w:t>Agriculture</w:t>
      </w:r>
      <w:r w:rsidRPr="002E0CD8">
        <w:rPr>
          <w:rFonts w:cstheme="minorHAnsi"/>
          <w:sz w:val="24"/>
          <w:szCs w:val="24"/>
          <w:lang w:val="pt-BR"/>
        </w:rPr>
        <w:t>, </w:t>
      </w:r>
      <w:r w:rsidRPr="002E0CD8">
        <w:rPr>
          <w:rFonts w:cstheme="minorHAnsi"/>
          <w:i/>
          <w:iCs/>
          <w:sz w:val="24"/>
          <w:szCs w:val="24"/>
          <w:lang w:val="pt-BR"/>
        </w:rPr>
        <w:t>12</w:t>
      </w:r>
      <w:r w:rsidRPr="002E0CD8">
        <w:rPr>
          <w:rFonts w:cstheme="minorHAnsi"/>
          <w:sz w:val="24"/>
          <w:szCs w:val="24"/>
          <w:lang w:val="pt-BR"/>
        </w:rPr>
        <w:t xml:space="preserve">(7), 956. </w:t>
      </w:r>
      <w:hyperlink r:id="rId10" w:history="1">
        <w:r w:rsidRPr="002E0CD8">
          <w:rPr>
            <w:rStyle w:val="Hyperlink"/>
            <w:rFonts w:cstheme="minorHAnsi"/>
            <w:sz w:val="24"/>
            <w:szCs w:val="24"/>
            <w:lang w:val="pt-BR"/>
          </w:rPr>
          <w:t>https://doi.org/10.3390/agriculture12070956</w:t>
        </w:r>
      </w:hyperlink>
    </w:p>
    <w:p w14:paraId="34DE5597"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lang w:val="en-US"/>
        </w:rPr>
        <w:t xml:space="preserve">Cena, H., &amp; Calder, P. C. (2020). Defining a Healthy Diet: Evidence for The Role of Contemporary Dietary Patterns in Health and Disease. </w:t>
      </w:r>
      <w:r w:rsidRPr="002E0CD8">
        <w:rPr>
          <w:rFonts w:cstheme="minorHAnsi"/>
          <w:i/>
          <w:iCs/>
          <w:sz w:val="24"/>
          <w:szCs w:val="24"/>
          <w:lang w:val="en-US"/>
        </w:rPr>
        <w:t>Nutrients</w:t>
      </w:r>
      <w:r w:rsidRPr="002E0CD8">
        <w:rPr>
          <w:rFonts w:cstheme="minorHAnsi"/>
          <w:sz w:val="24"/>
          <w:szCs w:val="24"/>
          <w:lang w:val="en-US"/>
        </w:rPr>
        <w:t>, 12, 2-7. doi:10.3390/nu12020334</w:t>
      </w:r>
    </w:p>
    <w:p w14:paraId="50865686"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Drammeh, W., Hamid, N. A., &amp; Rohana, A. J. (2019). Determinants of household food insecurity and its association with child malnutrition in sub-Saharan Africa: A review of the literature. </w:t>
      </w:r>
      <w:r w:rsidRPr="002E0CD8">
        <w:rPr>
          <w:rFonts w:cstheme="minorHAnsi"/>
          <w:i/>
          <w:iCs/>
          <w:sz w:val="24"/>
          <w:szCs w:val="24"/>
        </w:rPr>
        <w:t>Current Research in Nutrition and Food Science</w:t>
      </w:r>
      <w:r w:rsidRPr="002E0CD8">
        <w:rPr>
          <w:rFonts w:cstheme="minorHAnsi"/>
          <w:sz w:val="24"/>
          <w:szCs w:val="24"/>
        </w:rPr>
        <w:t>, </w:t>
      </w:r>
      <w:r w:rsidRPr="002E0CD8">
        <w:rPr>
          <w:rFonts w:cstheme="minorHAnsi"/>
          <w:i/>
          <w:iCs/>
          <w:sz w:val="24"/>
          <w:szCs w:val="24"/>
        </w:rPr>
        <w:t>7</w:t>
      </w:r>
      <w:r w:rsidRPr="002E0CD8">
        <w:rPr>
          <w:rFonts w:cstheme="minorHAnsi"/>
          <w:sz w:val="24"/>
          <w:szCs w:val="24"/>
        </w:rPr>
        <w:t>(3), 651–659. Doi: 10.12944/CRNFSJ.7.3.04</w:t>
      </w:r>
    </w:p>
    <w:p w14:paraId="4CB23642"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 xml:space="preserve">Ene-Obong, H. N., Onuoha, N. O., &amp; Eme, P. E. (2017). Gender roles, family relationships, and household food and nutrition security in </w:t>
      </w:r>
      <w:proofErr w:type="spellStart"/>
      <w:r w:rsidRPr="002E0CD8">
        <w:rPr>
          <w:rFonts w:cstheme="minorHAnsi"/>
          <w:sz w:val="24"/>
          <w:szCs w:val="24"/>
        </w:rPr>
        <w:t>Ohafia</w:t>
      </w:r>
      <w:proofErr w:type="spellEnd"/>
      <w:r w:rsidRPr="002E0CD8">
        <w:rPr>
          <w:rFonts w:cstheme="minorHAnsi"/>
          <w:sz w:val="24"/>
          <w:szCs w:val="24"/>
        </w:rPr>
        <w:t xml:space="preserve"> matrilineal society in Nigeria. </w:t>
      </w:r>
      <w:r w:rsidRPr="002E0CD8">
        <w:rPr>
          <w:rFonts w:cstheme="minorHAnsi"/>
          <w:i/>
          <w:iCs/>
          <w:sz w:val="24"/>
          <w:szCs w:val="24"/>
        </w:rPr>
        <w:t>Maternal &amp; child nutrition</w:t>
      </w:r>
      <w:r w:rsidRPr="002E0CD8">
        <w:rPr>
          <w:rFonts w:cstheme="minorHAnsi"/>
          <w:sz w:val="24"/>
          <w:szCs w:val="24"/>
        </w:rPr>
        <w:t>, </w:t>
      </w:r>
      <w:r w:rsidRPr="002E0CD8">
        <w:rPr>
          <w:rFonts w:cstheme="minorHAnsi"/>
          <w:i/>
          <w:iCs/>
          <w:sz w:val="24"/>
          <w:szCs w:val="24"/>
        </w:rPr>
        <w:t xml:space="preserve">13 </w:t>
      </w:r>
      <w:proofErr w:type="spellStart"/>
      <w:r w:rsidRPr="002E0CD8">
        <w:rPr>
          <w:rFonts w:cstheme="minorHAnsi"/>
          <w:i/>
          <w:iCs/>
          <w:sz w:val="24"/>
          <w:szCs w:val="24"/>
        </w:rPr>
        <w:t>Suppl</w:t>
      </w:r>
      <w:proofErr w:type="spellEnd"/>
      <w:r w:rsidRPr="002E0CD8">
        <w:rPr>
          <w:rFonts w:cstheme="minorHAnsi"/>
          <w:i/>
          <w:iCs/>
          <w:sz w:val="24"/>
          <w:szCs w:val="24"/>
        </w:rPr>
        <w:t xml:space="preserve"> 3</w:t>
      </w:r>
      <w:r w:rsidRPr="002E0CD8">
        <w:rPr>
          <w:rFonts w:cstheme="minorHAnsi"/>
          <w:sz w:val="24"/>
          <w:szCs w:val="24"/>
        </w:rPr>
        <w:t>(</w:t>
      </w:r>
      <w:proofErr w:type="spellStart"/>
      <w:r w:rsidRPr="002E0CD8">
        <w:rPr>
          <w:rFonts w:cstheme="minorHAnsi"/>
          <w:sz w:val="24"/>
          <w:szCs w:val="24"/>
        </w:rPr>
        <w:t>Suppl</w:t>
      </w:r>
      <w:proofErr w:type="spellEnd"/>
      <w:r w:rsidRPr="002E0CD8">
        <w:rPr>
          <w:rFonts w:cstheme="minorHAnsi"/>
          <w:sz w:val="24"/>
          <w:szCs w:val="24"/>
        </w:rPr>
        <w:t xml:space="preserve"> 3), e12506. </w:t>
      </w:r>
      <w:hyperlink r:id="rId11" w:history="1">
        <w:r w:rsidRPr="002E0CD8">
          <w:rPr>
            <w:rStyle w:val="Hyperlink"/>
            <w:rFonts w:cstheme="minorHAnsi"/>
            <w:sz w:val="24"/>
            <w:szCs w:val="24"/>
          </w:rPr>
          <w:t>https://doi.org/10.1111/mcn.12506</w:t>
        </w:r>
      </w:hyperlink>
    </w:p>
    <w:p w14:paraId="6BD86B2C" w14:textId="77777777" w:rsidR="002E0CD8" w:rsidRPr="002E0CD8" w:rsidRDefault="002E0CD8" w:rsidP="002E0CD8">
      <w:pPr>
        <w:ind w:left="270" w:hanging="270"/>
        <w:jc w:val="both"/>
        <w:rPr>
          <w:rFonts w:cstheme="minorHAnsi"/>
          <w:sz w:val="24"/>
          <w:szCs w:val="24"/>
          <w:lang w:val="en-US"/>
        </w:rPr>
      </w:pPr>
      <w:proofErr w:type="spellStart"/>
      <w:r w:rsidRPr="002E0CD8">
        <w:rPr>
          <w:rFonts w:cstheme="minorHAnsi"/>
          <w:sz w:val="24"/>
          <w:szCs w:val="24"/>
        </w:rPr>
        <w:t>Enilolobo</w:t>
      </w:r>
      <w:proofErr w:type="spellEnd"/>
      <w:r w:rsidRPr="002E0CD8">
        <w:rPr>
          <w:rFonts w:cstheme="minorHAnsi"/>
          <w:sz w:val="24"/>
          <w:szCs w:val="24"/>
        </w:rPr>
        <w:t xml:space="preserve">, O. S., </w:t>
      </w:r>
      <w:proofErr w:type="spellStart"/>
      <w:r w:rsidRPr="002E0CD8">
        <w:rPr>
          <w:rFonts w:cstheme="minorHAnsi"/>
          <w:sz w:val="24"/>
          <w:szCs w:val="24"/>
        </w:rPr>
        <w:t>Nnoli</w:t>
      </w:r>
      <w:proofErr w:type="spellEnd"/>
      <w:r w:rsidRPr="002E0CD8">
        <w:rPr>
          <w:rFonts w:cstheme="minorHAnsi"/>
          <w:sz w:val="24"/>
          <w:szCs w:val="24"/>
        </w:rPr>
        <w:t xml:space="preserve">, T. I., Olowo, S. O., Aderemi, T. A., Adewole, A. O., Olapade, V. O., &amp; </w:t>
      </w:r>
      <w:proofErr w:type="spellStart"/>
      <w:r w:rsidRPr="002E0CD8">
        <w:rPr>
          <w:rFonts w:cstheme="minorHAnsi"/>
          <w:sz w:val="24"/>
          <w:szCs w:val="24"/>
        </w:rPr>
        <w:t>Esedeke</w:t>
      </w:r>
      <w:proofErr w:type="spellEnd"/>
      <w:r w:rsidRPr="002E0CD8">
        <w:rPr>
          <w:rFonts w:cstheme="minorHAnsi"/>
          <w:sz w:val="24"/>
          <w:szCs w:val="24"/>
        </w:rPr>
        <w:t>, J. F. (2022). Determinants of food security in Nigeria. </w:t>
      </w:r>
      <w:r w:rsidRPr="002E0CD8">
        <w:rPr>
          <w:rFonts w:cstheme="minorHAnsi"/>
          <w:i/>
          <w:iCs/>
          <w:sz w:val="24"/>
          <w:szCs w:val="24"/>
        </w:rPr>
        <w:t xml:space="preserve">Acta Universitatis </w:t>
      </w:r>
      <w:proofErr w:type="spellStart"/>
      <w:r w:rsidRPr="002E0CD8">
        <w:rPr>
          <w:rFonts w:cstheme="minorHAnsi"/>
          <w:i/>
          <w:iCs/>
          <w:sz w:val="24"/>
          <w:szCs w:val="24"/>
        </w:rPr>
        <w:t>Danubius</w:t>
      </w:r>
      <w:proofErr w:type="spellEnd"/>
      <w:r w:rsidRPr="002E0CD8">
        <w:rPr>
          <w:rFonts w:cstheme="minorHAnsi"/>
          <w:i/>
          <w:iCs/>
          <w:sz w:val="24"/>
          <w:szCs w:val="24"/>
        </w:rPr>
        <w:t xml:space="preserve">. </w:t>
      </w:r>
      <w:proofErr w:type="spellStart"/>
      <w:r w:rsidRPr="002E0CD8">
        <w:rPr>
          <w:rFonts w:cstheme="minorHAnsi"/>
          <w:i/>
          <w:iCs/>
          <w:sz w:val="24"/>
          <w:szCs w:val="24"/>
        </w:rPr>
        <w:t>Œconomica</w:t>
      </w:r>
      <w:proofErr w:type="spellEnd"/>
      <w:r w:rsidRPr="002E0CD8">
        <w:rPr>
          <w:rFonts w:cstheme="minorHAnsi"/>
          <w:sz w:val="24"/>
          <w:szCs w:val="24"/>
        </w:rPr>
        <w:t>, </w:t>
      </w:r>
      <w:r w:rsidRPr="002E0CD8">
        <w:rPr>
          <w:rFonts w:cstheme="minorHAnsi"/>
          <w:i/>
          <w:iCs/>
          <w:sz w:val="24"/>
          <w:szCs w:val="24"/>
        </w:rPr>
        <w:t>18</w:t>
      </w:r>
      <w:r w:rsidRPr="002E0CD8">
        <w:rPr>
          <w:rFonts w:cstheme="minorHAnsi"/>
          <w:sz w:val="24"/>
          <w:szCs w:val="24"/>
        </w:rPr>
        <w:t xml:space="preserve">(3). </w:t>
      </w:r>
      <w:hyperlink r:id="rId12" w:history="1">
        <w:r w:rsidRPr="002E0CD8">
          <w:rPr>
            <w:rStyle w:val="Hyperlink"/>
            <w:rFonts w:cstheme="minorHAnsi"/>
            <w:sz w:val="24"/>
            <w:szCs w:val="24"/>
          </w:rPr>
          <w:t>https://dj.univ-danubius.ro/index.php/AUDOE/article/view/1760</w:t>
        </w:r>
      </w:hyperlink>
    </w:p>
    <w:p w14:paraId="22CFBCA2" w14:textId="77777777" w:rsidR="002E0CD8" w:rsidRPr="002E0CD8" w:rsidRDefault="002E0CD8" w:rsidP="002E0CD8">
      <w:pPr>
        <w:ind w:left="270" w:hanging="270"/>
        <w:jc w:val="both"/>
        <w:rPr>
          <w:rFonts w:cstheme="minorHAnsi"/>
          <w:sz w:val="24"/>
          <w:szCs w:val="24"/>
          <w:lang w:val="pt-BR"/>
        </w:rPr>
      </w:pPr>
      <w:r w:rsidRPr="002E0CD8">
        <w:rPr>
          <w:rFonts w:cstheme="minorHAnsi"/>
          <w:sz w:val="24"/>
          <w:szCs w:val="24"/>
        </w:rPr>
        <w:lastRenderedPageBreak/>
        <w:t xml:space="preserve">Food and Agriculture Organization of the United Nations (FAO), International Fund for Agricultural Development (IFAD), United Nations Children’s Fund (UNICEF), World Food Programme (WFP), &amp; World Health Organization (WHO). (2025). </w:t>
      </w:r>
      <w:r w:rsidRPr="002E0CD8">
        <w:rPr>
          <w:rFonts w:cstheme="minorHAnsi"/>
          <w:i/>
          <w:iCs/>
          <w:sz w:val="24"/>
          <w:szCs w:val="24"/>
        </w:rPr>
        <w:t>The state of food security and nutrition in the world 2025: Addressing high food price inflation for food security and nutrition</w:t>
      </w:r>
      <w:r w:rsidRPr="002E0CD8">
        <w:rPr>
          <w:rFonts w:cstheme="minorHAnsi"/>
          <w:sz w:val="24"/>
          <w:szCs w:val="24"/>
        </w:rPr>
        <w:t xml:space="preserve">. </w:t>
      </w:r>
      <w:r w:rsidRPr="002E0CD8">
        <w:rPr>
          <w:rFonts w:cstheme="minorHAnsi"/>
          <w:sz w:val="24"/>
          <w:szCs w:val="24"/>
          <w:lang w:val="pt-BR"/>
        </w:rPr>
        <w:t xml:space="preserve">FAO. </w:t>
      </w:r>
      <w:hyperlink r:id="rId13" w:anchor="gsc.tab=0" w:tgtFrame="_new" w:history="1">
        <w:r w:rsidRPr="002E0CD8">
          <w:rPr>
            <w:rStyle w:val="Hyperlink"/>
            <w:rFonts w:cstheme="minorHAnsi"/>
            <w:sz w:val="24"/>
            <w:szCs w:val="24"/>
            <w:lang w:val="pt-BR"/>
          </w:rPr>
          <w:t>https://openknowledge.fao.org/server/api/core/bitstreams/de95e011-1af9-4b28-9a07-d8ce61f8aa6c/content/state-food-security-and-nutrition-2025/food-price-inflation-facts.html#gsc.tab=0</w:t>
        </w:r>
      </w:hyperlink>
    </w:p>
    <w:p w14:paraId="1684681F"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rPr>
        <w:t xml:space="preserve">Graves, B. S., Hall, M. E., Dias-Karch, C., </w:t>
      </w:r>
      <w:proofErr w:type="spellStart"/>
      <w:r w:rsidRPr="002E0CD8">
        <w:rPr>
          <w:rFonts w:cstheme="minorHAnsi"/>
          <w:sz w:val="24"/>
          <w:szCs w:val="24"/>
        </w:rPr>
        <w:t>Haischer</w:t>
      </w:r>
      <w:proofErr w:type="spellEnd"/>
      <w:r w:rsidRPr="002E0CD8">
        <w:rPr>
          <w:rFonts w:cstheme="minorHAnsi"/>
          <w:sz w:val="24"/>
          <w:szCs w:val="24"/>
        </w:rPr>
        <w:t>, M. H., &amp; Apter, C. (2021). Gender differences in perceived stress and coping among college students. </w:t>
      </w:r>
      <w:proofErr w:type="spellStart"/>
      <w:r w:rsidRPr="002E0CD8">
        <w:rPr>
          <w:rFonts w:cstheme="minorHAnsi"/>
          <w:i/>
          <w:iCs/>
          <w:sz w:val="24"/>
          <w:szCs w:val="24"/>
        </w:rPr>
        <w:t>PloS</w:t>
      </w:r>
      <w:proofErr w:type="spellEnd"/>
      <w:r w:rsidRPr="002E0CD8">
        <w:rPr>
          <w:rFonts w:cstheme="minorHAnsi"/>
          <w:i/>
          <w:iCs/>
          <w:sz w:val="24"/>
          <w:szCs w:val="24"/>
        </w:rPr>
        <w:t xml:space="preserve"> one</w:t>
      </w:r>
      <w:r w:rsidRPr="002E0CD8">
        <w:rPr>
          <w:rFonts w:cstheme="minorHAnsi"/>
          <w:sz w:val="24"/>
          <w:szCs w:val="24"/>
        </w:rPr>
        <w:t>, </w:t>
      </w:r>
      <w:r w:rsidRPr="002E0CD8">
        <w:rPr>
          <w:rFonts w:cstheme="minorHAnsi"/>
          <w:i/>
          <w:iCs/>
          <w:sz w:val="24"/>
          <w:szCs w:val="24"/>
        </w:rPr>
        <w:t>16</w:t>
      </w:r>
      <w:r w:rsidRPr="002E0CD8">
        <w:rPr>
          <w:rFonts w:cstheme="minorHAnsi"/>
          <w:sz w:val="24"/>
          <w:szCs w:val="24"/>
        </w:rPr>
        <w:t>(8), e0255634. https://doi.org/10.1371/journal.pone.0255634</w:t>
      </w:r>
    </w:p>
    <w:p w14:paraId="62155C79" w14:textId="34D34C66" w:rsidR="002E0CD8" w:rsidRDefault="002E0CD8" w:rsidP="002E0CD8">
      <w:pPr>
        <w:ind w:left="270" w:hanging="270"/>
        <w:jc w:val="both"/>
        <w:rPr>
          <w:rFonts w:cstheme="minorHAnsi"/>
          <w:sz w:val="24"/>
          <w:szCs w:val="24"/>
        </w:rPr>
      </w:pPr>
      <w:proofErr w:type="spellStart"/>
      <w:r w:rsidRPr="002E0CD8">
        <w:rPr>
          <w:rFonts w:cstheme="minorHAnsi"/>
          <w:sz w:val="24"/>
          <w:szCs w:val="24"/>
        </w:rPr>
        <w:t>Hadavandsiri</w:t>
      </w:r>
      <w:proofErr w:type="spellEnd"/>
      <w:r w:rsidRPr="002E0CD8">
        <w:rPr>
          <w:rFonts w:cstheme="minorHAnsi"/>
          <w:sz w:val="24"/>
          <w:szCs w:val="24"/>
        </w:rPr>
        <w:t xml:space="preserve">, F., </w:t>
      </w:r>
      <w:proofErr w:type="spellStart"/>
      <w:r w:rsidRPr="002E0CD8">
        <w:rPr>
          <w:rFonts w:cstheme="minorHAnsi"/>
          <w:sz w:val="24"/>
          <w:szCs w:val="24"/>
        </w:rPr>
        <w:t>Shafaati</w:t>
      </w:r>
      <w:proofErr w:type="spellEnd"/>
      <w:r w:rsidRPr="002E0CD8">
        <w:rPr>
          <w:rFonts w:cstheme="minorHAnsi"/>
          <w:sz w:val="24"/>
          <w:szCs w:val="24"/>
        </w:rPr>
        <w:t xml:space="preserve">, M., Mohammad Nejad, S., Ebrahimzadeh Mousavi, M., Najafi, A., Mirzaei, M., </w:t>
      </w:r>
      <w:proofErr w:type="spellStart"/>
      <w:r w:rsidRPr="002E0CD8">
        <w:rPr>
          <w:rFonts w:cstheme="minorHAnsi"/>
          <w:sz w:val="24"/>
          <w:szCs w:val="24"/>
        </w:rPr>
        <w:t>Narouee</w:t>
      </w:r>
      <w:proofErr w:type="spellEnd"/>
      <w:r w:rsidRPr="002E0CD8">
        <w:rPr>
          <w:rFonts w:cstheme="minorHAnsi"/>
          <w:sz w:val="24"/>
          <w:szCs w:val="24"/>
        </w:rPr>
        <w:t xml:space="preserve">, S., &amp; Akbarpour, S. (2023). Non-communicable disease comorbidities in HIV patients: diabetes, hypertension, heart disease, and obstructive sleep </w:t>
      </w:r>
      <w:proofErr w:type="spellStart"/>
      <w:r w:rsidRPr="002E0CD8">
        <w:rPr>
          <w:rFonts w:cstheme="minorHAnsi"/>
          <w:sz w:val="24"/>
          <w:szCs w:val="24"/>
        </w:rPr>
        <w:t>apnea</w:t>
      </w:r>
      <w:proofErr w:type="spellEnd"/>
      <w:r w:rsidRPr="002E0CD8">
        <w:rPr>
          <w:rFonts w:cstheme="minorHAnsi"/>
          <w:sz w:val="24"/>
          <w:szCs w:val="24"/>
        </w:rPr>
        <w:t xml:space="preserve"> as a neglected issue. </w:t>
      </w:r>
      <w:r w:rsidRPr="002E0CD8">
        <w:rPr>
          <w:rFonts w:cstheme="minorHAnsi"/>
          <w:i/>
          <w:iCs/>
          <w:sz w:val="24"/>
          <w:szCs w:val="24"/>
        </w:rPr>
        <w:t>Scientific reports</w:t>
      </w:r>
      <w:r w:rsidRPr="002E0CD8">
        <w:rPr>
          <w:rFonts w:cstheme="minorHAnsi"/>
          <w:sz w:val="24"/>
          <w:szCs w:val="24"/>
        </w:rPr>
        <w:t>, </w:t>
      </w:r>
      <w:r w:rsidRPr="002E0CD8">
        <w:rPr>
          <w:rFonts w:cstheme="minorHAnsi"/>
          <w:i/>
          <w:iCs/>
          <w:sz w:val="24"/>
          <w:szCs w:val="24"/>
        </w:rPr>
        <w:t>13</w:t>
      </w:r>
      <w:r w:rsidRPr="002E0CD8">
        <w:rPr>
          <w:rFonts w:cstheme="minorHAnsi"/>
          <w:sz w:val="24"/>
          <w:szCs w:val="24"/>
        </w:rPr>
        <w:t xml:space="preserve">(1), 12730. </w:t>
      </w:r>
      <w:hyperlink r:id="rId14" w:history="1">
        <w:r w:rsidRPr="007A49DD">
          <w:rPr>
            <w:rStyle w:val="Hyperlink"/>
            <w:rFonts w:cstheme="minorHAnsi"/>
            <w:sz w:val="24"/>
            <w:szCs w:val="24"/>
          </w:rPr>
          <w:t>https://doi.org/10.1038/s41598-023-39828-6</w:t>
        </w:r>
      </w:hyperlink>
    </w:p>
    <w:p w14:paraId="0E545585" w14:textId="246C195A" w:rsidR="002E0CD8" w:rsidRPr="002E0CD8" w:rsidRDefault="002E0CD8" w:rsidP="002E0CD8">
      <w:pPr>
        <w:ind w:left="270" w:hanging="270"/>
        <w:jc w:val="both"/>
        <w:rPr>
          <w:rFonts w:cstheme="minorHAnsi"/>
          <w:sz w:val="24"/>
          <w:szCs w:val="24"/>
          <w:lang w:val="en-US"/>
        </w:rPr>
      </w:pPr>
      <w:r w:rsidRPr="002E0CD8">
        <w:rPr>
          <w:rFonts w:cstheme="minorHAnsi"/>
          <w:sz w:val="24"/>
          <w:szCs w:val="24"/>
          <w:lang w:val="en-US"/>
        </w:rPr>
        <w:t>Hamid, E., Carolin, C., Carola, S., &amp; Lorenz, P. (2019). Food and nutrition security and sustainability transitions in food systems. Food &amp; Energy Security, 8, 154. Retrieved from https://doi.org/10.1002/fes3.154</w:t>
      </w:r>
    </w:p>
    <w:p w14:paraId="546186B0"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rPr>
        <w:t>Hecht, A. A., Biehl, E., Barnett, D. J., &amp; Neff, R. A. (2019). Urban Food Supply Chain Resilience for Crises Threatening Food Security: A Qualitative Study. </w:t>
      </w:r>
      <w:r w:rsidRPr="002E0CD8">
        <w:rPr>
          <w:rFonts w:cstheme="minorHAnsi"/>
          <w:i/>
          <w:iCs/>
          <w:sz w:val="24"/>
          <w:szCs w:val="24"/>
        </w:rPr>
        <w:t>Journal of the Academy of Nutrition and Dietetics</w:t>
      </w:r>
      <w:r w:rsidRPr="002E0CD8">
        <w:rPr>
          <w:rFonts w:cstheme="minorHAnsi"/>
          <w:sz w:val="24"/>
          <w:szCs w:val="24"/>
        </w:rPr>
        <w:t>, </w:t>
      </w:r>
      <w:r w:rsidRPr="002E0CD8">
        <w:rPr>
          <w:rFonts w:cstheme="minorHAnsi"/>
          <w:i/>
          <w:iCs/>
          <w:sz w:val="24"/>
          <w:szCs w:val="24"/>
        </w:rPr>
        <w:t>119</w:t>
      </w:r>
      <w:r w:rsidRPr="002E0CD8">
        <w:rPr>
          <w:rFonts w:cstheme="minorHAnsi"/>
          <w:sz w:val="24"/>
          <w:szCs w:val="24"/>
        </w:rPr>
        <w:t>(2), 211–224. https://doi.org/10.1016/j.jand.2018.09.001</w:t>
      </w:r>
    </w:p>
    <w:p w14:paraId="3C78F0B2"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Islam, M. H., Nayan, M. M., Jubayer, A., &amp; Amin, M. R. (2023). A review of the dietary diversity and micronutrient adequacy among the women of reproductive age in low- and middle-income countries. </w:t>
      </w:r>
      <w:r w:rsidRPr="002E0CD8">
        <w:rPr>
          <w:rFonts w:cstheme="minorHAnsi"/>
          <w:i/>
          <w:iCs/>
          <w:sz w:val="24"/>
          <w:szCs w:val="24"/>
        </w:rPr>
        <w:t>Food science &amp; nutrition</w:t>
      </w:r>
      <w:r w:rsidRPr="002E0CD8">
        <w:rPr>
          <w:rFonts w:cstheme="minorHAnsi"/>
          <w:sz w:val="24"/>
          <w:szCs w:val="24"/>
        </w:rPr>
        <w:t>, </w:t>
      </w:r>
      <w:r w:rsidRPr="002E0CD8">
        <w:rPr>
          <w:rFonts w:cstheme="minorHAnsi"/>
          <w:i/>
          <w:iCs/>
          <w:sz w:val="24"/>
          <w:szCs w:val="24"/>
        </w:rPr>
        <w:t>12</w:t>
      </w:r>
      <w:r w:rsidRPr="002E0CD8">
        <w:rPr>
          <w:rFonts w:cstheme="minorHAnsi"/>
          <w:sz w:val="24"/>
          <w:szCs w:val="24"/>
        </w:rPr>
        <w:t xml:space="preserve">(3), 1367–1379. </w:t>
      </w:r>
      <w:hyperlink r:id="rId15" w:history="1">
        <w:r w:rsidRPr="002E0CD8">
          <w:rPr>
            <w:rStyle w:val="Hyperlink"/>
            <w:rFonts w:cstheme="minorHAnsi"/>
            <w:sz w:val="24"/>
            <w:szCs w:val="24"/>
          </w:rPr>
          <w:t>https://doi.org/10.1002/fsn3.3855</w:t>
        </w:r>
      </w:hyperlink>
    </w:p>
    <w:p w14:paraId="06B69F94" w14:textId="61D3F927" w:rsidR="002E0CD8" w:rsidRDefault="002E0CD8" w:rsidP="002E0CD8">
      <w:pPr>
        <w:ind w:left="270" w:hanging="270"/>
        <w:jc w:val="both"/>
        <w:rPr>
          <w:rFonts w:cstheme="minorHAnsi"/>
          <w:sz w:val="24"/>
          <w:szCs w:val="24"/>
        </w:rPr>
      </w:pPr>
      <w:r w:rsidRPr="002E0CD8">
        <w:rPr>
          <w:rFonts w:cstheme="minorHAnsi"/>
          <w:sz w:val="24"/>
          <w:szCs w:val="24"/>
        </w:rPr>
        <w:t xml:space="preserve">Kenney, E., Rampalli, K. K., Samin, S., Frongillo, E. A., Reyes, L. I., Bhandari, S., </w:t>
      </w:r>
      <w:proofErr w:type="spellStart"/>
      <w:r w:rsidRPr="002E0CD8">
        <w:rPr>
          <w:rFonts w:cstheme="minorHAnsi"/>
          <w:sz w:val="24"/>
          <w:szCs w:val="24"/>
        </w:rPr>
        <w:t>Boncyk</w:t>
      </w:r>
      <w:proofErr w:type="spellEnd"/>
      <w:r w:rsidRPr="002E0CD8">
        <w:rPr>
          <w:rFonts w:cstheme="minorHAnsi"/>
          <w:sz w:val="24"/>
          <w:szCs w:val="24"/>
        </w:rPr>
        <w:t xml:space="preserve">, M., Nordhagen, S., Walls, H., Wertheim-Heck, S., </w:t>
      </w:r>
      <w:proofErr w:type="spellStart"/>
      <w:r w:rsidRPr="002E0CD8">
        <w:rPr>
          <w:rFonts w:cstheme="minorHAnsi"/>
          <w:sz w:val="24"/>
          <w:szCs w:val="24"/>
        </w:rPr>
        <w:t>Ickowitz</w:t>
      </w:r>
      <w:proofErr w:type="spellEnd"/>
      <w:r w:rsidRPr="002E0CD8">
        <w:rPr>
          <w:rFonts w:cstheme="minorHAnsi"/>
          <w:sz w:val="24"/>
          <w:szCs w:val="24"/>
        </w:rPr>
        <w:t xml:space="preserve">, A., Cunningham, S. A., Ambikapathi, R., Ekesa, B., </w:t>
      </w:r>
      <w:proofErr w:type="spellStart"/>
      <w:r w:rsidRPr="002E0CD8">
        <w:rPr>
          <w:rFonts w:cstheme="minorHAnsi"/>
          <w:sz w:val="24"/>
          <w:szCs w:val="24"/>
        </w:rPr>
        <w:t>Matita</w:t>
      </w:r>
      <w:proofErr w:type="spellEnd"/>
      <w:r w:rsidRPr="002E0CD8">
        <w:rPr>
          <w:rFonts w:cstheme="minorHAnsi"/>
          <w:sz w:val="24"/>
          <w:szCs w:val="24"/>
        </w:rPr>
        <w:t xml:space="preserve">, M., &amp; Blake, C. E. (2024). How Livelihood Change Affects Food Choice </w:t>
      </w:r>
      <w:proofErr w:type="spellStart"/>
      <w:r w:rsidRPr="002E0CD8">
        <w:rPr>
          <w:rFonts w:cstheme="minorHAnsi"/>
          <w:sz w:val="24"/>
          <w:szCs w:val="24"/>
        </w:rPr>
        <w:t>Behaviors</w:t>
      </w:r>
      <w:proofErr w:type="spellEnd"/>
      <w:r w:rsidRPr="002E0CD8">
        <w:rPr>
          <w:rFonts w:cstheme="minorHAnsi"/>
          <w:sz w:val="24"/>
          <w:szCs w:val="24"/>
        </w:rPr>
        <w:t xml:space="preserve"> in Low- and Middle-Income Countries: A Scoping Review. </w:t>
      </w:r>
      <w:r w:rsidRPr="002E0CD8">
        <w:rPr>
          <w:rFonts w:cstheme="minorHAnsi"/>
          <w:i/>
          <w:iCs/>
          <w:sz w:val="24"/>
          <w:szCs w:val="24"/>
        </w:rPr>
        <w:t>Advances in nutrition (Bethesda, Md.)</w:t>
      </w:r>
      <w:r w:rsidRPr="002E0CD8">
        <w:rPr>
          <w:rFonts w:cstheme="minorHAnsi"/>
          <w:sz w:val="24"/>
          <w:szCs w:val="24"/>
        </w:rPr>
        <w:t>, </w:t>
      </w:r>
      <w:r w:rsidRPr="002E0CD8">
        <w:rPr>
          <w:rFonts w:cstheme="minorHAnsi"/>
          <w:i/>
          <w:iCs/>
          <w:sz w:val="24"/>
          <w:szCs w:val="24"/>
        </w:rPr>
        <w:t>15</w:t>
      </w:r>
      <w:r w:rsidRPr="002E0CD8">
        <w:rPr>
          <w:rFonts w:cstheme="minorHAnsi"/>
          <w:sz w:val="24"/>
          <w:szCs w:val="24"/>
        </w:rPr>
        <w:t xml:space="preserve">(5), 100203. </w:t>
      </w:r>
      <w:hyperlink r:id="rId16" w:history="1">
        <w:r w:rsidR="00AB79FD" w:rsidRPr="00A36A19">
          <w:rPr>
            <w:rStyle w:val="Hyperlink"/>
            <w:rFonts w:cstheme="minorHAnsi"/>
            <w:sz w:val="24"/>
            <w:szCs w:val="24"/>
          </w:rPr>
          <w:t>https://doi.org/10.1016/j.advnut.2024.100203</w:t>
        </w:r>
      </w:hyperlink>
    </w:p>
    <w:p w14:paraId="38AACAB1" w14:textId="2DA6FE9D" w:rsidR="00AB79FD" w:rsidRPr="002E0CD8" w:rsidRDefault="00AB79FD" w:rsidP="002E0CD8">
      <w:pPr>
        <w:ind w:left="270" w:hanging="270"/>
        <w:jc w:val="both"/>
        <w:rPr>
          <w:rFonts w:cstheme="minorHAnsi"/>
          <w:sz w:val="24"/>
          <w:szCs w:val="24"/>
          <w:lang w:val="en-US"/>
        </w:rPr>
      </w:pPr>
      <w:proofErr w:type="spellStart"/>
      <w:r w:rsidRPr="00AB79FD">
        <w:rPr>
          <w:rFonts w:cstheme="minorHAnsi"/>
          <w:sz w:val="24"/>
          <w:szCs w:val="24"/>
        </w:rPr>
        <w:t>Kohanmoo</w:t>
      </w:r>
      <w:proofErr w:type="spellEnd"/>
      <w:r w:rsidRPr="00AB79FD">
        <w:rPr>
          <w:rFonts w:cstheme="minorHAnsi"/>
          <w:sz w:val="24"/>
          <w:szCs w:val="24"/>
        </w:rPr>
        <w:t xml:space="preserve">, A., Hashemzadeh, M., </w:t>
      </w:r>
      <w:proofErr w:type="spellStart"/>
      <w:r w:rsidRPr="00AB79FD">
        <w:rPr>
          <w:rFonts w:cstheme="minorHAnsi"/>
          <w:sz w:val="24"/>
          <w:szCs w:val="24"/>
        </w:rPr>
        <w:t>Teymouri</w:t>
      </w:r>
      <w:proofErr w:type="spellEnd"/>
      <w:r w:rsidRPr="00AB79FD">
        <w:rPr>
          <w:rFonts w:cstheme="minorHAnsi"/>
          <w:sz w:val="24"/>
          <w:szCs w:val="24"/>
        </w:rPr>
        <w:t>, M., Zare, M., &amp; Akhlaghi, M. (2024). Food insecurity is associated with low diet quality and unhealthy cooking and eating habits in Iranian women. </w:t>
      </w:r>
      <w:r w:rsidRPr="00AB79FD">
        <w:rPr>
          <w:rFonts w:cstheme="minorHAnsi"/>
          <w:i/>
          <w:iCs/>
          <w:sz w:val="24"/>
          <w:szCs w:val="24"/>
        </w:rPr>
        <w:t>Journal of health, population, and nutrition</w:t>
      </w:r>
      <w:r w:rsidRPr="00AB79FD">
        <w:rPr>
          <w:rFonts w:cstheme="minorHAnsi"/>
          <w:sz w:val="24"/>
          <w:szCs w:val="24"/>
        </w:rPr>
        <w:t>, </w:t>
      </w:r>
      <w:r w:rsidRPr="00AB79FD">
        <w:rPr>
          <w:rFonts w:cstheme="minorHAnsi"/>
          <w:i/>
          <w:iCs/>
          <w:sz w:val="24"/>
          <w:szCs w:val="24"/>
        </w:rPr>
        <w:t>43</w:t>
      </w:r>
      <w:r w:rsidRPr="00AB79FD">
        <w:rPr>
          <w:rFonts w:cstheme="minorHAnsi"/>
          <w:sz w:val="24"/>
          <w:szCs w:val="24"/>
        </w:rPr>
        <w:t>(1), 42. https://doi.org/10.1186/s41043-024-00533-3</w:t>
      </w:r>
    </w:p>
    <w:p w14:paraId="2714AC1C"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Masa, R., &amp; Sharma, A. (2021). Invariance of the Household Food Insecurity Access Scale Across Different Groups of Adolescents and Young Adults. </w:t>
      </w:r>
      <w:r w:rsidRPr="002E0CD8">
        <w:rPr>
          <w:rFonts w:cstheme="minorHAnsi"/>
          <w:i/>
          <w:iCs/>
          <w:sz w:val="24"/>
          <w:szCs w:val="24"/>
        </w:rPr>
        <w:t>Food and nutrition bulletin</w:t>
      </w:r>
      <w:r w:rsidRPr="002E0CD8">
        <w:rPr>
          <w:rFonts w:cstheme="minorHAnsi"/>
          <w:sz w:val="24"/>
          <w:szCs w:val="24"/>
        </w:rPr>
        <w:t>, </w:t>
      </w:r>
      <w:r w:rsidRPr="002E0CD8">
        <w:rPr>
          <w:rFonts w:cstheme="minorHAnsi"/>
          <w:i/>
          <w:iCs/>
          <w:sz w:val="24"/>
          <w:szCs w:val="24"/>
        </w:rPr>
        <w:t>42</w:t>
      </w:r>
      <w:r w:rsidRPr="002E0CD8">
        <w:rPr>
          <w:rFonts w:cstheme="minorHAnsi"/>
          <w:sz w:val="24"/>
          <w:szCs w:val="24"/>
        </w:rPr>
        <w:t>(3), 437–450. https://doi.org/10.1177/03795721211019634</w:t>
      </w:r>
    </w:p>
    <w:p w14:paraId="5F1B829D"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National Population Commission. (2006). National Population Census of Nigeria. </w:t>
      </w:r>
      <w:r w:rsidRPr="002E0CD8">
        <w:rPr>
          <w:rFonts w:cstheme="minorHAnsi"/>
          <w:i/>
          <w:iCs/>
          <w:sz w:val="24"/>
          <w:szCs w:val="24"/>
        </w:rPr>
        <w:t>Official Gazette of Federal of Republic Nigeria, Abuja, Nigeria</w:t>
      </w:r>
      <w:r w:rsidRPr="002E0CD8">
        <w:rPr>
          <w:rFonts w:cstheme="minorHAnsi"/>
          <w:sz w:val="24"/>
          <w:szCs w:val="24"/>
        </w:rPr>
        <w:t>. http://www.arabianjbmr.com/JPDS_index.php</w:t>
      </w:r>
    </w:p>
    <w:p w14:paraId="3D6EB613"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lang w:val="fi-FI"/>
        </w:rPr>
        <w:lastRenderedPageBreak/>
        <w:t xml:space="preserve">Nisbet, C., Lestrat, K. E., &amp; Vatanparast, H. (2022). </w:t>
      </w:r>
      <w:r w:rsidRPr="002E0CD8">
        <w:rPr>
          <w:rFonts w:cstheme="minorHAnsi"/>
          <w:sz w:val="24"/>
          <w:szCs w:val="24"/>
        </w:rPr>
        <w:t>Food Security Interventions among Refugees around the Globe: A Scoping Review. </w:t>
      </w:r>
      <w:r w:rsidRPr="002E0CD8">
        <w:rPr>
          <w:rFonts w:cstheme="minorHAnsi"/>
          <w:i/>
          <w:iCs/>
          <w:sz w:val="24"/>
          <w:szCs w:val="24"/>
        </w:rPr>
        <w:t>Nutrients</w:t>
      </w:r>
      <w:r w:rsidRPr="002E0CD8">
        <w:rPr>
          <w:rFonts w:cstheme="minorHAnsi"/>
          <w:sz w:val="24"/>
          <w:szCs w:val="24"/>
        </w:rPr>
        <w:t>, </w:t>
      </w:r>
      <w:r w:rsidRPr="002E0CD8">
        <w:rPr>
          <w:rFonts w:cstheme="minorHAnsi"/>
          <w:i/>
          <w:iCs/>
          <w:sz w:val="24"/>
          <w:szCs w:val="24"/>
        </w:rPr>
        <w:t>14</w:t>
      </w:r>
      <w:r w:rsidRPr="002E0CD8">
        <w:rPr>
          <w:rFonts w:cstheme="minorHAnsi"/>
          <w:sz w:val="24"/>
          <w:szCs w:val="24"/>
        </w:rPr>
        <w:t>(3), 522. https://doi.org/10.3390/nu14030522</w:t>
      </w:r>
      <w:r w:rsidRPr="002E0CD8">
        <w:rPr>
          <w:rFonts w:cstheme="minorHAnsi"/>
          <w:sz w:val="24"/>
          <w:szCs w:val="24"/>
          <w:lang w:val="en-US"/>
        </w:rPr>
        <w:t xml:space="preserve"> </w:t>
      </w:r>
    </w:p>
    <w:p w14:paraId="5B4BC61A" w14:textId="77777777" w:rsidR="002E0CD8" w:rsidRPr="002E0CD8" w:rsidRDefault="002E0CD8" w:rsidP="002E0CD8">
      <w:pPr>
        <w:ind w:left="270" w:hanging="270"/>
        <w:jc w:val="both"/>
        <w:rPr>
          <w:rFonts w:cstheme="minorHAnsi"/>
          <w:sz w:val="24"/>
          <w:szCs w:val="24"/>
        </w:rPr>
      </w:pPr>
      <w:r w:rsidRPr="002E0CD8">
        <w:rPr>
          <w:rFonts w:cstheme="minorHAnsi"/>
          <w:sz w:val="24"/>
          <w:szCs w:val="24"/>
        </w:rPr>
        <w:t>Oakley, A. R., Nikolaus, C. J., Ellison, B., &amp; Nickols-Richardson, S. M. (2019). Food insecurity and food preparation equipment in US households: exploratory results from a cross-sectional questionnaire. </w:t>
      </w:r>
      <w:r w:rsidRPr="002E0CD8">
        <w:rPr>
          <w:rFonts w:cstheme="minorHAnsi"/>
          <w:i/>
          <w:iCs/>
          <w:sz w:val="24"/>
          <w:szCs w:val="24"/>
        </w:rPr>
        <w:t>Journal of human nutrition and dietetics : the official journal of the British Dietetic Association</w:t>
      </w:r>
      <w:r w:rsidRPr="002E0CD8">
        <w:rPr>
          <w:rFonts w:cstheme="minorHAnsi"/>
          <w:sz w:val="24"/>
          <w:szCs w:val="24"/>
        </w:rPr>
        <w:t>, </w:t>
      </w:r>
      <w:r w:rsidRPr="002E0CD8">
        <w:rPr>
          <w:rFonts w:cstheme="minorHAnsi"/>
          <w:i/>
          <w:iCs/>
          <w:sz w:val="24"/>
          <w:szCs w:val="24"/>
        </w:rPr>
        <w:t>32</w:t>
      </w:r>
      <w:r w:rsidRPr="002E0CD8">
        <w:rPr>
          <w:rFonts w:cstheme="minorHAnsi"/>
          <w:sz w:val="24"/>
          <w:szCs w:val="24"/>
        </w:rPr>
        <w:t xml:space="preserve">(2), 143–151. https://doi.org/10.1111/jhn.12615 </w:t>
      </w:r>
    </w:p>
    <w:p w14:paraId="04FBAD10"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rPr>
        <w:t xml:space="preserve">Okafor, C. A., </w:t>
      </w:r>
      <w:proofErr w:type="spellStart"/>
      <w:r w:rsidRPr="002E0CD8">
        <w:rPr>
          <w:rFonts w:cstheme="minorHAnsi"/>
          <w:sz w:val="24"/>
          <w:szCs w:val="24"/>
        </w:rPr>
        <w:t>Oziegbe</w:t>
      </w:r>
      <w:proofErr w:type="spellEnd"/>
      <w:r w:rsidRPr="002E0CD8">
        <w:rPr>
          <w:rFonts w:cstheme="minorHAnsi"/>
          <w:sz w:val="24"/>
          <w:szCs w:val="24"/>
        </w:rPr>
        <w:t xml:space="preserve">, E. O., &amp; </w:t>
      </w:r>
      <w:proofErr w:type="spellStart"/>
      <w:r w:rsidRPr="002E0CD8">
        <w:rPr>
          <w:rFonts w:cstheme="minorHAnsi"/>
          <w:sz w:val="24"/>
          <w:szCs w:val="24"/>
        </w:rPr>
        <w:t>Foláyan</w:t>
      </w:r>
      <w:proofErr w:type="spellEnd"/>
      <w:r w:rsidRPr="002E0CD8">
        <w:rPr>
          <w:rFonts w:cstheme="minorHAnsi"/>
          <w:sz w:val="24"/>
          <w:szCs w:val="24"/>
        </w:rPr>
        <w:t>, M. O. (2025). Dietary diversity and food groups associated with early childhood caries in a suburban community in Nigeria. </w:t>
      </w:r>
      <w:r w:rsidRPr="002E0CD8">
        <w:rPr>
          <w:rFonts w:cstheme="minorHAnsi"/>
          <w:i/>
          <w:iCs/>
          <w:sz w:val="24"/>
          <w:szCs w:val="24"/>
        </w:rPr>
        <w:t>BMC oral health</w:t>
      </w:r>
      <w:r w:rsidRPr="002E0CD8">
        <w:rPr>
          <w:rFonts w:cstheme="minorHAnsi"/>
          <w:sz w:val="24"/>
          <w:szCs w:val="24"/>
        </w:rPr>
        <w:t>, </w:t>
      </w:r>
      <w:r w:rsidRPr="002E0CD8">
        <w:rPr>
          <w:rFonts w:cstheme="minorHAnsi"/>
          <w:i/>
          <w:iCs/>
          <w:sz w:val="24"/>
          <w:szCs w:val="24"/>
        </w:rPr>
        <w:t>26</w:t>
      </w:r>
      <w:r w:rsidRPr="002E0CD8">
        <w:rPr>
          <w:rFonts w:cstheme="minorHAnsi"/>
          <w:sz w:val="24"/>
          <w:szCs w:val="24"/>
        </w:rPr>
        <w:t>(1), 150. https://doi.org/10.1186/s12903-025-06897-0</w:t>
      </w:r>
    </w:p>
    <w:p w14:paraId="462AFB94" w14:textId="77777777" w:rsidR="002E0CD8" w:rsidRPr="002E0CD8" w:rsidRDefault="002E0CD8" w:rsidP="002E0CD8">
      <w:pPr>
        <w:ind w:left="270" w:hanging="270"/>
        <w:jc w:val="both"/>
        <w:rPr>
          <w:rFonts w:cstheme="minorHAnsi"/>
          <w:sz w:val="24"/>
          <w:szCs w:val="24"/>
          <w:lang w:val="pt-BR"/>
        </w:rPr>
      </w:pPr>
      <w:proofErr w:type="spellStart"/>
      <w:r w:rsidRPr="002E0CD8">
        <w:rPr>
          <w:rFonts w:cstheme="minorHAnsi"/>
          <w:sz w:val="24"/>
          <w:szCs w:val="24"/>
          <w:lang w:val="en-US"/>
        </w:rPr>
        <w:t>Rembialkowska</w:t>
      </w:r>
      <w:proofErr w:type="spellEnd"/>
      <w:r w:rsidRPr="002E0CD8">
        <w:rPr>
          <w:rFonts w:cstheme="minorHAnsi"/>
          <w:sz w:val="24"/>
          <w:szCs w:val="24"/>
          <w:lang w:val="en-US"/>
        </w:rPr>
        <w:t xml:space="preserve">, E. (2016). Organic Food: Effect on Nutrient Composition. </w:t>
      </w:r>
      <w:r w:rsidRPr="002E0CD8">
        <w:rPr>
          <w:rFonts w:cstheme="minorHAnsi"/>
          <w:sz w:val="24"/>
          <w:szCs w:val="24"/>
          <w:lang w:val="pt-BR"/>
        </w:rPr>
        <w:t>171-177. doi:https://doi.org/10.1016/B978-0-12-384947-2.00505-5.</w:t>
      </w:r>
    </w:p>
    <w:p w14:paraId="7A024284" w14:textId="77777777" w:rsidR="002E0CD8" w:rsidRPr="002E0CD8" w:rsidRDefault="002E0CD8" w:rsidP="002E0CD8">
      <w:pPr>
        <w:ind w:left="270" w:hanging="270"/>
        <w:jc w:val="both"/>
        <w:rPr>
          <w:rFonts w:cstheme="minorHAnsi"/>
          <w:sz w:val="24"/>
          <w:szCs w:val="24"/>
        </w:rPr>
      </w:pPr>
      <w:r w:rsidRPr="002E0CD8">
        <w:rPr>
          <w:rFonts w:cstheme="minorHAnsi"/>
          <w:sz w:val="24"/>
          <w:szCs w:val="24"/>
          <w:lang w:val="pt-BR"/>
        </w:rPr>
        <w:t xml:space="preserve">Roberts, A. A., Osadare, J. O., &amp; Inem, V. A. (2019). </w:t>
      </w:r>
      <w:r w:rsidRPr="002E0CD8">
        <w:rPr>
          <w:rFonts w:cstheme="minorHAnsi"/>
          <w:sz w:val="24"/>
          <w:szCs w:val="24"/>
        </w:rPr>
        <w:t>Hunger in the midst of plenty: A survey of household food security among urban families in Lagos State, Nigeria. </w:t>
      </w:r>
      <w:r w:rsidRPr="002E0CD8">
        <w:rPr>
          <w:rFonts w:cstheme="minorHAnsi"/>
          <w:i/>
          <w:iCs/>
          <w:sz w:val="24"/>
          <w:szCs w:val="24"/>
        </w:rPr>
        <w:t>Journal of public health in Africa</w:t>
      </w:r>
      <w:r w:rsidRPr="002E0CD8">
        <w:rPr>
          <w:rFonts w:cstheme="minorHAnsi"/>
          <w:sz w:val="24"/>
          <w:szCs w:val="24"/>
        </w:rPr>
        <w:t>, </w:t>
      </w:r>
      <w:r w:rsidRPr="002E0CD8">
        <w:rPr>
          <w:rFonts w:cstheme="minorHAnsi"/>
          <w:i/>
          <w:iCs/>
          <w:sz w:val="24"/>
          <w:szCs w:val="24"/>
        </w:rPr>
        <w:t>10</w:t>
      </w:r>
      <w:r w:rsidRPr="002E0CD8">
        <w:rPr>
          <w:rFonts w:cstheme="minorHAnsi"/>
          <w:sz w:val="24"/>
          <w:szCs w:val="24"/>
        </w:rPr>
        <w:t xml:space="preserve">(1), 885. </w:t>
      </w:r>
      <w:hyperlink r:id="rId17" w:history="1">
        <w:r w:rsidRPr="002E0CD8">
          <w:rPr>
            <w:rStyle w:val="Hyperlink"/>
            <w:rFonts w:cstheme="minorHAnsi"/>
            <w:sz w:val="24"/>
            <w:szCs w:val="24"/>
          </w:rPr>
          <w:t>https://doi.org/10.4081/jphia.2019.885</w:t>
        </w:r>
      </w:hyperlink>
      <w:r w:rsidRPr="002E0CD8">
        <w:rPr>
          <w:rFonts w:cstheme="minorHAnsi"/>
          <w:sz w:val="24"/>
          <w:szCs w:val="24"/>
        </w:rPr>
        <w:t>.</w:t>
      </w:r>
    </w:p>
    <w:p w14:paraId="43BEB56B" w14:textId="77777777" w:rsidR="002E0CD8" w:rsidRPr="002E0CD8" w:rsidRDefault="002E0CD8" w:rsidP="002E0CD8">
      <w:pPr>
        <w:ind w:left="270" w:hanging="270"/>
        <w:jc w:val="both"/>
        <w:rPr>
          <w:rFonts w:cstheme="minorHAnsi"/>
          <w:sz w:val="24"/>
          <w:szCs w:val="24"/>
        </w:rPr>
      </w:pPr>
      <w:proofErr w:type="spellStart"/>
      <w:r w:rsidRPr="002E0CD8">
        <w:rPr>
          <w:rFonts w:cstheme="minorHAnsi"/>
          <w:sz w:val="24"/>
          <w:szCs w:val="24"/>
        </w:rPr>
        <w:t>Scrinis</w:t>
      </w:r>
      <w:proofErr w:type="spellEnd"/>
      <w:r w:rsidRPr="002E0CD8">
        <w:rPr>
          <w:rFonts w:cstheme="minorHAnsi"/>
          <w:sz w:val="24"/>
          <w:szCs w:val="24"/>
        </w:rPr>
        <w:t>, G., Popkin, B. M., Corvalan, C., Duran, A. C., Nestle, M., Lawrence, M., Baker, P., Monteiro, C. A., Millett, C., Moubarac, J. C., Jaime, P., &amp; Khandpur, N. (2025). Policies to halt and reverse the rise in ultra-processed food production, marketing, and consumption. </w:t>
      </w:r>
      <w:r w:rsidRPr="002E0CD8">
        <w:rPr>
          <w:rFonts w:cstheme="minorHAnsi"/>
          <w:i/>
          <w:iCs/>
          <w:sz w:val="24"/>
          <w:szCs w:val="24"/>
        </w:rPr>
        <w:t>Lancet (London, England)</w:t>
      </w:r>
      <w:r w:rsidRPr="002E0CD8">
        <w:rPr>
          <w:rFonts w:cstheme="minorHAnsi"/>
          <w:sz w:val="24"/>
          <w:szCs w:val="24"/>
        </w:rPr>
        <w:t>, </w:t>
      </w:r>
      <w:r w:rsidRPr="002E0CD8">
        <w:rPr>
          <w:rFonts w:cstheme="minorHAnsi"/>
          <w:i/>
          <w:iCs/>
          <w:sz w:val="24"/>
          <w:szCs w:val="24"/>
        </w:rPr>
        <w:t>406</w:t>
      </w:r>
      <w:r w:rsidRPr="002E0CD8">
        <w:rPr>
          <w:rFonts w:cstheme="minorHAnsi"/>
          <w:sz w:val="24"/>
          <w:szCs w:val="24"/>
        </w:rPr>
        <w:t>(10520), 2685–2702. https://doi.org/10.1016/S0140-6736(25)01566-1</w:t>
      </w:r>
    </w:p>
    <w:p w14:paraId="0642A044" w14:textId="77777777" w:rsidR="002E0CD8" w:rsidRPr="002E0CD8" w:rsidRDefault="002E0CD8" w:rsidP="002E0CD8">
      <w:pPr>
        <w:ind w:left="270" w:hanging="270"/>
        <w:jc w:val="both"/>
        <w:rPr>
          <w:rFonts w:cstheme="minorHAnsi"/>
          <w:sz w:val="24"/>
          <w:szCs w:val="24"/>
          <w:lang w:val="en-US"/>
        </w:rPr>
      </w:pPr>
      <w:r w:rsidRPr="002E0CD8">
        <w:rPr>
          <w:rFonts w:cstheme="minorHAnsi"/>
          <w:sz w:val="24"/>
          <w:szCs w:val="24"/>
          <w:lang w:val="en-US"/>
        </w:rPr>
        <w:t xml:space="preserve">Senee, A., </w:t>
      </w:r>
      <w:proofErr w:type="spellStart"/>
      <w:r w:rsidRPr="002E0CD8">
        <w:rPr>
          <w:rFonts w:cstheme="minorHAnsi"/>
          <w:sz w:val="24"/>
          <w:szCs w:val="24"/>
          <w:lang w:val="en-US"/>
        </w:rPr>
        <w:t>Ishnoo</w:t>
      </w:r>
      <w:proofErr w:type="spellEnd"/>
      <w:r w:rsidRPr="002E0CD8">
        <w:rPr>
          <w:rFonts w:cstheme="minorHAnsi"/>
          <w:sz w:val="24"/>
          <w:szCs w:val="24"/>
          <w:lang w:val="en-US"/>
        </w:rPr>
        <w:t xml:space="preserve">, Y. B., &amp; Jeewon, R. (2022). An Analysis of the Contributors and Factors Influencing Dietary Patterns among the Elderly Population. Current Research in Food and Nutrition, 10(3). Retrieved from </w:t>
      </w:r>
      <w:hyperlink r:id="rId18" w:history="1">
        <w:r w:rsidRPr="002E0CD8">
          <w:rPr>
            <w:rStyle w:val="Hyperlink"/>
            <w:rFonts w:cstheme="minorHAnsi"/>
            <w:sz w:val="24"/>
            <w:szCs w:val="24"/>
            <w:lang w:val="en-US"/>
          </w:rPr>
          <w:t>https://dx.doi.org/10.12944/CRNFSJ.10.3.7</w:t>
        </w:r>
      </w:hyperlink>
    </w:p>
    <w:p w14:paraId="450B14BD" w14:textId="77777777" w:rsidR="002E0CD8" w:rsidRPr="002E0CD8" w:rsidRDefault="002E0CD8" w:rsidP="002E0CD8">
      <w:pPr>
        <w:ind w:left="270" w:hanging="270"/>
        <w:jc w:val="both"/>
        <w:rPr>
          <w:rFonts w:cstheme="minorHAnsi"/>
          <w:sz w:val="24"/>
          <w:szCs w:val="24"/>
        </w:rPr>
      </w:pPr>
      <w:r w:rsidRPr="002E0CD8">
        <w:rPr>
          <w:rFonts w:cstheme="minorHAnsi"/>
          <w:sz w:val="24"/>
          <w:szCs w:val="24"/>
          <w:lang w:val="fi-FI"/>
        </w:rPr>
        <w:t xml:space="preserve">Shembe, P. S., Ngobese, N. Z., Siwela, M., &amp; Kolanisi, U. (2023). </w:t>
      </w:r>
      <w:r w:rsidRPr="002E0CD8">
        <w:rPr>
          <w:rFonts w:cstheme="minorHAnsi"/>
          <w:sz w:val="24"/>
          <w:szCs w:val="24"/>
        </w:rPr>
        <w:t>The potential repositioning of South African underutilised plants for food and nutrition security: A scoping review. </w:t>
      </w:r>
      <w:proofErr w:type="spellStart"/>
      <w:r w:rsidRPr="002E0CD8">
        <w:rPr>
          <w:rFonts w:cstheme="minorHAnsi"/>
          <w:i/>
          <w:iCs/>
          <w:sz w:val="24"/>
          <w:szCs w:val="24"/>
        </w:rPr>
        <w:t>Heliyon</w:t>
      </w:r>
      <w:proofErr w:type="spellEnd"/>
      <w:r w:rsidRPr="002E0CD8">
        <w:rPr>
          <w:rFonts w:cstheme="minorHAnsi"/>
          <w:sz w:val="24"/>
          <w:szCs w:val="24"/>
        </w:rPr>
        <w:t>, </w:t>
      </w:r>
      <w:r w:rsidRPr="002E0CD8">
        <w:rPr>
          <w:rFonts w:cstheme="minorHAnsi"/>
          <w:i/>
          <w:iCs/>
          <w:sz w:val="24"/>
          <w:szCs w:val="24"/>
        </w:rPr>
        <w:t>9</w:t>
      </w:r>
      <w:r w:rsidRPr="002E0CD8">
        <w:rPr>
          <w:rFonts w:cstheme="minorHAnsi"/>
          <w:sz w:val="24"/>
          <w:szCs w:val="24"/>
        </w:rPr>
        <w:t xml:space="preserve">(6), e17232. </w:t>
      </w:r>
      <w:hyperlink r:id="rId19" w:history="1">
        <w:r w:rsidRPr="002E0CD8">
          <w:rPr>
            <w:rStyle w:val="Hyperlink"/>
            <w:rFonts w:cstheme="minorHAnsi"/>
            <w:sz w:val="24"/>
            <w:szCs w:val="24"/>
          </w:rPr>
          <w:t>https://doi.org/10.1016/j.heliyon.2023.e17232</w:t>
        </w:r>
      </w:hyperlink>
    </w:p>
    <w:p w14:paraId="55276DCD" w14:textId="77777777" w:rsidR="002E0CD8" w:rsidRPr="002E0CD8" w:rsidRDefault="002E0CD8" w:rsidP="002E0CD8">
      <w:pPr>
        <w:ind w:left="270" w:hanging="270"/>
        <w:jc w:val="both"/>
        <w:rPr>
          <w:rFonts w:cstheme="minorHAnsi"/>
          <w:sz w:val="24"/>
          <w:szCs w:val="24"/>
        </w:rPr>
      </w:pPr>
      <w:proofErr w:type="spellStart"/>
      <w:r w:rsidRPr="002E0CD8">
        <w:rPr>
          <w:rFonts w:cstheme="minorHAnsi"/>
          <w:sz w:val="24"/>
          <w:szCs w:val="24"/>
        </w:rPr>
        <w:t>Tyczewska</w:t>
      </w:r>
      <w:proofErr w:type="spellEnd"/>
      <w:r w:rsidRPr="002E0CD8">
        <w:rPr>
          <w:rFonts w:cstheme="minorHAnsi"/>
          <w:sz w:val="24"/>
          <w:szCs w:val="24"/>
        </w:rPr>
        <w:t>, A., Twardowski, T., &amp; Woźniak-Gientka, E. (2023). Agricultural biotechnology for sustainable food security. </w:t>
      </w:r>
      <w:r w:rsidRPr="002E0CD8">
        <w:rPr>
          <w:rFonts w:cstheme="minorHAnsi"/>
          <w:i/>
          <w:iCs/>
          <w:sz w:val="24"/>
          <w:szCs w:val="24"/>
        </w:rPr>
        <w:t>Trends in biotechnology</w:t>
      </w:r>
      <w:r w:rsidRPr="002E0CD8">
        <w:rPr>
          <w:rFonts w:cstheme="minorHAnsi"/>
          <w:sz w:val="24"/>
          <w:szCs w:val="24"/>
        </w:rPr>
        <w:t>, </w:t>
      </w:r>
      <w:r w:rsidRPr="002E0CD8">
        <w:rPr>
          <w:rFonts w:cstheme="minorHAnsi"/>
          <w:i/>
          <w:iCs/>
          <w:sz w:val="24"/>
          <w:szCs w:val="24"/>
        </w:rPr>
        <w:t>41</w:t>
      </w:r>
      <w:r w:rsidRPr="002E0CD8">
        <w:rPr>
          <w:rFonts w:cstheme="minorHAnsi"/>
          <w:sz w:val="24"/>
          <w:szCs w:val="24"/>
        </w:rPr>
        <w:t xml:space="preserve">(3), 331–341. </w:t>
      </w:r>
      <w:hyperlink r:id="rId20" w:history="1">
        <w:r w:rsidRPr="002E0CD8">
          <w:rPr>
            <w:rStyle w:val="Hyperlink"/>
            <w:rFonts w:cstheme="minorHAnsi"/>
            <w:sz w:val="24"/>
            <w:szCs w:val="24"/>
          </w:rPr>
          <w:t>https://doi.org/10.1016/j.tibtech.2022.12.013</w:t>
        </w:r>
      </w:hyperlink>
    </w:p>
    <w:p w14:paraId="64AC34D3" w14:textId="77777777" w:rsidR="002E0CD8" w:rsidRPr="002E0CD8" w:rsidRDefault="002E0CD8" w:rsidP="002E0CD8">
      <w:pPr>
        <w:ind w:left="270" w:hanging="270"/>
        <w:jc w:val="both"/>
        <w:rPr>
          <w:rFonts w:cstheme="minorHAnsi"/>
          <w:sz w:val="24"/>
          <w:szCs w:val="24"/>
          <w:lang w:val="en-US"/>
        </w:rPr>
      </w:pPr>
      <w:proofErr w:type="spellStart"/>
      <w:r w:rsidRPr="002E0CD8">
        <w:rPr>
          <w:rFonts w:cstheme="minorHAnsi"/>
          <w:sz w:val="24"/>
          <w:szCs w:val="24"/>
        </w:rPr>
        <w:t>Fresnais</w:t>
      </w:r>
      <w:proofErr w:type="spellEnd"/>
      <w:r w:rsidRPr="002E0CD8">
        <w:rPr>
          <w:rFonts w:cstheme="minorHAnsi"/>
          <w:sz w:val="24"/>
          <w:szCs w:val="24"/>
        </w:rPr>
        <w:t xml:space="preserve">, L., Perin, O., Riu, A., Grall, R., Ott, A., </w:t>
      </w:r>
      <w:proofErr w:type="spellStart"/>
      <w:r w:rsidRPr="002E0CD8">
        <w:rPr>
          <w:rFonts w:cstheme="minorHAnsi"/>
          <w:sz w:val="24"/>
          <w:szCs w:val="24"/>
        </w:rPr>
        <w:t>Fromenty</w:t>
      </w:r>
      <w:proofErr w:type="spellEnd"/>
      <w:r w:rsidRPr="002E0CD8">
        <w:rPr>
          <w:rFonts w:cstheme="minorHAnsi"/>
          <w:sz w:val="24"/>
          <w:szCs w:val="24"/>
        </w:rPr>
        <w:t xml:space="preserve">, B., Gallardo, J. C., Stingl, M., </w:t>
      </w:r>
      <w:proofErr w:type="spellStart"/>
      <w:r w:rsidRPr="002E0CD8">
        <w:rPr>
          <w:rFonts w:cstheme="minorHAnsi"/>
          <w:sz w:val="24"/>
          <w:szCs w:val="24"/>
        </w:rPr>
        <w:t>Frainay</w:t>
      </w:r>
      <w:proofErr w:type="spellEnd"/>
      <w:r w:rsidRPr="002E0CD8">
        <w:rPr>
          <w:rFonts w:cstheme="minorHAnsi"/>
          <w:sz w:val="24"/>
          <w:szCs w:val="24"/>
        </w:rPr>
        <w:t xml:space="preserve">, C., Jourdan, F., &amp; </w:t>
      </w:r>
      <w:proofErr w:type="spellStart"/>
      <w:r w:rsidRPr="002E0CD8">
        <w:rPr>
          <w:rFonts w:cstheme="minorHAnsi"/>
          <w:sz w:val="24"/>
          <w:szCs w:val="24"/>
        </w:rPr>
        <w:t>Poupin</w:t>
      </w:r>
      <w:proofErr w:type="spellEnd"/>
      <w:r w:rsidRPr="002E0CD8">
        <w:rPr>
          <w:rFonts w:cstheme="minorHAnsi"/>
          <w:sz w:val="24"/>
          <w:szCs w:val="24"/>
        </w:rPr>
        <w:t>, N. (2024). A strategy to detect metabolic changes induced by exposure to chemicals from large sets of condition-specific metabolic models computed with enumeration techniques. </w:t>
      </w:r>
      <w:r w:rsidRPr="002E0CD8">
        <w:rPr>
          <w:rFonts w:cstheme="minorHAnsi"/>
          <w:i/>
          <w:iCs/>
          <w:sz w:val="24"/>
          <w:szCs w:val="24"/>
        </w:rPr>
        <w:t>BMC bioinformatics</w:t>
      </w:r>
      <w:r w:rsidRPr="002E0CD8">
        <w:rPr>
          <w:rFonts w:cstheme="minorHAnsi"/>
          <w:sz w:val="24"/>
          <w:szCs w:val="24"/>
        </w:rPr>
        <w:t>, </w:t>
      </w:r>
      <w:r w:rsidRPr="002E0CD8">
        <w:rPr>
          <w:rFonts w:cstheme="minorHAnsi"/>
          <w:i/>
          <w:iCs/>
          <w:sz w:val="24"/>
          <w:szCs w:val="24"/>
        </w:rPr>
        <w:t>25</w:t>
      </w:r>
      <w:r w:rsidRPr="002E0CD8">
        <w:rPr>
          <w:rFonts w:cstheme="minorHAnsi"/>
          <w:sz w:val="24"/>
          <w:szCs w:val="24"/>
        </w:rPr>
        <w:t>(1), 234. https://doi.org/10.1186/s12859-024-05845-z</w:t>
      </w:r>
    </w:p>
    <w:p w14:paraId="3D737D4F" w14:textId="77777777" w:rsidR="002E0CD8" w:rsidRPr="002E0CD8" w:rsidRDefault="002E0CD8" w:rsidP="002E0CD8">
      <w:pPr>
        <w:ind w:left="270" w:hanging="270"/>
        <w:jc w:val="both"/>
        <w:rPr>
          <w:rFonts w:cstheme="minorHAnsi"/>
          <w:sz w:val="24"/>
          <w:szCs w:val="24"/>
          <w:lang w:val="en-US"/>
        </w:rPr>
      </w:pPr>
    </w:p>
    <w:p w14:paraId="129B26CE" w14:textId="77777777" w:rsidR="002E0CD8" w:rsidRPr="002E0CD8" w:rsidRDefault="002E0CD8" w:rsidP="002E0CD8">
      <w:pPr>
        <w:ind w:left="270" w:hanging="270"/>
        <w:jc w:val="both"/>
        <w:rPr>
          <w:rFonts w:cstheme="minorHAnsi"/>
          <w:sz w:val="24"/>
          <w:szCs w:val="24"/>
        </w:rPr>
      </w:pPr>
    </w:p>
    <w:p w14:paraId="2A4DF9B1" w14:textId="77777777" w:rsidR="008D4BF1" w:rsidRPr="008D4BF1" w:rsidRDefault="008D4BF1" w:rsidP="002E0CD8">
      <w:pPr>
        <w:ind w:left="270" w:hanging="270"/>
        <w:jc w:val="both"/>
        <w:rPr>
          <w:rFonts w:cstheme="minorHAnsi"/>
          <w:sz w:val="24"/>
          <w:szCs w:val="24"/>
        </w:rPr>
      </w:pPr>
    </w:p>
    <w:sectPr w:rsidR="008D4BF1" w:rsidRPr="008D4BF1">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C9B8" w14:textId="77777777" w:rsidR="000A2F6D" w:rsidRDefault="000A2F6D" w:rsidP="00F25F33">
      <w:pPr>
        <w:spacing w:after="0" w:line="240" w:lineRule="auto"/>
      </w:pPr>
      <w:r>
        <w:separator/>
      </w:r>
    </w:p>
  </w:endnote>
  <w:endnote w:type="continuationSeparator" w:id="0">
    <w:p w14:paraId="4CDD7579" w14:textId="77777777" w:rsidR="000A2F6D" w:rsidRDefault="000A2F6D" w:rsidP="00F2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F015" w14:textId="77777777" w:rsidR="00F25F33" w:rsidRDefault="00F25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0F926" w14:textId="77777777" w:rsidR="00F25F33" w:rsidRDefault="00F25F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66F4" w14:textId="77777777" w:rsidR="00F25F33" w:rsidRDefault="00F25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05CF5" w14:textId="77777777" w:rsidR="000A2F6D" w:rsidRDefault="000A2F6D" w:rsidP="00F25F33">
      <w:pPr>
        <w:spacing w:after="0" w:line="240" w:lineRule="auto"/>
      </w:pPr>
      <w:r>
        <w:separator/>
      </w:r>
    </w:p>
  </w:footnote>
  <w:footnote w:type="continuationSeparator" w:id="0">
    <w:p w14:paraId="32F9A64D" w14:textId="77777777" w:rsidR="000A2F6D" w:rsidRDefault="000A2F6D" w:rsidP="00F25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73D1" w14:textId="75047C16" w:rsidR="00F25F33" w:rsidRDefault="00000000">
    <w:pPr>
      <w:pStyle w:val="Header"/>
    </w:pPr>
    <w:r>
      <w:rPr>
        <w:noProof/>
      </w:rPr>
      <w:pict w14:anchorId="52006A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79"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B0B" w14:textId="533C7216" w:rsidR="00F25F33" w:rsidRDefault="00000000">
    <w:pPr>
      <w:pStyle w:val="Header"/>
    </w:pPr>
    <w:r>
      <w:rPr>
        <w:noProof/>
      </w:rPr>
      <w:pict w14:anchorId="385941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80"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2418" w14:textId="3C18E896" w:rsidR="00F25F33" w:rsidRDefault="00000000">
    <w:pPr>
      <w:pStyle w:val="Header"/>
    </w:pPr>
    <w:r>
      <w:rPr>
        <w:noProof/>
      </w:rPr>
      <w:pict w14:anchorId="59B2D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39578"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77F"/>
    <w:multiLevelType w:val="hybridMultilevel"/>
    <w:tmpl w:val="2B5CAC78"/>
    <w:lvl w:ilvl="0" w:tplc="0409000F">
      <w:start w:val="1"/>
      <w:numFmt w:val="decimal"/>
      <w:lvlText w:val="%1."/>
      <w:lvlJc w:val="left"/>
      <w:pPr>
        <w:ind w:left="7470" w:hanging="360"/>
      </w:pPr>
    </w:lvl>
    <w:lvl w:ilvl="1" w:tplc="04090019">
      <w:start w:val="1"/>
      <w:numFmt w:val="lowerLetter"/>
      <w:lvlText w:val="%2."/>
      <w:lvlJc w:val="left"/>
      <w:pPr>
        <w:ind w:left="8190" w:hanging="360"/>
      </w:pPr>
    </w:lvl>
    <w:lvl w:ilvl="2" w:tplc="0409001B">
      <w:start w:val="1"/>
      <w:numFmt w:val="lowerRoman"/>
      <w:lvlText w:val="%3."/>
      <w:lvlJc w:val="right"/>
      <w:pPr>
        <w:ind w:left="8910" w:hanging="180"/>
      </w:pPr>
    </w:lvl>
    <w:lvl w:ilvl="3" w:tplc="0409000F">
      <w:start w:val="1"/>
      <w:numFmt w:val="decimal"/>
      <w:lvlText w:val="%4."/>
      <w:lvlJc w:val="left"/>
      <w:pPr>
        <w:ind w:left="9630" w:hanging="360"/>
      </w:pPr>
    </w:lvl>
    <w:lvl w:ilvl="4" w:tplc="04090019">
      <w:start w:val="1"/>
      <w:numFmt w:val="lowerLetter"/>
      <w:lvlText w:val="%5."/>
      <w:lvlJc w:val="left"/>
      <w:pPr>
        <w:ind w:left="10350" w:hanging="360"/>
      </w:pPr>
    </w:lvl>
    <w:lvl w:ilvl="5" w:tplc="0409001B">
      <w:start w:val="1"/>
      <w:numFmt w:val="lowerRoman"/>
      <w:lvlText w:val="%6."/>
      <w:lvlJc w:val="right"/>
      <w:pPr>
        <w:ind w:left="11070" w:hanging="180"/>
      </w:pPr>
    </w:lvl>
    <w:lvl w:ilvl="6" w:tplc="0409000F">
      <w:start w:val="1"/>
      <w:numFmt w:val="decimal"/>
      <w:lvlText w:val="%7."/>
      <w:lvlJc w:val="left"/>
      <w:pPr>
        <w:ind w:left="11790" w:hanging="360"/>
      </w:pPr>
    </w:lvl>
    <w:lvl w:ilvl="7" w:tplc="04090019">
      <w:start w:val="1"/>
      <w:numFmt w:val="lowerLetter"/>
      <w:lvlText w:val="%8."/>
      <w:lvlJc w:val="left"/>
      <w:pPr>
        <w:ind w:left="12510" w:hanging="360"/>
      </w:pPr>
    </w:lvl>
    <w:lvl w:ilvl="8" w:tplc="0409001B">
      <w:start w:val="1"/>
      <w:numFmt w:val="lowerRoman"/>
      <w:lvlText w:val="%9."/>
      <w:lvlJc w:val="right"/>
      <w:pPr>
        <w:ind w:left="13230" w:hanging="180"/>
      </w:pPr>
    </w:lvl>
  </w:abstractNum>
  <w:abstractNum w:abstractNumId="1" w15:restartNumberingAfterBreak="0">
    <w:nsid w:val="0C9605D4"/>
    <w:multiLevelType w:val="hybridMultilevel"/>
    <w:tmpl w:val="83D043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4175881"/>
    <w:multiLevelType w:val="hybridMultilevel"/>
    <w:tmpl w:val="22766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96A69"/>
    <w:multiLevelType w:val="hybridMultilevel"/>
    <w:tmpl w:val="03A42B1E"/>
    <w:lvl w:ilvl="0" w:tplc="A76209D0">
      <w:start w:val="1"/>
      <w:numFmt w:val="decimal"/>
      <w:lvlText w:val="%1."/>
      <w:lvlJc w:val="left"/>
      <w:pPr>
        <w:ind w:left="720" w:hanging="360"/>
      </w:pPr>
    </w:lvl>
    <w:lvl w:ilvl="1" w:tplc="DAD83E36">
      <w:start w:val="1"/>
      <w:numFmt w:val="decimal"/>
      <w:lvlText w:val="%2."/>
      <w:lvlJc w:val="left"/>
      <w:pPr>
        <w:ind w:left="720" w:hanging="360"/>
      </w:pPr>
    </w:lvl>
    <w:lvl w:ilvl="2" w:tplc="29ECC7FA">
      <w:start w:val="1"/>
      <w:numFmt w:val="decimal"/>
      <w:lvlText w:val="%3."/>
      <w:lvlJc w:val="left"/>
      <w:pPr>
        <w:ind w:left="720" w:hanging="360"/>
      </w:pPr>
    </w:lvl>
    <w:lvl w:ilvl="3" w:tplc="40D0EF90">
      <w:start w:val="1"/>
      <w:numFmt w:val="decimal"/>
      <w:lvlText w:val="%4."/>
      <w:lvlJc w:val="left"/>
      <w:pPr>
        <w:ind w:left="720" w:hanging="360"/>
      </w:pPr>
    </w:lvl>
    <w:lvl w:ilvl="4" w:tplc="295ACCC4">
      <w:start w:val="1"/>
      <w:numFmt w:val="decimal"/>
      <w:lvlText w:val="%5."/>
      <w:lvlJc w:val="left"/>
      <w:pPr>
        <w:ind w:left="720" w:hanging="360"/>
      </w:pPr>
    </w:lvl>
    <w:lvl w:ilvl="5" w:tplc="2F620E10">
      <w:start w:val="1"/>
      <w:numFmt w:val="decimal"/>
      <w:lvlText w:val="%6."/>
      <w:lvlJc w:val="left"/>
      <w:pPr>
        <w:ind w:left="720" w:hanging="360"/>
      </w:pPr>
    </w:lvl>
    <w:lvl w:ilvl="6" w:tplc="D03408B0">
      <w:start w:val="1"/>
      <w:numFmt w:val="decimal"/>
      <w:lvlText w:val="%7."/>
      <w:lvlJc w:val="left"/>
      <w:pPr>
        <w:ind w:left="720" w:hanging="360"/>
      </w:pPr>
    </w:lvl>
    <w:lvl w:ilvl="7" w:tplc="99C23EA0">
      <w:start w:val="1"/>
      <w:numFmt w:val="decimal"/>
      <w:lvlText w:val="%8."/>
      <w:lvlJc w:val="left"/>
      <w:pPr>
        <w:ind w:left="720" w:hanging="360"/>
      </w:pPr>
    </w:lvl>
    <w:lvl w:ilvl="8" w:tplc="DA883B38">
      <w:start w:val="1"/>
      <w:numFmt w:val="decimal"/>
      <w:lvlText w:val="%9."/>
      <w:lvlJc w:val="left"/>
      <w:pPr>
        <w:ind w:left="720" w:hanging="360"/>
      </w:pPr>
    </w:lvl>
  </w:abstractNum>
  <w:abstractNum w:abstractNumId="4" w15:restartNumberingAfterBreak="0">
    <w:nsid w:val="33C830E8"/>
    <w:multiLevelType w:val="hybridMultilevel"/>
    <w:tmpl w:val="CC489952"/>
    <w:lvl w:ilvl="0" w:tplc="4B92B7EE">
      <w:start w:val="1"/>
      <w:numFmt w:val="decimal"/>
      <w:lvlText w:val="%1)"/>
      <w:lvlJc w:val="left"/>
      <w:pPr>
        <w:ind w:left="720" w:hanging="360"/>
      </w:pPr>
    </w:lvl>
    <w:lvl w:ilvl="1" w:tplc="A246E2F8">
      <w:start w:val="1"/>
      <w:numFmt w:val="decimal"/>
      <w:lvlText w:val="%2)"/>
      <w:lvlJc w:val="left"/>
      <w:pPr>
        <w:ind w:left="720" w:hanging="360"/>
      </w:pPr>
    </w:lvl>
    <w:lvl w:ilvl="2" w:tplc="D6CE2CAC">
      <w:start w:val="1"/>
      <w:numFmt w:val="decimal"/>
      <w:lvlText w:val="%3)"/>
      <w:lvlJc w:val="left"/>
      <w:pPr>
        <w:ind w:left="720" w:hanging="360"/>
      </w:pPr>
    </w:lvl>
    <w:lvl w:ilvl="3" w:tplc="3D52F842">
      <w:start w:val="1"/>
      <w:numFmt w:val="decimal"/>
      <w:lvlText w:val="%4)"/>
      <w:lvlJc w:val="left"/>
      <w:pPr>
        <w:ind w:left="720" w:hanging="360"/>
      </w:pPr>
    </w:lvl>
    <w:lvl w:ilvl="4" w:tplc="B9E87F9E">
      <w:start w:val="1"/>
      <w:numFmt w:val="decimal"/>
      <w:lvlText w:val="%5)"/>
      <w:lvlJc w:val="left"/>
      <w:pPr>
        <w:ind w:left="720" w:hanging="360"/>
      </w:pPr>
    </w:lvl>
    <w:lvl w:ilvl="5" w:tplc="38A46F64">
      <w:start w:val="1"/>
      <w:numFmt w:val="decimal"/>
      <w:lvlText w:val="%6)"/>
      <w:lvlJc w:val="left"/>
      <w:pPr>
        <w:ind w:left="720" w:hanging="360"/>
      </w:pPr>
    </w:lvl>
    <w:lvl w:ilvl="6" w:tplc="AFC0FCF6">
      <w:start w:val="1"/>
      <w:numFmt w:val="decimal"/>
      <w:lvlText w:val="%7)"/>
      <w:lvlJc w:val="left"/>
      <w:pPr>
        <w:ind w:left="720" w:hanging="360"/>
      </w:pPr>
    </w:lvl>
    <w:lvl w:ilvl="7" w:tplc="02C21206">
      <w:start w:val="1"/>
      <w:numFmt w:val="decimal"/>
      <w:lvlText w:val="%8)"/>
      <w:lvlJc w:val="left"/>
      <w:pPr>
        <w:ind w:left="720" w:hanging="360"/>
      </w:pPr>
    </w:lvl>
    <w:lvl w:ilvl="8" w:tplc="B6E2A12C">
      <w:start w:val="1"/>
      <w:numFmt w:val="decimal"/>
      <w:lvlText w:val="%9)"/>
      <w:lvlJc w:val="left"/>
      <w:pPr>
        <w:ind w:left="720" w:hanging="360"/>
      </w:pPr>
    </w:lvl>
  </w:abstractNum>
  <w:abstractNum w:abstractNumId="5" w15:restartNumberingAfterBreak="0">
    <w:nsid w:val="36E64F71"/>
    <w:multiLevelType w:val="multilevel"/>
    <w:tmpl w:val="DCE24D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26CA4"/>
    <w:multiLevelType w:val="hybridMultilevel"/>
    <w:tmpl w:val="38104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C570600"/>
    <w:multiLevelType w:val="hybridMultilevel"/>
    <w:tmpl w:val="D898C6EA"/>
    <w:lvl w:ilvl="0" w:tplc="8B26B438">
      <w:start w:val="1"/>
      <w:numFmt w:val="decimal"/>
      <w:lvlText w:val="%1."/>
      <w:lvlJc w:val="left"/>
      <w:pPr>
        <w:ind w:left="1080" w:hanging="360"/>
      </w:pPr>
    </w:lvl>
    <w:lvl w:ilvl="1" w:tplc="4A2E29A6">
      <w:start w:val="1"/>
      <w:numFmt w:val="decimal"/>
      <w:lvlText w:val="%2."/>
      <w:lvlJc w:val="left"/>
      <w:pPr>
        <w:ind w:left="1080" w:hanging="360"/>
      </w:pPr>
    </w:lvl>
    <w:lvl w:ilvl="2" w:tplc="4C62DC26">
      <w:start w:val="1"/>
      <w:numFmt w:val="decimal"/>
      <w:lvlText w:val="%3."/>
      <w:lvlJc w:val="left"/>
      <w:pPr>
        <w:ind w:left="1080" w:hanging="360"/>
      </w:pPr>
    </w:lvl>
    <w:lvl w:ilvl="3" w:tplc="5178CA12">
      <w:start w:val="1"/>
      <w:numFmt w:val="decimal"/>
      <w:lvlText w:val="%4."/>
      <w:lvlJc w:val="left"/>
      <w:pPr>
        <w:ind w:left="1080" w:hanging="360"/>
      </w:pPr>
    </w:lvl>
    <w:lvl w:ilvl="4" w:tplc="A5FAF0F0">
      <w:start w:val="1"/>
      <w:numFmt w:val="decimal"/>
      <w:lvlText w:val="%5."/>
      <w:lvlJc w:val="left"/>
      <w:pPr>
        <w:ind w:left="1080" w:hanging="360"/>
      </w:pPr>
    </w:lvl>
    <w:lvl w:ilvl="5" w:tplc="AAB213A4">
      <w:start w:val="1"/>
      <w:numFmt w:val="decimal"/>
      <w:lvlText w:val="%6."/>
      <w:lvlJc w:val="left"/>
      <w:pPr>
        <w:ind w:left="1080" w:hanging="360"/>
      </w:pPr>
    </w:lvl>
    <w:lvl w:ilvl="6" w:tplc="DD5E1DF4">
      <w:start w:val="1"/>
      <w:numFmt w:val="decimal"/>
      <w:lvlText w:val="%7."/>
      <w:lvlJc w:val="left"/>
      <w:pPr>
        <w:ind w:left="1080" w:hanging="360"/>
      </w:pPr>
    </w:lvl>
    <w:lvl w:ilvl="7" w:tplc="9A1C91D2">
      <w:start w:val="1"/>
      <w:numFmt w:val="decimal"/>
      <w:lvlText w:val="%8."/>
      <w:lvlJc w:val="left"/>
      <w:pPr>
        <w:ind w:left="1080" w:hanging="360"/>
      </w:pPr>
    </w:lvl>
    <w:lvl w:ilvl="8" w:tplc="C4044180">
      <w:start w:val="1"/>
      <w:numFmt w:val="decimal"/>
      <w:lvlText w:val="%9."/>
      <w:lvlJc w:val="left"/>
      <w:pPr>
        <w:ind w:left="1080" w:hanging="360"/>
      </w:pPr>
    </w:lvl>
  </w:abstractNum>
  <w:abstractNum w:abstractNumId="8" w15:restartNumberingAfterBreak="0">
    <w:nsid w:val="42992A4C"/>
    <w:multiLevelType w:val="hybridMultilevel"/>
    <w:tmpl w:val="E2A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F05C0A"/>
    <w:multiLevelType w:val="multilevel"/>
    <w:tmpl w:val="6342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1A384D"/>
    <w:multiLevelType w:val="hybridMultilevel"/>
    <w:tmpl w:val="24E607CE"/>
    <w:lvl w:ilvl="0" w:tplc="AF5033DE">
      <w:start w:val="1"/>
      <w:numFmt w:val="decimal"/>
      <w:lvlText w:val="%1)"/>
      <w:lvlJc w:val="left"/>
      <w:pPr>
        <w:ind w:left="720" w:hanging="360"/>
      </w:pPr>
    </w:lvl>
    <w:lvl w:ilvl="1" w:tplc="1F6233D4">
      <w:start w:val="1"/>
      <w:numFmt w:val="decimal"/>
      <w:lvlText w:val="%2)"/>
      <w:lvlJc w:val="left"/>
      <w:pPr>
        <w:ind w:left="720" w:hanging="360"/>
      </w:pPr>
    </w:lvl>
    <w:lvl w:ilvl="2" w:tplc="A1BE9C0E">
      <w:start w:val="1"/>
      <w:numFmt w:val="decimal"/>
      <w:lvlText w:val="%3)"/>
      <w:lvlJc w:val="left"/>
      <w:pPr>
        <w:ind w:left="720" w:hanging="360"/>
      </w:pPr>
    </w:lvl>
    <w:lvl w:ilvl="3" w:tplc="35F0C13C">
      <w:start w:val="1"/>
      <w:numFmt w:val="decimal"/>
      <w:lvlText w:val="%4)"/>
      <w:lvlJc w:val="left"/>
      <w:pPr>
        <w:ind w:left="720" w:hanging="360"/>
      </w:pPr>
    </w:lvl>
    <w:lvl w:ilvl="4" w:tplc="C4E62D4E">
      <w:start w:val="1"/>
      <w:numFmt w:val="decimal"/>
      <w:lvlText w:val="%5)"/>
      <w:lvlJc w:val="left"/>
      <w:pPr>
        <w:ind w:left="720" w:hanging="360"/>
      </w:pPr>
    </w:lvl>
    <w:lvl w:ilvl="5" w:tplc="58F4000A">
      <w:start w:val="1"/>
      <w:numFmt w:val="decimal"/>
      <w:lvlText w:val="%6)"/>
      <w:lvlJc w:val="left"/>
      <w:pPr>
        <w:ind w:left="720" w:hanging="360"/>
      </w:pPr>
    </w:lvl>
    <w:lvl w:ilvl="6" w:tplc="F294D422">
      <w:start w:val="1"/>
      <w:numFmt w:val="decimal"/>
      <w:lvlText w:val="%7)"/>
      <w:lvlJc w:val="left"/>
      <w:pPr>
        <w:ind w:left="720" w:hanging="360"/>
      </w:pPr>
    </w:lvl>
    <w:lvl w:ilvl="7" w:tplc="A24E1042">
      <w:start w:val="1"/>
      <w:numFmt w:val="decimal"/>
      <w:lvlText w:val="%8)"/>
      <w:lvlJc w:val="left"/>
      <w:pPr>
        <w:ind w:left="720" w:hanging="360"/>
      </w:pPr>
    </w:lvl>
    <w:lvl w:ilvl="8" w:tplc="0A3AD774">
      <w:start w:val="1"/>
      <w:numFmt w:val="decimal"/>
      <w:lvlText w:val="%9)"/>
      <w:lvlJc w:val="left"/>
      <w:pPr>
        <w:ind w:left="720" w:hanging="360"/>
      </w:pPr>
    </w:lvl>
  </w:abstractNum>
  <w:abstractNum w:abstractNumId="11" w15:restartNumberingAfterBreak="0">
    <w:nsid w:val="6AED64BF"/>
    <w:multiLevelType w:val="hybridMultilevel"/>
    <w:tmpl w:val="8EB2B85C"/>
    <w:lvl w:ilvl="0" w:tplc="303E21BC">
      <w:start w:val="1"/>
      <w:numFmt w:val="decimal"/>
      <w:lvlText w:val="%1)"/>
      <w:lvlJc w:val="left"/>
      <w:pPr>
        <w:ind w:left="1440" w:hanging="360"/>
      </w:pPr>
    </w:lvl>
    <w:lvl w:ilvl="1" w:tplc="A1024548">
      <w:start w:val="1"/>
      <w:numFmt w:val="decimal"/>
      <w:lvlText w:val="%2)"/>
      <w:lvlJc w:val="left"/>
      <w:pPr>
        <w:ind w:left="1440" w:hanging="360"/>
      </w:pPr>
    </w:lvl>
    <w:lvl w:ilvl="2" w:tplc="427E3AAE">
      <w:start w:val="1"/>
      <w:numFmt w:val="decimal"/>
      <w:lvlText w:val="%3)"/>
      <w:lvlJc w:val="left"/>
      <w:pPr>
        <w:ind w:left="1440" w:hanging="360"/>
      </w:pPr>
    </w:lvl>
    <w:lvl w:ilvl="3" w:tplc="92BA8898">
      <w:start w:val="1"/>
      <w:numFmt w:val="decimal"/>
      <w:lvlText w:val="%4)"/>
      <w:lvlJc w:val="left"/>
      <w:pPr>
        <w:ind w:left="1440" w:hanging="360"/>
      </w:pPr>
    </w:lvl>
    <w:lvl w:ilvl="4" w:tplc="A038F77C">
      <w:start w:val="1"/>
      <w:numFmt w:val="decimal"/>
      <w:lvlText w:val="%5)"/>
      <w:lvlJc w:val="left"/>
      <w:pPr>
        <w:ind w:left="1440" w:hanging="360"/>
      </w:pPr>
    </w:lvl>
    <w:lvl w:ilvl="5" w:tplc="096850D6">
      <w:start w:val="1"/>
      <w:numFmt w:val="decimal"/>
      <w:lvlText w:val="%6)"/>
      <w:lvlJc w:val="left"/>
      <w:pPr>
        <w:ind w:left="1440" w:hanging="360"/>
      </w:pPr>
    </w:lvl>
    <w:lvl w:ilvl="6" w:tplc="B5FAE0CE">
      <w:start w:val="1"/>
      <w:numFmt w:val="decimal"/>
      <w:lvlText w:val="%7)"/>
      <w:lvlJc w:val="left"/>
      <w:pPr>
        <w:ind w:left="1440" w:hanging="360"/>
      </w:pPr>
    </w:lvl>
    <w:lvl w:ilvl="7" w:tplc="CC128292">
      <w:start w:val="1"/>
      <w:numFmt w:val="decimal"/>
      <w:lvlText w:val="%8)"/>
      <w:lvlJc w:val="left"/>
      <w:pPr>
        <w:ind w:left="1440" w:hanging="360"/>
      </w:pPr>
    </w:lvl>
    <w:lvl w:ilvl="8" w:tplc="A7C4812C">
      <w:start w:val="1"/>
      <w:numFmt w:val="decimal"/>
      <w:lvlText w:val="%9)"/>
      <w:lvlJc w:val="left"/>
      <w:pPr>
        <w:ind w:left="1440" w:hanging="360"/>
      </w:pPr>
    </w:lvl>
  </w:abstractNum>
  <w:abstractNum w:abstractNumId="12" w15:restartNumberingAfterBreak="0">
    <w:nsid w:val="794064D5"/>
    <w:multiLevelType w:val="hybridMultilevel"/>
    <w:tmpl w:val="0CFA2F7C"/>
    <w:lvl w:ilvl="0" w:tplc="04101948">
      <w:start w:val="1"/>
      <w:numFmt w:val="decimal"/>
      <w:lvlText w:val="%1)"/>
      <w:lvlJc w:val="left"/>
      <w:pPr>
        <w:ind w:left="720" w:hanging="360"/>
      </w:pPr>
    </w:lvl>
    <w:lvl w:ilvl="1" w:tplc="2086125E">
      <w:start w:val="1"/>
      <w:numFmt w:val="decimal"/>
      <w:lvlText w:val="%2)"/>
      <w:lvlJc w:val="left"/>
      <w:pPr>
        <w:ind w:left="720" w:hanging="360"/>
      </w:pPr>
    </w:lvl>
    <w:lvl w:ilvl="2" w:tplc="0A2EE0A2">
      <w:start w:val="1"/>
      <w:numFmt w:val="decimal"/>
      <w:lvlText w:val="%3)"/>
      <w:lvlJc w:val="left"/>
      <w:pPr>
        <w:ind w:left="720" w:hanging="360"/>
      </w:pPr>
    </w:lvl>
    <w:lvl w:ilvl="3" w:tplc="5DBA28B4">
      <w:start w:val="1"/>
      <w:numFmt w:val="decimal"/>
      <w:lvlText w:val="%4)"/>
      <w:lvlJc w:val="left"/>
      <w:pPr>
        <w:ind w:left="720" w:hanging="360"/>
      </w:pPr>
    </w:lvl>
    <w:lvl w:ilvl="4" w:tplc="C5445956">
      <w:start w:val="1"/>
      <w:numFmt w:val="decimal"/>
      <w:lvlText w:val="%5)"/>
      <w:lvlJc w:val="left"/>
      <w:pPr>
        <w:ind w:left="720" w:hanging="360"/>
      </w:pPr>
    </w:lvl>
    <w:lvl w:ilvl="5" w:tplc="9D72C5E0">
      <w:start w:val="1"/>
      <w:numFmt w:val="decimal"/>
      <w:lvlText w:val="%6)"/>
      <w:lvlJc w:val="left"/>
      <w:pPr>
        <w:ind w:left="720" w:hanging="360"/>
      </w:pPr>
    </w:lvl>
    <w:lvl w:ilvl="6" w:tplc="9E70A5C2">
      <w:start w:val="1"/>
      <w:numFmt w:val="decimal"/>
      <w:lvlText w:val="%7)"/>
      <w:lvlJc w:val="left"/>
      <w:pPr>
        <w:ind w:left="720" w:hanging="360"/>
      </w:pPr>
    </w:lvl>
    <w:lvl w:ilvl="7" w:tplc="ABBE3AE0">
      <w:start w:val="1"/>
      <w:numFmt w:val="decimal"/>
      <w:lvlText w:val="%8)"/>
      <w:lvlJc w:val="left"/>
      <w:pPr>
        <w:ind w:left="720" w:hanging="360"/>
      </w:pPr>
    </w:lvl>
    <w:lvl w:ilvl="8" w:tplc="055A9896">
      <w:start w:val="1"/>
      <w:numFmt w:val="decimal"/>
      <w:lvlText w:val="%9)"/>
      <w:lvlJc w:val="left"/>
      <w:pPr>
        <w:ind w:left="720" w:hanging="360"/>
      </w:pPr>
    </w:lvl>
  </w:abstractNum>
  <w:abstractNum w:abstractNumId="13" w15:restartNumberingAfterBreak="0">
    <w:nsid w:val="7BE00909"/>
    <w:multiLevelType w:val="hybridMultilevel"/>
    <w:tmpl w:val="8F8ED986"/>
    <w:lvl w:ilvl="0" w:tplc="87066370">
      <w:start w:val="1"/>
      <w:numFmt w:val="decimal"/>
      <w:lvlText w:val="%1)"/>
      <w:lvlJc w:val="left"/>
      <w:pPr>
        <w:ind w:left="720" w:hanging="360"/>
      </w:pPr>
    </w:lvl>
    <w:lvl w:ilvl="1" w:tplc="411A05A0">
      <w:start w:val="1"/>
      <w:numFmt w:val="decimal"/>
      <w:lvlText w:val="%2)"/>
      <w:lvlJc w:val="left"/>
      <w:pPr>
        <w:ind w:left="720" w:hanging="360"/>
      </w:pPr>
    </w:lvl>
    <w:lvl w:ilvl="2" w:tplc="0D6E9E58">
      <w:start w:val="1"/>
      <w:numFmt w:val="decimal"/>
      <w:lvlText w:val="%3)"/>
      <w:lvlJc w:val="left"/>
      <w:pPr>
        <w:ind w:left="720" w:hanging="360"/>
      </w:pPr>
    </w:lvl>
    <w:lvl w:ilvl="3" w:tplc="1EE452EC">
      <w:start w:val="1"/>
      <w:numFmt w:val="decimal"/>
      <w:lvlText w:val="%4)"/>
      <w:lvlJc w:val="left"/>
      <w:pPr>
        <w:ind w:left="720" w:hanging="360"/>
      </w:pPr>
    </w:lvl>
    <w:lvl w:ilvl="4" w:tplc="94169B9A">
      <w:start w:val="1"/>
      <w:numFmt w:val="decimal"/>
      <w:lvlText w:val="%5)"/>
      <w:lvlJc w:val="left"/>
      <w:pPr>
        <w:ind w:left="720" w:hanging="360"/>
      </w:pPr>
    </w:lvl>
    <w:lvl w:ilvl="5" w:tplc="C934704C">
      <w:start w:val="1"/>
      <w:numFmt w:val="decimal"/>
      <w:lvlText w:val="%6)"/>
      <w:lvlJc w:val="left"/>
      <w:pPr>
        <w:ind w:left="720" w:hanging="360"/>
      </w:pPr>
    </w:lvl>
    <w:lvl w:ilvl="6" w:tplc="A4B688D8">
      <w:start w:val="1"/>
      <w:numFmt w:val="decimal"/>
      <w:lvlText w:val="%7)"/>
      <w:lvlJc w:val="left"/>
      <w:pPr>
        <w:ind w:left="720" w:hanging="360"/>
      </w:pPr>
    </w:lvl>
    <w:lvl w:ilvl="7" w:tplc="5CEAD5D8">
      <w:start w:val="1"/>
      <w:numFmt w:val="decimal"/>
      <w:lvlText w:val="%8)"/>
      <w:lvlJc w:val="left"/>
      <w:pPr>
        <w:ind w:left="720" w:hanging="360"/>
      </w:pPr>
    </w:lvl>
    <w:lvl w:ilvl="8" w:tplc="5DB08EA2">
      <w:start w:val="1"/>
      <w:numFmt w:val="decimal"/>
      <w:lvlText w:val="%9)"/>
      <w:lvlJc w:val="left"/>
      <w:pPr>
        <w:ind w:left="720" w:hanging="360"/>
      </w:pPr>
    </w:lvl>
  </w:abstractNum>
  <w:num w:numId="1" w16cid:durableId="1017775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343830">
    <w:abstractNumId w:val="1"/>
  </w:num>
  <w:num w:numId="3" w16cid:durableId="2932893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6071066">
    <w:abstractNumId w:val="6"/>
  </w:num>
  <w:num w:numId="5" w16cid:durableId="2111579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9639701">
    <w:abstractNumId w:val="2"/>
  </w:num>
  <w:num w:numId="7" w16cid:durableId="1933708736">
    <w:abstractNumId w:val="9"/>
  </w:num>
  <w:num w:numId="8" w16cid:durableId="917789331">
    <w:abstractNumId w:val="5"/>
  </w:num>
  <w:num w:numId="9" w16cid:durableId="709648322">
    <w:abstractNumId w:val="3"/>
  </w:num>
  <w:num w:numId="10" w16cid:durableId="498934235">
    <w:abstractNumId w:val="12"/>
  </w:num>
  <w:num w:numId="11" w16cid:durableId="216013077">
    <w:abstractNumId w:val="11"/>
  </w:num>
  <w:num w:numId="12" w16cid:durableId="1093938389">
    <w:abstractNumId w:val="13"/>
  </w:num>
  <w:num w:numId="13" w16cid:durableId="779228948">
    <w:abstractNumId w:val="7"/>
  </w:num>
  <w:num w:numId="14" w16cid:durableId="1624966393">
    <w:abstractNumId w:val="4"/>
  </w:num>
  <w:num w:numId="15" w16cid:durableId="84037212">
    <w:abstractNumId w:val="10"/>
  </w:num>
  <w:num w:numId="16" w16cid:durableId="1987010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C4"/>
    <w:rsid w:val="00003BF9"/>
    <w:rsid w:val="00031ACA"/>
    <w:rsid w:val="000578A7"/>
    <w:rsid w:val="00083C83"/>
    <w:rsid w:val="00085CBD"/>
    <w:rsid w:val="00090D05"/>
    <w:rsid w:val="000A2F6D"/>
    <w:rsid w:val="00140918"/>
    <w:rsid w:val="00141B2C"/>
    <w:rsid w:val="001A196E"/>
    <w:rsid w:val="00204963"/>
    <w:rsid w:val="00230BC4"/>
    <w:rsid w:val="002579E5"/>
    <w:rsid w:val="002A708E"/>
    <w:rsid w:val="002C1684"/>
    <w:rsid w:val="002C3F74"/>
    <w:rsid w:val="002E0CD8"/>
    <w:rsid w:val="00364DB0"/>
    <w:rsid w:val="00377B73"/>
    <w:rsid w:val="003C54B2"/>
    <w:rsid w:val="00437210"/>
    <w:rsid w:val="0044363A"/>
    <w:rsid w:val="00450170"/>
    <w:rsid w:val="004A265A"/>
    <w:rsid w:val="004E52C2"/>
    <w:rsid w:val="004E5DC4"/>
    <w:rsid w:val="004F1EB4"/>
    <w:rsid w:val="004F2836"/>
    <w:rsid w:val="00551409"/>
    <w:rsid w:val="0056040E"/>
    <w:rsid w:val="00587C82"/>
    <w:rsid w:val="00610127"/>
    <w:rsid w:val="0070402F"/>
    <w:rsid w:val="00711D70"/>
    <w:rsid w:val="007465A6"/>
    <w:rsid w:val="00753FA3"/>
    <w:rsid w:val="00832851"/>
    <w:rsid w:val="0084144C"/>
    <w:rsid w:val="008532CF"/>
    <w:rsid w:val="00882721"/>
    <w:rsid w:val="00896D39"/>
    <w:rsid w:val="008B0659"/>
    <w:rsid w:val="008B4A78"/>
    <w:rsid w:val="008D4BF1"/>
    <w:rsid w:val="008E71D6"/>
    <w:rsid w:val="008F6FD2"/>
    <w:rsid w:val="00936226"/>
    <w:rsid w:val="00936C54"/>
    <w:rsid w:val="00A41F2F"/>
    <w:rsid w:val="00A47DB9"/>
    <w:rsid w:val="00A52E18"/>
    <w:rsid w:val="00A559C7"/>
    <w:rsid w:val="00A86FD1"/>
    <w:rsid w:val="00AA7226"/>
    <w:rsid w:val="00AB79FD"/>
    <w:rsid w:val="00AC2005"/>
    <w:rsid w:val="00AD70D4"/>
    <w:rsid w:val="00B5204D"/>
    <w:rsid w:val="00B5477B"/>
    <w:rsid w:val="00B86618"/>
    <w:rsid w:val="00B959FA"/>
    <w:rsid w:val="00BA7576"/>
    <w:rsid w:val="00BE4DBF"/>
    <w:rsid w:val="00C54D99"/>
    <w:rsid w:val="00C679EE"/>
    <w:rsid w:val="00CF1D02"/>
    <w:rsid w:val="00D506E1"/>
    <w:rsid w:val="00D80BE3"/>
    <w:rsid w:val="00D85854"/>
    <w:rsid w:val="00D92B88"/>
    <w:rsid w:val="00DF7FF2"/>
    <w:rsid w:val="00E332A1"/>
    <w:rsid w:val="00E34EFD"/>
    <w:rsid w:val="00E37D99"/>
    <w:rsid w:val="00ED40A9"/>
    <w:rsid w:val="00ED619E"/>
    <w:rsid w:val="00F17103"/>
    <w:rsid w:val="00F25F33"/>
    <w:rsid w:val="00F4229D"/>
    <w:rsid w:val="00F535A1"/>
    <w:rsid w:val="00F62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505E1"/>
  <w15:chartTrackingRefBased/>
  <w15:docId w15:val="{2F2FACA5-7E08-48F8-9CD9-77F5D456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30BC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230BC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230BC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30BC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30BC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30B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B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B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B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BC4"/>
    <w:rPr>
      <w:rFonts w:asciiTheme="majorHAnsi" w:eastAsiaTheme="majorEastAsia" w:hAnsiTheme="majorHAnsi" w:cstheme="majorBidi"/>
      <w:color w:val="2E74B5" w:themeColor="accent1" w:themeShade="BF"/>
      <w:sz w:val="40"/>
      <w:szCs w:val="40"/>
      <w:lang w:val="en-GB"/>
    </w:rPr>
  </w:style>
  <w:style w:type="character" w:customStyle="1" w:styleId="Heading2Char">
    <w:name w:val="Heading 2 Char"/>
    <w:basedOn w:val="DefaultParagraphFont"/>
    <w:link w:val="Heading2"/>
    <w:uiPriority w:val="9"/>
    <w:rsid w:val="00230BC4"/>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rsid w:val="00230BC4"/>
    <w:rPr>
      <w:rFonts w:eastAsiaTheme="majorEastAsia" w:cstheme="majorBidi"/>
      <w:color w:val="2E74B5" w:themeColor="accent1" w:themeShade="BF"/>
      <w:sz w:val="28"/>
      <w:szCs w:val="28"/>
      <w:lang w:val="en-GB"/>
    </w:rPr>
  </w:style>
  <w:style w:type="character" w:customStyle="1" w:styleId="Heading4Char">
    <w:name w:val="Heading 4 Char"/>
    <w:basedOn w:val="DefaultParagraphFont"/>
    <w:link w:val="Heading4"/>
    <w:uiPriority w:val="9"/>
    <w:semiHidden/>
    <w:rsid w:val="00230BC4"/>
    <w:rPr>
      <w:rFonts w:eastAsiaTheme="majorEastAsia"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230BC4"/>
    <w:rPr>
      <w:rFonts w:eastAsiaTheme="majorEastAsia" w:cstheme="majorBidi"/>
      <w:color w:val="2E74B5" w:themeColor="accent1" w:themeShade="BF"/>
      <w:lang w:val="en-GB"/>
    </w:rPr>
  </w:style>
  <w:style w:type="character" w:customStyle="1" w:styleId="Heading6Char">
    <w:name w:val="Heading 6 Char"/>
    <w:basedOn w:val="DefaultParagraphFont"/>
    <w:link w:val="Heading6"/>
    <w:uiPriority w:val="9"/>
    <w:semiHidden/>
    <w:rsid w:val="00230BC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30BC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30BC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30BC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30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BC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30B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BC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30BC4"/>
    <w:pPr>
      <w:spacing w:before="160"/>
      <w:jc w:val="center"/>
    </w:pPr>
    <w:rPr>
      <w:i/>
      <w:iCs/>
      <w:color w:val="404040" w:themeColor="text1" w:themeTint="BF"/>
    </w:rPr>
  </w:style>
  <w:style w:type="character" w:customStyle="1" w:styleId="QuoteChar">
    <w:name w:val="Quote Char"/>
    <w:basedOn w:val="DefaultParagraphFont"/>
    <w:link w:val="Quote"/>
    <w:uiPriority w:val="29"/>
    <w:rsid w:val="00230BC4"/>
    <w:rPr>
      <w:i/>
      <w:iCs/>
      <w:color w:val="404040" w:themeColor="text1" w:themeTint="BF"/>
      <w:lang w:val="en-GB"/>
    </w:rPr>
  </w:style>
  <w:style w:type="paragraph" w:styleId="ListParagraph">
    <w:name w:val="List Paragraph"/>
    <w:basedOn w:val="Normal"/>
    <w:uiPriority w:val="34"/>
    <w:qFormat/>
    <w:rsid w:val="00230BC4"/>
    <w:pPr>
      <w:ind w:left="720"/>
      <w:contextualSpacing/>
    </w:pPr>
  </w:style>
  <w:style w:type="character" w:styleId="IntenseEmphasis">
    <w:name w:val="Intense Emphasis"/>
    <w:basedOn w:val="DefaultParagraphFont"/>
    <w:uiPriority w:val="21"/>
    <w:qFormat/>
    <w:rsid w:val="00230BC4"/>
    <w:rPr>
      <w:i/>
      <w:iCs/>
      <w:color w:val="2E74B5" w:themeColor="accent1" w:themeShade="BF"/>
    </w:rPr>
  </w:style>
  <w:style w:type="paragraph" w:styleId="IntenseQuote">
    <w:name w:val="Intense Quote"/>
    <w:basedOn w:val="Normal"/>
    <w:next w:val="Normal"/>
    <w:link w:val="IntenseQuoteChar"/>
    <w:uiPriority w:val="30"/>
    <w:qFormat/>
    <w:rsid w:val="00230BC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30BC4"/>
    <w:rPr>
      <w:i/>
      <w:iCs/>
      <w:color w:val="2E74B5" w:themeColor="accent1" w:themeShade="BF"/>
      <w:lang w:val="en-GB"/>
    </w:rPr>
  </w:style>
  <w:style w:type="character" w:styleId="IntenseReference">
    <w:name w:val="Intense Reference"/>
    <w:basedOn w:val="DefaultParagraphFont"/>
    <w:uiPriority w:val="32"/>
    <w:qFormat/>
    <w:rsid w:val="00230BC4"/>
    <w:rPr>
      <w:b/>
      <w:bCs/>
      <w:smallCaps/>
      <w:color w:val="2E74B5" w:themeColor="accent1" w:themeShade="BF"/>
      <w:spacing w:val="5"/>
    </w:rPr>
  </w:style>
  <w:style w:type="table" w:styleId="PlainTable2">
    <w:name w:val="Plain Table 2"/>
    <w:basedOn w:val="TableNormal"/>
    <w:uiPriority w:val="42"/>
    <w:rsid w:val="00141B2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141B2C"/>
    <w:rPr>
      <w:color w:val="0563C1" w:themeColor="hyperlink"/>
      <w:u w:val="single"/>
    </w:rPr>
  </w:style>
  <w:style w:type="character" w:styleId="FollowedHyperlink">
    <w:name w:val="FollowedHyperlink"/>
    <w:basedOn w:val="DefaultParagraphFont"/>
    <w:uiPriority w:val="99"/>
    <w:semiHidden/>
    <w:unhideWhenUsed/>
    <w:rsid w:val="00141B2C"/>
    <w:rPr>
      <w:color w:val="954F72" w:themeColor="followedHyperlink"/>
      <w:u w:val="single"/>
    </w:rPr>
  </w:style>
  <w:style w:type="paragraph" w:customStyle="1" w:styleId="msonormal0">
    <w:name w:val="msonormal"/>
    <w:basedOn w:val="Normal"/>
    <w:uiPriority w:val="99"/>
    <w:rsid w:val="00141B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141B2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autoRedefine/>
    <w:uiPriority w:val="39"/>
    <w:semiHidden/>
    <w:unhideWhenUsed/>
    <w:rsid w:val="00141B2C"/>
    <w:pPr>
      <w:tabs>
        <w:tab w:val="right" w:pos="9350"/>
      </w:tabs>
      <w:spacing w:after="100" w:line="360" w:lineRule="auto"/>
    </w:pPr>
    <w:rPr>
      <w:rFonts w:ascii="Times New Roman" w:eastAsiaTheme="minorEastAsia" w:hAnsi="Times New Roman" w:cs="Times New Roman"/>
      <w:noProof/>
      <w:color w:val="000000" w:themeColor="text1"/>
      <w:sz w:val="24"/>
      <w:lang w:val="en-US"/>
    </w:rPr>
  </w:style>
  <w:style w:type="paragraph" w:styleId="TOC2">
    <w:name w:val="toc 2"/>
    <w:basedOn w:val="Normal"/>
    <w:next w:val="Normal"/>
    <w:autoRedefine/>
    <w:uiPriority w:val="39"/>
    <w:semiHidden/>
    <w:unhideWhenUsed/>
    <w:rsid w:val="00141B2C"/>
    <w:pPr>
      <w:spacing w:after="100" w:line="254" w:lineRule="auto"/>
      <w:ind w:left="220"/>
    </w:pPr>
    <w:rPr>
      <w:rFonts w:eastAsiaTheme="minorEastAsia" w:cs="Times New Roman"/>
      <w:lang w:val="en-US"/>
    </w:rPr>
  </w:style>
  <w:style w:type="paragraph" w:styleId="TOC3">
    <w:name w:val="toc 3"/>
    <w:basedOn w:val="Normal"/>
    <w:next w:val="Normal"/>
    <w:autoRedefine/>
    <w:uiPriority w:val="39"/>
    <w:semiHidden/>
    <w:unhideWhenUsed/>
    <w:rsid w:val="00141B2C"/>
    <w:pPr>
      <w:spacing w:after="100" w:line="256" w:lineRule="auto"/>
      <w:ind w:left="440"/>
    </w:pPr>
    <w:rPr>
      <w:rFonts w:eastAsiaTheme="minorEastAsia" w:cs="Times New Roman"/>
      <w:lang w:val="en-US"/>
    </w:rPr>
  </w:style>
  <w:style w:type="paragraph" w:styleId="FootnoteText">
    <w:name w:val="footnote text"/>
    <w:basedOn w:val="Normal"/>
    <w:link w:val="FootnoteTextChar"/>
    <w:uiPriority w:val="99"/>
    <w:semiHidden/>
    <w:unhideWhenUsed/>
    <w:rsid w:val="00141B2C"/>
    <w:pPr>
      <w:spacing w:after="0" w:line="240" w:lineRule="auto"/>
      <w:ind w:left="720" w:right="720" w:hanging="720"/>
    </w:pPr>
    <w:rPr>
      <w:sz w:val="20"/>
      <w:szCs w:val="20"/>
      <w:lang w:val="en-US"/>
    </w:rPr>
  </w:style>
  <w:style w:type="character" w:customStyle="1" w:styleId="FootnoteTextChar">
    <w:name w:val="Footnote Text Char"/>
    <w:basedOn w:val="DefaultParagraphFont"/>
    <w:link w:val="FootnoteText"/>
    <w:uiPriority w:val="99"/>
    <w:semiHidden/>
    <w:rsid w:val="00141B2C"/>
    <w:rPr>
      <w:sz w:val="20"/>
      <w:szCs w:val="20"/>
    </w:rPr>
  </w:style>
  <w:style w:type="paragraph" w:styleId="CommentText">
    <w:name w:val="annotation text"/>
    <w:basedOn w:val="Normal"/>
    <w:link w:val="CommentTextChar"/>
    <w:uiPriority w:val="99"/>
    <w:unhideWhenUsed/>
    <w:rsid w:val="00141B2C"/>
    <w:pPr>
      <w:spacing w:line="240" w:lineRule="auto"/>
    </w:pPr>
    <w:rPr>
      <w:sz w:val="20"/>
      <w:szCs w:val="20"/>
      <w:lang w:val="en-US"/>
    </w:rPr>
  </w:style>
  <w:style w:type="character" w:customStyle="1" w:styleId="CommentTextChar">
    <w:name w:val="Comment Text Char"/>
    <w:basedOn w:val="DefaultParagraphFont"/>
    <w:link w:val="CommentText"/>
    <w:uiPriority w:val="99"/>
    <w:rsid w:val="00141B2C"/>
    <w:rPr>
      <w:sz w:val="20"/>
      <w:szCs w:val="20"/>
    </w:rPr>
  </w:style>
  <w:style w:type="paragraph" w:styleId="Header">
    <w:name w:val="header"/>
    <w:basedOn w:val="Normal"/>
    <w:link w:val="HeaderChar"/>
    <w:uiPriority w:val="99"/>
    <w:unhideWhenUsed/>
    <w:rsid w:val="00141B2C"/>
    <w:pPr>
      <w:tabs>
        <w:tab w:val="center" w:pos="4680"/>
        <w:tab w:val="right" w:pos="9360"/>
      </w:tabs>
      <w:spacing w:after="0" w:line="240" w:lineRule="auto"/>
      <w:ind w:left="720" w:right="720" w:hanging="720"/>
    </w:pPr>
    <w:rPr>
      <w:lang w:val="en-US"/>
    </w:rPr>
  </w:style>
  <w:style w:type="character" w:customStyle="1" w:styleId="HeaderChar">
    <w:name w:val="Header Char"/>
    <w:basedOn w:val="DefaultParagraphFont"/>
    <w:link w:val="Header"/>
    <w:uiPriority w:val="99"/>
    <w:rsid w:val="00141B2C"/>
  </w:style>
  <w:style w:type="paragraph" w:styleId="Footer">
    <w:name w:val="footer"/>
    <w:basedOn w:val="Normal"/>
    <w:link w:val="FooterChar"/>
    <w:uiPriority w:val="99"/>
    <w:unhideWhenUsed/>
    <w:rsid w:val="00141B2C"/>
    <w:pPr>
      <w:tabs>
        <w:tab w:val="center" w:pos="4680"/>
        <w:tab w:val="right" w:pos="9360"/>
      </w:tabs>
      <w:spacing w:after="0" w:line="240" w:lineRule="auto"/>
      <w:ind w:left="720" w:right="720" w:hanging="720"/>
    </w:pPr>
    <w:rPr>
      <w:lang w:val="en-US"/>
    </w:rPr>
  </w:style>
  <w:style w:type="character" w:customStyle="1" w:styleId="FooterChar">
    <w:name w:val="Footer Char"/>
    <w:basedOn w:val="DefaultParagraphFont"/>
    <w:link w:val="Footer"/>
    <w:uiPriority w:val="99"/>
    <w:rsid w:val="00141B2C"/>
  </w:style>
  <w:style w:type="paragraph" w:styleId="TableofFigures">
    <w:name w:val="table of figures"/>
    <w:basedOn w:val="Normal"/>
    <w:next w:val="Normal"/>
    <w:uiPriority w:val="99"/>
    <w:semiHidden/>
    <w:unhideWhenUsed/>
    <w:rsid w:val="00141B2C"/>
    <w:pPr>
      <w:spacing w:after="0" w:line="360" w:lineRule="auto"/>
      <w:ind w:right="720" w:hanging="720"/>
    </w:pPr>
    <w:rPr>
      <w:lang w:val="en-US"/>
    </w:rPr>
  </w:style>
  <w:style w:type="paragraph" w:styleId="CommentSubject">
    <w:name w:val="annotation subject"/>
    <w:basedOn w:val="CommentText"/>
    <w:next w:val="CommentText"/>
    <w:link w:val="CommentSubjectChar"/>
    <w:uiPriority w:val="99"/>
    <w:semiHidden/>
    <w:unhideWhenUsed/>
    <w:rsid w:val="00141B2C"/>
    <w:pPr>
      <w:ind w:left="720" w:right="720" w:hanging="720"/>
    </w:pPr>
    <w:rPr>
      <w:b/>
      <w:bCs/>
    </w:rPr>
  </w:style>
  <w:style w:type="character" w:customStyle="1" w:styleId="CommentSubjectChar">
    <w:name w:val="Comment Subject Char"/>
    <w:basedOn w:val="CommentTextChar"/>
    <w:link w:val="CommentSubject"/>
    <w:uiPriority w:val="99"/>
    <w:semiHidden/>
    <w:rsid w:val="00141B2C"/>
    <w:rPr>
      <w:b/>
      <w:bCs/>
      <w:sz w:val="20"/>
      <w:szCs w:val="20"/>
    </w:rPr>
  </w:style>
  <w:style w:type="paragraph" w:styleId="BalloonText">
    <w:name w:val="Balloon Text"/>
    <w:basedOn w:val="Normal"/>
    <w:link w:val="BalloonTextChar"/>
    <w:uiPriority w:val="99"/>
    <w:semiHidden/>
    <w:unhideWhenUsed/>
    <w:rsid w:val="00141B2C"/>
    <w:pPr>
      <w:spacing w:after="0" w:line="240" w:lineRule="auto"/>
      <w:ind w:left="720" w:right="720" w:hanging="720"/>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141B2C"/>
    <w:rPr>
      <w:rFonts w:ascii="Segoe UI" w:hAnsi="Segoe UI" w:cs="Segoe UI"/>
      <w:sz w:val="18"/>
      <w:szCs w:val="18"/>
    </w:rPr>
  </w:style>
  <w:style w:type="paragraph" w:styleId="Bibliography">
    <w:name w:val="Bibliography"/>
    <w:basedOn w:val="Normal"/>
    <w:next w:val="Normal"/>
    <w:uiPriority w:val="37"/>
    <w:semiHidden/>
    <w:unhideWhenUsed/>
    <w:rsid w:val="00141B2C"/>
    <w:pPr>
      <w:spacing w:line="360" w:lineRule="auto"/>
      <w:ind w:left="720" w:right="720" w:hanging="720"/>
    </w:pPr>
    <w:rPr>
      <w:lang w:val="en-US"/>
    </w:rPr>
  </w:style>
  <w:style w:type="paragraph" w:styleId="TOCHeading">
    <w:name w:val="TOC Heading"/>
    <w:basedOn w:val="Heading1"/>
    <w:next w:val="Normal"/>
    <w:uiPriority w:val="39"/>
    <w:semiHidden/>
    <w:unhideWhenUsed/>
    <w:qFormat/>
    <w:rsid w:val="00141B2C"/>
    <w:pPr>
      <w:spacing w:before="40" w:after="160" w:line="254" w:lineRule="auto"/>
      <w:outlineLvl w:val="9"/>
    </w:pPr>
    <w:rPr>
      <w:rFonts w:ascii="Times New Roman" w:hAnsi="Times New Roman" w:cs="Times New Roman"/>
      <w:b/>
      <w:color w:val="000000" w:themeColor="text1"/>
      <w:sz w:val="24"/>
      <w:szCs w:val="24"/>
      <w:lang w:val="en-US"/>
    </w:rPr>
  </w:style>
  <w:style w:type="paragraph" w:customStyle="1" w:styleId="TableParagraph">
    <w:name w:val="Table Paragraph"/>
    <w:basedOn w:val="Normal"/>
    <w:uiPriority w:val="1"/>
    <w:qFormat/>
    <w:rsid w:val="00141B2C"/>
    <w:pPr>
      <w:widowControl w:val="0"/>
      <w:autoSpaceDE w:val="0"/>
      <w:autoSpaceDN w:val="0"/>
      <w:spacing w:before="73" w:after="0" w:line="240" w:lineRule="auto"/>
      <w:ind w:left="51"/>
    </w:pPr>
    <w:rPr>
      <w:rFonts w:ascii="Arial" w:eastAsia="Arial" w:hAnsi="Arial" w:cs="Arial"/>
      <w:lang w:val="en-US"/>
    </w:rPr>
  </w:style>
  <w:style w:type="paragraph" w:customStyle="1" w:styleId="DecimalAligned">
    <w:name w:val="Decimal Aligned"/>
    <w:basedOn w:val="Normal"/>
    <w:uiPriority w:val="40"/>
    <w:qFormat/>
    <w:rsid w:val="00141B2C"/>
    <w:pPr>
      <w:tabs>
        <w:tab w:val="decimal" w:pos="360"/>
      </w:tabs>
      <w:spacing w:after="200" w:line="276" w:lineRule="auto"/>
    </w:pPr>
    <w:rPr>
      <w:rFonts w:eastAsiaTheme="minorEastAsia" w:cs="Times New Roman"/>
      <w:lang w:val="en-US"/>
    </w:rPr>
  </w:style>
  <w:style w:type="character" w:styleId="FootnoteReference">
    <w:name w:val="footnote reference"/>
    <w:basedOn w:val="DefaultParagraphFont"/>
    <w:uiPriority w:val="99"/>
    <w:semiHidden/>
    <w:unhideWhenUsed/>
    <w:rsid w:val="00141B2C"/>
    <w:rPr>
      <w:vertAlign w:val="superscript"/>
    </w:rPr>
  </w:style>
  <w:style w:type="character" w:styleId="CommentReference">
    <w:name w:val="annotation reference"/>
    <w:basedOn w:val="DefaultParagraphFont"/>
    <w:uiPriority w:val="99"/>
    <w:semiHidden/>
    <w:unhideWhenUsed/>
    <w:rsid w:val="00141B2C"/>
    <w:rPr>
      <w:sz w:val="16"/>
      <w:szCs w:val="16"/>
    </w:rPr>
  </w:style>
  <w:style w:type="character" w:styleId="PlaceholderText">
    <w:name w:val="Placeholder Text"/>
    <w:basedOn w:val="DefaultParagraphFont"/>
    <w:uiPriority w:val="99"/>
    <w:semiHidden/>
    <w:rsid w:val="00141B2C"/>
    <w:rPr>
      <w:color w:val="808080"/>
    </w:rPr>
  </w:style>
  <w:style w:type="character" w:styleId="SubtleEmphasis">
    <w:name w:val="Subtle Emphasis"/>
    <w:basedOn w:val="DefaultParagraphFont"/>
    <w:uiPriority w:val="19"/>
    <w:qFormat/>
    <w:rsid w:val="00141B2C"/>
    <w:rPr>
      <w:i/>
      <w:iCs/>
    </w:rPr>
  </w:style>
  <w:style w:type="table" w:styleId="TableGrid">
    <w:name w:val="Table Grid"/>
    <w:basedOn w:val="TableNormal"/>
    <w:uiPriority w:val="39"/>
    <w:rsid w:val="00141B2C"/>
    <w:pPr>
      <w:spacing w:after="0" w:line="240" w:lineRule="auto"/>
      <w:ind w:left="720" w:right="720" w:hanging="72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141B2C"/>
    <w:pPr>
      <w:spacing w:after="0" w:line="240" w:lineRule="auto"/>
    </w:pPr>
    <w:rPr>
      <w:rFonts w:eastAsiaTheme="minorEastAsia"/>
      <w:color w:val="2E74B5" w:themeColor="accent1" w:themeShade="BF"/>
    </w:rPr>
    <w:tblPr>
      <w:tblStyleRowBandSize w:val="1"/>
      <w:tblStyleColBandSize w:val="1"/>
      <w:tblInd w:w="0" w:type="nil"/>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PlainTable3">
    <w:name w:val="Plain Table 3"/>
    <w:basedOn w:val="TableNormal"/>
    <w:uiPriority w:val="43"/>
    <w:rsid w:val="00141B2C"/>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141B2C"/>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
    <w:name w:val="List Table 7 Colorful"/>
    <w:basedOn w:val="TableNormal"/>
    <w:uiPriority w:val="52"/>
    <w:rsid w:val="00141B2C"/>
    <w:pPr>
      <w:spacing w:after="0" w:line="240" w:lineRule="auto"/>
      <w:ind w:left="720" w:right="720" w:hanging="720"/>
    </w:pPr>
    <w:rPr>
      <w:color w:val="000000" w:themeColor="text1"/>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uiPriority w:val="39"/>
    <w:rsid w:val="00141B2C"/>
    <w:pPr>
      <w:spacing w:after="0" w:line="240" w:lineRule="auto"/>
      <w:ind w:left="720" w:right="720" w:hanging="720"/>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41B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5">
    <w:name w:val="Table Grid25"/>
    <w:basedOn w:val="TableNormal"/>
    <w:uiPriority w:val="59"/>
    <w:rsid w:val="00141B2C"/>
    <w:pPr>
      <w:spacing w:after="0" w:line="240" w:lineRule="auto"/>
    </w:pPr>
    <w:rPr>
      <w:rFonts w:ascii="Calibri" w:eastAsia="Calibri" w:hAnsi="Calibri" w:cs="SimSu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8D4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1703">
      <w:bodyDiv w:val="1"/>
      <w:marLeft w:val="0"/>
      <w:marRight w:val="0"/>
      <w:marTop w:val="0"/>
      <w:marBottom w:val="0"/>
      <w:divBdr>
        <w:top w:val="none" w:sz="0" w:space="0" w:color="auto"/>
        <w:left w:val="none" w:sz="0" w:space="0" w:color="auto"/>
        <w:bottom w:val="none" w:sz="0" w:space="0" w:color="auto"/>
        <w:right w:val="none" w:sz="0" w:space="0" w:color="auto"/>
      </w:divBdr>
    </w:div>
    <w:div w:id="82189161">
      <w:bodyDiv w:val="1"/>
      <w:marLeft w:val="0"/>
      <w:marRight w:val="0"/>
      <w:marTop w:val="0"/>
      <w:marBottom w:val="0"/>
      <w:divBdr>
        <w:top w:val="none" w:sz="0" w:space="0" w:color="auto"/>
        <w:left w:val="none" w:sz="0" w:space="0" w:color="auto"/>
        <w:bottom w:val="none" w:sz="0" w:space="0" w:color="auto"/>
        <w:right w:val="none" w:sz="0" w:space="0" w:color="auto"/>
      </w:divBdr>
    </w:div>
    <w:div w:id="193227282">
      <w:bodyDiv w:val="1"/>
      <w:marLeft w:val="0"/>
      <w:marRight w:val="0"/>
      <w:marTop w:val="0"/>
      <w:marBottom w:val="0"/>
      <w:divBdr>
        <w:top w:val="none" w:sz="0" w:space="0" w:color="auto"/>
        <w:left w:val="none" w:sz="0" w:space="0" w:color="auto"/>
        <w:bottom w:val="none" w:sz="0" w:space="0" w:color="auto"/>
        <w:right w:val="none" w:sz="0" w:space="0" w:color="auto"/>
      </w:divBdr>
    </w:div>
    <w:div w:id="269170051">
      <w:bodyDiv w:val="1"/>
      <w:marLeft w:val="0"/>
      <w:marRight w:val="0"/>
      <w:marTop w:val="0"/>
      <w:marBottom w:val="0"/>
      <w:divBdr>
        <w:top w:val="none" w:sz="0" w:space="0" w:color="auto"/>
        <w:left w:val="none" w:sz="0" w:space="0" w:color="auto"/>
        <w:bottom w:val="none" w:sz="0" w:space="0" w:color="auto"/>
        <w:right w:val="none" w:sz="0" w:space="0" w:color="auto"/>
      </w:divBdr>
    </w:div>
    <w:div w:id="278227513">
      <w:bodyDiv w:val="1"/>
      <w:marLeft w:val="0"/>
      <w:marRight w:val="0"/>
      <w:marTop w:val="0"/>
      <w:marBottom w:val="0"/>
      <w:divBdr>
        <w:top w:val="none" w:sz="0" w:space="0" w:color="auto"/>
        <w:left w:val="none" w:sz="0" w:space="0" w:color="auto"/>
        <w:bottom w:val="none" w:sz="0" w:space="0" w:color="auto"/>
        <w:right w:val="none" w:sz="0" w:space="0" w:color="auto"/>
      </w:divBdr>
    </w:div>
    <w:div w:id="289897011">
      <w:bodyDiv w:val="1"/>
      <w:marLeft w:val="0"/>
      <w:marRight w:val="0"/>
      <w:marTop w:val="0"/>
      <w:marBottom w:val="0"/>
      <w:divBdr>
        <w:top w:val="none" w:sz="0" w:space="0" w:color="auto"/>
        <w:left w:val="none" w:sz="0" w:space="0" w:color="auto"/>
        <w:bottom w:val="none" w:sz="0" w:space="0" w:color="auto"/>
        <w:right w:val="none" w:sz="0" w:space="0" w:color="auto"/>
      </w:divBdr>
      <w:divsChild>
        <w:div w:id="167213228">
          <w:marLeft w:val="0"/>
          <w:marRight w:val="0"/>
          <w:marTop w:val="0"/>
          <w:marBottom w:val="0"/>
          <w:divBdr>
            <w:top w:val="none" w:sz="0" w:space="0" w:color="auto"/>
            <w:left w:val="none" w:sz="0" w:space="0" w:color="auto"/>
            <w:bottom w:val="none" w:sz="0" w:space="0" w:color="auto"/>
            <w:right w:val="none" w:sz="0" w:space="0" w:color="auto"/>
          </w:divBdr>
          <w:divsChild>
            <w:div w:id="1858301973">
              <w:marLeft w:val="0"/>
              <w:marRight w:val="0"/>
              <w:marTop w:val="0"/>
              <w:marBottom w:val="0"/>
              <w:divBdr>
                <w:top w:val="none" w:sz="0" w:space="0" w:color="auto"/>
                <w:left w:val="none" w:sz="0" w:space="0" w:color="auto"/>
                <w:bottom w:val="none" w:sz="0" w:space="0" w:color="auto"/>
                <w:right w:val="none" w:sz="0" w:space="0" w:color="auto"/>
              </w:divBdr>
              <w:divsChild>
                <w:div w:id="446243969">
                  <w:marLeft w:val="0"/>
                  <w:marRight w:val="0"/>
                  <w:marTop w:val="0"/>
                  <w:marBottom w:val="0"/>
                  <w:divBdr>
                    <w:top w:val="none" w:sz="0" w:space="0" w:color="auto"/>
                    <w:left w:val="none" w:sz="0" w:space="0" w:color="auto"/>
                    <w:bottom w:val="none" w:sz="0" w:space="0" w:color="auto"/>
                    <w:right w:val="none" w:sz="0" w:space="0" w:color="auto"/>
                  </w:divBdr>
                  <w:divsChild>
                    <w:div w:id="2023702470">
                      <w:marLeft w:val="0"/>
                      <w:marRight w:val="0"/>
                      <w:marTop w:val="0"/>
                      <w:marBottom w:val="0"/>
                      <w:divBdr>
                        <w:top w:val="none" w:sz="0" w:space="0" w:color="auto"/>
                        <w:left w:val="none" w:sz="0" w:space="0" w:color="auto"/>
                        <w:bottom w:val="none" w:sz="0" w:space="0" w:color="auto"/>
                        <w:right w:val="none" w:sz="0" w:space="0" w:color="auto"/>
                      </w:divBdr>
                      <w:divsChild>
                        <w:div w:id="639194368">
                          <w:marLeft w:val="0"/>
                          <w:marRight w:val="0"/>
                          <w:marTop w:val="0"/>
                          <w:marBottom w:val="0"/>
                          <w:divBdr>
                            <w:top w:val="single" w:sz="6" w:space="15" w:color="auto"/>
                            <w:left w:val="single" w:sz="2" w:space="15" w:color="auto"/>
                            <w:bottom w:val="single" w:sz="2" w:space="15" w:color="auto"/>
                            <w:right w:val="single" w:sz="2" w:space="15" w:color="auto"/>
                          </w:divBdr>
                          <w:divsChild>
                            <w:div w:id="1325671737">
                              <w:marLeft w:val="0"/>
                              <w:marRight w:val="0"/>
                              <w:marTop w:val="0"/>
                              <w:marBottom w:val="360"/>
                              <w:divBdr>
                                <w:top w:val="none" w:sz="0" w:space="0" w:color="auto"/>
                                <w:left w:val="none" w:sz="0" w:space="0" w:color="auto"/>
                                <w:bottom w:val="none" w:sz="0" w:space="0" w:color="auto"/>
                                <w:right w:val="none" w:sz="0" w:space="0" w:color="auto"/>
                              </w:divBdr>
                            </w:div>
                            <w:div w:id="2052025953">
                              <w:marLeft w:val="0"/>
                              <w:marRight w:val="0"/>
                              <w:marTop w:val="0"/>
                              <w:marBottom w:val="0"/>
                              <w:divBdr>
                                <w:top w:val="none" w:sz="0" w:space="0" w:color="auto"/>
                                <w:left w:val="none" w:sz="0" w:space="0" w:color="auto"/>
                                <w:bottom w:val="none" w:sz="0" w:space="0" w:color="auto"/>
                                <w:right w:val="none" w:sz="0" w:space="0" w:color="auto"/>
                              </w:divBdr>
                              <w:divsChild>
                                <w:div w:id="3053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343022">
          <w:marLeft w:val="0"/>
          <w:marRight w:val="0"/>
          <w:marTop w:val="0"/>
          <w:marBottom w:val="0"/>
          <w:divBdr>
            <w:top w:val="none" w:sz="0" w:space="0" w:color="auto"/>
            <w:left w:val="none" w:sz="0" w:space="0" w:color="auto"/>
            <w:bottom w:val="none" w:sz="0" w:space="0" w:color="auto"/>
            <w:right w:val="none" w:sz="0" w:space="0" w:color="auto"/>
          </w:divBdr>
          <w:divsChild>
            <w:div w:id="1801459419">
              <w:marLeft w:val="0"/>
              <w:marRight w:val="0"/>
              <w:marTop w:val="0"/>
              <w:marBottom w:val="0"/>
              <w:divBdr>
                <w:top w:val="none" w:sz="0" w:space="0" w:color="auto"/>
                <w:left w:val="none" w:sz="0" w:space="0" w:color="auto"/>
                <w:bottom w:val="none" w:sz="0" w:space="0" w:color="auto"/>
                <w:right w:val="none" w:sz="0" w:space="0" w:color="auto"/>
              </w:divBdr>
              <w:divsChild>
                <w:div w:id="1948930230">
                  <w:marLeft w:val="0"/>
                  <w:marRight w:val="0"/>
                  <w:marTop w:val="0"/>
                  <w:marBottom w:val="0"/>
                  <w:divBdr>
                    <w:top w:val="none" w:sz="0" w:space="0" w:color="auto"/>
                    <w:left w:val="none" w:sz="0" w:space="0" w:color="auto"/>
                    <w:bottom w:val="none" w:sz="0" w:space="0" w:color="auto"/>
                    <w:right w:val="none" w:sz="0" w:space="0" w:color="auto"/>
                  </w:divBdr>
                  <w:divsChild>
                    <w:div w:id="1061564813">
                      <w:marLeft w:val="0"/>
                      <w:marRight w:val="0"/>
                      <w:marTop w:val="0"/>
                      <w:marBottom w:val="0"/>
                      <w:divBdr>
                        <w:top w:val="none" w:sz="0" w:space="0" w:color="auto"/>
                        <w:left w:val="none" w:sz="0" w:space="0" w:color="auto"/>
                        <w:bottom w:val="none" w:sz="0" w:space="0" w:color="auto"/>
                        <w:right w:val="none" w:sz="0" w:space="0" w:color="auto"/>
                      </w:divBdr>
                      <w:divsChild>
                        <w:div w:id="813446379">
                          <w:marLeft w:val="0"/>
                          <w:marRight w:val="0"/>
                          <w:marTop w:val="0"/>
                          <w:marBottom w:val="0"/>
                          <w:divBdr>
                            <w:top w:val="none" w:sz="0" w:space="0" w:color="auto"/>
                            <w:left w:val="none" w:sz="0" w:space="0" w:color="auto"/>
                            <w:bottom w:val="none" w:sz="0" w:space="0" w:color="auto"/>
                            <w:right w:val="none" w:sz="0" w:space="0" w:color="auto"/>
                          </w:divBdr>
                          <w:divsChild>
                            <w:div w:id="1604144695">
                              <w:marLeft w:val="0"/>
                              <w:marRight w:val="0"/>
                              <w:marTop w:val="0"/>
                              <w:marBottom w:val="0"/>
                              <w:divBdr>
                                <w:top w:val="none" w:sz="0" w:space="0" w:color="auto"/>
                                <w:left w:val="none" w:sz="0" w:space="0" w:color="auto"/>
                                <w:bottom w:val="none" w:sz="0" w:space="0" w:color="auto"/>
                                <w:right w:val="none" w:sz="0" w:space="0" w:color="auto"/>
                              </w:divBdr>
                              <w:divsChild>
                                <w:div w:id="1748847310">
                                  <w:marLeft w:val="0"/>
                                  <w:marRight w:val="0"/>
                                  <w:marTop w:val="0"/>
                                  <w:marBottom w:val="0"/>
                                  <w:divBdr>
                                    <w:top w:val="none" w:sz="0" w:space="0" w:color="auto"/>
                                    <w:left w:val="none" w:sz="0" w:space="0" w:color="auto"/>
                                    <w:bottom w:val="none" w:sz="0" w:space="0" w:color="auto"/>
                                    <w:right w:val="none" w:sz="0" w:space="0" w:color="auto"/>
                                  </w:divBdr>
                                  <w:divsChild>
                                    <w:div w:id="145634316">
                                      <w:marLeft w:val="0"/>
                                      <w:marRight w:val="0"/>
                                      <w:marTop w:val="0"/>
                                      <w:marBottom w:val="0"/>
                                      <w:divBdr>
                                        <w:top w:val="none" w:sz="0" w:space="0" w:color="auto"/>
                                        <w:left w:val="none" w:sz="0" w:space="0" w:color="auto"/>
                                        <w:bottom w:val="none" w:sz="0" w:space="0" w:color="auto"/>
                                        <w:right w:val="none" w:sz="0" w:space="0" w:color="auto"/>
                                      </w:divBdr>
                                      <w:divsChild>
                                        <w:div w:id="183911245">
                                          <w:marLeft w:val="0"/>
                                          <w:marRight w:val="0"/>
                                          <w:marTop w:val="0"/>
                                          <w:marBottom w:val="0"/>
                                          <w:divBdr>
                                            <w:top w:val="none" w:sz="0" w:space="0" w:color="auto"/>
                                            <w:left w:val="none" w:sz="0" w:space="0" w:color="auto"/>
                                            <w:bottom w:val="none" w:sz="0" w:space="0" w:color="auto"/>
                                            <w:right w:val="none" w:sz="0" w:space="0" w:color="auto"/>
                                          </w:divBdr>
                                          <w:divsChild>
                                            <w:div w:id="1025525548">
                                              <w:marLeft w:val="0"/>
                                              <w:marRight w:val="0"/>
                                              <w:marTop w:val="0"/>
                                              <w:marBottom w:val="0"/>
                                              <w:divBdr>
                                                <w:top w:val="none" w:sz="0" w:space="0" w:color="auto"/>
                                                <w:left w:val="none" w:sz="0" w:space="0" w:color="auto"/>
                                                <w:bottom w:val="none" w:sz="0" w:space="0" w:color="auto"/>
                                                <w:right w:val="none" w:sz="0" w:space="0" w:color="auto"/>
                                              </w:divBdr>
                                              <w:divsChild>
                                                <w:div w:id="136387597">
                                                  <w:marLeft w:val="0"/>
                                                  <w:marRight w:val="0"/>
                                                  <w:marTop w:val="0"/>
                                                  <w:marBottom w:val="0"/>
                                                  <w:divBdr>
                                                    <w:top w:val="none" w:sz="0" w:space="0" w:color="auto"/>
                                                    <w:left w:val="none" w:sz="0" w:space="0" w:color="auto"/>
                                                    <w:bottom w:val="none" w:sz="0" w:space="0" w:color="auto"/>
                                                    <w:right w:val="none" w:sz="0" w:space="0" w:color="auto"/>
                                                  </w:divBdr>
                                                  <w:divsChild>
                                                    <w:div w:id="902331844">
                                                      <w:marLeft w:val="0"/>
                                                      <w:marRight w:val="0"/>
                                                      <w:marTop w:val="0"/>
                                                      <w:marBottom w:val="0"/>
                                                      <w:divBdr>
                                                        <w:top w:val="none" w:sz="0" w:space="0" w:color="auto"/>
                                                        <w:left w:val="none" w:sz="0" w:space="0" w:color="auto"/>
                                                        <w:bottom w:val="none" w:sz="0" w:space="0" w:color="auto"/>
                                                        <w:right w:val="none" w:sz="0" w:space="0" w:color="auto"/>
                                                      </w:divBdr>
                                                      <w:divsChild>
                                                        <w:div w:id="1709724239">
                                                          <w:marLeft w:val="0"/>
                                                          <w:marRight w:val="0"/>
                                                          <w:marTop w:val="0"/>
                                                          <w:marBottom w:val="0"/>
                                                          <w:divBdr>
                                                            <w:top w:val="none" w:sz="0" w:space="0" w:color="auto"/>
                                                            <w:left w:val="none" w:sz="0" w:space="0" w:color="auto"/>
                                                            <w:bottom w:val="none" w:sz="0" w:space="0" w:color="auto"/>
                                                            <w:right w:val="none" w:sz="0" w:space="0" w:color="auto"/>
                                                          </w:divBdr>
                                                          <w:divsChild>
                                                            <w:div w:id="1623534194">
                                                              <w:marLeft w:val="0"/>
                                                              <w:marRight w:val="0"/>
                                                              <w:marTop w:val="0"/>
                                                              <w:marBottom w:val="0"/>
                                                              <w:divBdr>
                                                                <w:top w:val="none" w:sz="0" w:space="0" w:color="auto"/>
                                                                <w:left w:val="none" w:sz="0" w:space="0" w:color="auto"/>
                                                                <w:bottom w:val="none" w:sz="0" w:space="0" w:color="auto"/>
                                                                <w:right w:val="none" w:sz="0" w:space="0" w:color="auto"/>
                                                              </w:divBdr>
                                                              <w:divsChild>
                                                                <w:div w:id="545487546">
                                                                  <w:marLeft w:val="0"/>
                                                                  <w:marRight w:val="0"/>
                                                                  <w:marTop w:val="0"/>
                                                                  <w:marBottom w:val="0"/>
                                                                  <w:divBdr>
                                                                    <w:top w:val="none" w:sz="0" w:space="0" w:color="auto"/>
                                                                    <w:left w:val="none" w:sz="0" w:space="0" w:color="auto"/>
                                                                    <w:bottom w:val="none" w:sz="0" w:space="0" w:color="auto"/>
                                                                    <w:right w:val="none" w:sz="0" w:space="0" w:color="auto"/>
                                                                  </w:divBdr>
                                                                  <w:divsChild>
                                                                    <w:div w:id="1209761531">
                                                                      <w:marLeft w:val="0"/>
                                                                      <w:marRight w:val="0"/>
                                                                      <w:marTop w:val="0"/>
                                                                      <w:marBottom w:val="0"/>
                                                                      <w:divBdr>
                                                                        <w:top w:val="none" w:sz="0" w:space="0" w:color="auto"/>
                                                                        <w:left w:val="none" w:sz="0" w:space="0" w:color="auto"/>
                                                                        <w:bottom w:val="none" w:sz="0" w:space="0" w:color="auto"/>
                                                                        <w:right w:val="none" w:sz="0" w:space="0" w:color="auto"/>
                                                                      </w:divBdr>
                                                                      <w:divsChild>
                                                                        <w:div w:id="1260673993">
                                                                          <w:marLeft w:val="0"/>
                                                                          <w:marRight w:val="0"/>
                                                                          <w:marTop w:val="0"/>
                                                                          <w:marBottom w:val="0"/>
                                                                          <w:divBdr>
                                                                            <w:top w:val="none" w:sz="0" w:space="0" w:color="auto"/>
                                                                            <w:left w:val="none" w:sz="0" w:space="0" w:color="auto"/>
                                                                            <w:bottom w:val="none" w:sz="0" w:space="0" w:color="auto"/>
                                                                            <w:right w:val="none" w:sz="0" w:space="0" w:color="auto"/>
                                                                          </w:divBdr>
                                                                          <w:divsChild>
                                                                            <w:div w:id="359088978">
                                                                              <w:marLeft w:val="0"/>
                                                                              <w:marRight w:val="0"/>
                                                                              <w:marTop w:val="0"/>
                                                                              <w:marBottom w:val="0"/>
                                                                              <w:divBdr>
                                                                                <w:top w:val="none" w:sz="0" w:space="0" w:color="auto"/>
                                                                                <w:left w:val="none" w:sz="0" w:space="0" w:color="auto"/>
                                                                                <w:bottom w:val="none" w:sz="0" w:space="0" w:color="auto"/>
                                                                                <w:right w:val="none" w:sz="0" w:space="0" w:color="auto"/>
                                                                              </w:divBdr>
                                                                              <w:divsChild>
                                                                                <w:div w:id="8816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4003784">
                                      <w:marLeft w:val="0"/>
                                      <w:marRight w:val="0"/>
                                      <w:marTop w:val="0"/>
                                      <w:marBottom w:val="0"/>
                                      <w:divBdr>
                                        <w:top w:val="none" w:sz="0" w:space="0" w:color="auto"/>
                                        <w:left w:val="none" w:sz="0" w:space="0" w:color="auto"/>
                                        <w:bottom w:val="none" w:sz="0" w:space="0" w:color="auto"/>
                                        <w:right w:val="none" w:sz="0" w:space="0" w:color="auto"/>
                                      </w:divBdr>
                                      <w:divsChild>
                                        <w:div w:id="710493367">
                                          <w:marLeft w:val="0"/>
                                          <w:marRight w:val="0"/>
                                          <w:marTop w:val="0"/>
                                          <w:marBottom w:val="0"/>
                                          <w:divBdr>
                                            <w:top w:val="none" w:sz="0" w:space="0" w:color="auto"/>
                                            <w:left w:val="none" w:sz="0" w:space="0" w:color="auto"/>
                                            <w:bottom w:val="none" w:sz="0" w:space="0" w:color="auto"/>
                                            <w:right w:val="none" w:sz="0" w:space="0" w:color="auto"/>
                                          </w:divBdr>
                                          <w:divsChild>
                                            <w:div w:id="1577395681">
                                              <w:marLeft w:val="0"/>
                                              <w:marRight w:val="0"/>
                                              <w:marTop w:val="0"/>
                                              <w:marBottom w:val="0"/>
                                              <w:divBdr>
                                                <w:top w:val="none" w:sz="0" w:space="0" w:color="auto"/>
                                                <w:left w:val="none" w:sz="0" w:space="0" w:color="auto"/>
                                                <w:bottom w:val="none" w:sz="0" w:space="0" w:color="auto"/>
                                                <w:right w:val="none" w:sz="0" w:space="0" w:color="auto"/>
                                              </w:divBdr>
                                              <w:divsChild>
                                                <w:div w:id="1127579356">
                                                  <w:marLeft w:val="0"/>
                                                  <w:marRight w:val="0"/>
                                                  <w:marTop w:val="0"/>
                                                  <w:marBottom w:val="0"/>
                                                  <w:divBdr>
                                                    <w:top w:val="none" w:sz="0" w:space="0" w:color="auto"/>
                                                    <w:left w:val="none" w:sz="0" w:space="0" w:color="auto"/>
                                                    <w:bottom w:val="none" w:sz="0" w:space="0" w:color="auto"/>
                                                    <w:right w:val="none" w:sz="0" w:space="0" w:color="auto"/>
                                                  </w:divBdr>
                                                  <w:divsChild>
                                                    <w:div w:id="228348068">
                                                      <w:marLeft w:val="0"/>
                                                      <w:marRight w:val="0"/>
                                                      <w:marTop w:val="0"/>
                                                      <w:marBottom w:val="0"/>
                                                      <w:divBdr>
                                                        <w:top w:val="none" w:sz="0" w:space="0" w:color="auto"/>
                                                        <w:left w:val="none" w:sz="0" w:space="0" w:color="auto"/>
                                                        <w:bottom w:val="none" w:sz="0" w:space="0" w:color="auto"/>
                                                        <w:right w:val="none" w:sz="0" w:space="0" w:color="auto"/>
                                                      </w:divBdr>
                                                      <w:divsChild>
                                                        <w:div w:id="2024435967">
                                                          <w:marLeft w:val="0"/>
                                                          <w:marRight w:val="0"/>
                                                          <w:marTop w:val="0"/>
                                                          <w:marBottom w:val="0"/>
                                                          <w:divBdr>
                                                            <w:top w:val="none" w:sz="0" w:space="0" w:color="auto"/>
                                                            <w:left w:val="none" w:sz="0" w:space="0" w:color="auto"/>
                                                            <w:bottom w:val="none" w:sz="0" w:space="0" w:color="auto"/>
                                                            <w:right w:val="none" w:sz="0" w:space="0" w:color="auto"/>
                                                          </w:divBdr>
                                                          <w:divsChild>
                                                            <w:div w:id="2096441069">
                                                              <w:marLeft w:val="0"/>
                                                              <w:marRight w:val="0"/>
                                                              <w:marTop w:val="0"/>
                                                              <w:marBottom w:val="0"/>
                                                              <w:divBdr>
                                                                <w:top w:val="none" w:sz="0" w:space="0" w:color="auto"/>
                                                                <w:left w:val="none" w:sz="0" w:space="0" w:color="auto"/>
                                                                <w:bottom w:val="none" w:sz="0" w:space="0" w:color="auto"/>
                                                                <w:right w:val="none" w:sz="0" w:space="0" w:color="auto"/>
                                                              </w:divBdr>
                                                              <w:divsChild>
                                                                <w:div w:id="236592313">
                                                                  <w:marLeft w:val="0"/>
                                                                  <w:marRight w:val="0"/>
                                                                  <w:marTop w:val="0"/>
                                                                  <w:marBottom w:val="0"/>
                                                                  <w:divBdr>
                                                                    <w:top w:val="none" w:sz="0" w:space="0" w:color="auto"/>
                                                                    <w:left w:val="none" w:sz="0" w:space="0" w:color="auto"/>
                                                                    <w:bottom w:val="none" w:sz="0" w:space="0" w:color="auto"/>
                                                                    <w:right w:val="none" w:sz="0" w:space="0" w:color="auto"/>
                                                                  </w:divBdr>
                                                                  <w:divsChild>
                                                                    <w:div w:id="144369270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315481">
                                      <w:marLeft w:val="0"/>
                                      <w:marRight w:val="0"/>
                                      <w:marTop w:val="0"/>
                                      <w:marBottom w:val="0"/>
                                      <w:divBdr>
                                        <w:top w:val="none" w:sz="0" w:space="0" w:color="auto"/>
                                        <w:left w:val="none" w:sz="0" w:space="0" w:color="auto"/>
                                        <w:bottom w:val="none" w:sz="0" w:space="0" w:color="auto"/>
                                        <w:right w:val="none" w:sz="0" w:space="0" w:color="auto"/>
                                      </w:divBdr>
                                      <w:divsChild>
                                        <w:div w:id="1998344462">
                                          <w:marLeft w:val="0"/>
                                          <w:marRight w:val="0"/>
                                          <w:marTop w:val="0"/>
                                          <w:marBottom w:val="0"/>
                                          <w:divBdr>
                                            <w:top w:val="none" w:sz="0" w:space="0" w:color="auto"/>
                                            <w:left w:val="none" w:sz="0" w:space="0" w:color="auto"/>
                                            <w:bottom w:val="none" w:sz="0" w:space="0" w:color="auto"/>
                                            <w:right w:val="none" w:sz="0" w:space="0" w:color="auto"/>
                                          </w:divBdr>
                                          <w:divsChild>
                                            <w:div w:id="2107457724">
                                              <w:marLeft w:val="0"/>
                                              <w:marRight w:val="0"/>
                                              <w:marTop w:val="0"/>
                                              <w:marBottom w:val="0"/>
                                              <w:divBdr>
                                                <w:top w:val="none" w:sz="0" w:space="0" w:color="auto"/>
                                                <w:left w:val="none" w:sz="0" w:space="0" w:color="auto"/>
                                                <w:bottom w:val="none" w:sz="0" w:space="0" w:color="auto"/>
                                                <w:right w:val="none" w:sz="0" w:space="0" w:color="auto"/>
                                              </w:divBdr>
                                              <w:divsChild>
                                                <w:div w:id="1949773363">
                                                  <w:marLeft w:val="0"/>
                                                  <w:marRight w:val="0"/>
                                                  <w:marTop w:val="0"/>
                                                  <w:marBottom w:val="0"/>
                                                  <w:divBdr>
                                                    <w:top w:val="none" w:sz="0" w:space="0" w:color="auto"/>
                                                    <w:left w:val="none" w:sz="0" w:space="0" w:color="auto"/>
                                                    <w:bottom w:val="none" w:sz="0" w:space="0" w:color="auto"/>
                                                    <w:right w:val="none" w:sz="0" w:space="0" w:color="auto"/>
                                                  </w:divBdr>
                                                  <w:divsChild>
                                                    <w:div w:id="1386880222">
                                                      <w:marLeft w:val="0"/>
                                                      <w:marRight w:val="0"/>
                                                      <w:marTop w:val="0"/>
                                                      <w:marBottom w:val="0"/>
                                                      <w:divBdr>
                                                        <w:top w:val="none" w:sz="0" w:space="0" w:color="auto"/>
                                                        <w:left w:val="none" w:sz="0" w:space="0" w:color="auto"/>
                                                        <w:bottom w:val="none" w:sz="0" w:space="0" w:color="auto"/>
                                                        <w:right w:val="none" w:sz="0" w:space="0" w:color="auto"/>
                                                      </w:divBdr>
                                                      <w:divsChild>
                                                        <w:div w:id="283734129">
                                                          <w:marLeft w:val="0"/>
                                                          <w:marRight w:val="0"/>
                                                          <w:marTop w:val="0"/>
                                                          <w:marBottom w:val="0"/>
                                                          <w:divBdr>
                                                            <w:top w:val="none" w:sz="0" w:space="0" w:color="auto"/>
                                                            <w:left w:val="none" w:sz="0" w:space="0" w:color="auto"/>
                                                            <w:bottom w:val="none" w:sz="0" w:space="0" w:color="auto"/>
                                                            <w:right w:val="none" w:sz="0" w:space="0" w:color="auto"/>
                                                          </w:divBdr>
                                                          <w:divsChild>
                                                            <w:div w:id="1724022273">
                                                              <w:marLeft w:val="0"/>
                                                              <w:marRight w:val="0"/>
                                                              <w:marTop w:val="0"/>
                                                              <w:marBottom w:val="0"/>
                                                              <w:divBdr>
                                                                <w:top w:val="none" w:sz="0" w:space="0" w:color="auto"/>
                                                                <w:left w:val="none" w:sz="0" w:space="0" w:color="auto"/>
                                                                <w:bottom w:val="none" w:sz="0" w:space="0" w:color="auto"/>
                                                                <w:right w:val="none" w:sz="0" w:space="0" w:color="auto"/>
                                                              </w:divBdr>
                                                              <w:divsChild>
                                                                <w:div w:id="1212576368">
                                                                  <w:marLeft w:val="0"/>
                                                                  <w:marRight w:val="0"/>
                                                                  <w:marTop w:val="0"/>
                                                                  <w:marBottom w:val="0"/>
                                                                  <w:divBdr>
                                                                    <w:top w:val="none" w:sz="0" w:space="0" w:color="auto"/>
                                                                    <w:left w:val="none" w:sz="0" w:space="0" w:color="auto"/>
                                                                    <w:bottom w:val="none" w:sz="0" w:space="0" w:color="auto"/>
                                                                    <w:right w:val="none" w:sz="0" w:space="0" w:color="auto"/>
                                                                  </w:divBdr>
                                                                  <w:divsChild>
                                                                    <w:div w:id="329866665">
                                                                      <w:marLeft w:val="0"/>
                                                                      <w:marRight w:val="0"/>
                                                                      <w:marTop w:val="0"/>
                                                                      <w:marBottom w:val="0"/>
                                                                      <w:divBdr>
                                                                        <w:top w:val="none" w:sz="0" w:space="0" w:color="auto"/>
                                                                        <w:left w:val="none" w:sz="0" w:space="0" w:color="auto"/>
                                                                        <w:bottom w:val="none" w:sz="0" w:space="0" w:color="auto"/>
                                                                        <w:right w:val="none" w:sz="0" w:space="0" w:color="auto"/>
                                                                      </w:divBdr>
                                                                      <w:divsChild>
                                                                        <w:div w:id="1818689970">
                                                                          <w:marLeft w:val="0"/>
                                                                          <w:marRight w:val="0"/>
                                                                          <w:marTop w:val="0"/>
                                                                          <w:marBottom w:val="0"/>
                                                                          <w:divBdr>
                                                                            <w:top w:val="none" w:sz="0" w:space="0" w:color="auto"/>
                                                                            <w:left w:val="none" w:sz="0" w:space="0" w:color="auto"/>
                                                                            <w:bottom w:val="none" w:sz="0" w:space="0" w:color="auto"/>
                                                                            <w:right w:val="none" w:sz="0" w:space="0" w:color="auto"/>
                                                                          </w:divBdr>
                                                                          <w:divsChild>
                                                                            <w:div w:id="881014597">
                                                                              <w:marLeft w:val="0"/>
                                                                              <w:marRight w:val="0"/>
                                                                              <w:marTop w:val="0"/>
                                                                              <w:marBottom w:val="0"/>
                                                                              <w:divBdr>
                                                                                <w:top w:val="none" w:sz="0" w:space="0" w:color="auto"/>
                                                                                <w:left w:val="none" w:sz="0" w:space="0" w:color="auto"/>
                                                                                <w:bottom w:val="none" w:sz="0" w:space="0" w:color="auto"/>
                                                                                <w:right w:val="none" w:sz="0" w:space="0" w:color="auto"/>
                                                                              </w:divBdr>
                                                                              <w:divsChild>
                                                                                <w:div w:id="146184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5325682">
                                      <w:marLeft w:val="0"/>
                                      <w:marRight w:val="0"/>
                                      <w:marTop w:val="0"/>
                                      <w:marBottom w:val="0"/>
                                      <w:divBdr>
                                        <w:top w:val="none" w:sz="0" w:space="0" w:color="auto"/>
                                        <w:left w:val="none" w:sz="0" w:space="0" w:color="auto"/>
                                        <w:bottom w:val="none" w:sz="0" w:space="0" w:color="auto"/>
                                        <w:right w:val="none" w:sz="0" w:space="0" w:color="auto"/>
                                      </w:divBdr>
                                      <w:divsChild>
                                        <w:div w:id="1655524469">
                                          <w:marLeft w:val="0"/>
                                          <w:marRight w:val="0"/>
                                          <w:marTop w:val="0"/>
                                          <w:marBottom w:val="0"/>
                                          <w:divBdr>
                                            <w:top w:val="none" w:sz="0" w:space="0" w:color="auto"/>
                                            <w:left w:val="none" w:sz="0" w:space="0" w:color="auto"/>
                                            <w:bottom w:val="none" w:sz="0" w:space="0" w:color="auto"/>
                                            <w:right w:val="none" w:sz="0" w:space="0" w:color="auto"/>
                                          </w:divBdr>
                                          <w:divsChild>
                                            <w:div w:id="1322006367">
                                              <w:marLeft w:val="0"/>
                                              <w:marRight w:val="0"/>
                                              <w:marTop w:val="0"/>
                                              <w:marBottom w:val="0"/>
                                              <w:divBdr>
                                                <w:top w:val="none" w:sz="0" w:space="0" w:color="auto"/>
                                                <w:left w:val="none" w:sz="0" w:space="0" w:color="auto"/>
                                                <w:bottom w:val="none" w:sz="0" w:space="0" w:color="auto"/>
                                                <w:right w:val="none" w:sz="0" w:space="0" w:color="auto"/>
                                              </w:divBdr>
                                              <w:divsChild>
                                                <w:div w:id="2095010554">
                                                  <w:marLeft w:val="0"/>
                                                  <w:marRight w:val="0"/>
                                                  <w:marTop w:val="0"/>
                                                  <w:marBottom w:val="0"/>
                                                  <w:divBdr>
                                                    <w:top w:val="none" w:sz="0" w:space="0" w:color="auto"/>
                                                    <w:left w:val="none" w:sz="0" w:space="0" w:color="auto"/>
                                                    <w:bottom w:val="none" w:sz="0" w:space="0" w:color="auto"/>
                                                    <w:right w:val="none" w:sz="0" w:space="0" w:color="auto"/>
                                                  </w:divBdr>
                                                  <w:divsChild>
                                                    <w:div w:id="735930375">
                                                      <w:marLeft w:val="0"/>
                                                      <w:marRight w:val="0"/>
                                                      <w:marTop w:val="0"/>
                                                      <w:marBottom w:val="0"/>
                                                      <w:divBdr>
                                                        <w:top w:val="none" w:sz="0" w:space="0" w:color="auto"/>
                                                        <w:left w:val="none" w:sz="0" w:space="0" w:color="auto"/>
                                                        <w:bottom w:val="none" w:sz="0" w:space="0" w:color="auto"/>
                                                        <w:right w:val="none" w:sz="0" w:space="0" w:color="auto"/>
                                                      </w:divBdr>
                                                      <w:divsChild>
                                                        <w:div w:id="2002152967">
                                                          <w:marLeft w:val="0"/>
                                                          <w:marRight w:val="0"/>
                                                          <w:marTop w:val="0"/>
                                                          <w:marBottom w:val="0"/>
                                                          <w:divBdr>
                                                            <w:top w:val="none" w:sz="0" w:space="0" w:color="auto"/>
                                                            <w:left w:val="none" w:sz="0" w:space="0" w:color="auto"/>
                                                            <w:bottom w:val="none" w:sz="0" w:space="0" w:color="auto"/>
                                                            <w:right w:val="none" w:sz="0" w:space="0" w:color="auto"/>
                                                          </w:divBdr>
                                                          <w:divsChild>
                                                            <w:div w:id="1202395">
                                                              <w:marLeft w:val="0"/>
                                                              <w:marRight w:val="0"/>
                                                              <w:marTop w:val="0"/>
                                                              <w:marBottom w:val="0"/>
                                                              <w:divBdr>
                                                                <w:top w:val="none" w:sz="0" w:space="0" w:color="auto"/>
                                                                <w:left w:val="none" w:sz="0" w:space="0" w:color="auto"/>
                                                                <w:bottom w:val="none" w:sz="0" w:space="0" w:color="auto"/>
                                                                <w:right w:val="none" w:sz="0" w:space="0" w:color="auto"/>
                                                              </w:divBdr>
                                                              <w:divsChild>
                                                                <w:div w:id="709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346888">
                                      <w:marLeft w:val="0"/>
                                      <w:marRight w:val="0"/>
                                      <w:marTop w:val="0"/>
                                      <w:marBottom w:val="0"/>
                                      <w:divBdr>
                                        <w:top w:val="none" w:sz="0" w:space="0" w:color="auto"/>
                                        <w:left w:val="none" w:sz="0" w:space="0" w:color="auto"/>
                                        <w:bottom w:val="none" w:sz="0" w:space="0" w:color="auto"/>
                                        <w:right w:val="none" w:sz="0" w:space="0" w:color="auto"/>
                                      </w:divBdr>
                                      <w:divsChild>
                                        <w:div w:id="1192576592">
                                          <w:marLeft w:val="0"/>
                                          <w:marRight w:val="0"/>
                                          <w:marTop w:val="0"/>
                                          <w:marBottom w:val="0"/>
                                          <w:divBdr>
                                            <w:top w:val="none" w:sz="0" w:space="0" w:color="auto"/>
                                            <w:left w:val="none" w:sz="0" w:space="0" w:color="auto"/>
                                            <w:bottom w:val="none" w:sz="0" w:space="0" w:color="auto"/>
                                            <w:right w:val="none" w:sz="0" w:space="0" w:color="auto"/>
                                          </w:divBdr>
                                          <w:divsChild>
                                            <w:div w:id="289284303">
                                              <w:marLeft w:val="0"/>
                                              <w:marRight w:val="0"/>
                                              <w:marTop w:val="0"/>
                                              <w:marBottom w:val="0"/>
                                              <w:divBdr>
                                                <w:top w:val="none" w:sz="0" w:space="0" w:color="auto"/>
                                                <w:left w:val="none" w:sz="0" w:space="0" w:color="auto"/>
                                                <w:bottom w:val="none" w:sz="0" w:space="0" w:color="auto"/>
                                                <w:right w:val="none" w:sz="0" w:space="0" w:color="auto"/>
                                              </w:divBdr>
                                              <w:divsChild>
                                                <w:div w:id="423764231">
                                                  <w:marLeft w:val="0"/>
                                                  <w:marRight w:val="0"/>
                                                  <w:marTop w:val="0"/>
                                                  <w:marBottom w:val="0"/>
                                                  <w:divBdr>
                                                    <w:top w:val="none" w:sz="0" w:space="0" w:color="auto"/>
                                                    <w:left w:val="none" w:sz="0" w:space="0" w:color="auto"/>
                                                    <w:bottom w:val="none" w:sz="0" w:space="0" w:color="auto"/>
                                                    <w:right w:val="none" w:sz="0" w:space="0" w:color="auto"/>
                                                  </w:divBdr>
                                                  <w:divsChild>
                                                    <w:div w:id="242885525">
                                                      <w:marLeft w:val="0"/>
                                                      <w:marRight w:val="0"/>
                                                      <w:marTop w:val="0"/>
                                                      <w:marBottom w:val="0"/>
                                                      <w:divBdr>
                                                        <w:top w:val="none" w:sz="0" w:space="0" w:color="auto"/>
                                                        <w:left w:val="none" w:sz="0" w:space="0" w:color="auto"/>
                                                        <w:bottom w:val="none" w:sz="0" w:space="0" w:color="auto"/>
                                                        <w:right w:val="none" w:sz="0" w:space="0" w:color="auto"/>
                                                      </w:divBdr>
                                                      <w:divsChild>
                                                        <w:div w:id="826047817">
                                                          <w:marLeft w:val="0"/>
                                                          <w:marRight w:val="0"/>
                                                          <w:marTop w:val="0"/>
                                                          <w:marBottom w:val="0"/>
                                                          <w:divBdr>
                                                            <w:top w:val="none" w:sz="0" w:space="0" w:color="auto"/>
                                                            <w:left w:val="none" w:sz="0" w:space="0" w:color="auto"/>
                                                            <w:bottom w:val="none" w:sz="0" w:space="0" w:color="auto"/>
                                                            <w:right w:val="none" w:sz="0" w:space="0" w:color="auto"/>
                                                          </w:divBdr>
                                                          <w:divsChild>
                                                            <w:div w:id="1822313125">
                                                              <w:marLeft w:val="0"/>
                                                              <w:marRight w:val="0"/>
                                                              <w:marTop w:val="0"/>
                                                              <w:marBottom w:val="0"/>
                                                              <w:divBdr>
                                                                <w:top w:val="none" w:sz="0" w:space="0" w:color="auto"/>
                                                                <w:left w:val="none" w:sz="0" w:space="0" w:color="auto"/>
                                                                <w:bottom w:val="none" w:sz="0" w:space="0" w:color="auto"/>
                                                                <w:right w:val="none" w:sz="0" w:space="0" w:color="auto"/>
                                                              </w:divBdr>
                                                              <w:divsChild>
                                                                <w:div w:id="358554432">
                                                                  <w:marLeft w:val="0"/>
                                                                  <w:marRight w:val="0"/>
                                                                  <w:marTop w:val="0"/>
                                                                  <w:marBottom w:val="0"/>
                                                                  <w:divBdr>
                                                                    <w:top w:val="none" w:sz="0" w:space="0" w:color="auto"/>
                                                                    <w:left w:val="none" w:sz="0" w:space="0" w:color="auto"/>
                                                                    <w:bottom w:val="none" w:sz="0" w:space="0" w:color="auto"/>
                                                                    <w:right w:val="none" w:sz="0" w:space="0" w:color="auto"/>
                                                                  </w:divBdr>
                                                                  <w:divsChild>
                                                                    <w:div w:id="99615982">
                                                                      <w:marLeft w:val="0"/>
                                                                      <w:marRight w:val="0"/>
                                                                      <w:marTop w:val="0"/>
                                                                      <w:marBottom w:val="0"/>
                                                                      <w:divBdr>
                                                                        <w:top w:val="none" w:sz="0" w:space="0" w:color="auto"/>
                                                                        <w:left w:val="none" w:sz="0" w:space="0" w:color="auto"/>
                                                                        <w:bottom w:val="none" w:sz="0" w:space="0" w:color="auto"/>
                                                                        <w:right w:val="none" w:sz="0" w:space="0" w:color="auto"/>
                                                                      </w:divBdr>
                                                                      <w:divsChild>
                                                                        <w:div w:id="742610106">
                                                                          <w:marLeft w:val="0"/>
                                                                          <w:marRight w:val="0"/>
                                                                          <w:marTop w:val="0"/>
                                                                          <w:marBottom w:val="0"/>
                                                                          <w:divBdr>
                                                                            <w:top w:val="none" w:sz="0" w:space="0" w:color="auto"/>
                                                                            <w:left w:val="none" w:sz="0" w:space="0" w:color="auto"/>
                                                                            <w:bottom w:val="none" w:sz="0" w:space="0" w:color="auto"/>
                                                                            <w:right w:val="none" w:sz="0" w:space="0" w:color="auto"/>
                                                                          </w:divBdr>
                                                                          <w:divsChild>
                                                                            <w:div w:id="832452193">
                                                                              <w:marLeft w:val="0"/>
                                                                              <w:marRight w:val="0"/>
                                                                              <w:marTop w:val="0"/>
                                                                              <w:marBottom w:val="0"/>
                                                                              <w:divBdr>
                                                                                <w:top w:val="none" w:sz="0" w:space="0" w:color="auto"/>
                                                                                <w:left w:val="none" w:sz="0" w:space="0" w:color="auto"/>
                                                                                <w:bottom w:val="none" w:sz="0" w:space="0" w:color="auto"/>
                                                                                <w:right w:val="none" w:sz="0" w:space="0" w:color="auto"/>
                                                                              </w:divBdr>
                                                                              <w:divsChild>
                                                                                <w:div w:id="90407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1135226">
                                      <w:marLeft w:val="0"/>
                                      <w:marRight w:val="0"/>
                                      <w:marTop w:val="0"/>
                                      <w:marBottom w:val="0"/>
                                      <w:divBdr>
                                        <w:top w:val="none" w:sz="0" w:space="0" w:color="auto"/>
                                        <w:left w:val="none" w:sz="0" w:space="0" w:color="auto"/>
                                        <w:bottom w:val="none" w:sz="0" w:space="0" w:color="auto"/>
                                        <w:right w:val="none" w:sz="0" w:space="0" w:color="auto"/>
                                      </w:divBdr>
                                      <w:divsChild>
                                        <w:div w:id="1286892925">
                                          <w:marLeft w:val="0"/>
                                          <w:marRight w:val="0"/>
                                          <w:marTop w:val="0"/>
                                          <w:marBottom w:val="0"/>
                                          <w:divBdr>
                                            <w:top w:val="none" w:sz="0" w:space="0" w:color="auto"/>
                                            <w:left w:val="none" w:sz="0" w:space="0" w:color="auto"/>
                                            <w:bottom w:val="none" w:sz="0" w:space="0" w:color="auto"/>
                                            <w:right w:val="none" w:sz="0" w:space="0" w:color="auto"/>
                                          </w:divBdr>
                                          <w:divsChild>
                                            <w:div w:id="866136403">
                                              <w:marLeft w:val="0"/>
                                              <w:marRight w:val="0"/>
                                              <w:marTop w:val="0"/>
                                              <w:marBottom w:val="0"/>
                                              <w:divBdr>
                                                <w:top w:val="none" w:sz="0" w:space="0" w:color="auto"/>
                                                <w:left w:val="none" w:sz="0" w:space="0" w:color="auto"/>
                                                <w:bottom w:val="none" w:sz="0" w:space="0" w:color="auto"/>
                                                <w:right w:val="none" w:sz="0" w:space="0" w:color="auto"/>
                                              </w:divBdr>
                                              <w:divsChild>
                                                <w:div w:id="2013953181">
                                                  <w:marLeft w:val="0"/>
                                                  <w:marRight w:val="0"/>
                                                  <w:marTop w:val="0"/>
                                                  <w:marBottom w:val="0"/>
                                                  <w:divBdr>
                                                    <w:top w:val="none" w:sz="0" w:space="0" w:color="auto"/>
                                                    <w:left w:val="none" w:sz="0" w:space="0" w:color="auto"/>
                                                    <w:bottom w:val="none" w:sz="0" w:space="0" w:color="auto"/>
                                                    <w:right w:val="none" w:sz="0" w:space="0" w:color="auto"/>
                                                  </w:divBdr>
                                                  <w:divsChild>
                                                    <w:div w:id="1423450097">
                                                      <w:marLeft w:val="0"/>
                                                      <w:marRight w:val="0"/>
                                                      <w:marTop w:val="0"/>
                                                      <w:marBottom w:val="0"/>
                                                      <w:divBdr>
                                                        <w:top w:val="none" w:sz="0" w:space="0" w:color="auto"/>
                                                        <w:left w:val="none" w:sz="0" w:space="0" w:color="auto"/>
                                                        <w:bottom w:val="none" w:sz="0" w:space="0" w:color="auto"/>
                                                        <w:right w:val="none" w:sz="0" w:space="0" w:color="auto"/>
                                                      </w:divBdr>
                                                      <w:divsChild>
                                                        <w:div w:id="397559682">
                                                          <w:marLeft w:val="0"/>
                                                          <w:marRight w:val="0"/>
                                                          <w:marTop w:val="0"/>
                                                          <w:marBottom w:val="0"/>
                                                          <w:divBdr>
                                                            <w:top w:val="none" w:sz="0" w:space="0" w:color="auto"/>
                                                            <w:left w:val="none" w:sz="0" w:space="0" w:color="auto"/>
                                                            <w:bottom w:val="none" w:sz="0" w:space="0" w:color="auto"/>
                                                            <w:right w:val="none" w:sz="0" w:space="0" w:color="auto"/>
                                                          </w:divBdr>
                                                          <w:divsChild>
                                                            <w:div w:id="415982903">
                                                              <w:marLeft w:val="0"/>
                                                              <w:marRight w:val="0"/>
                                                              <w:marTop w:val="0"/>
                                                              <w:marBottom w:val="0"/>
                                                              <w:divBdr>
                                                                <w:top w:val="none" w:sz="0" w:space="0" w:color="auto"/>
                                                                <w:left w:val="none" w:sz="0" w:space="0" w:color="auto"/>
                                                                <w:bottom w:val="none" w:sz="0" w:space="0" w:color="auto"/>
                                                                <w:right w:val="none" w:sz="0" w:space="0" w:color="auto"/>
                                                              </w:divBdr>
                                                              <w:divsChild>
                                                                <w:div w:id="18428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3213866">
      <w:bodyDiv w:val="1"/>
      <w:marLeft w:val="0"/>
      <w:marRight w:val="0"/>
      <w:marTop w:val="0"/>
      <w:marBottom w:val="0"/>
      <w:divBdr>
        <w:top w:val="none" w:sz="0" w:space="0" w:color="auto"/>
        <w:left w:val="none" w:sz="0" w:space="0" w:color="auto"/>
        <w:bottom w:val="none" w:sz="0" w:space="0" w:color="auto"/>
        <w:right w:val="none" w:sz="0" w:space="0" w:color="auto"/>
      </w:divBdr>
    </w:div>
    <w:div w:id="478495708">
      <w:bodyDiv w:val="1"/>
      <w:marLeft w:val="0"/>
      <w:marRight w:val="0"/>
      <w:marTop w:val="0"/>
      <w:marBottom w:val="0"/>
      <w:divBdr>
        <w:top w:val="none" w:sz="0" w:space="0" w:color="auto"/>
        <w:left w:val="none" w:sz="0" w:space="0" w:color="auto"/>
        <w:bottom w:val="none" w:sz="0" w:space="0" w:color="auto"/>
        <w:right w:val="none" w:sz="0" w:space="0" w:color="auto"/>
      </w:divBdr>
    </w:div>
    <w:div w:id="485632602">
      <w:bodyDiv w:val="1"/>
      <w:marLeft w:val="0"/>
      <w:marRight w:val="0"/>
      <w:marTop w:val="0"/>
      <w:marBottom w:val="0"/>
      <w:divBdr>
        <w:top w:val="none" w:sz="0" w:space="0" w:color="auto"/>
        <w:left w:val="none" w:sz="0" w:space="0" w:color="auto"/>
        <w:bottom w:val="none" w:sz="0" w:space="0" w:color="auto"/>
        <w:right w:val="none" w:sz="0" w:space="0" w:color="auto"/>
      </w:divBdr>
    </w:div>
    <w:div w:id="501434885">
      <w:bodyDiv w:val="1"/>
      <w:marLeft w:val="0"/>
      <w:marRight w:val="0"/>
      <w:marTop w:val="0"/>
      <w:marBottom w:val="0"/>
      <w:divBdr>
        <w:top w:val="none" w:sz="0" w:space="0" w:color="auto"/>
        <w:left w:val="none" w:sz="0" w:space="0" w:color="auto"/>
        <w:bottom w:val="none" w:sz="0" w:space="0" w:color="auto"/>
        <w:right w:val="none" w:sz="0" w:space="0" w:color="auto"/>
      </w:divBdr>
    </w:div>
    <w:div w:id="568922541">
      <w:bodyDiv w:val="1"/>
      <w:marLeft w:val="0"/>
      <w:marRight w:val="0"/>
      <w:marTop w:val="0"/>
      <w:marBottom w:val="0"/>
      <w:divBdr>
        <w:top w:val="none" w:sz="0" w:space="0" w:color="auto"/>
        <w:left w:val="none" w:sz="0" w:space="0" w:color="auto"/>
        <w:bottom w:val="none" w:sz="0" w:space="0" w:color="auto"/>
        <w:right w:val="none" w:sz="0" w:space="0" w:color="auto"/>
      </w:divBdr>
    </w:div>
    <w:div w:id="586307189">
      <w:bodyDiv w:val="1"/>
      <w:marLeft w:val="0"/>
      <w:marRight w:val="0"/>
      <w:marTop w:val="0"/>
      <w:marBottom w:val="0"/>
      <w:divBdr>
        <w:top w:val="none" w:sz="0" w:space="0" w:color="auto"/>
        <w:left w:val="none" w:sz="0" w:space="0" w:color="auto"/>
        <w:bottom w:val="none" w:sz="0" w:space="0" w:color="auto"/>
        <w:right w:val="none" w:sz="0" w:space="0" w:color="auto"/>
      </w:divBdr>
    </w:div>
    <w:div w:id="638609630">
      <w:bodyDiv w:val="1"/>
      <w:marLeft w:val="0"/>
      <w:marRight w:val="0"/>
      <w:marTop w:val="0"/>
      <w:marBottom w:val="0"/>
      <w:divBdr>
        <w:top w:val="none" w:sz="0" w:space="0" w:color="auto"/>
        <w:left w:val="none" w:sz="0" w:space="0" w:color="auto"/>
        <w:bottom w:val="none" w:sz="0" w:space="0" w:color="auto"/>
        <w:right w:val="none" w:sz="0" w:space="0" w:color="auto"/>
      </w:divBdr>
      <w:divsChild>
        <w:div w:id="1869174617">
          <w:marLeft w:val="0"/>
          <w:marRight w:val="0"/>
          <w:marTop w:val="0"/>
          <w:marBottom w:val="0"/>
          <w:divBdr>
            <w:top w:val="none" w:sz="0" w:space="0" w:color="auto"/>
            <w:left w:val="none" w:sz="0" w:space="0" w:color="auto"/>
            <w:bottom w:val="none" w:sz="0" w:space="0" w:color="auto"/>
            <w:right w:val="none" w:sz="0" w:space="0" w:color="auto"/>
          </w:divBdr>
          <w:divsChild>
            <w:div w:id="673529236">
              <w:marLeft w:val="0"/>
              <w:marRight w:val="0"/>
              <w:marTop w:val="0"/>
              <w:marBottom w:val="0"/>
              <w:divBdr>
                <w:top w:val="none" w:sz="0" w:space="0" w:color="auto"/>
                <w:left w:val="none" w:sz="0" w:space="0" w:color="auto"/>
                <w:bottom w:val="none" w:sz="0" w:space="0" w:color="auto"/>
                <w:right w:val="none" w:sz="0" w:space="0" w:color="auto"/>
              </w:divBdr>
              <w:divsChild>
                <w:div w:id="731270631">
                  <w:marLeft w:val="0"/>
                  <w:marRight w:val="0"/>
                  <w:marTop w:val="0"/>
                  <w:marBottom w:val="0"/>
                  <w:divBdr>
                    <w:top w:val="none" w:sz="0" w:space="0" w:color="auto"/>
                    <w:left w:val="none" w:sz="0" w:space="0" w:color="auto"/>
                    <w:bottom w:val="none" w:sz="0" w:space="0" w:color="auto"/>
                    <w:right w:val="none" w:sz="0" w:space="0" w:color="auto"/>
                  </w:divBdr>
                  <w:divsChild>
                    <w:div w:id="899906473">
                      <w:marLeft w:val="0"/>
                      <w:marRight w:val="0"/>
                      <w:marTop w:val="0"/>
                      <w:marBottom w:val="0"/>
                      <w:divBdr>
                        <w:top w:val="none" w:sz="0" w:space="0" w:color="auto"/>
                        <w:left w:val="none" w:sz="0" w:space="0" w:color="auto"/>
                        <w:bottom w:val="none" w:sz="0" w:space="0" w:color="auto"/>
                        <w:right w:val="none" w:sz="0" w:space="0" w:color="auto"/>
                      </w:divBdr>
                      <w:divsChild>
                        <w:div w:id="1786463215">
                          <w:marLeft w:val="0"/>
                          <w:marRight w:val="0"/>
                          <w:marTop w:val="0"/>
                          <w:marBottom w:val="0"/>
                          <w:divBdr>
                            <w:top w:val="none" w:sz="0" w:space="0" w:color="auto"/>
                            <w:left w:val="none" w:sz="0" w:space="0" w:color="auto"/>
                            <w:bottom w:val="none" w:sz="0" w:space="0" w:color="auto"/>
                            <w:right w:val="none" w:sz="0" w:space="0" w:color="auto"/>
                          </w:divBdr>
                          <w:divsChild>
                            <w:div w:id="887914111">
                              <w:marLeft w:val="0"/>
                              <w:marRight w:val="0"/>
                              <w:marTop w:val="0"/>
                              <w:marBottom w:val="0"/>
                              <w:divBdr>
                                <w:top w:val="none" w:sz="0" w:space="0" w:color="auto"/>
                                <w:left w:val="none" w:sz="0" w:space="0" w:color="auto"/>
                                <w:bottom w:val="none" w:sz="0" w:space="0" w:color="auto"/>
                                <w:right w:val="none" w:sz="0" w:space="0" w:color="auto"/>
                              </w:divBdr>
                              <w:divsChild>
                                <w:div w:id="1293175774">
                                  <w:marLeft w:val="0"/>
                                  <w:marRight w:val="0"/>
                                  <w:marTop w:val="0"/>
                                  <w:marBottom w:val="0"/>
                                  <w:divBdr>
                                    <w:top w:val="none" w:sz="0" w:space="0" w:color="auto"/>
                                    <w:left w:val="none" w:sz="0" w:space="0" w:color="auto"/>
                                    <w:bottom w:val="none" w:sz="0" w:space="0" w:color="auto"/>
                                    <w:right w:val="none" w:sz="0" w:space="0" w:color="auto"/>
                                  </w:divBdr>
                                  <w:divsChild>
                                    <w:div w:id="804809861">
                                      <w:marLeft w:val="0"/>
                                      <w:marRight w:val="0"/>
                                      <w:marTop w:val="0"/>
                                      <w:marBottom w:val="0"/>
                                      <w:divBdr>
                                        <w:top w:val="none" w:sz="0" w:space="0" w:color="auto"/>
                                        <w:left w:val="none" w:sz="0" w:space="0" w:color="auto"/>
                                        <w:bottom w:val="none" w:sz="0" w:space="0" w:color="auto"/>
                                        <w:right w:val="none" w:sz="0" w:space="0" w:color="auto"/>
                                      </w:divBdr>
                                      <w:divsChild>
                                        <w:div w:id="82150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018714">
      <w:bodyDiv w:val="1"/>
      <w:marLeft w:val="0"/>
      <w:marRight w:val="0"/>
      <w:marTop w:val="0"/>
      <w:marBottom w:val="0"/>
      <w:divBdr>
        <w:top w:val="none" w:sz="0" w:space="0" w:color="auto"/>
        <w:left w:val="none" w:sz="0" w:space="0" w:color="auto"/>
        <w:bottom w:val="none" w:sz="0" w:space="0" w:color="auto"/>
        <w:right w:val="none" w:sz="0" w:space="0" w:color="auto"/>
      </w:divBdr>
    </w:div>
    <w:div w:id="776632517">
      <w:bodyDiv w:val="1"/>
      <w:marLeft w:val="0"/>
      <w:marRight w:val="0"/>
      <w:marTop w:val="0"/>
      <w:marBottom w:val="0"/>
      <w:divBdr>
        <w:top w:val="none" w:sz="0" w:space="0" w:color="auto"/>
        <w:left w:val="none" w:sz="0" w:space="0" w:color="auto"/>
        <w:bottom w:val="none" w:sz="0" w:space="0" w:color="auto"/>
        <w:right w:val="none" w:sz="0" w:space="0" w:color="auto"/>
      </w:divBdr>
    </w:div>
    <w:div w:id="819538024">
      <w:bodyDiv w:val="1"/>
      <w:marLeft w:val="0"/>
      <w:marRight w:val="0"/>
      <w:marTop w:val="0"/>
      <w:marBottom w:val="0"/>
      <w:divBdr>
        <w:top w:val="none" w:sz="0" w:space="0" w:color="auto"/>
        <w:left w:val="none" w:sz="0" w:space="0" w:color="auto"/>
        <w:bottom w:val="none" w:sz="0" w:space="0" w:color="auto"/>
        <w:right w:val="none" w:sz="0" w:space="0" w:color="auto"/>
      </w:divBdr>
      <w:divsChild>
        <w:div w:id="447359003">
          <w:marLeft w:val="0"/>
          <w:marRight w:val="0"/>
          <w:marTop w:val="0"/>
          <w:marBottom w:val="0"/>
          <w:divBdr>
            <w:top w:val="none" w:sz="0" w:space="0" w:color="auto"/>
            <w:left w:val="none" w:sz="0" w:space="0" w:color="auto"/>
            <w:bottom w:val="none" w:sz="0" w:space="0" w:color="auto"/>
            <w:right w:val="none" w:sz="0" w:space="0" w:color="auto"/>
          </w:divBdr>
          <w:divsChild>
            <w:div w:id="1345478463">
              <w:marLeft w:val="0"/>
              <w:marRight w:val="0"/>
              <w:marTop w:val="0"/>
              <w:marBottom w:val="0"/>
              <w:divBdr>
                <w:top w:val="none" w:sz="0" w:space="0" w:color="auto"/>
                <w:left w:val="none" w:sz="0" w:space="0" w:color="auto"/>
                <w:bottom w:val="none" w:sz="0" w:space="0" w:color="auto"/>
                <w:right w:val="none" w:sz="0" w:space="0" w:color="auto"/>
              </w:divBdr>
              <w:divsChild>
                <w:div w:id="1522091602">
                  <w:marLeft w:val="0"/>
                  <w:marRight w:val="0"/>
                  <w:marTop w:val="0"/>
                  <w:marBottom w:val="0"/>
                  <w:divBdr>
                    <w:top w:val="none" w:sz="0" w:space="0" w:color="auto"/>
                    <w:left w:val="none" w:sz="0" w:space="0" w:color="auto"/>
                    <w:bottom w:val="none" w:sz="0" w:space="0" w:color="auto"/>
                    <w:right w:val="none" w:sz="0" w:space="0" w:color="auto"/>
                  </w:divBdr>
                  <w:divsChild>
                    <w:div w:id="1308238906">
                      <w:marLeft w:val="0"/>
                      <w:marRight w:val="0"/>
                      <w:marTop w:val="0"/>
                      <w:marBottom w:val="0"/>
                      <w:divBdr>
                        <w:top w:val="none" w:sz="0" w:space="0" w:color="auto"/>
                        <w:left w:val="none" w:sz="0" w:space="0" w:color="auto"/>
                        <w:bottom w:val="none" w:sz="0" w:space="0" w:color="auto"/>
                        <w:right w:val="none" w:sz="0" w:space="0" w:color="auto"/>
                      </w:divBdr>
                      <w:divsChild>
                        <w:div w:id="1068965955">
                          <w:marLeft w:val="0"/>
                          <w:marRight w:val="0"/>
                          <w:marTop w:val="0"/>
                          <w:marBottom w:val="0"/>
                          <w:divBdr>
                            <w:top w:val="none" w:sz="0" w:space="0" w:color="auto"/>
                            <w:left w:val="none" w:sz="0" w:space="0" w:color="auto"/>
                            <w:bottom w:val="none" w:sz="0" w:space="0" w:color="auto"/>
                            <w:right w:val="none" w:sz="0" w:space="0" w:color="auto"/>
                          </w:divBdr>
                          <w:divsChild>
                            <w:div w:id="1319455994">
                              <w:marLeft w:val="0"/>
                              <w:marRight w:val="0"/>
                              <w:marTop w:val="0"/>
                              <w:marBottom w:val="0"/>
                              <w:divBdr>
                                <w:top w:val="none" w:sz="0" w:space="0" w:color="auto"/>
                                <w:left w:val="none" w:sz="0" w:space="0" w:color="auto"/>
                                <w:bottom w:val="none" w:sz="0" w:space="0" w:color="auto"/>
                                <w:right w:val="none" w:sz="0" w:space="0" w:color="auto"/>
                              </w:divBdr>
                              <w:divsChild>
                                <w:div w:id="318926791">
                                  <w:marLeft w:val="0"/>
                                  <w:marRight w:val="0"/>
                                  <w:marTop w:val="0"/>
                                  <w:marBottom w:val="0"/>
                                  <w:divBdr>
                                    <w:top w:val="none" w:sz="0" w:space="0" w:color="auto"/>
                                    <w:left w:val="none" w:sz="0" w:space="0" w:color="auto"/>
                                    <w:bottom w:val="none" w:sz="0" w:space="0" w:color="auto"/>
                                    <w:right w:val="none" w:sz="0" w:space="0" w:color="auto"/>
                                  </w:divBdr>
                                  <w:divsChild>
                                    <w:div w:id="1888639767">
                                      <w:marLeft w:val="0"/>
                                      <w:marRight w:val="0"/>
                                      <w:marTop w:val="0"/>
                                      <w:marBottom w:val="0"/>
                                      <w:divBdr>
                                        <w:top w:val="none" w:sz="0" w:space="0" w:color="auto"/>
                                        <w:left w:val="none" w:sz="0" w:space="0" w:color="auto"/>
                                        <w:bottom w:val="none" w:sz="0" w:space="0" w:color="auto"/>
                                        <w:right w:val="none" w:sz="0" w:space="0" w:color="auto"/>
                                      </w:divBdr>
                                      <w:divsChild>
                                        <w:div w:id="52995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785460">
      <w:bodyDiv w:val="1"/>
      <w:marLeft w:val="0"/>
      <w:marRight w:val="0"/>
      <w:marTop w:val="0"/>
      <w:marBottom w:val="0"/>
      <w:divBdr>
        <w:top w:val="none" w:sz="0" w:space="0" w:color="auto"/>
        <w:left w:val="none" w:sz="0" w:space="0" w:color="auto"/>
        <w:bottom w:val="none" w:sz="0" w:space="0" w:color="auto"/>
        <w:right w:val="none" w:sz="0" w:space="0" w:color="auto"/>
      </w:divBdr>
    </w:div>
    <w:div w:id="947350216">
      <w:bodyDiv w:val="1"/>
      <w:marLeft w:val="0"/>
      <w:marRight w:val="0"/>
      <w:marTop w:val="0"/>
      <w:marBottom w:val="0"/>
      <w:divBdr>
        <w:top w:val="none" w:sz="0" w:space="0" w:color="auto"/>
        <w:left w:val="none" w:sz="0" w:space="0" w:color="auto"/>
        <w:bottom w:val="none" w:sz="0" w:space="0" w:color="auto"/>
        <w:right w:val="none" w:sz="0" w:space="0" w:color="auto"/>
      </w:divBdr>
    </w:div>
    <w:div w:id="967979706">
      <w:bodyDiv w:val="1"/>
      <w:marLeft w:val="0"/>
      <w:marRight w:val="0"/>
      <w:marTop w:val="0"/>
      <w:marBottom w:val="0"/>
      <w:divBdr>
        <w:top w:val="none" w:sz="0" w:space="0" w:color="auto"/>
        <w:left w:val="none" w:sz="0" w:space="0" w:color="auto"/>
        <w:bottom w:val="none" w:sz="0" w:space="0" w:color="auto"/>
        <w:right w:val="none" w:sz="0" w:space="0" w:color="auto"/>
      </w:divBdr>
    </w:div>
    <w:div w:id="1042900941">
      <w:bodyDiv w:val="1"/>
      <w:marLeft w:val="0"/>
      <w:marRight w:val="0"/>
      <w:marTop w:val="0"/>
      <w:marBottom w:val="0"/>
      <w:divBdr>
        <w:top w:val="none" w:sz="0" w:space="0" w:color="auto"/>
        <w:left w:val="none" w:sz="0" w:space="0" w:color="auto"/>
        <w:bottom w:val="none" w:sz="0" w:space="0" w:color="auto"/>
        <w:right w:val="none" w:sz="0" w:space="0" w:color="auto"/>
      </w:divBdr>
    </w:div>
    <w:div w:id="1054349390">
      <w:bodyDiv w:val="1"/>
      <w:marLeft w:val="0"/>
      <w:marRight w:val="0"/>
      <w:marTop w:val="0"/>
      <w:marBottom w:val="0"/>
      <w:divBdr>
        <w:top w:val="none" w:sz="0" w:space="0" w:color="auto"/>
        <w:left w:val="none" w:sz="0" w:space="0" w:color="auto"/>
        <w:bottom w:val="none" w:sz="0" w:space="0" w:color="auto"/>
        <w:right w:val="none" w:sz="0" w:space="0" w:color="auto"/>
      </w:divBdr>
    </w:div>
    <w:div w:id="1082071099">
      <w:bodyDiv w:val="1"/>
      <w:marLeft w:val="0"/>
      <w:marRight w:val="0"/>
      <w:marTop w:val="0"/>
      <w:marBottom w:val="0"/>
      <w:divBdr>
        <w:top w:val="none" w:sz="0" w:space="0" w:color="auto"/>
        <w:left w:val="none" w:sz="0" w:space="0" w:color="auto"/>
        <w:bottom w:val="none" w:sz="0" w:space="0" w:color="auto"/>
        <w:right w:val="none" w:sz="0" w:space="0" w:color="auto"/>
      </w:divBdr>
    </w:div>
    <w:div w:id="1100028123">
      <w:bodyDiv w:val="1"/>
      <w:marLeft w:val="0"/>
      <w:marRight w:val="0"/>
      <w:marTop w:val="0"/>
      <w:marBottom w:val="0"/>
      <w:divBdr>
        <w:top w:val="none" w:sz="0" w:space="0" w:color="auto"/>
        <w:left w:val="none" w:sz="0" w:space="0" w:color="auto"/>
        <w:bottom w:val="none" w:sz="0" w:space="0" w:color="auto"/>
        <w:right w:val="none" w:sz="0" w:space="0" w:color="auto"/>
      </w:divBdr>
    </w:div>
    <w:div w:id="1108819553">
      <w:bodyDiv w:val="1"/>
      <w:marLeft w:val="0"/>
      <w:marRight w:val="0"/>
      <w:marTop w:val="0"/>
      <w:marBottom w:val="0"/>
      <w:divBdr>
        <w:top w:val="none" w:sz="0" w:space="0" w:color="auto"/>
        <w:left w:val="none" w:sz="0" w:space="0" w:color="auto"/>
        <w:bottom w:val="none" w:sz="0" w:space="0" w:color="auto"/>
        <w:right w:val="none" w:sz="0" w:space="0" w:color="auto"/>
      </w:divBdr>
    </w:div>
    <w:div w:id="1177844815">
      <w:bodyDiv w:val="1"/>
      <w:marLeft w:val="0"/>
      <w:marRight w:val="0"/>
      <w:marTop w:val="0"/>
      <w:marBottom w:val="0"/>
      <w:divBdr>
        <w:top w:val="none" w:sz="0" w:space="0" w:color="auto"/>
        <w:left w:val="none" w:sz="0" w:space="0" w:color="auto"/>
        <w:bottom w:val="none" w:sz="0" w:space="0" w:color="auto"/>
        <w:right w:val="none" w:sz="0" w:space="0" w:color="auto"/>
      </w:divBdr>
    </w:div>
    <w:div w:id="1204097812">
      <w:bodyDiv w:val="1"/>
      <w:marLeft w:val="0"/>
      <w:marRight w:val="0"/>
      <w:marTop w:val="0"/>
      <w:marBottom w:val="0"/>
      <w:divBdr>
        <w:top w:val="none" w:sz="0" w:space="0" w:color="auto"/>
        <w:left w:val="none" w:sz="0" w:space="0" w:color="auto"/>
        <w:bottom w:val="none" w:sz="0" w:space="0" w:color="auto"/>
        <w:right w:val="none" w:sz="0" w:space="0" w:color="auto"/>
      </w:divBdr>
    </w:div>
    <w:div w:id="1528594325">
      <w:bodyDiv w:val="1"/>
      <w:marLeft w:val="0"/>
      <w:marRight w:val="0"/>
      <w:marTop w:val="0"/>
      <w:marBottom w:val="0"/>
      <w:divBdr>
        <w:top w:val="none" w:sz="0" w:space="0" w:color="auto"/>
        <w:left w:val="none" w:sz="0" w:space="0" w:color="auto"/>
        <w:bottom w:val="none" w:sz="0" w:space="0" w:color="auto"/>
        <w:right w:val="none" w:sz="0" w:space="0" w:color="auto"/>
      </w:divBdr>
    </w:div>
    <w:div w:id="1607686971">
      <w:bodyDiv w:val="1"/>
      <w:marLeft w:val="0"/>
      <w:marRight w:val="0"/>
      <w:marTop w:val="0"/>
      <w:marBottom w:val="0"/>
      <w:divBdr>
        <w:top w:val="none" w:sz="0" w:space="0" w:color="auto"/>
        <w:left w:val="none" w:sz="0" w:space="0" w:color="auto"/>
        <w:bottom w:val="none" w:sz="0" w:space="0" w:color="auto"/>
        <w:right w:val="none" w:sz="0" w:space="0" w:color="auto"/>
      </w:divBdr>
    </w:div>
    <w:div w:id="1630430884">
      <w:bodyDiv w:val="1"/>
      <w:marLeft w:val="0"/>
      <w:marRight w:val="0"/>
      <w:marTop w:val="0"/>
      <w:marBottom w:val="0"/>
      <w:divBdr>
        <w:top w:val="none" w:sz="0" w:space="0" w:color="auto"/>
        <w:left w:val="none" w:sz="0" w:space="0" w:color="auto"/>
        <w:bottom w:val="none" w:sz="0" w:space="0" w:color="auto"/>
        <w:right w:val="none" w:sz="0" w:space="0" w:color="auto"/>
      </w:divBdr>
    </w:div>
    <w:div w:id="1663657198">
      <w:bodyDiv w:val="1"/>
      <w:marLeft w:val="0"/>
      <w:marRight w:val="0"/>
      <w:marTop w:val="0"/>
      <w:marBottom w:val="0"/>
      <w:divBdr>
        <w:top w:val="none" w:sz="0" w:space="0" w:color="auto"/>
        <w:left w:val="none" w:sz="0" w:space="0" w:color="auto"/>
        <w:bottom w:val="none" w:sz="0" w:space="0" w:color="auto"/>
        <w:right w:val="none" w:sz="0" w:space="0" w:color="auto"/>
      </w:divBdr>
      <w:divsChild>
        <w:div w:id="1518889118">
          <w:marLeft w:val="0"/>
          <w:marRight w:val="0"/>
          <w:marTop w:val="0"/>
          <w:marBottom w:val="0"/>
          <w:divBdr>
            <w:top w:val="none" w:sz="0" w:space="0" w:color="auto"/>
            <w:left w:val="none" w:sz="0" w:space="0" w:color="auto"/>
            <w:bottom w:val="none" w:sz="0" w:space="0" w:color="auto"/>
            <w:right w:val="none" w:sz="0" w:space="0" w:color="auto"/>
          </w:divBdr>
          <w:divsChild>
            <w:div w:id="989554601">
              <w:marLeft w:val="0"/>
              <w:marRight w:val="0"/>
              <w:marTop w:val="0"/>
              <w:marBottom w:val="0"/>
              <w:divBdr>
                <w:top w:val="none" w:sz="0" w:space="0" w:color="auto"/>
                <w:left w:val="none" w:sz="0" w:space="0" w:color="auto"/>
                <w:bottom w:val="none" w:sz="0" w:space="0" w:color="auto"/>
                <w:right w:val="none" w:sz="0" w:space="0" w:color="auto"/>
              </w:divBdr>
              <w:divsChild>
                <w:div w:id="1389499104">
                  <w:marLeft w:val="0"/>
                  <w:marRight w:val="0"/>
                  <w:marTop w:val="0"/>
                  <w:marBottom w:val="0"/>
                  <w:divBdr>
                    <w:top w:val="none" w:sz="0" w:space="0" w:color="auto"/>
                    <w:left w:val="none" w:sz="0" w:space="0" w:color="auto"/>
                    <w:bottom w:val="none" w:sz="0" w:space="0" w:color="auto"/>
                    <w:right w:val="none" w:sz="0" w:space="0" w:color="auto"/>
                  </w:divBdr>
                  <w:divsChild>
                    <w:div w:id="920917883">
                      <w:marLeft w:val="0"/>
                      <w:marRight w:val="0"/>
                      <w:marTop w:val="0"/>
                      <w:marBottom w:val="0"/>
                      <w:divBdr>
                        <w:top w:val="none" w:sz="0" w:space="0" w:color="auto"/>
                        <w:left w:val="none" w:sz="0" w:space="0" w:color="auto"/>
                        <w:bottom w:val="none" w:sz="0" w:space="0" w:color="auto"/>
                        <w:right w:val="none" w:sz="0" w:space="0" w:color="auto"/>
                      </w:divBdr>
                      <w:divsChild>
                        <w:div w:id="1432429669">
                          <w:marLeft w:val="0"/>
                          <w:marRight w:val="0"/>
                          <w:marTop w:val="0"/>
                          <w:marBottom w:val="0"/>
                          <w:divBdr>
                            <w:top w:val="single" w:sz="6" w:space="15" w:color="auto"/>
                            <w:left w:val="single" w:sz="2" w:space="15" w:color="auto"/>
                            <w:bottom w:val="single" w:sz="2" w:space="15" w:color="auto"/>
                            <w:right w:val="single" w:sz="2" w:space="15" w:color="auto"/>
                          </w:divBdr>
                          <w:divsChild>
                            <w:div w:id="1319190735">
                              <w:marLeft w:val="0"/>
                              <w:marRight w:val="0"/>
                              <w:marTop w:val="0"/>
                              <w:marBottom w:val="360"/>
                              <w:divBdr>
                                <w:top w:val="none" w:sz="0" w:space="0" w:color="auto"/>
                                <w:left w:val="none" w:sz="0" w:space="0" w:color="auto"/>
                                <w:bottom w:val="none" w:sz="0" w:space="0" w:color="auto"/>
                                <w:right w:val="none" w:sz="0" w:space="0" w:color="auto"/>
                              </w:divBdr>
                            </w:div>
                            <w:div w:id="803737493">
                              <w:marLeft w:val="0"/>
                              <w:marRight w:val="0"/>
                              <w:marTop w:val="0"/>
                              <w:marBottom w:val="0"/>
                              <w:divBdr>
                                <w:top w:val="none" w:sz="0" w:space="0" w:color="auto"/>
                                <w:left w:val="none" w:sz="0" w:space="0" w:color="auto"/>
                                <w:bottom w:val="none" w:sz="0" w:space="0" w:color="auto"/>
                                <w:right w:val="none" w:sz="0" w:space="0" w:color="auto"/>
                              </w:divBdr>
                              <w:divsChild>
                                <w:div w:id="16958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2438">
          <w:marLeft w:val="0"/>
          <w:marRight w:val="0"/>
          <w:marTop w:val="0"/>
          <w:marBottom w:val="0"/>
          <w:divBdr>
            <w:top w:val="none" w:sz="0" w:space="0" w:color="auto"/>
            <w:left w:val="none" w:sz="0" w:space="0" w:color="auto"/>
            <w:bottom w:val="none" w:sz="0" w:space="0" w:color="auto"/>
            <w:right w:val="none" w:sz="0" w:space="0" w:color="auto"/>
          </w:divBdr>
          <w:divsChild>
            <w:div w:id="815801270">
              <w:marLeft w:val="0"/>
              <w:marRight w:val="0"/>
              <w:marTop w:val="0"/>
              <w:marBottom w:val="0"/>
              <w:divBdr>
                <w:top w:val="none" w:sz="0" w:space="0" w:color="auto"/>
                <w:left w:val="none" w:sz="0" w:space="0" w:color="auto"/>
                <w:bottom w:val="none" w:sz="0" w:space="0" w:color="auto"/>
                <w:right w:val="none" w:sz="0" w:space="0" w:color="auto"/>
              </w:divBdr>
              <w:divsChild>
                <w:div w:id="781267005">
                  <w:marLeft w:val="0"/>
                  <w:marRight w:val="0"/>
                  <w:marTop w:val="0"/>
                  <w:marBottom w:val="0"/>
                  <w:divBdr>
                    <w:top w:val="none" w:sz="0" w:space="0" w:color="auto"/>
                    <w:left w:val="none" w:sz="0" w:space="0" w:color="auto"/>
                    <w:bottom w:val="none" w:sz="0" w:space="0" w:color="auto"/>
                    <w:right w:val="none" w:sz="0" w:space="0" w:color="auto"/>
                  </w:divBdr>
                  <w:divsChild>
                    <w:div w:id="2004621732">
                      <w:marLeft w:val="0"/>
                      <w:marRight w:val="0"/>
                      <w:marTop w:val="0"/>
                      <w:marBottom w:val="0"/>
                      <w:divBdr>
                        <w:top w:val="none" w:sz="0" w:space="0" w:color="auto"/>
                        <w:left w:val="none" w:sz="0" w:space="0" w:color="auto"/>
                        <w:bottom w:val="none" w:sz="0" w:space="0" w:color="auto"/>
                        <w:right w:val="none" w:sz="0" w:space="0" w:color="auto"/>
                      </w:divBdr>
                      <w:divsChild>
                        <w:div w:id="1919243510">
                          <w:marLeft w:val="0"/>
                          <w:marRight w:val="0"/>
                          <w:marTop w:val="0"/>
                          <w:marBottom w:val="0"/>
                          <w:divBdr>
                            <w:top w:val="none" w:sz="0" w:space="0" w:color="auto"/>
                            <w:left w:val="none" w:sz="0" w:space="0" w:color="auto"/>
                            <w:bottom w:val="none" w:sz="0" w:space="0" w:color="auto"/>
                            <w:right w:val="none" w:sz="0" w:space="0" w:color="auto"/>
                          </w:divBdr>
                          <w:divsChild>
                            <w:div w:id="1730838410">
                              <w:marLeft w:val="0"/>
                              <w:marRight w:val="0"/>
                              <w:marTop w:val="0"/>
                              <w:marBottom w:val="0"/>
                              <w:divBdr>
                                <w:top w:val="none" w:sz="0" w:space="0" w:color="auto"/>
                                <w:left w:val="none" w:sz="0" w:space="0" w:color="auto"/>
                                <w:bottom w:val="none" w:sz="0" w:space="0" w:color="auto"/>
                                <w:right w:val="none" w:sz="0" w:space="0" w:color="auto"/>
                              </w:divBdr>
                              <w:divsChild>
                                <w:div w:id="1676767803">
                                  <w:marLeft w:val="0"/>
                                  <w:marRight w:val="0"/>
                                  <w:marTop w:val="0"/>
                                  <w:marBottom w:val="0"/>
                                  <w:divBdr>
                                    <w:top w:val="none" w:sz="0" w:space="0" w:color="auto"/>
                                    <w:left w:val="none" w:sz="0" w:space="0" w:color="auto"/>
                                    <w:bottom w:val="none" w:sz="0" w:space="0" w:color="auto"/>
                                    <w:right w:val="none" w:sz="0" w:space="0" w:color="auto"/>
                                  </w:divBdr>
                                  <w:divsChild>
                                    <w:div w:id="1136096338">
                                      <w:marLeft w:val="0"/>
                                      <w:marRight w:val="0"/>
                                      <w:marTop w:val="0"/>
                                      <w:marBottom w:val="0"/>
                                      <w:divBdr>
                                        <w:top w:val="none" w:sz="0" w:space="0" w:color="auto"/>
                                        <w:left w:val="none" w:sz="0" w:space="0" w:color="auto"/>
                                        <w:bottom w:val="none" w:sz="0" w:space="0" w:color="auto"/>
                                        <w:right w:val="none" w:sz="0" w:space="0" w:color="auto"/>
                                      </w:divBdr>
                                      <w:divsChild>
                                        <w:div w:id="659575021">
                                          <w:marLeft w:val="0"/>
                                          <w:marRight w:val="0"/>
                                          <w:marTop w:val="0"/>
                                          <w:marBottom w:val="0"/>
                                          <w:divBdr>
                                            <w:top w:val="none" w:sz="0" w:space="0" w:color="auto"/>
                                            <w:left w:val="none" w:sz="0" w:space="0" w:color="auto"/>
                                            <w:bottom w:val="none" w:sz="0" w:space="0" w:color="auto"/>
                                            <w:right w:val="none" w:sz="0" w:space="0" w:color="auto"/>
                                          </w:divBdr>
                                          <w:divsChild>
                                            <w:div w:id="106782601">
                                              <w:marLeft w:val="0"/>
                                              <w:marRight w:val="0"/>
                                              <w:marTop w:val="0"/>
                                              <w:marBottom w:val="0"/>
                                              <w:divBdr>
                                                <w:top w:val="none" w:sz="0" w:space="0" w:color="auto"/>
                                                <w:left w:val="none" w:sz="0" w:space="0" w:color="auto"/>
                                                <w:bottom w:val="none" w:sz="0" w:space="0" w:color="auto"/>
                                                <w:right w:val="none" w:sz="0" w:space="0" w:color="auto"/>
                                              </w:divBdr>
                                              <w:divsChild>
                                                <w:div w:id="1497306697">
                                                  <w:marLeft w:val="0"/>
                                                  <w:marRight w:val="0"/>
                                                  <w:marTop w:val="0"/>
                                                  <w:marBottom w:val="0"/>
                                                  <w:divBdr>
                                                    <w:top w:val="none" w:sz="0" w:space="0" w:color="auto"/>
                                                    <w:left w:val="none" w:sz="0" w:space="0" w:color="auto"/>
                                                    <w:bottom w:val="none" w:sz="0" w:space="0" w:color="auto"/>
                                                    <w:right w:val="none" w:sz="0" w:space="0" w:color="auto"/>
                                                  </w:divBdr>
                                                  <w:divsChild>
                                                    <w:div w:id="285081992">
                                                      <w:marLeft w:val="0"/>
                                                      <w:marRight w:val="0"/>
                                                      <w:marTop w:val="0"/>
                                                      <w:marBottom w:val="0"/>
                                                      <w:divBdr>
                                                        <w:top w:val="none" w:sz="0" w:space="0" w:color="auto"/>
                                                        <w:left w:val="none" w:sz="0" w:space="0" w:color="auto"/>
                                                        <w:bottom w:val="none" w:sz="0" w:space="0" w:color="auto"/>
                                                        <w:right w:val="none" w:sz="0" w:space="0" w:color="auto"/>
                                                      </w:divBdr>
                                                      <w:divsChild>
                                                        <w:div w:id="1600865962">
                                                          <w:marLeft w:val="0"/>
                                                          <w:marRight w:val="0"/>
                                                          <w:marTop w:val="0"/>
                                                          <w:marBottom w:val="0"/>
                                                          <w:divBdr>
                                                            <w:top w:val="none" w:sz="0" w:space="0" w:color="auto"/>
                                                            <w:left w:val="none" w:sz="0" w:space="0" w:color="auto"/>
                                                            <w:bottom w:val="none" w:sz="0" w:space="0" w:color="auto"/>
                                                            <w:right w:val="none" w:sz="0" w:space="0" w:color="auto"/>
                                                          </w:divBdr>
                                                          <w:divsChild>
                                                            <w:div w:id="732896040">
                                                              <w:marLeft w:val="0"/>
                                                              <w:marRight w:val="0"/>
                                                              <w:marTop w:val="0"/>
                                                              <w:marBottom w:val="0"/>
                                                              <w:divBdr>
                                                                <w:top w:val="none" w:sz="0" w:space="0" w:color="auto"/>
                                                                <w:left w:val="none" w:sz="0" w:space="0" w:color="auto"/>
                                                                <w:bottom w:val="none" w:sz="0" w:space="0" w:color="auto"/>
                                                                <w:right w:val="none" w:sz="0" w:space="0" w:color="auto"/>
                                                              </w:divBdr>
                                                              <w:divsChild>
                                                                <w:div w:id="1745297451">
                                                                  <w:marLeft w:val="0"/>
                                                                  <w:marRight w:val="0"/>
                                                                  <w:marTop w:val="0"/>
                                                                  <w:marBottom w:val="0"/>
                                                                  <w:divBdr>
                                                                    <w:top w:val="none" w:sz="0" w:space="0" w:color="auto"/>
                                                                    <w:left w:val="none" w:sz="0" w:space="0" w:color="auto"/>
                                                                    <w:bottom w:val="none" w:sz="0" w:space="0" w:color="auto"/>
                                                                    <w:right w:val="none" w:sz="0" w:space="0" w:color="auto"/>
                                                                  </w:divBdr>
                                                                  <w:divsChild>
                                                                    <w:div w:id="1315375147">
                                                                      <w:marLeft w:val="0"/>
                                                                      <w:marRight w:val="0"/>
                                                                      <w:marTop w:val="0"/>
                                                                      <w:marBottom w:val="0"/>
                                                                      <w:divBdr>
                                                                        <w:top w:val="none" w:sz="0" w:space="0" w:color="auto"/>
                                                                        <w:left w:val="none" w:sz="0" w:space="0" w:color="auto"/>
                                                                        <w:bottom w:val="none" w:sz="0" w:space="0" w:color="auto"/>
                                                                        <w:right w:val="none" w:sz="0" w:space="0" w:color="auto"/>
                                                                      </w:divBdr>
                                                                      <w:divsChild>
                                                                        <w:div w:id="1140197575">
                                                                          <w:marLeft w:val="0"/>
                                                                          <w:marRight w:val="0"/>
                                                                          <w:marTop w:val="0"/>
                                                                          <w:marBottom w:val="0"/>
                                                                          <w:divBdr>
                                                                            <w:top w:val="none" w:sz="0" w:space="0" w:color="auto"/>
                                                                            <w:left w:val="none" w:sz="0" w:space="0" w:color="auto"/>
                                                                            <w:bottom w:val="none" w:sz="0" w:space="0" w:color="auto"/>
                                                                            <w:right w:val="none" w:sz="0" w:space="0" w:color="auto"/>
                                                                          </w:divBdr>
                                                                          <w:divsChild>
                                                                            <w:div w:id="1834443514">
                                                                              <w:marLeft w:val="0"/>
                                                                              <w:marRight w:val="0"/>
                                                                              <w:marTop w:val="0"/>
                                                                              <w:marBottom w:val="0"/>
                                                                              <w:divBdr>
                                                                                <w:top w:val="none" w:sz="0" w:space="0" w:color="auto"/>
                                                                                <w:left w:val="none" w:sz="0" w:space="0" w:color="auto"/>
                                                                                <w:bottom w:val="none" w:sz="0" w:space="0" w:color="auto"/>
                                                                                <w:right w:val="none" w:sz="0" w:space="0" w:color="auto"/>
                                                                              </w:divBdr>
                                                                              <w:divsChild>
                                                                                <w:div w:id="38503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0575732">
                                      <w:marLeft w:val="0"/>
                                      <w:marRight w:val="0"/>
                                      <w:marTop w:val="0"/>
                                      <w:marBottom w:val="0"/>
                                      <w:divBdr>
                                        <w:top w:val="none" w:sz="0" w:space="0" w:color="auto"/>
                                        <w:left w:val="none" w:sz="0" w:space="0" w:color="auto"/>
                                        <w:bottom w:val="none" w:sz="0" w:space="0" w:color="auto"/>
                                        <w:right w:val="none" w:sz="0" w:space="0" w:color="auto"/>
                                      </w:divBdr>
                                      <w:divsChild>
                                        <w:div w:id="1616595503">
                                          <w:marLeft w:val="0"/>
                                          <w:marRight w:val="0"/>
                                          <w:marTop w:val="0"/>
                                          <w:marBottom w:val="0"/>
                                          <w:divBdr>
                                            <w:top w:val="none" w:sz="0" w:space="0" w:color="auto"/>
                                            <w:left w:val="none" w:sz="0" w:space="0" w:color="auto"/>
                                            <w:bottom w:val="none" w:sz="0" w:space="0" w:color="auto"/>
                                            <w:right w:val="none" w:sz="0" w:space="0" w:color="auto"/>
                                          </w:divBdr>
                                          <w:divsChild>
                                            <w:div w:id="985859532">
                                              <w:marLeft w:val="0"/>
                                              <w:marRight w:val="0"/>
                                              <w:marTop w:val="0"/>
                                              <w:marBottom w:val="0"/>
                                              <w:divBdr>
                                                <w:top w:val="none" w:sz="0" w:space="0" w:color="auto"/>
                                                <w:left w:val="none" w:sz="0" w:space="0" w:color="auto"/>
                                                <w:bottom w:val="none" w:sz="0" w:space="0" w:color="auto"/>
                                                <w:right w:val="none" w:sz="0" w:space="0" w:color="auto"/>
                                              </w:divBdr>
                                              <w:divsChild>
                                                <w:div w:id="533005857">
                                                  <w:marLeft w:val="0"/>
                                                  <w:marRight w:val="0"/>
                                                  <w:marTop w:val="0"/>
                                                  <w:marBottom w:val="0"/>
                                                  <w:divBdr>
                                                    <w:top w:val="none" w:sz="0" w:space="0" w:color="auto"/>
                                                    <w:left w:val="none" w:sz="0" w:space="0" w:color="auto"/>
                                                    <w:bottom w:val="none" w:sz="0" w:space="0" w:color="auto"/>
                                                    <w:right w:val="none" w:sz="0" w:space="0" w:color="auto"/>
                                                  </w:divBdr>
                                                  <w:divsChild>
                                                    <w:div w:id="1040588149">
                                                      <w:marLeft w:val="0"/>
                                                      <w:marRight w:val="0"/>
                                                      <w:marTop w:val="0"/>
                                                      <w:marBottom w:val="0"/>
                                                      <w:divBdr>
                                                        <w:top w:val="none" w:sz="0" w:space="0" w:color="auto"/>
                                                        <w:left w:val="none" w:sz="0" w:space="0" w:color="auto"/>
                                                        <w:bottom w:val="none" w:sz="0" w:space="0" w:color="auto"/>
                                                        <w:right w:val="none" w:sz="0" w:space="0" w:color="auto"/>
                                                      </w:divBdr>
                                                      <w:divsChild>
                                                        <w:div w:id="1795826368">
                                                          <w:marLeft w:val="0"/>
                                                          <w:marRight w:val="0"/>
                                                          <w:marTop w:val="0"/>
                                                          <w:marBottom w:val="0"/>
                                                          <w:divBdr>
                                                            <w:top w:val="none" w:sz="0" w:space="0" w:color="auto"/>
                                                            <w:left w:val="none" w:sz="0" w:space="0" w:color="auto"/>
                                                            <w:bottom w:val="none" w:sz="0" w:space="0" w:color="auto"/>
                                                            <w:right w:val="none" w:sz="0" w:space="0" w:color="auto"/>
                                                          </w:divBdr>
                                                          <w:divsChild>
                                                            <w:div w:id="1574317295">
                                                              <w:marLeft w:val="0"/>
                                                              <w:marRight w:val="0"/>
                                                              <w:marTop w:val="0"/>
                                                              <w:marBottom w:val="0"/>
                                                              <w:divBdr>
                                                                <w:top w:val="none" w:sz="0" w:space="0" w:color="auto"/>
                                                                <w:left w:val="none" w:sz="0" w:space="0" w:color="auto"/>
                                                                <w:bottom w:val="none" w:sz="0" w:space="0" w:color="auto"/>
                                                                <w:right w:val="none" w:sz="0" w:space="0" w:color="auto"/>
                                                              </w:divBdr>
                                                              <w:divsChild>
                                                                <w:div w:id="1241404544">
                                                                  <w:marLeft w:val="0"/>
                                                                  <w:marRight w:val="0"/>
                                                                  <w:marTop w:val="0"/>
                                                                  <w:marBottom w:val="0"/>
                                                                  <w:divBdr>
                                                                    <w:top w:val="none" w:sz="0" w:space="0" w:color="auto"/>
                                                                    <w:left w:val="none" w:sz="0" w:space="0" w:color="auto"/>
                                                                    <w:bottom w:val="none" w:sz="0" w:space="0" w:color="auto"/>
                                                                    <w:right w:val="none" w:sz="0" w:space="0" w:color="auto"/>
                                                                  </w:divBdr>
                                                                  <w:divsChild>
                                                                    <w:div w:id="85985114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597017">
                                      <w:marLeft w:val="0"/>
                                      <w:marRight w:val="0"/>
                                      <w:marTop w:val="0"/>
                                      <w:marBottom w:val="0"/>
                                      <w:divBdr>
                                        <w:top w:val="none" w:sz="0" w:space="0" w:color="auto"/>
                                        <w:left w:val="none" w:sz="0" w:space="0" w:color="auto"/>
                                        <w:bottom w:val="none" w:sz="0" w:space="0" w:color="auto"/>
                                        <w:right w:val="none" w:sz="0" w:space="0" w:color="auto"/>
                                      </w:divBdr>
                                      <w:divsChild>
                                        <w:div w:id="341202432">
                                          <w:marLeft w:val="0"/>
                                          <w:marRight w:val="0"/>
                                          <w:marTop w:val="0"/>
                                          <w:marBottom w:val="0"/>
                                          <w:divBdr>
                                            <w:top w:val="none" w:sz="0" w:space="0" w:color="auto"/>
                                            <w:left w:val="none" w:sz="0" w:space="0" w:color="auto"/>
                                            <w:bottom w:val="none" w:sz="0" w:space="0" w:color="auto"/>
                                            <w:right w:val="none" w:sz="0" w:space="0" w:color="auto"/>
                                          </w:divBdr>
                                          <w:divsChild>
                                            <w:div w:id="1076787039">
                                              <w:marLeft w:val="0"/>
                                              <w:marRight w:val="0"/>
                                              <w:marTop w:val="0"/>
                                              <w:marBottom w:val="0"/>
                                              <w:divBdr>
                                                <w:top w:val="none" w:sz="0" w:space="0" w:color="auto"/>
                                                <w:left w:val="none" w:sz="0" w:space="0" w:color="auto"/>
                                                <w:bottom w:val="none" w:sz="0" w:space="0" w:color="auto"/>
                                                <w:right w:val="none" w:sz="0" w:space="0" w:color="auto"/>
                                              </w:divBdr>
                                              <w:divsChild>
                                                <w:div w:id="569465974">
                                                  <w:marLeft w:val="0"/>
                                                  <w:marRight w:val="0"/>
                                                  <w:marTop w:val="0"/>
                                                  <w:marBottom w:val="0"/>
                                                  <w:divBdr>
                                                    <w:top w:val="none" w:sz="0" w:space="0" w:color="auto"/>
                                                    <w:left w:val="none" w:sz="0" w:space="0" w:color="auto"/>
                                                    <w:bottom w:val="none" w:sz="0" w:space="0" w:color="auto"/>
                                                    <w:right w:val="none" w:sz="0" w:space="0" w:color="auto"/>
                                                  </w:divBdr>
                                                  <w:divsChild>
                                                    <w:div w:id="541941430">
                                                      <w:marLeft w:val="0"/>
                                                      <w:marRight w:val="0"/>
                                                      <w:marTop w:val="0"/>
                                                      <w:marBottom w:val="0"/>
                                                      <w:divBdr>
                                                        <w:top w:val="none" w:sz="0" w:space="0" w:color="auto"/>
                                                        <w:left w:val="none" w:sz="0" w:space="0" w:color="auto"/>
                                                        <w:bottom w:val="none" w:sz="0" w:space="0" w:color="auto"/>
                                                        <w:right w:val="none" w:sz="0" w:space="0" w:color="auto"/>
                                                      </w:divBdr>
                                                      <w:divsChild>
                                                        <w:div w:id="1297224926">
                                                          <w:marLeft w:val="0"/>
                                                          <w:marRight w:val="0"/>
                                                          <w:marTop w:val="0"/>
                                                          <w:marBottom w:val="0"/>
                                                          <w:divBdr>
                                                            <w:top w:val="none" w:sz="0" w:space="0" w:color="auto"/>
                                                            <w:left w:val="none" w:sz="0" w:space="0" w:color="auto"/>
                                                            <w:bottom w:val="none" w:sz="0" w:space="0" w:color="auto"/>
                                                            <w:right w:val="none" w:sz="0" w:space="0" w:color="auto"/>
                                                          </w:divBdr>
                                                          <w:divsChild>
                                                            <w:div w:id="2050257016">
                                                              <w:marLeft w:val="0"/>
                                                              <w:marRight w:val="0"/>
                                                              <w:marTop w:val="0"/>
                                                              <w:marBottom w:val="0"/>
                                                              <w:divBdr>
                                                                <w:top w:val="none" w:sz="0" w:space="0" w:color="auto"/>
                                                                <w:left w:val="none" w:sz="0" w:space="0" w:color="auto"/>
                                                                <w:bottom w:val="none" w:sz="0" w:space="0" w:color="auto"/>
                                                                <w:right w:val="none" w:sz="0" w:space="0" w:color="auto"/>
                                                              </w:divBdr>
                                                              <w:divsChild>
                                                                <w:div w:id="1454247209">
                                                                  <w:marLeft w:val="0"/>
                                                                  <w:marRight w:val="0"/>
                                                                  <w:marTop w:val="0"/>
                                                                  <w:marBottom w:val="0"/>
                                                                  <w:divBdr>
                                                                    <w:top w:val="none" w:sz="0" w:space="0" w:color="auto"/>
                                                                    <w:left w:val="none" w:sz="0" w:space="0" w:color="auto"/>
                                                                    <w:bottom w:val="none" w:sz="0" w:space="0" w:color="auto"/>
                                                                    <w:right w:val="none" w:sz="0" w:space="0" w:color="auto"/>
                                                                  </w:divBdr>
                                                                  <w:divsChild>
                                                                    <w:div w:id="332220393">
                                                                      <w:marLeft w:val="0"/>
                                                                      <w:marRight w:val="0"/>
                                                                      <w:marTop w:val="0"/>
                                                                      <w:marBottom w:val="0"/>
                                                                      <w:divBdr>
                                                                        <w:top w:val="none" w:sz="0" w:space="0" w:color="auto"/>
                                                                        <w:left w:val="none" w:sz="0" w:space="0" w:color="auto"/>
                                                                        <w:bottom w:val="none" w:sz="0" w:space="0" w:color="auto"/>
                                                                        <w:right w:val="none" w:sz="0" w:space="0" w:color="auto"/>
                                                                      </w:divBdr>
                                                                      <w:divsChild>
                                                                        <w:div w:id="578906994">
                                                                          <w:marLeft w:val="0"/>
                                                                          <w:marRight w:val="0"/>
                                                                          <w:marTop w:val="0"/>
                                                                          <w:marBottom w:val="0"/>
                                                                          <w:divBdr>
                                                                            <w:top w:val="none" w:sz="0" w:space="0" w:color="auto"/>
                                                                            <w:left w:val="none" w:sz="0" w:space="0" w:color="auto"/>
                                                                            <w:bottom w:val="none" w:sz="0" w:space="0" w:color="auto"/>
                                                                            <w:right w:val="none" w:sz="0" w:space="0" w:color="auto"/>
                                                                          </w:divBdr>
                                                                          <w:divsChild>
                                                                            <w:div w:id="1751199047">
                                                                              <w:marLeft w:val="0"/>
                                                                              <w:marRight w:val="0"/>
                                                                              <w:marTop w:val="0"/>
                                                                              <w:marBottom w:val="0"/>
                                                                              <w:divBdr>
                                                                                <w:top w:val="none" w:sz="0" w:space="0" w:color="auto"/>
                                                                                <w:left w:val="none" w:sz="0" w:space="0" w:color="auto"/>
                                                                                <w:bottom w:val="none" w:sz="0" w:space="0" w:color="auto"/>
                                                                                <w:right w:val="none" w:sz="0" w:space="0" w:color="auto"/>
                                                                              </w:divBdr>
                                                                              <w:divsChild>
                                                                                <w:div w:id="50941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3786129">
                                      <w:marLeft w:val="0"/>
                                      <w:marRight w:val="0"/>
                                      <w:marTop w:val="0"/>
                                      <w:marBottom w:val="0"/>
                                      <w:divBdr>
                                        <w:top w:val="none" w:sz="0" w:space="0" w:color="auto"/>
                                        <w:left w:val="none" w:sz="0" w:space="0" w:color="auto"/>
                                        <w:bottom w:val="none" w:sz="0" w:space="0" w:color="auto"/>
                                        <w:right w:val="none" w:sz="0" w:space="0" w:color="auto"/>
                                      </w:divBdr>
                                      <w:divsChild>
                                        <w:div w:id="1659503693">
                                          <w:marLeft w:val="0"/>
                                          <w:marRight w:val="0"/>
                                          <w:marTop w:val="0"/>
                                          <w:marBottom w:val="0"/>
                                          <w:divBdr>
                                            <w:top w:val="none" w:sz="0" w:space="0" w:color="auto"/>
                                            <w:left w:val="none" w:sz="0" w:space="0" w:color="auto"/>
                                            <w:bottom w:val="none" w:sz="0" w:space="0" w:color="auto"/>
                                            <w:right w:val="none" w:sz="0" w:space="0" w:color="auto"/>
                                          </w:divBdr>
                                          <w:divsChild>
                                            <w:div w:id="1087311462">
                                              <w:marLeft w:val="0"/>
                                              <w:marRight w:val="0"/>
                                              <w:marTop w:val="0"/>
                                              <w:marBottom w:val="0"/>
                                              <w:divBdr>
                                                <w:top w:val="none" w:sz="0" w:space="0" w:color="auto"/>
                                                <w:left w:val="none" w:sz="0" w:space="0" w:color="auto"/>
                                                <w:bottom w:val="none" w:sz="0" w:space="0" w:color="auto"/>
                                                <w:right w:val="none" w:sz="0" w:space="0" w:color="auto"/>
                                              </w:divBdr>
                                              <w:divsChild>
                                                <w:div w:id="1954897041">
                                                  <w:marLeft w:val="0"/>
                                                  <w:marRight w:val="0"/>
                                                  <w:marTop w:val="0"/>
                                                  <w:marBottom w:val="0"/>
                                                  <w:divBdr>
                                                    <w:top w:val="none" w:sz="0" w:space="0" w:color="auto"/>
                                                    <w:left w:val="none" w:sz="0" w:space="0" w:color="auto"/>
                                                    <w:bottom w:val="none" w:sz="0" w:space="0" w:color="auto"/>
                                                    <w:right w:val="none" w:sz="0" w:space="0" w:color="auto"/>
                                                  </w:divBdr>
                                                  <w:divsChild>
                                                    <w:div w:id="794521968">
                                                      <w:marLeft w:val="0"/>
                                                      <w:marRight w:val="0"/>
                                                      <w:marTop w:val="0"/>
                                                      <w:marBottom w:val="0"/>
                                                      <w:divBdr>
                                                        <w:top w:val="none" w:sz="0" w:space="0" w:color="auto"/>
                                                        <w:left w:val="none" w:sz="0" w:space="0" w:color="auto"/>
                                                        <w:bottom w:val="none" w:sz="0" w:space="0" w:color="auto"/>
                                                        <w:right w:val="none" w:sz="0" w:space="0" w:color="auto"/>
                                                      </w:divBdr>
                                                      <w:divsChild>
                                                        <w:div w:id="1807553205">
                                                          <w:marLeft w:val="0"/>
                                                          <w:marRight w:val="0"/>
                                                          <w:marTop w:val="0"/>
                                                          <w:marBottom w:val="0"/>
                                                          <w:divBdr>
                                                            <w:top w:val="none" w:sz="0" w:space="0" w:color="auto"/>
                                                            <w:left w:val="none" w:sz="0" w:space="0" w:color="auto"/>
                                                            <w:bottom w:val="none" w:sz="0" w:space="0" w:color="auto"/>
                                                            <w:right w:val="none" w:sz="0" w:space="0" w:color="auto"/>
                                                          </w:divBdr>
                                                          <w:divsChild>
                                                            <w:div w:id="1326402228">
                                                              <w:marLeft w:val="0"/>
                                                              <w:marRight w:val="0"/>
                                                              <w:marTop w:val="0"/>
                                                              <w:marBottom w:val="0"/>
                                                              <w:divBdr>
                                                                <w:top w:val="none" w:sz="0" w:space="0" w:color="auto"/>
                                                                <w:left w:val="none" w:sz="0" w:space="0" w:color="auto"/>
                                                                <w:bottom w:val="none" w:sz="0" w:space="0" w:color="auto"/>
                                                                <w:right w:val="none" w:sz="0" w:space="0" w:color="auto"/>
                                                              </w:divBdr>
                                                              <w:divsChild>
                                                                <w:div w:id="188528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684353">
                                      <w:marLeft w:val="0"/>
                                      <w:marRight w:val="0"/>
                                      <w:marTop w:val="0"/>
                                      <w:marBottom w:val="0"/>
                                      <w:divBdr>
                                        <w:top w:val="none" w:sz="0" w:space="0" w:color="auto"/>
                                        <w:left w:val="none" w:sz="0" w:space="0" w:color="auto"/>
                                        <w:bottom w:val="none" w:sz="0" w:space="0" w:color="auto"/>
                                        <w:right w:val="none" w:sz="0" w:space="0" w:color="auto"/>
                                      </w:divBdr>
                                      <w:divsChild>
                                        <w:div w:id="2121758840">
                                          <w:marLeft w:val="0"/>
                                          <w:marRight w:val="0"/>
                                          <w:marTop w:val="0"/>
                                          <w:marBottom w:val="0"/>
                                          <w:divBdr>
                                            <w:top w:val="none" w:sz="0" w:space="0" w:color="auto"/>
                                            <w:left w:val="none" w:sz="0" w:space="0" w:color="auto"/>
                                            <w:bottom w:val="none" w:sz="0" w:space="0" w:color="auto"/>
                                            <w:right w:val="none" w:sz="0" w:space="0" w:color="auto"/>
                                          </w:divBdr>
                                          <w:divsChild>
                                            <w:div w:id="1388341148">
                                              <w:marLeft w:val="0"/>
                                              <w:marRight w:val="0"/>
                                              <w:marTop w:val="0"/>
                                              <w:marBottom w:val="0"/>
                                              <w:divBdr>
                                                <w:top w:val="none" w:sz="0" w:space="0" w:color="auto"/>
                                                <w:left w:val="none" w:sz="0" w:space="0" w:color="auto"/>
                                                <w:bottom w:val="none" w:sz="0" w:space="0" w:color="auto"/>
                                                <w:right w:val="none" w:sz="0" w:space="0" w:color="auto"/>
                                              </w:divBdr>
                                              <w:divsChild>
                                                <w:div w:id="1662808471">
                                                  <w:marLeft w:val="0"/>
                                                  <w:marRight w:val="0"/>
                                                  <w:marTop w:val="0"/>
                                                  <w:marBottom w:val="0"/>
                                                  <w:divBdr>
                                                    <w:top w:val="none" w:sz="0" w:space="0" w:color="auto"/>
                                                    <w:left w:val="none" w:sz="0" w:space="0" w:color="auto"/>
                                                    <w:bottom w:val="none" w:sz="0" w:space="0" w:color="auto"/>
                                                    <w:right w:val="none" w:sz="0" w:space="0" w:color="auto"/>
                                                  </w:divBdr>
                                                  <w:divsChild>
                                                    <w:div w:id="1384599336">
                                                      <w:marLeft w:val="0"/>
                                                      <w:marRight w:val="0"/>
                                                      <w:marTop w:val="0"/>
                                                      <w:marBottom w:val="0"/>
                                                      <w:divBdr>
                                                        <w:top w:val="none" w:sz="0" w:space="0" w:color="auto"/>
                                                        <w:left w:val="none" w:sz="0" w:space="0" w:color="auto"/>
                                                        <w:bottom w:val="none" w:sz="0" w:space="0" w:color="auto"/>
                                                        <w:right w:val="none" w:sz="0" w:space="0" w:color="auto"/>
                                                      </w:divBdr>
                                                      <w:divsChild>
                                                        <w:div w:id="475338325">
                                                          <w:marLeft w:val="0"/>
                                                          <w:marRight w:val="0"/>
                                                          <w:marTop w:val="0"/>
                                                          <w:marBottom w:val="0"/>
                                                          <w:divBdr>
                                                            <w:top w:val="none" w:sz="0" w:space="0" w:color="auto"/>
                                                            <w:left w:val="none" w:sz="0" w:space="0" w:color="auto"/>
                                                            <w:bottom w:val="none" w:sz="0" w:space="0" w:color="auto"/>
                                                            <w:right w:val="none" w:sz="0" w:space="0" w:color="auto"/>
                                                          </w:divBdr>
                                                          <w:divsChild>
                                                            <w:div w:id="967660674">
                                                              <w:marLeft w:val="0"/>
                                                              <w:marRight w:val="0"/>
                                                              <w:marTop w:val="0"/>
                                                              <w:marBottom w:val="0"/>
                                                              <w:divBdr>
                                                                <w:top w:val="none" w:sz="0" w:space="0" w:color="auto"/>
                                                                <w:left w:val="none" w:sz="0" w:space="0" w:color="auto"/>
                                                                <w:bottom w:val="none" w:sz="0" w:space="0" w:color="auto"/>
                                                                <w:right w:val="none" w:sz="0" w:space="0" w:color="auto"/>
                                                              </w:divBdr>
                                                              <w:divsChild>
                                                                <w:div w:id="133910211">
                                                                  <w:marLeft w:val="0"/>
                                                                  <w:marRight w:val="0"/>
                                                                  <w:marTop w:val="0"/>
                                                                  <w:marBottom w:val="0"/>
                                                                  <w:divBdr>
                                                                    <w:top w:val="none" w:sz="0" w:space="0" w:color="auto"/>
                                                                    <w:left w:val="none" w:sz="0" w:space="0" w:color="auto"/>
                                                                    <w:bottom w:val="none" w:sz="0" w:space="0" w:color="auto"/>
                                                                    <w:right w:val="none" w:sz="0" w:space="0" w:color="auto"/>
                                                                  </w:divBdr>
                                                                  <w:divsChild>
                                                                    <w:div w:id="2016877406">
                                                                      <w:marLeft w:val="0"/>
                                                                      <w:marRight w:val="0"/>
                                                                      <w:marTop w:val="0"/>
                                                                      <w:marBottom w:val="0"/>
                                                                      <w:divBdr>
                                                                        <w:top w:val="none" w:sz="0" w:space="0" w:color="auto"/>
                                                                        <w:left w:val="none" w:sz="0" w:space="0" w:color="auto"/>
                                                                        <w:bottom w:val="none" w:sz="0" w:space="0" w:color="auto"/>
                                                                        <w:right w:val="none" w:sz="0" w:space="0" w:color="auto"/>
                                                                      </w:divBdr>
                                                                      <w:divsChild>
                                                                        <w:div w:id="157505131">
                                                                          <w:marLeft w:val="0"/>
                                                                          <w:marRight w:val="0"/>
                                                                          <w:marTop w:val="0"/>
                                                                          <w:marBottom w:val="0"/>
                                                                          <w:divBdr>
                                                                            <w:top w:val="none" w:sz="0" w:space="0" w:color="auto"/>
                                                                            <w:left w:val="none" w:sz="0" w:space="0" w:color="auto"/>
                                                                            <w:bottom w:val="none" w:sz="0" w:space="0" w:color="auto"/>
                                                                            <w:right w:val="none" w:sz="0" w:space="0" w:color="auto"/>
                                                                          </w:divBdr>
                                                                          <w:divsChild>
                                                                            <w:div w:id="1455442359">
                                                                              <w:marLeft w:val="0"/>
                                                                              <w:marRight w:val="0"/>
                                                                              <w:marTop w:val="0"/>
                                                                              <w:marBottom w:val="0"/>
                                                                              <w:divBdr>
                                                                                <w:top w:val="none" w:sz="0" w:space="0" w:color="auto"/>
                                                                                <w:left w:val="none" w:sz="0" w:space="0" w:color="auto"/>
                                                                                <w:bottom w:val="none" w:sz="0" w:space="0" w:color="auto"/>
                                                                                <w:right w:val="none" w:sz="0" w:space="0" w:color="auto"/>
                                                                              </w:divBdr>
                                                                              <w:divsChild>
                                                                                <w:div w:id="12127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7856721">
                                      <w:marLeft w:val="0"/>
                                      <w:marRight w:val="0"/>
                                      <w:marTop w:val="0"/>
                                      <w:marBottom w:val="0"/>
                                      <w:divBdr>
                                        <w:top w:val="none" w:sz="0" w:space="0" w:color="auto"/>
                                        <w:left w:val="none" w:sz="0" w:space="0" w:color="auto"/>
                                        <w:bottom w:val="none" w:sz="0" w:space="0" w:color="auto"/>
                                        <w:right w:val="none" w:sz="0" w:space="0" w:color="auto"/>
                                      </w:divBdr>
                                      <w:divsChild>
                                        <w:div w:id="1861510320">
                                          <w:marLeft w:val="0"/>
                                          <w:marRight w:val="0"/>
                                          <w:marTop w:val="0"/>
                                          <w:marBottom w:val="0"/>
                                          <w:divBdr>
                                            <w:top w:val="none" w:sz="0" w:space="0" w:color="auto"/>
                                            <w:left w:val="none" w:sz="0" w:space="0" w:color="auto"/>
                                            <w:bottom w:val="none" w:sz="0" w:space="0" w:color="auto"/>
                                            <w:right w:val="none" w:sz="0" w:space="0" w:color="auto"/>
                                          </w:divBdr>
                                          <w:divsChild>
                                            <w:div w:id="1805662338">
                                              <w:marLeft w:val="0"/>
                                              <w:marRight w:val="0"/>
                                              <w:marTop w:val="0"/>
                                              <w:marBottom w:val="0"/>
                                              <w:divBdr>
                                                <w:top w:val="none" w:sz="0" w:space="0" w:color="auto"/>
                                                <w:left w:val="none" w:sz="0" w:space="0" w:color="auto"/>
                                                <w:bottom w:val="none" w:sz="0" w:space="0" w:color="auto"/>
                                                <w:right w:val="none" w:sz="0" w:space="0" w:color="auto"/>
                                              </w:divBdr>
                                              <w:divsChild>
                                                <w:div w:id="1540627481">
                                                  <w:marLeft w:val="0"/>
                                                  <w:marRight w:val="0"/>
                                                  <w:marTop w:val="0"/>
                                                  <w:marBottom w:val="0"/>
                                                  <w:divBdr>
                                                    <w:top w:val="none" w:sz="0" w:space="0" w:color="auto"/>
                                                    <w:left w:val="none" w:sz="0" w:space="0" w:color="auto"/>
                                                    <w:bottom w:val="none" w:sz="0" w:space="0" w:color="auto"/>
                                                    <w:right w:val="none" w:sz="0" w:space="0" w:color="auto"/>
                                                  </w:divBdr>
                                                  <w:divsChild>
                                                    <w:div w:id="1739208530">
                                                      <w:marLeft w:val="0"/>
                                                      <w:marRight w:val="0"/>
                                                      <w:marTop w:val="0"/>
                                                      <w:marBottom w:val="0"/>
                                                      <w:divBdr>
                                                        <w:top w:val="none" w:sz="0" w:space="0" w:color="auto"/>
                                                        <w:left w:val="none" w:sz="0" w:space="0" w:color="auto"/>
                                                        <w:bottom w:val="none" w:sz="0" w:space="0" w:color="auto"/>
                                                        <w:right w:val="none" w:sz="0" w:space="0" w:color="auto"/>
                                                      </w:divBdr>
                                                      <w:divsChild>
                                                        <w:div w:id="592737791">
                                                          <w:marLeft w:val="0"/>
                                                          <w:marRight w:val="0"/>
                                                          <w:marTop w:val="0"/>
                                                          <w:marBottom w:val="0"/>
                                                          <w:divBdr>
                                                            <w:top w:val="none" w:sz="0" w:space="0" w:color="auto"/>
                                                            <w:left w:val="none" w:sz="0" w:space="0" w:color="auto"/>
                                                            <w:bottom w:val="none" w:sz="0" w:space="0" w:color="auto"/>
                                                            <w:right w:val="none" w:sz="0" w:space="0" w:color="auto"/>
                                                          </w:divBdr>
                                                          <w:divsChild>
                                                            <w:div w:id="872886233">
                                                              <w:marLeft w:val="0"/>
                                                              <w:marRight w:val="0"/>
                                                              <w:marTop w:val="0"/>
                                                              <w:marBottom w:val="0"/>
                                                              <w:divBdr>
                                                                <w:top w:val="none" w:sz="0" w:space="0" w:color="auto"/>
                                                                <w:left w:val="none" w:sz="0" w:space="0" w:color="auto"/>
                                                                <w:bottom w:val="none" w:sz="0" w:space="0" w:color="auto"/>
                                                                <w:right w:val="none" w:sz="0" w:space="0" w:color="auto"/>
                                                              </w:divBdr>
                                                              <w:divsChild>
                                                                <w:div w:id="155558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5252775">
      <w:bodyDiv w:val="1"/>
      <w:marLeft w:val="0"/>
      <w:marRight w:val="0"/>
      <w:marTop w:val="0"/>
      <w:marBottom w:val="0"/>
      <w:divBdr>
        <w:top w:val="none" w:sz="0" w:space="0" w:color="auto"/>
        <w:left w:val="none" w:sz="0" w:space="0" w:color="auto"/>
        <w:bottom w:val="none" w:sz="0" w:space="0" w:color="auto"/>
        <w:right w:val="none" w:sz="0" w:space="0" w:color="auto"/>
      </w:divBdr>
    </w:div>
    <w:div w:id="1796174522">
      <w:bodyDiv w:val="1"/>
      <w:marLeft w:val="0"/>
      <w:marRight w:val="0"/>
      <w:marTop w:val="0"/>
      <w:marBottom w:val="0"/>
      <w:divBdr>
        <w:top w:val="none" w:sz="0" w:space="0" w:color="auto"/>
        <w:left w:val="none" w:sz="0" w:space="0" w:color="auto"/>
        <w:bottom w:val="none" w:sz="0" w:space="0" w:color="auto"/>
        <w:right w:val="none" w:sz="0" w:space="0" w:color="auto"/>
      </w:divBdr>
    </w:div>
    <w:div w:id="1829981245">
      <w:bodyDiv w:val="1"/>
      <w:marLeft w:val="0"/>
      <w:marRight w:val="0"/>
      <w:marTop w:val="0"/>
      <w:marBottom w:val="0"/>
      <w:divBdr>
        <w:top w:val="none" w:sz="0" w:space="0" w:color="auto"/>
        <w:left w:val="none" w:sz="0" w:space="0" w:color="auto"/>
        <w:bottom w:val="none" w:sz="0" w:space="0" w:color="auto"/>
        <w:right w:val="none" w:sz="0" w:space="0" w:color="auto"/>
      </w:divBdr>
    </w:div>
    <w:div w:id="1853912803">
      <w:bodyDiv w:val="1"/>
      <w:marLeft w:val="0"/>
      <w:marRight w:val="0"/>
      <w:marTop w:val="0"/>
      <w:marBottom w:val="0"/>
      <w:divBdr>
        <w:top w:val="none" w:sz="0" w:space="0" w:color="auto"/>
        <w:left w:val="none" w:sz="0" w:space="0" w:color="auto"/>
        <w:bottom w:val="none" w:sz="0" w:space="0" w:color="auto"/>
        <w:right w:val="none" w:sz="0" w:space="0" w:color="auto"/>
      </w:divBdr>
    </w:div>
    <w:div w:id="1891917238">
      <w:bodyDiv w:val="1"/>
      <w:marLeft w:val="0"/>
      <w:marRight w:val="0"/>
      <w:marTop w:val="0"/>
      <w:marBottom w:val="0"/>
      <w:divBdr>
        <w:top w:val="none" w:sz="0" w:space="0" w:color="auto"/>
        <w:left w:val="none" w:sz="0" w:space="0" w:color="auto"/>
        <w:bottom w:val="none" w:sz="0" w:space="0" w:color="auto"/>
        <w:right w:val="none" w:sz="0" w:space="0" w:color="auto"/>
      </w:divBdr>
    </w:div>
    <w:div w:id="1903952666">
      <w:bodyDiv w:val="1"/>
      <w:marLeft w:val="0"/>
      <w:marRight w:val="0"/>
      <w:marTop w:val="0"/>
      <w:marBottom w:val="0"/>
      <w:divBdr>
        <w:top w:val="none" w:sz="0" w:space="0" w:color="auto"/>
        <w:left w:val="none" w:sz="0" w:space="0" w:color="auto"/>
        <w:bottom w:val="none" w:sz="0" w:space="0" w:color="auto"/>
        <w:right w:val="none" w:sz="0" w:space="0" w:color="auto"/>
      </w:divBdr>
    </w:div>
    <w:div w:id="1911033583">
      <w:bodyDiv w:val="1"/>
      <w:marLeft w:val="0"/>
      <w:marRight w:val="0"/>
      <w:marTop w:val="0"/>
      <w:marBottom w:val="0"/>
      <w:divBdr>
        <w:top w:val="none" w:sz="0" w:space="0" w:color="auto"/>
        <w:left w:val="none" w:sz="0" w:space="0" w:color="auto"/>
        <w:bottom w:val="none" w:sz="0" w:space="0" w:color="auto"/>
        <w:right w:val="none" w:sz="0" w:space="0" w:color="auto"/>
      </w:divBdr>
    </w:div>
    <w:div w:id="1968855811">
      <w:bodyDiv w:val="1"/>
      <w:marLeft w:val="0"/>
      <w:marRight w:val="0"/>
      <w:marTop w:val="0"/>
      <w:marBottom w:val="0"/>
      <w:divBdr>
        <w:top w:val="none" w:sz="0" w:space="0" w:color="auto"/>
        <w:left w:val="none" w:sz="0" w:space="0" w:color="auto"/>
        <w:bottom w:val="none" w:sz="0" w:space="0" w:color="auto"/>
        <w:right w:val="none" w:sz="0" w:space="0" w:color="auto"/>
      </w:divBdr>
      <w:divsChild>
        <w:div w:id="1425615856">
          <w:marLeft w:val="0"/>
          <w:marRight w:val="0"/>
          <w:marTop w:val="0"/>
          <w:marBottom w:val="0"/>
          <w:divBdr>
            <w:top w:val="none" w:sz="0" w:space="0" w:color="auto"/>
            <w:left w:val="none" w:sz="0" w:space="0" w:color="auto"/>
            <w:bottom w:val="none" w:sz="0" w:space="0" w:color="auto"/>
            <w:right w:val="none" w:sz="0" w:space="0" w:color="auto"/>
          </w:divBdr>
          <w:divsChild>
            <w:div w:id="1558395543">
              <w:marLeft w:val="0"/>
              <w:marRight w:val="0"/>
              <w:marTop w:val="0"/>
              <w:marBottom w:val="0"/>
              <w:divBdr>
                <w:top w:val="none" w:sz="0" w:space="0" w:color="auto"/>
                <w:left w:val="none" w:sz="0" w:space="0" w:color="auto"/>
                <w:bottom w:val="none" w:sz="0" w:space="0" w:color="auto"/>
                <w:right w:val="none" w:sz="0" w:space="0" w:color="auto"/>
              </w:divBdr>
              <w:divsChild>
                <w:div w:id="609432849">
                  <w:marLeft w:val="0"/>
                  <w:marRight w:val="0"/>
                  <w:marTop w:val="0"/>
                  <w:marBottom w:val="0"/>
                  <w:divBdr>
                    <w:top w:val="none" w:sz="0" w:space="0" w:color="auto"/>
                    <w:left w:val="none" w:sz="0" w:space="0" w:color="auto"/>
                    <w:bottom w:val="none" w:sz="0" w:space="0" w:color="auto"/>
                    <w:right w:val="none" w:sz="0" w:space="0" w:color="auto"/>
                  </w:divBdr>
                  <w:divsChild>
                    <w:div w:id="56054464">
                      <w:marLeft w:val="0"/>
                      <w:marRight w:val="0"/>
                      <w:marTop w:val="0"/>
                      <w:marBottom w:val="0"/>
                      <w:divBdr>
                        <w:top w:val="none" w:sz="0" w:space="0" w:color="auto"/>
                        <w:left w:val="none" w:sz="0" w:space="0" w:color="auto"/>
                        <w:bottom w:val="none" w:sz="0" w:space="0" w:color="auto"/>
                        <w:right w:val="none" w:sz="0" w:space="0" w:color="auto"/>
                      </w:divBdr>
                      <w:divsChild>
                        <w:div w:id="356351168">
                          <w:marLeft w:val="0"/>
                          <w:marRight w:val="0"/>
                          <w:marTop w:val="0"/>
                          <w:marBottom w:val="0"/>
                          <w:divBdr>
                            <w:top w:val="single" w:sz="6" w:space="15" w:color="auto"/>
                            <w:left w:val="single" w:sz="2" w:space="15" w:color="auto"/>
                            <w:bottom w:val="single" w:sz="2" w:space="15" w:color="auto"/>
                            <w:right w:val="single" w:sz="2" w:space="15" w:color="auto"/>
                          </w:divBdr>
                          <w:divsChild>
                            <w:div w:id="86270381">
                              <w:marLeft w:val="0"/>
                              <w:marRight w:val="0"/>
                              <w:marTop w:val="0"/>
                              <w:marBottom w:val="360"/>
                              <w:divBdr>
                                <w:top w:val="none" w:sz="0" w:space="0" w:color="auto"/>
                                <w:left w:val="none" w:sz="0" w:space="0" w:color="auto"/>
                                <w:bottom w:val="none" w:sz="0" w:space="0" w:color="auto"/>
                                <w:right w:val="none" w:sz="0" w:space="0" w:color="auto"/>
                              </w:divBdr>
                            </w:div>
                            <w:div w:id="704528803">
                              <w:marLeft w:val="0"/>
                              <w:marRight w:val="0"/>
                              <w:marTop w:val="0"/>
                              <w:marBottom w:val="0"/>
                              <w:divBdr>
                                <w:top w:val="none" w:sz="0" w:space="0" w:color="auto"/>
                                <w:left w:val="none" w:sz="0" w:space="0" w:color="auto"/>
                                <w:bottom w:val="none" w:sz="0" w:space="0" w:color="auto"/>
                                <w:right w:val="none" w:sz="0" w:space="0" w:color="auto"/>
                              </w:divBdr>
                              <w:divsChild>
                                <w:div w:id="160884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7430699">
          <w:marLeft w:val="0"/>
          <w:marRight w:val="0"/>
          <w:marTop w:val="0"/>
          <w:marBottom w:val="0"/>
          <w:divBdr>
            <w:top w:val="none" w:sz="0" w:space="0" w:color="auto"/>
            <w:left w:val="none" w:sz="0" w:space="0" w:color="auto"/>
            <w:bottom w:val="none" w:sz="0" w:space="0" w:color="auto"/>
            <w:right w:val="none" w:sz="0" w:space="0" w:color="auto"/>
          </w:divBdr>
          <w:divsChild>
            <w:div w:id="556549787">
              <w:marLeft w:val="0"/>
              <w:marRight w:val="0"/>
              <w:marTop w:val="0"/>
              <w:marBottom w:val="0"/>
              <w:divBdr>
                <w:top w:val="none" w:sz="0" w:space="0" w:color="auto"/>
                <w:left w:val="none" w:sz="0" w:space="0" w:color="auto"/>
                <w:bottom w:val="none" w:sz="0" w:space="0" w:color="auto"/>
                <w:right w:val="none" w:sz="0" w:space="0" w:color="auto"/>
              </w:divBdr>
              <w:divsChild>
                <w:div w:id="1827163025">
                  <w:marLeft w:val="0"/>
                  <w:marRight w:val="0"/>
                  <w:marTop w:val="0"/>
                  <w:marBottom w:val="0"/>
                  <w:divBdr>
                    <w:top w:val="none" w:sz="0" w:space="0" w:color="auto"/>
                    <w:left w:val="none" w:sz="0" w:space="0" w:color="auto"/>
                    <w:bottom w:val="none" w:sz="0" w:space="0" w:color="auto"/>
                    <w:right w:val="none" w:sz="0" w:space="0" w:color="auto"/>
                  </w:divBdr>
                  <w:divsChild>
                    <w:div w:id="1382558255">
                      <w:marLeft w:val="0"/>
                      <w:marRight w:val="0"/>
                      <w:marTop w:val="0"/>
                      <w:marBottom w:val="0"/>
                      <w:divBdr>
                        <w:top w:val="none" w:sz="0" w:space="0" w:color="auto"/>
                        <w:left w:val="none" w:sz="0" w:space="0" w:color="auto"/>
                        <w:bottom w:val="none" w:sz="0" w:space="0" w:color="auto"/>
                        <w:right w:val="none" w:sz="0" w:space="0" w:color="auto"/>
                      </w:divBdr>
                      <w:divsChild>
                        <w:div w:id="2133282887">
                          <w:marLeft w:val="0"/>
                          <w:marRight w:val="0"/>
                          <w:marTop w:val="0"/>
                          <w:marBottom w:val="0"/>
                          <w:divBdr>
                            <w:top w:val="none" w:sz="0" w:space="0" w:color="auto"/>
                            <w:left w:val="none" w:sz="0" w:space="0" w:color="auto"/>
                            <w:bottom w:val="none" w:sz="0" w:space="0" w:color="auto"/>
                            <w:right w:val="none" w:sz="0" w:space="0" w:color="auto"/>
                          </w:divBdr>
                          <w:divsChild>
                            <w:div w:id="1340277630">
                              <w:marLeft w:val="0"/>
                              <w:marRight w:val="0"/>
                              <w:marTop w:val="0"/>
                              <w:marBottom w:val="0"/>
                              <w:divBdr>
                                <w:top w:val="none" w:sz="0" w:space="0" w:color="auto"/>
                                <w:left w:val="none" w:sz="0" w:space="0" w:color="auto"/>
                                <w:bottom w:val="none" w:sz="0" w:space="0" w:color="auto"/>
                                <w:right w:val="none" w:sz="0" w:space="0" w:color="auto"/>
                              </w:divBdr>
                              <w:divsChild>
                                <w:div w:id="1434351576">
                                  <w:marLeft w:val="0"/>
                                  <w:marRight w:val="0"/>
                                  <w:marTop w:val="0"/>
                                  <w:marBottom w:val="0"/>
                                  <w:divBdr>
                                    <w:top w:val="none" w:sz="0" w:space="0" w:color="auto"/>
                                    <w:left w:val="none" w:sz="0" w:space="0" w:color="auto"/>
                                    <w:bottom w:val="none" w:sz="0" w:space="0" w:color="auto"/>
                                    <w:right w:val="none" w:sz="0" w:space="0" w:color="auto"/>
                                  </w:divBdr>
                                  <w:divsChild>
                                    <w:div w:id="1268543845">
                                      <w:marLeft w:val="0"/>
                                      <w:marRight w:val="0"/>
                                      <w:marTop w:val="0"/>
                                      <w:marBottom w:val="0"/>
                                      <w:divBdr>
                                        <w:top w:val="none" w:sz="0" w:space="0" w:color="auto"/>
                                        <w:left w:val="none" w:sz="0" w:space="0" w:color="auto"/>
                                        <w:bottom w:val="none" w:sz="0" w:space="0" w:color="auto"/>
                                        <w:right w:val="none" w:sz="0" w:space="0" w:color="auto"/>
                                      </w:divBdr>
                                      <w:divsChild>
                                        <w:div w:id="1632512902">
                                          <w:marLeft w:val="0"/>
                                          <w:marRight w:val="0"/>
                                          <w:marTop w:val="0"/>
                                          <w:marBottom w:val="0"/>
                                          <w:divBdr>
                                            <w:top w:val="none" w:sz="0" w:space="0" w:color="auto"/>
                                            <w:left w:val="none" w:sz="0" w:space="0" w:color="auto"/>
                                            <w:bottom w:val="none" w:sz="0" w:space="0" w:color="auto"/>
                                            <w:right w:val="none" w:sz="0" w:space="0" w:color="auto"/>
                                          </w:divBdr>
                                          <w:divsChild>
                                            <w:div w:id="1333678642">
                                              <w:marLeft w:val="0"/>
                                              <w:marRight w:val="0"/>
                                              <w:marTop w:val="0"/>
                                              <w:marBottom w:val="0"/>
                                              <w:divBdr>
                                                <w:top w:val="none" w:sz="0" w:space="0" w:color="auto"/>
                                                <w:left w:val="none" w:sz="0" w:space="0" w:color="auto"/>
                                                <w:bottom w:val="none" w:sz="0" w:space="0" w:color="auto"/>
                                                <w:right w:val="none" w:sz="0" w:space="0" w:color="auto"/>
                                              </w:divBdr>
                                              <w:divsChild>
                                                <w:div w:id="552811179">
                                                  <w:marLeft w:val="0"/>
                                                  <w:marRight w:val="0"/>
                                                  <w:marTop w:val="0"/>
                                                  <w:marBottom w:val="0"/>
                                                  <w:divBdr>
                                                    <w:top w:val="none" w:sz="0" w:space="0" w:color="auto"/>
                                                    <w:left w:val="none" w:sz="0" w:space="0" w:color="auto"/>
                                                    <w:bottom w:val="none" w:sz="0" w:space="0" w:color="auto"/>
                                                    <w:right w:val="none" w:sz="0" w:space="0" w:color="auto"/>
                                                  </w:divBdr>
                                                  <w:divsChild>
                                                    <w:div w:id="1316757657">
                                                      <w:marLeft w:val="0"/>
                                                      <w:marRight w:val="0"/>
                                                      <w:marTop w:val="0"/>
                                                      <w:marBottom w:val="0"/>
                                                      <w:divBdr>
                                                        <w:top w:val="none" w:sz="0" w:space="0" w:color="auto"/>
                                                        <w:left w:val="none" w:sz="0" w:space="0" w:color="auto"/>
                                                        <w:bottom w:val="none" w:sz="0" w:space="0" w:color="auto"/>
                                                        <w:right w:val="none" w:sz="0" w:space="0" w:color="auto"/>
                                                      </w:divBdr>
                                                      <w:divsChild>
                                                        <w:div w:id="1357000749">
                                                          <w:marLeft w:val="0"/>
                                                          <w:marRight w:val="0"/>
                                                          <w:marTop w:val="0"/>
                                                          <w:marBottom w:val="0"/>
                                                          <w:divBdr>
                                                            <w:top w:val="none" w:sz="0" w:space="0" w:color="auto"/>
                                                            <w:left w:val="none" w:sz="0" w:space="0" w:color="auto"/>
                                                            <w:bottom w:val="none" w:sz="0" w:space="0" w:color="auto"/>
                                                            <w:right w:val="none" w:sz="0" w:space="0" w:color="auto"/>
                                                          </w:divBdr>
                                                          <w:divsChild>
                                                            <w:div w:id="1262908199">
                                                              <w:marLeft w:val="0"/>
                                                              <w:marRight w:val="0"/>
                                                              <w:marTop w:val="0"/>
                                                              <w:marBottom w:val="0"/>
                                                              <w:divBdr>
                                                                <w:top w:val="none" w:sz="0" w:space="0" w:color="auto"/>
                                                                <w:left w:val="none" w:sz="0" w:space="0" w:color="auto"/>
                                                                <w:bottom w:val="none" w:sz="0" w:space="0" w:color="auto"/>
                                                                <w:right w:val="none" w:sz="0" w:space="0" w:color="auto"/>
                                                              </w:divBdr>
                                                              <w:divsChild>
                                                                <w:div w:id="1726953594">
                                                                  <w:marLeft w:val="0"/>
                                                                  <w:marRight w:val="0"/>
                                                                  <w:marTop w:val="0"/>
                                                                  <w:marBottom w:val="0"/>
                                                                  <w:divBdr>
                                                                    <w:top w:val="none" w:sz="0" w:space="0" w:color="auto"/>
                                                                    <w:left w:val="none" w:sz="0" w:space="0" w:color="auto"/>
                                                                    <w:bottom w:val="none" w:sz="0" w:space="0" w:color="auto"/>
                                                                    <w:right w:val="none" w:sz="0" w:space="0" w:color="auto"/>
                                                                  </w:divBdr>
                                                                  <w:divsChild>
                                                                    <w:div w:id="386344648">
                                                                      <w:marLeft w:val="0"/>
                                                                      <w:marRight w:val="0"/>
                                                                      <w:marTop w:val="0"/>
                                                                      <w:marBottom w:val="0"/>
                                                                      <w:divBdr>
                                                                        <w:top w:val="none" w:sz="0" w:space="0" w:color="auto"/>
                                                                        <w:left w:val="none" w:sz="0" w:space="0" w:color="auto"/>
                                                                        <w:bottom w:val="none" w:sz="0" w:space="0" w:color="auto"/>
                                                                        <w:right w:val="none" w:sz="0" w:space="0" w:color="auto"/>
                                                                      </w:divBdr>
                                                                      <w:divsChild>
                                                                        <w:div w:id="21247714">
                                                                          <w:marLeft w:val="0"/>
                                                                          <w:marRight w:val="0"/>
                                                                          <w:marTop w:val="0"/>
                                                                          <w:marBottom w:val="0"/>
                                                                          <w:divBdr>
                                                                            <w:top w:val="none" w:sz="0" w:space="0" w:color="auto"/>
                                                                            <w:left w:val="none" w:sz="0" w:space="0" w:color="auto"/>
                                                                            <w:bottom w:val="none" w:sz="0" w:space="0" w:color="auto"/>
                                                                            <w:right w:val="none" w:sz="0" w:space="0" w:color="auto"/>
                                                                          </w:divBdr>
                                                                          <w:divsChild>
                                                                            <w:div w:id="567691766">
                                                                              <w:marLeft w:val="0"/>
                                                                              <w:marRight w:val="0"/>
                                                                              <w:marTop w:val="0"/>
                                                                              <w:marBottom w:val="0"/>
                                                                              <w:divBdr>
                                                                                <w:top w:val="none" w:sz="0" w:space="0" w:color="auto"/>
                                                                                <w:left w:val="none" w:sz="0" w:space="0" w:color="auto"/>
                                                                                <w:bottom w:val="none" w:sz="0" w:space="0" w:color="auto"/>
                                                                                <w:right w:val="none" w:sz="0" w:space="0" w:color="auto"/>
                                                                              </w:divBdr>
                                                                              <w:divsChild>
                                                                                <w:div w:id="4680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17395">
                                      <w:marLeft w:val="0"/>
                                      <w:marRight w:val="0"/>
                                      <w:marTop w:val="0"/>
                                      <w:marBottom w:val="0"/>
                                      <w:divBdr>
                                        <w:top w:val="none" w:sz="0" w:space="0" w:color="auto"/>
                                        <w:left w:val="none" w:sz="0" w:space="0" w:color="auto"/>
                                        <w:bottom w:val="none" w:sz="0" w:space="0" w:color="auto"/>
                                        <w:right w:val="none" w:sz="0" w:space="0" w:color="auto"/>
                                      </w:divBdr>
                                      <w:divsChild>
                                        <w:div w:id="1852983628">
                                          <w:marLeft w:val="0"/>
                                          <w:marRight w:val="0"/>
                                          <w:marTop w:val="0"/>
                                          <w:marBottom w:val="0"/>
                                          <w:divBdr>
                                            <w:top w:val="none" w:sz="0" w:space="0" w:color="auto"/>
                                            <w:left w:val="none" w:sz="0" w:space="0" w:color="auto"/>
                                            <w:bottom w:val="none" w:sz="0" w:space="0" w:color="auto"/>
                                            <w:right w:val="none" w:sz="0" w:space="0" w:color="auto"/>
                                          </w:divBdr>
                                          <w:divsChild>
                                            <w:div w:id="1583369681">
                                              <w:marLeft w:val="0"/>
                                              <w:marRight w:val="0"/>
                                              <w:marTop w:val="0"/>
                                              <w:marBottom w:val="0"/>
                                              <w:divBdr>
                                                <w:top w:val="none" w:sz="0" w:space="0" w:color="auto"/>
                                                <w:left w:val="none" w:sz="0" w:space="0" w:color="auto"/>
                                                <w:bottom w:val="none" w:sz="0" w:space="0" w:color="auto"/>
                                                <w:right w:val="none" w:sz="0" w:space="0" w:color="auto"/>
                                              </w:divBdr>
                                              <w:divsChild>
                                                <w:div w:id="1709523498">
                                                  <w:marLeft w:val="0"/>
                                                  <w:marRight w:val="0"/>
                                                  <w:marTop w:val="0"/>
                                                  <w:marBottom w:val="0"/>
                                                  <w:divBdr>
                                                    <w:top w:val="none" w:sz="0" w:space="0" w:color="auto"/>
                                                    <w:left w:val="none" w:sz="0" w:space="0" w:color="auto"/>
                                                    <w:bottom w:val="none" w:sz="0" w:space="0" w:color="auto"/>
                                                    <w:right w:val="none" w:sz="0" w:space="0" w:color="auto"/>
                                                  </w:divBdr>
                                                  <w:divsChild>
                                                    <w:div w:id="1933539799">
                                                      <w:marLeft w:val="0"/>
                                                      <w:marRight w:val="0"/>
                                                      <w:marTop w:val="0"/>
                                                      <w:marBottom w:val="0"/>
                                                      <w:divBdr>
                                                        <w:top w:val="none" w:sz="0" w:space="0" w:color="auto"/>
                                                        <w:left w:val="none" w:sz="0" w:space="0" w:color="auto"/>
                                                        <w:bottom w:val="none" w:sz="0" w:space="0" w:color="auto"/>
                                                        <w:right w:val="none" w:sz="0" w:space="0" w:color="auto"/>
                                                      </w:divBdr>
                                                      <w:divsChild>
                                                        <w:div w:id="665324741">
                                                          <w:marLeft w:val="0"/>
                                                          <w:marRight w:val="0"/>
                                                          <w:marTop w:val="0"/>
                                                          <w:marBottom w:val="0"/>
                                                          <w:divBdr>
                                                            <w:top w:val="none" w:sz="0" w:space="0" w:color="auto"/>
                                                            <w:left w:val="none" w:sz="0" w:space="0" w:color="auto"/>
                                                            <w:bottom w:val="none" w:sz="0" w:space="0" w:color="auto"/>
                                                            <w:right w:val="none" w:sz="0" w:space="0" w:color="auto"/>
                                                          </w:divBdr>
                                                          <w:divsChild>
                                                            <w:div w:id="2139686293">
                                                              <w:marLeft w:val="0"/>
                                                              <w:marRight w:val="0"/>
                                                              <w:marTop w:val="0"/>
                                                              <w:marBottom w:val="0"/>
                                                              <w:divBdr>
                                                                <w:top w:val="none" w:sz="0" w:space="0" w:color="auto"/>
                                                                <w:left w:val="none" w:sz="0" w:space="0" w:color="auto"/>
                                                                <w:bottom w:val="none" w:sz="0" w:space="0" w:color="auto"/>
                                                                <w:right w:val="none" w:sz="0" w:space="0" w:color="auto"/>
                                                              </w:divBdr>
                                                              <w:divsChild>
                                                                <w:div w:id="1914972730">
                                                                  <w:marLeft w:val="0"/>
                                                                  <w:marRight w:val="0"/>
                                                                  <w:marTop w:val="0"/>
                                                                  <w:marBottom w:val="0"/>
                                                                  <w:divBdr>
                                                                    <w:top w:val="none" w:sz="0" w:space="0" w:color="auto"/>
                                                                    <w:left w:val="none" w:sz="0" w:space="0" w:color="auto"/>
                                                                    <w:bottom w:val="none" w:sz="0" w:space="0" w:color="auto"/>
                                                                    <w:right w:val="none" w:sz="0" w:space="0" w:color="auto"/>
                                                                  </w:divBdr>
                                                                  <w:divsChild>
                                                                    <w:div w:id="1941252240">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171270">
                                      <w:marLeft w:val="0"/>
                                      <w:marRight w:val="0"/>
                                      <w:marTop w:val="0"/>
                                      <w:marBottom w:val="0"/>
                                      <w:divBdr>
                                        <w:top w:val="none" w:sz="0" w:space="0" w:color="auto"/>
                                        <w:left w:val="none" w:sz="0" w:space="0" w:color="auto"/>
                                        <w:bottom w:val="none" w:sz="0" w:space="0" w:color="auto"/>
                                        <w:right w:val="none" w:sz="0" w:space="0" w:color="auto"/>
                                      </w:divBdr>
                                      <w:divsChild>
                                        <w:div w:id="2097552693">
                                          <w:marLeft w:val="0"/>
                                          <w:marRight w:val="0"/>
                                          <w:marTop w:val="0"/>
                                          <w:marBottom w:val="0"/>
                                          <w:divBdr>
                                            <w:top w:val="none" w:sz="0" w:space="0" w:color="auto"/>
                                            <w:left w:val="none" w:sz="0" w:space="0" w:color="auto"/>
                                            <w:bottom w:val="none" w:sz="0" w:space="0" w:color="auto"/>
                                            <w:right w:val="none" w:sz="0" w:space="0" w:color="auto"/>
                                          </w:divBdr>
                                          <w:divsChild>
                                            <w:div w:id="1969241035">
                                              <w:marLeft w:val="0"/>
                                              <w:marRight w:val="0"/>
                                              <w:marTop w:val="0"/>
                                              <w:marBottom w:val="0"/>
                                              <w:divBdr>
                                                <w:top w:val="none" w:sz="0" w:space="0" w:color="auto"/>
                                                <w:left w:val="none" w:sz="0" w:space="0" w:color="auto"/>
                                                <w:bottom w:val="none" w:sz="0" w:space="0" w:color="auto"/>
                                                <w:right w:val="none" w:sz="0" w:space="0" w:color="auto"/>
                                              </w:divBdr>
                                              <w:divsChild>
                                                <w:div w:id="648628516">
                                                  <w:marLeft w:val="0"/>
                                                  <w:marRight w:val="0"/>
                                                  <w:marTop w:val="0"/>
                                                  <w:marBottom w:val="0"/>
                                                  <w:divBdr>
                                                    <w:top w:val="none" w:sz="0" w:space="0" w:color="auto"/>
                                                    <w:left w:val="none" w:sz="0" w:space="0" w:color="auto"/>
                                                    <w:bottom w:val="none" w:sz="0" w:space="0" w:color="auto"/>
                                                    <w:right w:val="none" w:sz="0" w:space="0" w:color="auto"/>
                                                  </w:divBdr>
                                                  <w:divsChild>
                                                    <w:div w:id="448818435">
                                                      <w:marLeft w:val="0"/>
                                                      <w:marRight w:val="0"/>
                                                      <w:marTop w:val="0"/>
                                                      <w:marBottom w:val="0"/>
                                                      <w:divBdr>
                                                        <w:top w:val="none" w:sz="0" w:space="0" w:color="auto"/>
                                                        <w:left w:val="none" w:sz="0" w:space="0" w:color="auto"/>
                                                        <w:bottom w:val="none" w:sz="0" w:space="0" w:color="auto"/>
                                                        <w:right w:val="none" w:sz="0" w:space="0" w:color="auto"/>
                                                      </w:divBdr>
                                                      <w:divsChild>
                                                        <w:div w:id="1866091469">
                                                          <w:marLeft w:val="0"/>
                                                          <w:marRight w:val="0"/>
                                                          <w:marTop w:val="0"/>
                                                          <w:marBottom w:val="0"/>
                                                          <w:divBdr>
                                                            <w:top w:val="none" w:sz="0" w:space="0" w:color="auto"/>
                                                            <w:left w:val="none" w:sz="0" w:space="0" w:color="auto"/>
                                                            <w:bottom w:val="none" w:sz="0" w:space="0" w:color="auto"/>
                                                            <w:right w:val="none" w:sz="0" w:space="0" w:color="auto"/>
                                                          </w:divBdr>
                                                          <w:divsChild>
                                                            <w:div w:id="2031367201">
                                                              <w:marLeft w:val="0"/>
                                                              <w:marRight w:val="0"/>
                                                              <w:marTop w:val="0"/>
                                                              <w:marBottom w:val="0"/>
                                                              <w:divBdr>
                                                                <w:top w:val="none" w:sz="0" w:space="0" w:color="auto"/>
                                                                <w:left w:val="none" w:sz="0" w:space="0" w:color="auto"/>
                                                                <w:bottom w:val="none" w:sz="0" w:space="0" w:color="auto"/>
                                                                <w:right w:val="none" w:sz="0" w:space="0" w:color="auto"/>
                                                              </w:divBdr>
                                                              <w:divsChild>
                                                                <w:div w:id="321856191">
                                                                  <w:marLeft w:val="0"/>
                                                                  <w:marRight w:val="0"/>
                                                                  <w:marTop w:val="0"/>
                                                                  <w:marBottom w:val="0"/>
                                                                  <w:divBdr>
                                                                    <w:top w:val="none" w:sz="0" w:space="0" w:color="auto"/>
                                                                    <w:left w:val="none" w:sz="0" w:space="0" w:color="auto"/>
                                                                    <w:bottom w:val="none" w:sz="0" w:space="0" w:color="auto"/>
                                                                    <w:right w:val="none" w:sz="0" w:space="0" w:color="auto"/>
                                                                  </w:divBdr>
                                                                  <w:divsChild>
                                                                    <w:div w:id="1445035694">
                                                                      <w:marLeft w:val="0"/>
                                                                      <w:marRight w:val="0"/>
                                                                      <w:marTop w:val="0"/>
                                                                      <w:marBottom w:val="0"/>
                                                                      <w:divBdr>
                                                                        <w:top w:val="none" w:sz="0" w:space="0" w:color="auto"/>
                                                                        <w:left w:val="none" w:sz="0" w:space="0" w:color="auto"/>
                                                                        <w:bottom w:val="none" w:sz="0" w:space="0" w:color="auto"/>
                                                                        <w:right w:val="none" w:sz="0" w:space="0" w:color="auto"/>
                                                                      </w:divBdr>
                                                                      <w:divsChild>
                                                                        <w:div w:id="107966110">
                                                                          <w:marLeft w:val="0"/>
                                                                          <w:marRight w:val="0"/>
                                                                          <w:marTop w:val="0"/>
                                                                          <w:marBottom w:val="0"/>
                                                                          <w:divBdr>
                                                                            <w:top w:val="none" w:sz="0" w:space="0" w:color="auto"/>
                                                                            <w:left w:val="none" w:sz="0" w:space="0" w:color="auto"/>
                                                                            <w:bottom w:val="none" w:sz="0" w:space="0" w:color="auto"/>
                                                                            <w:right w:val="none" w:sz="0" w:space="0" w:color="auto"/>
                                                                          </w:divBdr>
                                                                          <w:divsChild>
                                                                            <w:div w:id="1906139837">
                                                                              <w:marLeft w:val="0"/>
                                                                              <w:marRight w:val="0"/>
                                                                              <w:marTop w:val="0"/>
                                                                              <w:marBottom w:val="0"/>
                                                                              <w:divBdr>
                                                                                <w:top w:val="none" w:sz="0" w:space="0" w:color="auto"/>
                                                                                <w:left w:val="none" w:sz="0" w:space="0" w:color="auto"/>
                                                                                <w:bottom w:val="none" w:sz="0" w:space="0" w:color="auto"/>
                                                                                <w:right w:val="none" w:sz="0" w:space="0" w:color="auto"/>
                                                                              </w:divBdr>
                                                                              <w:divsChild>
                                                                                <w:div w:id="85769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26669">
                                      <w:marLeft w:val="0"/>
                                      <w:marRight w:val="0"/>
                                      <w:marTop w:val="0"/>
                                      <w:marBottom w:val="0"/>
                                      <w:divBdr>
                                        <w:top w:val="none" w:sz="0" w:space="0" w:color="auto"/>
                                        <w:left w:val="none" w:sz="0" w:space="0" w:color="auto"/>
                                        <w:bottom w:val="none" w:sz="0" w:space="0" w:color="auto"/>
                                        <w:right w:val="none" w:sz="0" w:space="0" w:color="auto"/>
                                      </w:divBdr>
                                      <w:divsChild>
                                        <w:div w:id="1346830710">
                                          <w:marLeft w:val="0"/>
                                          <w:marRight w:val="0"/>
                                          <w:marTop w:val="0"/>
                                          <w:marBottom w:val="0"/>
                                          <w:divBdr>
                                            <w:top w:val="none" w:sz="0" w:space="0" w:color="auto"/>
                                            <w:left w:val="none" w:sz="0" w:space="0" w:color="auto"/>
                                            <w:bottom w:val="none" w:sz="0" w:space="0" w:color="auto"/>
                                            <w:right w:val="none" w:sz="0" w:space="0" w:color="auto"/>
                                          </w:divBdr>
                                          <w:divsChild>
                                            <w:div w:id="500704037">
                                              <w:marLeft w:val="0"/>
                                              <w:marRight w:val="0"/>
                                              <w:marTop w:val="0"/>
                                              <w:marBottom w:val="0"/>
                                              <w:divBdr>
                                                <w:top w:val="none" w:sz="0" w:space="0" w:color="auto"/>
                                                <w:left w:val="none" w:sz="0" w:space="0" w:color="auto"/>
                                                <w:bottom w:val="none" w:sz="0" w:space="0" w:color="auto"/>
                                                <w:right w:val="none" w:sz="0" w:space="0" w:color="auto"/>
                                              </w:divBdr>
                                              <w:divsChild>
                                                <w:div w:id="1689721445">
                                                  <w:marLeft w:val="0"/>
                                                  <w:marRight w:val="0"/>
                                                  <w:marTop w:val="0"/>
                                                  <w:marBottom w:val="0"/>
                                                  <w:divBdr>
                                                    <w:top w:val="none" w:sz="0" w:space="0" w:color="auto"/>
                                                    <w:left w:val="none" w:sz="0" w:space="0" w:color="auto"/>
                                                    <w:bottom w:val="none" w:sz="0" w:space="0" w:color="auto"/>
                                                    <w:right w:val="none" w:sz="0" w:space="0" w:color="auto"/>
                                                  </w:divBdr>
                                                  <w:divsChild>
                                                    <w:div w:id="1656179533">
                                                      <w:marLeft w:val="0"/>
                                                      <w:marRight w:val="0"/>
                                                      <w:marTop w:val="0"/>
                                                      <w:marBottom w:val="0"/>
                                                      <w:divBdr>
                                                        <w:top w:val="none" w:sz="0" w:space="0" w:color="auto"/>
                                                        <w:left w:val="none" w:sz="0" w:space="0" w:color="auto"/>
                                                        <w:bottom w:val="none" w:sz="0" w:space="0" w:color="auto"/>
                                                        <w:right w:val="none" w:sz="0" w:space="0" w:color="auto"/>
                                                      </w:divBdr>
                                                      <w:divsChild>
                                                        <w:div w:id="1308171705">
                                                          <w:marLeft w:val="0"/>
                                                          <w:marRight w:val="0"/>
                                                          <w:marTop w:val="0"/>
                                                          <w:marBottom w:val="0"/>
                                                          <w:divBdr>
                                                            <w:top w:val="none" w:sz="0" w:space="0" w:color="auto"/>
                                                            <w:left w:val="none" w:sz="0" w:space="0" w:color="auto"/>
                                                            <w:bottom w:val="none" w:sz="0" w:space="0" w:color="auto"/>
                                                            <w:right w:val="none" w:sz="0" w:space="0" w:color="auto"/>
                                                          </w:divBdr>
                                                          <w:divsChild>
                                                            <w:div w:id="148906749">
                                                              <w:marLeft w:val="0"/>
                                                              <w:marRight w:val="0"/>
                                                              <w:marTop w:val="0"/>
                                                              <w:marBottom w:val="0"/>
                                                              <w:divBdr>
                                                                <w:top w:val="none" w:sz="0" w:space="0" w:color="auto"/>
                                                                <w:left w:val="none" w:sz="0" w:space="0" w:color="auto"/>
                                                                <w:bottom w:val="none" w:sz="0" w:space="0" w:color="auto"/>
                                                                <w:right w:val="none" w:sz="0" w:space="0" w:color="auto"/>
                                                              </w:divBdr>
                                                              <w:divsChild>
                                                                <w:div w:id="2930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782672">
                                      <w:marLeft w:val="0"/>
                                      <w:marRight w:val="0"/>
                                      <w:marTop w:val="0"/>
                                      <w:marBottom w:val="0"/>
                                      <w:divBdr>
                                        <w:top w:val="none" w:sz="0" w:space="0" w:color="auto"/>
                                        <w:left w:val="none" w:sz="0" w:space="0" w:color="auto"/>
                                        <w:bottom w:val="none" w:sz="0" w:space="0" w:color="auto"/>
                                        <w:right w:val="none" w:sz="0" w:space="0" w:color="auto"/>
                                      </w:divBdr>
                                      <w:divsChild>
                                        <w:div w:id="1225607219">
                                          <w:marLeft w:val="0"/>
                                          <w:marRight w:val="0"/>
                                          <w:marTop w:val="0"/>
                                          <w:marBottom w:val="0"/>
                                          <w:divBdr>
                                            <w:top w:val="none" w:sz="0" w:space="0" w:color="auto"/>
                                            <w:left w:val="none" w:sz="0" w:space="0" w:color="auto"/>
                                            <w:bottom w:val="none" w:sz="0" w:space="0" w:color="auto"/>
                                            <w:right w:val="none" w:sz="0" w:space="0" w:color="auto"/>
                                          </w:divBdr>
                                          <w:divsChild>
                                            <w:div w:id="1347631367">
                                              <w:marLeft w:val="0"/>
                                              <w:marRight w:val="0"/>
                                              <w:marTop w:val="0"/>
                                              <w:marBottom w:val="0"/>
                                              <w:divBdr>
                                                <w:top w:val="none" w:sz="0" w:space="0" w:color="auto"/>
                                                <w:left w:val="none" w:sz="0" w:space="0" w:color="auto"/>
                                                <w:bottom w:val="none" w:sz="0" w:space="0" w:color="auto"/>
                                                <w:right w:val="none" w:sz="0" w:space="0" w:color="auto"/>
                                              </w:divBdr>
                                              <w:divsChild>
                                                <w:div w:id="537932198">
                                                  <w:marLeft w:val="0"/>
                                                  <w:marRight w:val="0"/>
                                                  <w:marTop w:val="0"/>
                                                  <w:marBottom w:val="0"/>
                                                  <w:divBdr>
                                                    <w:top w:val="none" w:sz="0" w:space="0" w:color="auto"/>
                                                    <w:left w:val="none" w:sz="0" w:space="0" w:color="auto"/>
                                                    <w:bottom w:val="none" w:sz="0" w:space="0" w:color="auto"/>
                                                    <w:right w:val="none" w:sz="0" w:space="0" w:color="auto"/>
                                                  </w:divBdr>
                                                  <w:divsChild>
                                                    <w:div w:id="1653753508">
                                                      <w:marLeft w:val="0"/>
                                                      <w:marRight w:val="0"/>
                                                      <w:marTop w:val="0"/>
                                                      <w:marBottom w:val="0"/>
                                                      <w:divBdr>
                                                        <w:top w:val="none" w:sz="0" w:space="0" w:color="auto"/>
                                                        <w:left w:val="none" w:sz="0" w:space="0" w:color="auto"/>
                                                        <w:bottom w:val="none" w:sz="0" w:space="0" w:color="auto"/>
                                                        <w:right w:val="none" w:sz="0" w:space="0" w:color="auto"/>
                                                      </w:divBdr>
                                                      <w:divsChild>
                                                        <w:div w:id="1666519597">
                                                          <w:marLeft w:val="0"/>
                                                          <w:marRight w:val="0"/>
                                                          <w:marTop w:val="0"/>
                                                          <w:marBottom w:val="0"/>
                                                          <w:divBdr>
                                                            <w:top w:val="none" w:sz="0" w:space="0" w:color="auto"/>
                                                            <w:left w:val="none" w:sz="0" w:space="0" w:color="auto"/>
                                                            <w:bottom w:val="none" w:sz="0" w:space="0" w:color="auto"/>
                                                            <w:right w:val="none" w:sz="0" w:space="0" w:color="auto"/>
                                                          </w:divBdr>
                                                          <w:divsChild>
                                                            <w:div w:id="1805657523">
                                                              <w:marLeft w:val="0"/>
                                                              <w:marRight w:val="0"/>
                                                              <w:marTop w:val="0"/>
                                                              <w:marBottom w:val="0"/>
                                                              <w:divBdr>
                                                                <w:top w:val="none" w:sz="0" w:space="0" w:color="auto"/>
                                                                <w:left w:val="none" w:sz="0" w:space="0" w:color="auto"/>
                                                                <w:bottom w:val="none" w:sz="0" w:space="0" w:color="auto"/>
                                                                <w:right w:val="none" w:sz="0" w:space="0" w:color="auto"/>
                                                              </w:divBdr>
                                                              <w:divsChild>
                                                                <w:div w:id="1793749590">
                                                                  <w:marLeft w:val="0"/>
                                                                  <w:marRight w:val="0"/>
                                                                  <w:marTop w:val="0"/>
                                                                  <w:marBottom w:val="0"/>
                                                                  <w:divBdr>
                                                                    <w:top w:val="none" w:sz="0" w:space="0" w:color="auto"/>
                                                                    <w:left w:val="none" w:sz="0" w:space="0" w:color="auto"/>
                                                                    <w:bottom w:val="none" w:sz="0" w:space="0" w:color="auto"/>
                                                                    <w:right w:val="none" w:sz="0" w:space="0" w:color="auto"/>
                                                                  </w:divBdr>
                                                                  <w:divsChild>
                                                                    <w:div w:id="1355617828">
                                                                      <w:marLeft w:val="0"/>
                                                                      <w:marRight w:val="0"/>
                                                                      <w:marTop w:val="0"/>
                                                                      <w:marBottom w:val="0"/>
                                                                      <w:divBdr>
                                                                        <w:top w:val="none" w:sz="0" w:space="0" w:color="auto"/>
                                                                        <w:left w:val="none" w:sz="0" w:space="0" w:color="auto"/>
                                                                        <w:bottom w:val="none" w:sz="0" w:space="0" w:color="auto"/>
                                                                        <w:right w:val="none" w:sz="0" w:space="0" w:color="auto"/>
                                                                      </w:divBdr>
                                                                      <w:divsChild>
                                                                        <w:div w:id="1252663370">
                                                                          <w:marLeft w:val="0"/>
                                                                          <w:marRight w:val="0"/>
                                                                          <w:marTop w:val="0"/>
                                                                          <w:marBottom w:val="0"/>
                                                                          <w:divBdr>
                                                                            <w:top w:val="none" w:sz="0" w:space="0" w:color="auto"/>
                                                                            <w:left w:val="none" w:sz="0" w:space="0" w:color="auto"/>
                                                                            <w:bottom w:val="none" w:sz="0" w:space="0" w:color="auto"/>
                                                                            <w:right w:val="none" w:sz="0" w:space="0" w:color="auto"/>
                                                                          </w:divBdr>
                                                                          <w:divsChild>
                                                                            <w:div w:id="1029724955">
                                                                              <w:marLeft w:val="0"/>
                                                                              <w:marRight w:val="0"/>
                                                                              <w:marTop w:val="0"/>
                                                                              <w:marBottom w:val="0"/>
                                                                              <w:divBdr>
                                                                                <w:top w:val="none" w:sz="0" w:space="0" w:color="auto"/>
                                                                                <w:left w:val="none" w:sz="0" w:space="0" w:color="auto"/>
                                                                                <w:bottom w:val="none" w:sz="0" w:space="0" w:color="auto"/>
                                                                                <w:right w:val="none" w:sz="0" w:space="0" w:color="auto"/>
                                                                              </w:divBdr>
                                                                              <w:divsChild>
                                                                                <w:div w:id="98889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1968956">
                                      <w:marLeft w:val="0"/>
                                      <w:marRight w:val="0"/>
                                      <w:marTop w:val="0"/>
                                      <w:marBottom w:val="0"/>
                                      <w:divBdr>
                                        <w:top w:val="none" w:sz="0" w:space="0" w:color="auto"/>
                                        <w:left w:val="none" w:sz="0" w:space="0" w:color="auto"/>
                                        <w:bottom w:val="none" w:sz="0" w:space="0" w:color="auto"/>
                                        <w:right w:val="none" w:sz="0" w:space="0" w:color="auto"/>
                                      </w:divBdr>
                                      <w:divsChild>
                                        <w:div w:id="1124496394">
                                          <w:marLeft w:val="0"/>
                                          <w:marRight w:val="0"/>
                                          <w:marTop w:val="0"/>
                                          <w:marBottom w:val="0"/>
                                          <w:divBdr>
                                            <w:top w:val="none" w:sz="0" w:space="0" w:color="auto"/>
                                            <w:left w:val="none" w:sz="0" w:space="0" w:color="auto"/>
                                            <w:bottom w:val="none" w:sz="0" w:space="0" w:color="auto"/>
                                            <w:right w:val="none" w:sz="0" w:space="0" w:color="auto"/>
                                          </w:divBdr>
                                          <w:divsChild>
                                            <w:div w:id="2062055401">
                                              <w:marLeft w:val="0"/>
                                              <w:marRight w:val="0"/>
                                              <w:marTop w:val="0"/>
                                              <w:marBottom w:val="0"/>
                                              <w:divBdr>
                                                <w:top w:val="none" w:sz="0" w:space="0" w:color="auto"/>
                                                <w:left w:val="none" w:sz="0" w:space="0" w:color="auto"/>
                                                <w:bottom w:val="none" w:sz="0" w:space="0" w:color="auto"/>
                                                <w:right w:val="none" w:sz="0" w:space="0" w:color="auto"/>
                                              </w:divBdr>
                                              <w:divsChild>
                                                <w:div w:id="1291090075">
                                                  <w:marLeft w:val="0"/>
                                                  <w:marRight w:val="0"/>
                                                  <w:marTop w:val="0"/>
                                                  <w:marBottom w:val="0"/>
                                                  <w:divBdr>
                                                    <w:top w:val="none" w:sz="0" w:space="0" w:color="auto"/>
                                                    <w:left w:val="none" w:sz="0" w:space="0" w:color="auto"/>
                                                    <w:bottom w:val="none" w:sz="0" w:space="0" w:color="auto"/>
                                                    <w:right w:val="none" w:sz="0" w:space="0" w:color="auto"/>
                                                  </w:divBdr>
                                                  <w:divsChild>
                                                    <w:div w:id="91629416">
                                                      <w:marLeft w:val="0"/>
                                                      <w:marRight w:val="0"/>
                                                      <w:marTop w:val="0"/>
                                                      <w:marBottom w:val="0"/>
                                                      <w:divBdr>
                                                        <w:top w:val="none" w:sz="0" w:space="0" w:color="auto"/>
                                                        <w:left w:val="none" w:sz="0" w:space="0" w:color="auto"/>
                                                        <w:bottom w:val="none" w:sz="0" w:space="0" w:color="auto"/>
                                                        <w:right w:val="none" w:sz="0" w:space="0" w:color="auto"/>
                                                      </w:divBdr>
                                                      <w:divsChild>
                                                        <w:div w:id="444010327">
                                                          <w:marLeft w:val="0"/>
                                                          <w:marRight w:val="0"/>
                                                          <w:marTop w:val="0"/>
                                                          <w:marBottom w:val="0"/>
                                                          <w:divBdr>
                                                            <w:top w:val="none" w:sz="0" w:space="0" w:color="auto"/>
                                                            <w:left w:val="none" w:sz="0" w:space="0" w:color="auto"/>
                                                            <w:bottom w:val="none" w:sz="0" w:space="0" w:color="auto"/>
                                                            <w:right w:val="none" w:sz="0" w:space="0" w:color="auto"/>
                                                          </w:divBdr>
                                                          <w:divsChild>
                                                            <w:div w:id="987633606">
                                                              <w:marLeft w:val="0"/>
                                                              <w:marRight w:val="0"/>
                                                              <w:marTop w:val="0"/>
                                                              <w:marBottom w:val="0"/>
                                                              <w:divBdr>
                                                                <w:top w:val="none" w:sz="0" w:space="0" w:color="auto"/>
                                                                <w:left w:val="none" w:sz="0" w:space="0" w:color="auto"/>
                                                                <w:bottom w:val="none" w:sz="0" w:space="0" w:color="auto"/>
                                                                <w:right w:val="none" w:sz="0" w:space="0" w:color="auto"/>
                                                              </w:divBdr>
                                                              <w:divsChild>
                                                                <w:div w:id="183857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6446404">
      <w:bodyDiv w:val="1"/>
      <w:marLeft w:val="0"/>
      <w:marRight w:val="0"/>
      <w:marTop w:val="0"/>
      <w:marBottom w:val="0"/>
      <w:divBdr>
        <w:top w:val="none" w:sz="0" w:space="0" w:color="auto"/>
        <w:left w:val="none" w:sz="0" w:space="0" w:color="auto"/>
        <w:bottom w:val="none" w:sz="0" w:space="0" w:color="auto"/>
        <w:right w:val="none" w:sz="0" w:space="0" w:color="auto"/>
      </w:divBdr>
    </w:div>
    <w:div w:id="2003271570">
      <w:bodyDiv w:val="1"/>
      <w:marLeft w:val="0"/>
      <w:marRight w:val="0"/>
      <w:marTop w:val="0"/>
      <w:marBottom w:val="0"/>
      <w:divBdr>
        <w:top w:val="none" w:sz="0" w:space="0" w:color="auto"/>
        <w:left w:val="none" w:sz="0" w:space="0" w:color="auto"/>
        <w:bottom w:val="none" w:sz="0" w:space="0" w:color="auto"/>
        <w:right w:val="none" w:sz="0" w:space="0" w:color="auto"/>
      </w:divBdr>
    </w:div>
    <w:div w:id="2041583396">
      <w:bodyDiv w:val="1"/>
      <w:marLeft w:val="0"/>
      <w:marRight w:val="0"/>
      <w:marTop w:val="0"/>
      <w:marBottom w:val="0"/>
      <w:divBdr>
        <w:top w:val="none" w:sz="0" w:space="0" w:color="auto"/>
        <w:left w:val="none" w:sz="0" w:space="0" w:color="auto"/>
        <w:bottom w:val="none" w:sz="0" w:space="0" w:color="auto"/>
        <w:right w:val="none" w:sz="0" w:space="0" w:color="auto"/>
      </w:divBdr>
      <w:divsChild>
        <w:div w:id="89012620">
          <w:marLeft w:val="0"/>
          <w:marRight w:val="0"/>
          <w:marTop w:val="0"/>
          <w:marBottom w:val="0"/>
          <w:divBdr>
            <w:top w:val="none" w:sz="0" w:space="0" w:color="auto"/>
            <w:left w:val="none" w:sz="0" w:space="0" w:color="auto"/>
            <w:bottom w:val="none" w:sz="0" w:space="0" w:color="auto"/>
            <w:right w:val="none" w:sz="0" w:space="0" w:color="auto"/>
          </w:divBdr>
          <w:divsChild>
            <w:div w:id="1550411156">
              <w:marLeft w:val="0"/>
              <w:marRight w:val="0"/>
              <w:marTop w:val="0"/>
              <w:marBottom w:val="0"/>
              <w:divBdr>
                <w:top w:val="none" w:sz="0" w:space="0" w:color="auto"/>
                <w:left w:val="none" w:sz="0" w:space="0" w:color="auto"/>
                <w:bottom w:val="none" w:sz="0" w:space="0" w:color="auto"/>
                <w:right w:val="none" w:sz="0" w:space="0" w:color="auto"/>
              </w:divBdr>
              <w:divsChild>
                <w:div w:id="166871631">
                  <w:marLeft w:val="0"/>
                  <w:marRight w:val="0"/>
                  <w:marTop w:val="0"/>
                  <w:marBottom w:val="0"/>
                  <w:divBdr>
                    <w:top w:val="none" w:sz="0" w:space="0" w:color="auto"/>
                    <w:left w:val="none" w:sz="0" w:space="0" w:color="auto"/>
                    <w:bottom w:val="none" w:sz="0" w:space="0" w:color="auto"/>
                    <w:right w:val="none" w:sz="0" w:space="0" w:color="auto"/>
                  </w:divBdr>
                  <w:divsChild>
                    <w:div w:id="379281391">
                      <w:marLeft w:val="0"/>
                      <w:marRight w:val="0"/>
                      <w:marTop w:val="0"/>
                      <w:marBottom w:val="0"/>
                      <w:divBdr>
                        <w:top w:val="none" w:sz="0" w:space="0" w:color="auto"/>
                        <w:left w:val="none" w:sz="0" w:space="0" w:color="auto"/>
                        <w:bottom w:val="none" w:sz="0" w:space="0" w:color="auto"/>
                        <w:right w:val="none" w:sz="0" w:space="0" w:color="auto"/>
                      </w:divBdr>
                      <w:divsChild>
                        <w:div w:id="599991886">
                          <w:marLeft w:val="0"/>
                          <w:marRight w:val="0"/>
                          <w:marTop w:val="0"/>
                          <w:marBottom w:val="0"/>
                          <w:divBdr>
                            <w:top w:val="single" w:sz="6" w:space="15" w:color="auto"/>
                            <w:left w:val="single" w:sz="2" w:space="15" w:color="auto"/>
                            <w:bottom w:val="single" w:sz="2" w:space="15" w:color="auto"/>
                            <w:right w:val="single" w:sz="2" w:space="15" w:color="auto"/>
                          </w:divBdr>
                          <w:divsChild>
                            <w:div w:id="44456398">
                              <w:marLeft w:val="0"/>
                              <w:marRight w:val="0"/>
                              <w:marTop w:val="0"/>
                              <w:marBottom w:val="360"/>
                              <w:divBdr>
                                <w:top w:val="none" w:sz="0" w:space="0" w:color="auto"/>
                                <w:left w:val="none" w:sz="0" w:space="0" w:color="auto"/>
                                <w:bottom w:val="none" w:sz="0" w:space="0" w:color="auto"/>
                                <w:right w:val="none" w:sz="0" w:space="0" w:color="auto"/>
                              </w:divBdr>
                            </w:div>
                            <w:div w:id="1250768964">
                              <w:marLeft w:val="0"/>
                              <w:marRight w:val="0"/>
                              <w:marTop w:val="0"/>
                              <w:marBottom w:val="0"/>
                              <w:divBdr>
                                <w:top w:val="none" w:sz="0" w:space="0" w:color="auto"/>
                                <w:left w:val="none" w:sz="0" w:space="0" w:color="auto"/>
                                <w:bottom w:val="none" w:sz="0" w:space="0" w:color="auto"/>
                                <w:right w:val="none" w:sz="0" w:space="0" w:color="auto"/>
                              </w:divBdr>
                              <w:divsChild>
                                <w:div w:id="161632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42035">
          <w:marLeft w:val="0"/>
          <w:marRight w:val="0"/>
          <w:marTop w:val="0"/>
          <w:marBottom w:val="0"/>
          <w:divBdr>
            <w:top w:val="none" w:sz="0" w:space="0" w:color="auto"/>
            <w:left w:val="none" w:sz="0" w:space="0" w:color="auto"/>
            <w:bottom w:val="none" w:sz="0" w:space="0" w:color="auto"/>
            <w:right w:val="none" w:sz="0" w:space="0" w:color="auto"/>
          </w:divBdr>
          <w:divsChild>
            <w:div w:id="2046247176">
              <w:marLeft w:val="0"/>
              <w:marRight w:val="0"/>
              <w:marTop w:val="0"/>
              <w:marBottom w:val="0"/>
              <w:divBdr>
                <w:top w:val="none" w:sz="0" w:space="0" w:color="auto"/>
                <w:left w:val="none" w:sz="0" w:space="0" w:color="auto"/>
                <w:bottom w:val="none" w:sz="0" w:space="0" w:color="auto"/>
                <w:right w:val="none" w:sz="0" w:space="0" w:color="auto"/>
              </w:divBdr>
              <w:divsChild>
                <w:div w:id="793595896">
                  <w:marLeft w:val="0"/>
                  <w:marRight w:val="0"/>
                  <w:marTop w:val="0"/>
                  <w:marBottom w:val="0"/>
                  <w:divBdr>
                    <w:top w:val="none" w:sz="0" w:space="0" w:color="auto"/>
                    <w:left w:val="none" w:sz="0" w:space="0" w:color="auto"/>
                    <w:bottom w:val="none" w:sz="0" w:space="0" w:color="auto"/>
                    <w:right w:val="none" w:sz="0" w:space="0" w:color="auto"/>
                  </w:divBdr>
                  <w:divsChild>
                    <w:div w:id="1467577613">
                      <w:marLeft w:val="0"/>
                      <w:marRight w:val="0"/>
                      <w:marTop w:val="0"/>
                      <w:marBottom w:val="0"/>
                      <w:divBdr>
                        <w:top w:val="none" w:sz="0" w:space="0" w:color="auto"/>
                        <w:left w:val="none" w:sz="0" w:space="0" w:color="auto"/>
                        <w:bottom w:val="none" w:sz="0" w:space="0" w:color="auto"/>
                        <w:right w:val="none" w:sz="0" w:space="0" w:color="auto"/>
                      </w:divBdr>
                      <w:divsChild>
                        <w:div w:id="211767197">
                          <w:marLeft w:val="0"/>
                          <w:marRight w:val="0"/>
                          <w:marTop w:val="0"/>
                          <w:marBottom w:val="0"/>
                          <w:divBdr>
                            <w:top w:val="none" w:sz="0" w:space="0" w:color="auto"/>
                            <w:left w:val="none" w:sz="0" w:space="0" w:color="auto"/>
                            <w:bottom w:val="none" w:sz="0" w:space="0" w:color="auto"/>
                            <w:right w:val="none" w:sz="0" w:space="0" w:color="auto"/>
                          </w:divBdr>
                          <w:divsChild>
                            <w:div w:id="379478380">
                              <w:marLeft w:val="0"/>
                              <w:marRight w:val="0"/>
                              <w:marTop w:val="0"/>
                              <w:marBottom w:val="0"/>
                              <w:divBdr>
                                <w:top w:val="none" w:sz="0" w:space="0" w:color="auto"/>
                                <w:left w:val="none" w:sz="0" w:space="0" w:color="auto"/>
                                <w:bottom w:val="none" w:sz="0" w:space="0" w:color="auto"/>
                                <w:right w:val="none" w:sz="0" w:space="0" w:color="auto"/>
                              </w:divBdr>
                              <w:divsChild>
                                <w:div w:id="681932622">
                                  <w:marLeft w:val="0"/>
                                  <w:marRight w:val="0"/>
                                  <w:marTop w:val="0"/>
                                  <w:marBottom w:val="0"/>
                                  <w:divBdr>
                                    <w:top w:val="none" w:sz="0" w:space="0" w:color="auto"/>
                                    <w:left w:val="none" w:sz="0" w:space="0" w:color="auto"/>
                                    <w:bottom w:val="none" w:sz="0" w:space="0" w:color="auto"/>
                                    <w:right w:val="none" w:sz="0" w:space="0" w:color="auto"/>
                                  </w:divBdr>
                                  <w:divsChild>
                                    <w:div w:id="2048408099">
                                      <w:marLeft w:val="0"/>
                                      <w:marRight w:val="0"/>
                                      <w:marTop w:val="0"/>
                                      <w:marBottom w:val="0"/>
                                      <w:divBdr>
                                        <w:top w:val="none" w:sz="0" w:space="0" w:color="auto"/>
                                        <w:left w:val="none" w:sz="0" w:space="0" w:color="auto"/>
                                        <w:bottom w:val="none" w:sz="0" w:space="0" w:color="auto"/>
                                        <w:right w:val="none" w:sz="0" w:space="0" w:color="auto"/>
                                      </w:divBdr>
                                      <w:divsChild>
                                        <w:div w:id="895048827">
                                          <w:marLeft w:val="0"/>
                                          <w:marRight w:val="0"/>
                                          <w:marTop w:val="0"/>
                                          <w:marBottom w:val="0"/>
                                          <w:divBdr>
                                            <w:top w:val="none" w:sz="0" w:space="0" w:color="auto"/>
                                            <w:left w:val="none" w:sz="0" w:space="0" w:color="auto"/>
                                            <w:bottom w:val="none" w:sz="0" w:space="0" w:color="auto"/>
                                            <w:right w:val="none" w:sz="0" w:space="0" w:color="auto"/>
                                          </w:divBdr>
                                          <w:divsChild>
                                            <w:div w:id="1757705509">
                                              <w:marLeft w:val="0"/>
                                              <w:marRight w:val="0"/>
                                              <w:marTop w:val="0"/>
                                              <w:marBottom w:val="0"/>
                                              <w:divBdr>
                                                <w:top w:val="none" w:sz="0" w:space="0" w:color="auto"/>
                                                <w:left w:val="none" w:sz="0" w:space="0" w:color="auto"/>
                                                <w:bottom w:val="none" w:sz="0" w:space="0" w:color="auto"/>
                                                <w:right w:val="none" w:sz="0" w:space="0" w:color="auto"/>
                                              </w:divBdr>
                                              <w:divsChild>
                                                <w:div w:id="2099793074">
                                                  <w:marLeft w:val="0"/>
                                                  <w:marRight w:val="0"/>
                                                  <w:marTop w:val="0"/>
                                                  <w:marBottom w:val="0"/>
                                                  <w:divBdr>
                                                    <w:top w:val="none" w:sz="0" w:space="0" w:color="auto"/>
                                                    <w:left w:val="none" w:sz="0" w:space="0" w:color="auto"/>
                                                    <w:bottom w:val="none" w:sz="0" w:space="0" w:color="auto"/>
                                                    <w:right w:val="none" w:sz="0" w:space="0" w:color="auto"/>
                                                  </w:divBdr>
                                                  <w:divsChild>
                                                    <w:div w:id="81031342">
                                                      <w:marLeft w:val="0"/>
                                                      <w:marRight w:val="0"/>
                                                      <w:marTop w:val="0"/>
                                                      <w:marBottom w:val="0"/>
                                                      <w:divBdr>
                                                        <w:top w:val="none" w:sz="0" w:space="0" w:color="auto"/>
                                                        <w:left w:val="none" w:sz="0" w:space="0" w:color="auto"/>
                                                        <w:bottom w:val="none" w:sz="0" w:space="0" w:color="auto"/>
                                                        <w:right w:val="none" w:sz="0" w:space="0" w:color="auto"/>
                                                      </w:divBdr>
                                                      <w:divsChild>
                                                        <w:div w:id="2047631717">
                                                          <w:marLeft w:val="0"/>
                                                          <w:marRight w:val="0"/>
                                                          <w:marTop w:val="0"/>
                                                          <w:marBottom w:val="0"/>
                                                          <w:divBdr>
                                                            <w:top w:val="none" w:sz="0" w:space="0" w:color="auto"/>
                                                            <w:left w:val="none" w:sz="0" w:space="0" w:color="auto"/>
                                                            <w:bottom w:val="none" w:sz="0" w:space="0" w:color="auto"/>
                                                            <w:right w:val="none" w:sz="0" w:space="0" w:color="auto"/>
                                                          </w:divBdr>
                                                          <w:divsChild>
                                                            <w:div w:id="313797658">
                                                              <w:marLeft w:val="0"/>
                                                              <w:marRight w:val="0"/>
                                                              <w:marTop w:val="0"/>
                                                              <w:marBottom w:val="0"/>
                                                              <w:divBdr>
                                                                <w:top w:val="none" w:sz="0" w:space="0" w:color="auto"/>
                                                                <w:left w:val="none" w:sz="0" w:space="0" w:color="auto"/>
                                                                <w:bottom w:val="none" w:sz="0" w:space="0" w:color="auto"/>
                                                                <w:right w:val="none" w:sz="0" w:space="0" w:color="auto"/>
                                                              </w:divBdr>
                                                              <w:divsChild>
                                                                <w:div w:id="1521697070">
                                                                  <w:marLeft w:val="0"/>
                                                                  <w:marRight w:val="0"/>
                                                                  <w:marTop w:val="0"/>
                                                                  <w:marBottom w:val="0"/>
                                                                  <w:divBdr>
                                                                    <w:top w:val="none" w:sz="0" w:space="0" w:color="auto"/>
                                                                    <w:left w:val="none" w:sz="0" w:space="0" w:color="auto"/>
                                                                    <w:bottom w:val="none" w:sz="0" w:space="0" w:color="auto"/>
                                                                    <w:right w:val="none" w:sz="0" w:space="0" w:color="auto"/>
                                                                  </w:divBdr>
                                                                  <w:divsChild>
                                                                    <w:div w:id="1464274060">
                                                                      <w:marLeft w:val="0"/>
                                                                      <w:marRight w:val="0"/>
                                                                      <w:marTop w:val="0"/>
                                                                      <w:marBottom w:val="0"/>
                                                                      <w:divBdr>
                                                                        <w:top w:val="none" w:sz="0" w:space="0" w:color="auto"/>
                                                                        <w:left w:val="none" w:sz="0" w:space="0" w:color="auto"/>
                                                                        <w:bottom w:val="none" w:sz="0" w:space="0" w:color="auto"/>
                                                                        <w:right w:val="none" w:sz="0" w:space="0" w:color="auto"/>
                                                                      </w:divBdr>
                                                                      <w:divsChild>
                                                                        <w:div w:id="1306087475">
                                                                          <w:marLeft w:val="0"/>
                                                                          <w:marRight w:val="0"/>
                                                                          <w:marTop w:val="0"/>
                                                                          <w:marBottom w:val="0"/>
                                                                          <w:divBdr>
                                                                            <w:top w:val="none" w:sz="0" w:space="0" w:color="auto"/>
                                                                            <w:left w:val="none" w:sz="0" w:space="0" w:color="auto"/>
                                                                            <w:bottom w:val="none" w:sz="0" w:space="0" w:color="auto"/>
                                                                            <w:right w:val="none" w:sz="0" w:space="0" w:color="auto"/>
                                                                          </w:divBdr>
                                                                          <w:divsChild>
                                                                            <w:div w:id="1362827861">
                                                                              <w:marLeft w:val="0"/>
                                                                              <w:marRight w:val="0"/>
                                                                              <w:marTop w:val="0"/>
                                                                              <w:marBottom w:val="0"/>
                                                                              <w:divBdr>
                                                                                <w:top w:val="none" w:sz="0" w:space="0" w:color="auto"/>
                                                                                <w:left w:val="none" w:sz="0" w:space="0" w:color="auto"/>
                                                                                <w:bottom w:val="none" w:sz="0" w:space="0" w:color="auto"/>
                                                                                <w:right w:val="none" w:sz="0" w:space="0" w:color="auto"/>
                                                                              </w:divBdr>
                                                                              <w:divsChild>
                                                                                <w:div w:id="13524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1405194">
                                      <w:marLeft w:val="0"/>
                                      <w:marRight w:val="0"/>
                                      <w:marTop w:val="0"/>
                                      <w:marBottom w:val="0"/>
                                      <w:divBdr>
                                        <w:top w:val="none" w:sz="0" w:space="0" w:color="auto"/>
                                        <w:left w:val="none" w:sz="0" w:space="0" w:color="auto"/>
                                        <w:bottom w:val="none" w:sz="0" w:space="0" w:color="auto"/>
                                        <w:right w:val="none" w:sz="0" w:space="0" w:color="auto"/>
                                      </w:divBdr>
                                      <w:divsChild>
                                        <w:div w:id="1262032286">
                                          <w:marLeft w:val="0"/>
                                          <w:marRight w:val="0"/>
                                          <w:marTop w:val="0"/>
                                          <w:marBottom w:val="0"/>
                                          <w:divBdr>
                                            <w:top w:val="none" w:sz="0" w:space="0" w:color="auto"/>
                                            <w:left w:val="none" w:sz="0" w:space="0" w:color="auto"/>
                                            <w:bottom w:val="none" w:sz="0" w:space="0" w:color="auto"/>
                                            <w:right w:val="none" w:sz="0" w:space="0" w:color="auto"/>
                                          </w:divBdr>
                                          <w:divsChild>
                                            <w:div w:id="1760712996">
                                              <w:marLeft w:val="0"/>
                                              <w:marRight w:val="0"/>
                                              <w:marTop w:val="0"/>
                                              <w:marBottom w:val="0"/>
                                              <w:divBdr>
                                                <w:top w:val="none" w:sz="0" w:space="0" w:color="auto"/>
                                                <w:left w:val="none" w:sz="0" w:space="0" w:color="auto"/>
                                                <w:bottom w:val="none" w:sz="0" w:space="0" w:color="auto"/>
                                                <w:right w:val="none" w:sz="0" w:space="0" w:color="auto"/>
                                              </w:divBdr>
                                              <w:divsChild>
                                                <w:div w:id="1812210606">
                                                  <w:marLeft w:val="0"/>
                                                  <w:marRight w:val="0"/>
                                                  <w:marTop w:val="0"/>
                                                  <w:marBottom w:val="0"/>
                                                  <w:divBdr>
                                                    <w:top w:val="none" w:sz="0" w:space="0" w:color="auto"/>
                                                    <w:left w:val="none" w:sz="0" w:space="0" w:color="auto"/>
                                                    <w:bottom w:val="none" w:sz="0" w:space="0" w:color="auto"/>
                                                    <w:right w:val="none" w:sz="0" w:space="0" w:color="auto"/>
                                                  </w:divBdr>
                                                  <w:divsChild>
                                                    <w:div w:id="401219669">
                                                      <w:marLeft w:val="0"/>
                                                      <w:marRight w:val="0"/>
                                                      <w:marTop w:val="0"/>
                                                      <w:marBottom w:val="0"/>
                                                      <w:divBdr>
                                                        <w:top w:val="none" w:sz="0" w:space="0" w:color="auto"/>
                                                        <w:left w:val="none" w:sz="0" w:space="0" w:color="auto"/>
                                                        <w:bottom w:val="none" w:sz="0" w:space="0" w:color="auto"/>
                                                        <w:right w:val="none" w:sz="0" w:space="0" w:color="auto"/>
                                                      </w:divBdr>
                                                      <w:divsChild>
                                                        <w:div w:id="990645786">
                                                          <w:marLeft w:val="0"/>
                                                          <w:marRight w:val="0"/>
                                                          <w:marTop w:val="0"/>
                                                          <w:marBottom w:val="0"/>
                                                          <w:divBdr>
                                                            <w:top w:val="none" w:sz="0" w:space="0" w:color="auto"/>
                                                            <w:left w:val="none" w:sz="0" w:space="0" w:color="auto"/>
                                                            <w:bottom w:val="none" w:sz="0" w:space="0" w:color="auto"/>
                                                            <w:right w:val="none" w:sz="0" w:space="0" w:color="auto"/>
                                                          </w:divBdr>
                                                          <w:divsChild>
                                                            <w:div w:id="1174146434">
                                                              <w:marLeft w:val="0"/>
                                                              <w:marRight w:val="0"/>
                                                              <w:marTop w:val="0"/>
                                                              <w:marBottom w:val="0"/>
                                                              <w:divBdr>
                                                                <w:top w:val="none" w:sz="0" w:space="0" w:color="auto"/>
                                                                <w:left w:val="none" w:sz="0" w:space="0" w:color="auto"/>
                                                                <w:bottom w:val="none" w:sz="0" w:space="0" w:color="auto"/>
                                                                <w:right w:val="none" w:sz="0" w:space="0" w:color="auto"/>
                                                              </w:divBdr>
                                                              <w:divsChild>
                                                                <w:div w:id="2080596447">
                                                                  <w:marLeft w:val="0"/>
                                                                  <w:marRight w:val="0"/>
                                                                  <w:marTop w:val="0"/>
                                                                  <w:marBottom w:val="0"/>
                                                                  <w:divBdr>
                                                                    <w:top w:val="none" w:sz="0" w:space="0" w:color="auto"/>
                                                                    <w:left w:val="none" w:sz="0" w:space="0" w:color="auto"/>
                                                                    <w:bottom w:val="none" w:sz="0" w:space="0" w:color="auto"/>
                                                                    <w:right w:val="none" w:sz="0" w:space="0" w:color="auto"/>
                                                                  </w:divBdr>
                                                                  <w:divsChild>
                                                                    <w:div w:id="772748739">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2761425">
                                      <w:marLeft w:val="0"/>
                                      <w:marRight w:val="0"/>
                                      <w:marTop w:val="0"/>
                                      <w:marBottom w:val="0"/>
                                      <w:divBdr>
                                        <w:top w:val="none" w:sz="0" w:space="0" w:color="auto"/>
                                        <w:left w:val="none" w:sz="0" w:space="0" w:color="auto"/>
                                        <w:bottom w:val="none" w:sz="0" w:space="0" w:color="auto"/>
                                        <w:right w:val="none" w:sz="0" w:space="0" w:color="auto"/>
                                      </w:divBdr>
                                      <w:divsChild>
                                        <w:div w:id="741173729">
                                          <w:marLeft w:val="0"/>
                                          <w:marRight w:val="0"/>
                                          <w:marTop w:val="0"/>
                                          <w:marBottom w:val="0"/>
                                          <w:divBdr>
                                            <w:top w:val="none" w:sz="0" w:space="0" w:color="auto"/>
                                            <w:left w:val="none" w:sz="0" w:space="0" w:color="auto"/>
                                            <w:bottom w:val="none" w:sz="0" w:space="0" w:color="auto"/>
                                            <w:right w:val="none" w:sz="0" w:space="0" w:color="auto"/>
                                          </w:divBdr>
                                          <w:divsChild>
                                            <w:div w:id="1953436518">
                                              <w:marLeft w:val="0"/>
                                              <w:marRight w:val="0"/>
                                              <w:marTop w:val="0"/>
                                              <w:marBottom w:val="0"/>
                                              <w:divBdr>
                                                <w:top w:val="none" w:sz="0" w:space="0" w:color="auto"/>
                                                <w:left w:val="none" w:sz="0" w:space="0" w:color="auto"/>
                                                <w:bottom w:val="none" w:sz="0" w:space="0" w:color="auto"/>
                                                <w:right w:val="none" w:sz="0" w:space="0" w:color="auto"/>
                                              </w:divBdr>
                                              <w:divsChild>
                                                <w:div w:id="2015961664">
                                                  <w:marLeft w:val="0"/>
                                                  <w:marRight w:val="0"/>
                                                  <w:marTop w:val="0"/>
                                                  <w:marBottom w:val="0"/>
                                                  <w:divBdr>
                                                    <w:top w:val="none" w:sz="0" w:space="0" w:color="auto"/>
                                                    <w:left w:val="none" w:sz="0" w:space="0" w:color="auto"/>
                                                    <w:bottom w:val="none" w:sz="0" w:space="0" w:color="auto"/>
                                                    <w:right w:val="none" w:sz="0" w:space="0" w:color="auto"/>
                                                  </w:divBdr>
                                                  <w:divsChild>
                                                    <w:div w:id="577902757">
                                                      <w:marLeft w:val="0"/>
                                                      <w:marRight w:val="0"/>
                                                      <w:marTop w:val="0"/>
                                                      <w:marBottom w:val="0"/>
                                                      <w:divBdr>
                                                        <w:top w:val="none" w:sz="0" w:space="0" w:color="auto"/>
                                                        <w:left w:val="none" w:sz="0" w:space="0" w:color="auto"/>
                                                        <w:bottom w:val="none" w:sz="0" w:space="0" w:color="auto"/>
                                                        <w:right w:val="none" w:sz="0" w:space="0" w:color="auto"/>
                                                      </w:divBdr>
                                                      <w:divsChild>
                                                        <w:div w:id="64840618">
                                                          <w:marLeft w:val="0"/>
                                                          <w:marRight w:val="0"/>
                                                          <w:marTop w:val="0"/>
                                                          <w:marBottom w:val="0"/>
                                                          <w:divBdr>
                                                            <w:top w:val="none" w:sz="0" w:space="0" w:color="auto"/>
                                                            <w:left w:val="none" w:sz="0" w:space="0" w:color="auto"/>
                                                            <w:bottom w:val="none" w:sz="0" w:space="0" w:color="auto"/>
                                                            <w:right w:val="none" w:sz="0" w:space="0" w:color="auto"/>
                                                          </w:divBdr>
                                                          <w:divsChild>
                                                            <w:div w:id="233660780">
                                                              <w:marLeft w:val="0"/>
                                                              <w:marRight w:val="0"/>
                                                              <w:marTop w:val="0"/>
                                                              <w:marBottom w:val="0"/>
                                                              <w:divBdr>
                                                                <w:top w:val="none" w:sz="0" w:space="0" w:color="auto"/>
                                                                <w:left w:val="none" w:sz="0" w:space="0" w:color="auto"/>
                                                                <w:bottom w:val="none" w:sz="0" w:space="0" w:color="auto"/>
                                                                <w:right w:val="none" w:sz="0" w:space="0" w:color="auto"/>
                                                              </w:divBdr>
                                                              <w:divsChild>
                                                                <w:div w:id="236599977">
                                                                  <w:marLeft w:val="0"/>
                                                                  <w:marRight w:val="0"/>
                                                                  <w:marTop w:val="0"/>
                                                                  <w:marBottom w:val="0"/>
                                                                  <w:divBdr>
                                                                    <w:top w:val="none" w:sz="0" w:space="0" w:color="auto"/>
                                                                    <w:left w:val="none" w:sz="0" w:space="0" w:color="auto"/>
                                                                    <w:bottom w:val="none" w:sz="0" w:space="0" w:color="auto"/>
                                                                    <w:right w:val="none" w:sz="0" w:space="0" w:color="auto"/>
                                                                  </w:divBdr>
                                                                  <w:divsChild>
                                                                    <w:div w:id="835611559">
                                                                      <w:marLeft w:val="0"/>
                                                                      <w:marRight w:val="0"/>
                                                                      <w:marTop w:val="0"/>
                                                                      <w:marBottom w:val="0"/>
                                                                      <w:divBdr>
                                                                        <w:top w:val="none" w:sz="0" w:space="0" w:color="auto"/>
                                                                        <w:left w:val="none" w:sz="0" w:space="0" w:color="auto"/>
                                                                        <w:bottom w:val="none" w:sz="0" w:space="0" w:color="auto"/>
                                                                        <w:right w:val="none" w:sz="0" w:space="0" w:color="auto"/>
                                                                      </w:divBdr>
                                                                      <w:divsChild>
                                                                        <w:div w:id="1370178930">
                                                                          <w:marLeft w:val="0"/>
                                                                          <w:marRight w:val="0"/>
                                                                          <w:marTop w:val="0"/>
                                                                          <w:marBottom w:val="0"/>
                                                                          <w:divBdr>
                                                                            <w:top w:val="none" w:sz="0" w:space="0" w:color="auto"/>
                                                                            <w:left w:val="none" w:sz="0" w:space="0" w:color="auto"/>
                                                                            <w:bottom w:val="none" w:sz="0" w:space="0" w:color="auto"/>
                                                                            <w:right w:val="none" w:sz="0" w:space="0" w:color="auto"/>
                                                                          </w:divBdr>
                                                                          <w:divsChild>
                                                                            <w:div w:id="1460807084">
                                                                              <w:marLeft w:val="0"/>
                                                                              <w:marRight w:val="0"/>
                                                                              <w:marTop w:val="0"/>
                                                                              <w:marBottom w:val="0"/>
                                                                              <w:divBdr>
                                                                                <w:top w:val="none" w:sz="0" w:space="0" w:color="auto"/>
                                                                                <w:left w:val="none" w:sz="0" w:space="0" w:color="auto"/>
                                                                                <w:bottom w:val="none" w:sz="0" w:space="0" w:color="auto"/>
                                                                                <w:right w:val="none" w:sz="0" w:space="0" w:color="auto"/>
                                                                              </w:divBdr>
                                                                              <w:divsChild>
                                                                                <w:div w:id="1092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9781913">
                                      <w:marLeft w:val="0"/>
                                      <w:marRight w:val="0"/>
                                      <w:marTop w:val="0"/>
                                      <w:marBottom w:val="0"/>
                                      <w:divBdr>
                                        <w:top w:val="none" w:sz="0" w:space="0" w:color="auto"/>
                                        <w:left w:val="none" w:sz="0" w:space="0" w:color="auto"/>
                                        <w:bottom w:val="none" w:sz="0" w:space="0" w:color="auto"/>
                                        <w:right w:val="none" w:sz="0" w:space="0" w:color="auto"/>
                                      </w:divBdr>
                                      <w:divsChild>
                                        <w:div w:id="2112358473">
                                          <w:marLeft w:val="0"/>
                                          <w:marRight w:val="0"/>
                                          <w:marTop w:val="0"/>
                                          <w:marBottom w:val="0"/>
                                          <w:divBdr>
                                            <w:top w:val="none" w:sz="0" w:space="0" w:color="auto"/>
                                            <w:left w:val="none" w:sz="0" w:space="0" w:color="auto"/>
                                            <w:bottom w:val="none" w:sz="0" w:space="0" w:color="auto"/>
                                            <w:right w:val="none" w:sz="0" w:space="0" w:color="auto"/>
                                          </w:divBdr>
                                          <w:divsChild>
                                            <w:div w:id="1884174029">
                                              <w:marLeft w:val="0"/>
                                              <w:marRight w:val="0"/>
                                              <w:marTop w:val="0"/>
                                              <w:marBottom w:val="0"/>
                                              <w:divBdr>
                                                <w:top w:val="none" w:sz="0" w:space="0" w:color="auto"/>
                                                <w:left w:val="none" w:sz="0" w:space="0" w:color="auto"/>
                                                <w:bottom w:val="none" w:sz="0" w:space="0" w:color="auto"/>
                                                <w:right w:val="none" w:sz="0" w:space="0" w:color="auto"/>
                                              </w:divBdr>
                                              <w:divsChild>
                                                <w:div w:id="1314287863">
                                                  <w:marLeft w:val="0"/>
                                                  <w:marRight w:val="0"/>
                                                  <w:marTop w:val="0"/>
                                                  <w:marBottom w:val="0"/>
                                                  <w:divBdr>
                                                    <w:top w:val="none" w:sz="0" w:space="0" w:color="auto"/>
                                                    <w:left w:val="none" w:sz="0" w:space="0" w:color="auto"/>
                                                    <w:bottom w:val="none" w:sz="0" w:space="0" w:color="auto"/>
                                                    <w:right w:val="none" w:sz="0" w:space="0" w:color="auto"/>
                                                  </w:divBdr>
                                                  <w:divsChild>
                                                    <w:div w:id="883717437">
                                                      <w:marLeft w:val="0"/>
                                                      <w:marRight w:val="0"/>
                                                      <w:marTop w:val="0"/>
                                                      <w:marBottom w:val="0"/>
                                                      <w:divBdr>
                                                        <w:top w:val="none" w:sz="0" w:space="0" w:color="auto"/>
                                                        <w:left w:val="none" w:sz="0" w:space="0" w:color="auto"/>
                                                        <w:bottom w:val="none" w:sz="0" w:space="0" w:color="auto"/>
                                                        <w:right w:val="none" w:sz="0" w:space="0" w:color="auto"/>
                                                      </w:divBdr>
                                                      <w:divsChild>
                                                        <w:div w:id="1797018421">
                                                          <w:marLeft w:val="0"/>
                                                          <w:marRight w:val="0"/>
                                                          <w:marTop w:val="0"/>
                                                          <w:marBottom w:val="0"/>
                                                          <w:divBdr>
                                                            <w:top w:val="none" w:sz="0" w:space="0" w:color="auto"/>
                                                            <w:left w:val="none" w:sz="0" w:space="0" w:color="auto"/>
                                                            <w:bottom w:val="none" w:sz="0" w:space="0" w:color="auto"/>
                                                            <w:right w:val="none" w:sz="0" w:space="0" w:color="auto"/>
                                                          </w:divBdr>
                                                          <w:divsChild>
                                                            <w:div w:id="43524044">
                                                              <w:marLeft w:val="0"/>
                                                              <w:marRight w:val="0"/>
                                                              <w:marTop w:val="0"/>
                                                              <w:marBottom w:val="0"/>
                                                              <w:divBdr>
                                                                <w:top w:val="none" w:sz="0" w:space="0" w:color="auto"/>
                                                                <w:left w:val="none" w:sz="0" w:space="0" w:color="auto"/>
                                                                <w:bottom w:val="none" w:sz="0" w:space="0" w:color="auto"/>
                                                                <w:right w:val="none" w:sz="0" w:space="0" w:color="auto"/>
                                                              </w:divBdr>
                                                              <w:divsChild>
                                                                <w:div w:id="6180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576800">
                                      <w:marLeft w:val="0"/>
                                      <w:marRight w:val="0"/>
                                      <w:marTop w:val="0"/>
                                      <w:marBottom w:val="0"/>
                                      <w:divBdr>
                                        <w:top w:val="none" w:sz="0" w:space="0" w:color="auto"/>
                                        <w:left w:val="none" w:sz="0" w:space="0" w:color="auto"/>
                                        <w:bottom w:val="none" w:sz="0" w:space="0" w:color="auto"/>
                                        <w:right w:val="none" w:sz="0" w:space="0" w:color="auto"/>
                                      </w:divBdr>
                                      <w:divsChild>
                                        <w:div w:id="1065569249">
                                          <w:marLeft w:val="0"/>
                                          <w:marRight w:val="0"/>
                                          <w:marTop w:val="0"/>
                                          <w:marBottom w:val="0"/>
                                          <w:divBdr>
                                            <w:top w:val="none" w:sz="0" w:space="0" w:color="auto"/>
                                            <w:left w:val="none" w:sz="0" w:space="0" w:color="auto"/>
                                            <w:bottom w:val="none" w:sz="0" w:space="0" w:color="auto"/>
                                            <w:right w:val="none" w:sz="0" w:space="0" w:color="auto"/>
                                          </w:divBdr>
                                          <w:divsChild>
                                            <w:div w:id="1592853733">
                                              <w:marLeft w:val="0"/>
                                              <w:marRight w:val="0"/>
                                              <w:marTop w:val="0"/>
                                              <w:marBottom w:val="0"/>
                                              <w:divBdr>
                                                <w:top w:val="none" w:sz="0" w:space="0" w:color="auto"/>
                                                <w:left w:val="none" w:sz="0" w:space="0" w:color="auto"/>
                                                <w:bottom w:val="none" w:sz="0" w:space="0" w:color="auto"/>
                                                <w:right w:val="none" w:sz="0" w:space="0" w:color="auto"/>
                                              </w:divBdr>
                                              <w:divsChild>
                                                <w:div w:id="935482516">
                                                  <w:marLeft w:val="0"/>
                                                  <w:marRight w:val="0"/>
                                                  <w:marTop w:val="0"/>
                                                  <w:marBottom w:val="0"/>
                                                  <w:divBdr>
                                                    <w:top w:val="none" w:sz="0" w:space="0" w:color="auto"/>
                                                    <w:left w:val="none" w:sz="0" w:space="0" w:color="auto"/>
                                                    <w:bottom w:val="none" w:sz="0" w:space="0" w:color="auto"/>
                                                    <w:right w:val="none" w:sz="0" w:space="0" w:color="auto"/>
                                                  </w:divBdr>
                                                  <w:divsChild>
                                                    <w:div w:id="1553881573">
                                                      <w:marLeft w:val="0"/>
                                                      <w:marRight w:val="0"/>
                                                      <w:marTop w:val="0"/>
                                                      <w:marBottom w:val="0"/>
                                                      <w:divBdr>
                                                        <w:top w:val="none" w:sz="0" w:space="0" w:color="auto"/>
                                                        <w:left w:val="none" w:sz="0" w:space="0" w:color="auto"/>
                                                        <w:bottom w:val="none" w:sz="0" w:space="0" w:color="auto"/>
                                                        <w:right w:val="none" w:sz="0" w:space="0" w:color="auto"/>
                                                      </w:divBdr>
                                                      <w:divsChild>
                                                        <w:div w:id="622543222">
                                                          <w:marLeft w:val="0"/>
                                                          <w:marRight w:val="0"/>
                                                          <w:marTop w:val="0"/>
                                                          <w:marBottom w:val="0"/>
                                                          <w:divBdr>
                                                            <w:top w:val="none" w:sz="0" w:space="0" w:color="auto"/>
                                                            <w:left w:val="none" w:sz="0" w:space="0" w:color="auto"/>
                                                            <w:bottom w:val="none" w:sz="0" w:space="0" w:color="auto"/>
                                                            <w:right w:val="none" w:sz="0" w:space="0" w:color="auto"/>
                                                          </w:divBdr>
                                                          <w:divsChild>
                                                            <w:div w:id="648049553">
                                                              <w:marLeft w:val="0"/>
                                                              <w:marRight w:val="0"/>
                                                              <w:marTop w:val="0"/>
                                                              <w:marBottom w:val="0"/>
                                                              <w:divBdr>
                                                                <w:top w:val="none" w:sz="0" w:space="0" w:color="auto"/>
                                                                <w:left w:val="none" w:sz="0" w:space="0" w:color="auto"/>
                                                                <w:bottom w:val="none" w:sz="0" w:space="0" w:color="auto"/>
                                                                <w:right w:val="none" w:sz="0" w:space="0" w:color="auto"/>
                                                              </w:divBdr>
                                                              <w:divsChild>
                                                                <w:div w:id="443162023">
                                                                  <w:marLeft w:val="0"/>
                                                                  <w:marRight w:val="0"/>
                                                                  <w:marTop w:val="0"/>
                                                                  <w:marBottom w:val="0"/>
                                                                  <w:divBdr>
                                                                    <w:top w:val="none" w:sz="0" w:space="0" w:color="auto"/>
                                                                    <w:left w:val="none" w:sz="0" w:space="0" w:color="auto"/>
                                                                    <w:bottom w:val="none" w:sz="0" w:space="0" w:color="auto"/>
                                                                    <w:right w:val="none" w:sz="0" w:space="0" w:color="auto"/>
                                                                  </w:divBdr>
                                                                  <w:divsChild>
                                                                    <w:div w:id="1648511739">
                                                                      <w:marLeft w:val="0"/>
                                                                      <w:marRight w:val="0"/>
                                                                      <w:marTop w:val="0"/>
                                                                      <w:marBottom w:val="0"/>
                                                                      <w:divBdr>
                                                                        <w:top w:val="none" w:sz="0" w:space="0" w:color="auto"/>
                                                                        <w:left w:val="none" w:sz="0" w:space="0" w:color="auto"/>
                                                                        <w:bottom w:val="none" w:sz="0" w:space="0" w:color="auto"/>
                                                                        <w:right w:val="none" w:sz="0" w:space="0" w:color="auto"/>
                                                                      </w:divBdr>
                                                                      <w:divsChild>
                                                                        <w:div w:id="1860703903">
                                                                          <w:marLeft w:val="0"/>
                                                                          <w:marRight w:val="0"/>
                                                                          <w:marTop w:val="0"/>
                                                                          <w:marBottom w:val="0"/>
                                                                          <w:divBdr>
                                                                            <w:top w:val="none" w:sz="0" w:space="0" w:color="auto"/>
                                                                            <w:left w:val="none" w:sz="0" w:space="0" w:color="auto"/>
                                                                            <w:bottom w:val="none" w:sz="0" w:space="0" w:color="auto"/>
                                                                            <w:right w:val="none" w:sz="0" w:space="0" w:color="auto"/>
                                                                          </w:divBdr>
                                                                          <w:divsChild>
                                                                            <w:div w:id="1654942323">
                                                                              <w:marLeft w:val="0"/>
                                                                              <w:marRight w:val="0"/>
                                                                              <w:marTop w:val="0"/>
                                                                              <w:marBottom w:val="0"/>
                                                                              <w:divBdr>
                                                                                <w:top w:val="none" w:sz="0" w:space="0" w:color="auto"/>
                                                                                <w:left w:val="none" w:sz="0" w:space="0" w:color="auto"/>
                                                                                <w:bottom w:val="none" w:sz="0" w:space="0" w:color="auto"/>
                                                                                <w:right w:val="none" w:sz="0" w:space="0" w:color="auto"/>
                                                                              </w:divBdr>
                                                                              <w:divsChild>
                                                                                <w:div w:id="8459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9885139">
                                      <w:marLeft w:val="0"/>
                                      <w:marRight w:val="0"/>
                                      <w:marTop w:val="0"/>
                                      <w:marBottom w:val="0"/>
                                      <w:divBdr>
                                        <w:top w:val="none" w:sz="0" w:space="0" w:color="auto"/>
                                        <w:left w:val="none" w:sz="0" w:space="0" w:color="auto"/>
                                        <w:bottom w:val="none" w:sz="0" w:space="0" w:color="auto"/>
                                        <w:right w:val="none" w:sz="0" w:space="0" w:color="auto"/>
                                      </w:divBdr>
                                      <w:divsChild>
                                        <w:div w:id="21324579">
                                          <w:marLeft w:val="0"/>
                                          <w:marRight w:val="0"/>
                                          <w:marTop w:val="0"/>
                                          <w:marBottom w:val="0"/>
                                          <w:divBdr>
                                            <w:top w:val="none" w:sz="0" w:space="0" w:color="auto"/>
                                            <w:left w:val="none" w:sz="0" w:space="0" w:color="auto"/>
                                            <w:bottom w:val="none" w:sz="0" w:space="0" w:color="auto"/>
                                            <w:right w:val="none" w:sz="0" w:space="0" w:color="auto"/>
                                          </w:divBdr>
                                          <w:divsChild>
                                            <w:div w:id="1440567388">
                                              <w:marLeft w:val="0"/>
                                              <w:marRight w:val="0"/>
                                              <w:marTop w:val="0"/>
                                              <w:marBottom w:val="0"/>
                                              <w:divBdr>
                                                <w:top w:val="none" w:sz="0" w:space="0" w:color="auto"/>
                                                <w:left w:val="none" w:sz="0" w:space="0" w:color="auto"/>
                                                <w:bottom w:val="none" w:sz="0" w:space="0" w:color="auto"/>
                                                <w:right w:val="none" w:sz="0" w:space="0" w:color="auto"/>
                                              </w:divBdr>
                                              <w:divsChild>
                                                <w:div w:id="1078676497">
                                                  <w:marLeft w:val="0"/>
                                                  <w:marRight w:val="0"/>
                                                  <w:marTop w:val="0"/>
                                                  <w:marBottom w:val="0"/>
                                                  <w:divBdr>
                                                    <w:top w:val="none" w:sz="0" w:space="0" w:color="auto"/>
                                                    <w:left w:val="none" w:sz="0" w:space="0" w:color="auto"/>
                                                    <w:bottom w:val="none" w:sz="0" w:space="0" w:color="auto"/>
                                                    <w:right w:val="none" w:sz="0" w:space="0" w:color="auto"/>
                                                  </w:divBdr>
                                                  <w:divsChild>
                                                    <w:div w:id="811603084">
                                                      <w:marLeft w:val="0"/>
                                                      <w:marRight w:val="0"/>
                                                      <w:marTop w:val="0"/>
                                                      <w:marBottom w:val="0"/>
                                                      <w:divBdr>
                                                        <w:top w:val="none" w:sz="0" w:space="0" w:color="auto"/>
                                                        <w:left w:val="none" w:sz="0" w:space="0" w:color="auto"/>
                                                        <w:bottom w:val="none" w:sz="0" w:space="0" w:color="auto"/>
                                                        <w:right w:val="none" w:sz="0" w:space="0" w:color="auto"/>
                                                      </w:divBdr>
                                                      <w:divsChild>
                                                        <w:div w:id="356076967">
                                                          <w:marLeft w:val="0"/>
                                                          <w:marRight w:val="0"/>
                                                          <w:marTop w:val="0"/>
                                                          <w:marBottom w:val="0"/>
                                                          <w:divBdr>
                                                            <w:top w:val="none" w:sz="0" w:space="0" w:color="auto"/>
                                                            <w:left w:val="none" w:sz="0" w:space="0" w:color="auto"/>
                                                            <w:bottom w:val="none" w:sz="0" w:space="0" w:color="auto"/>
                                                            <w:right w:val="none" w:sz="0" w:space="0" w:color="auto"/>
                                                          </w:divBdr>
                                                          <w:divsChild>
                                                            <w:div w:id="552272963">
                                                              <w:marLeft w:val="0"/>
                                                              <w:marRight w:val="0"/>
                                                              <w:marTop w:val="0"/>
                                                              <w:marBottom w:val="0"/>
                                                              <w:divBdr>
                                                                <w:top w:val="none" w:sz="0" w:space="0" w:color="auto"/>
                                                                <w:left w:val="none" w:sz="0" w:space="0" w:color="auto"/>
                                                                <w:bottom w:val="none" w:sz="0" w:space="0" w:color="auto"/>
                                                                <w:right w:val="none" w:sz="0" w:space="0" w:color="auto"/>
                                                              </w:divBdr>
                                                              <w:divsChild>
                                                                <w:div w:id="77182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penknowledge.fao.org/server/api/core/bitstreams/de95e011-1af9-4b28-9a07-d8ce61f8aa6c/content/state-food-security-and-nutrition-2025/food-price-inflation-facts.html" TargetMode="External"/><Relationship Id="rId18" Type="http://schemas.openxmlformats.org/officeDocument/2006/relationships/hyperlink" Target="https://dx.doi.org/10.12944/CRNFSJ.10.3.7"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j.univ-danubius.ro/index.php/AUDOE/article/view/1760" TargetMode="External"/><Relationship Id="rId17" Type="http://schemas.openxmlformats.org/officeDocument/2006/relationships/hyperlink" Target="https://doi.org/10.4081/jphia.2019.885"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16/j.advnut.2024.100203" TargetMode="External"/><Relationship Id="rId20" Type="http://schemas.openxmlformats.org/officeDocument/2006/relationships/hyperlink" Target="https://doi.org/10.1016/j.tibtech.2022.12.0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mcn.12506"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2/fsn3.3855"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3390/agriculture12070956" TargetMode="External"/><Relationship Id="rId19" Type="http://schemas.openxmlformats.org/officeDocument/2006/relationships/hyperlink" Target="https://doi.org/10.1016/j.heliyon.2023.e17232" TargetMode="External"/><Relationship Id="rId4" Type="http://schemas.openxmlformats.org/officeDocument/2006/relationships/settings" Target="settings.xml"/><Relationship Id="rId9" Type="http://schemas.openxmlformats.org/officeDocument/2006/relationships/hyperlink" Target="https://doi.org/10.12688/healthopenres.13771.1" TargetMode="External"/><Relationship Id="rId14" Type="http://schemas.openxmlformats.org/officeDocument/2006/relationships/hyperlink" Target="https://doi.org/10.1038/s41598-023-39828-6"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36C8E-B1EF-4619-8B09-03690758F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36</Pages>
  <Words>12395</Words>
  <Characters>70656</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SDI CPU 1117</cp:lastModifiedBy>
  <cp:revision>8</cp:revision>
  <dcterms:created xsi:type="dcterms:W3CDTF">2026-05-26T07:27:00Z</dcterms:created>
  <dcterms:modified xsi:type="dcterms:W3CDTF">2026-06-09T06:21:00Z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10624503-c0e8-40da-a064-dc18871500d3</vt:lpwstr>
  </property>
</Properties>
</file>