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51999" w14:textId="77777777" w:rsidR="00301604" w:rsidRPr="00301604" w:rsidRDefault="00301604" w:rsidP="00827B42">
      <w:pPr>
        <w:spacing w:after="240"/>
        <w:jc w:val="both"/>
        <w:rPr>
          <w:rFonts w:ascii="Aptos Display" w:hAnsi="Aptos Display"/>
          <w:b/>
          <w:bCs/>
          <w:i/>
          <w:iCs/>
          <w:color w:val="1F4E79"/>
          <w:sz w:val="33"/>
          <w:u w:val="single"/>
        </w:rPr>
      </w:pPr>
      <w:r w:rsidRPr="00301604">
        <w:rPr>
          <w:rFonts w:ascii="Aptos Display" w:hAnsi="Aptos Display"/>
          <w:b/>
          <w:bCs/>
          <w:i/>
          <w:iCs/>
          <w:color w:val="1F4E79"/>
          <w:sz w:val="33"/>
          <w:u w:val="single"/>
        </w:rPr>
        <w:t>Review Article</w:t>
      </w:r>
    </w:p>
    <w:p w14:paraId="7E53F718" w14:textId="77777777" w:rsidR="00E25F3E" w:rsidRDefault="00000000" w:rsidP="00827B42">
      <w:pPr>
        <w:spacing w:after="240"/>
        <w:jc w:val="both"/>
        <w:rPr>
          <w:rFonts w:ascii="Aptos Display" w:hAnsi="Aptos Display"/>
          <w:b/>
          <w:color w:val="1F4E79"/>
          <w:sz w:val="33"/>
        </w:rPr>
      </w:pPr>
      <w:r>
        <w:rPr>
          <w:rFonts w:ascii="Aptos Display" w:hAnsi="Aptos Display"/>
          <w:b/>
          <w:color w:val="1F4E79"/>
          <w:sz w:val="33"/>
        </w:rPr>
        <w:t>Microdroplet Microreactors: From Passive Ion Carriers to Active Chemical Vessels</w:t>
      </w:r>
    </w:p>
    <w:p w14:paraId="763B3EDD" w14:textId="77777777" w:rsidR="0001640A" w:rsidRDefault="0001640A" w:rsidP="00827B42">
      <w:pPr>
        <w:spacing w:after="240"/>
        <w:jc w:val="both"/>
      </w:pPr>
    </w:p>
    <w:p w14:paraId="59E79AE5" w14:textId="77777777" w:rsidR="00E25F3E" w:rsidRDefault="00000000" w:rsidP="00827B42">
      <w:pPr>
        <w:pStyle w:val="Heading1"/>
        <w:jc w:val="both"/>
      </w:pPr>
      <w:r>
        <w:t>Abstract</w:t>
      </w:r>
    </w:p>
    <w:p w14:paraId="252E31B6" w14:textId="77777777" w:rsidR="00E25F3E" w:rsidRDefault="00000000" w:rsidP="00827B42">
      <w:pPr>
        <w:pStyle w:val="AbstractCustom"/>
      </w:pPr>
      <w:r>
        <w:t>Microdroplets have moved from a supporting role in mass spectrometry to a contested but increasingly consequential class of chemical microreactors. Their historical identity as carriers that transfer ions from solution to the gas phase has been revised by evidence that reactions can proceed differently in small droplets than in corresponding bulk solutions, sometimes with substantial increases in product formation over millisecond-to-second timescales. This critical narrative review examines how that conceptual transition occurred, which mechanisms are supported by the strongest evidence, and how convincingly present platforms function as controllable reactors rather than analytically convenient reaction environments. Literature was selected through live searches of accessible multidisciplinary, chemical and biomedical scholarly indexes, supplemented by citation chasing and DOI-level verification. The synthesis distinguishes concentration effects produced by evaporation from genuine interfacial kinetic effects; evaluates surface enrichment, partial solvation, electric fields, charge, acidity, redox chemistry and gas uptake as reaction-specific contributors; and uses the hydrogen-peroxide controversy as a stress test for mechanistic claims. Evidence from charged electrospray droplets, levitated droplets, droplet-fusion arrangements and electrically unactivated droplets shows that no single mechanism explains all reported acceleration. The most defensible interpretation is that a microdroplet is a transient, non-equilibrium reactor trajectory whose volume, composition, surface-to-volume ratio, charge state, interfacial solvation and gas exchange evolve together. This perspective clarifies why apparent acceleration factors depend strongly on how reaction time, volume change, sampling and ionisation are defined. Preparative nebulisation, solvent-recycling systems, high-throughput reaction screening and interfacial electrochemistry demonstrate meaningful engineering progress, but analytical throughput and striking local rates do not by themselves establish scalable, energy-efficient synthesis. Future work should prioritise orthogonal product quantification, independent measurement of droplet histories, deliberately neutral or charge-controlled comparisons, standardised reporting of reactor productivity, and life-cycle-relevant process metrics. Microdroplets are therefore best regarded neither as passive ion carriers nor as universally catalytic interfaces, but as actively evolving vessels whose chemical function must be demonstrated for each reaction and reactor architecture.</w:t>
      </w:r>
    </w:p>
    <w:p w14:paraId="7835E9E2" w14:textId="77777777" w:rsidR="00E25F3E" w:rsidRDefault="00000000" w:rsidP="00827B42">
      <w:pPr>
        <w:spacing w:after="180"/>
        <w:jc w:val="both"/>
      </w:pPr>
      <w:r>
        <w:rPr>
          <w:b/>
        </w:rPr>
        <w:t xml:space="preserve">Keywords: </w:t>
      </w:r>
      <w:r>
        <w:t>air-water interface; charged droplets; electrospray ionisation; interfacial chemistry; reaction acceleration; reaction engineering; high-throughput synthesis; non-equilibrium chemistry</w:t>
      </w:r>
    </w:p>
    <w:p w14:paraId="475A69FA" w14:textId="77777777" w:rsidR="00E25F3E" w:rsidRDefault="00000000" w:rsidP="00827B42">
      <w:pPr>
        <w:pStyle w:val="Heading1"/>
        <w:jc w:val="both"/>
      </w:pPr>
      <w:r>
        <w:t>1. Introduction</w:t>
      </w:r>
    </w:p>
    <w:p w14:paraId="72A084CB" w14:textId="77777777" w:rsidR="00E25F3E" w:rsidRDefault="00000000" w:rsidP="00827B42">
      <w:pPr>
        <w:pStyle w:val="BodyTextCustom"/>
      </w:pPr>
      <w:r>
        <w:t>Electrospray ionisation (ESI) became transformative because it created a practical route for transferring ions from solution into the gas phase while preserving information about large, non-volatile molecules. In the canonical analytical picture, the sprayed droplets were therefore intermediates in an ion-generation sequence: solvent evaporation, charge concentration and droplet disintegration were important because they delivered detectable gas-phase ions, not because the droplet itself was conceived as a chemically productive reactor. That interpretation was reinforced by the success of ESI as an interface between liquid chromatography and mass spectrometry and by mechanistic debates centred on how solvated ions emerge from shrinking, highly charged droplets (Fenn et al., 1989). Desorption electrospray ionisation (DESI) extended the paradigm by using charged droplets to sample surfaces under ambient conditions, again emphasising transport, desorption and ionisation rather than deliberate synthesis (Cooks et al., 2006; Takáts et al., 2004).</w:t>
      </w:r>
    </w:p>
    <w:p w14:paraId="13134BF2" w14:textId="77777777" w:rsidR="00E25F3E" w:rsidRPr="00827B42" w:rsidRDefault="00000000" w:rsidP="00827B42">
      <w:pPr>
        <w:pStyle w:val="BodyTextCustom"/>
      </w:pPr>
      <w:r>
        <w:t xml:space="preserve">The carrier model became insufficient once reaction products and intermediates began to appear on timescales much shorter than those expected for corresponding bulk solutions. Girod et al. (2011) showed that bimolecular </w:t>
      </w:r>
      <w:r>
        <w:lastRenderedPageBreak/>
        <w:t xml:space="preserve">transformations sampled by DESI could proceed rapidly in sprayed microdroplets, converting what had been treated as an analytical transit compartment into a candidate reaction environment. Subsequent reports described accelerated carbon-carbon and carbon-nitrogen bond formation, hydrazone chemistry, heterocycle synthesis and multi-reagent catalysis in charged droplets, thin films and related high-surface-area configurations (Bain et al., 2015; Banerjee &amp; Zare, 2015; Iyer et al., 2018; Yan et al., 2016). The central scientific question accordingly changed. Instead of asking only how ions survive passage through a spray, researchers had to ask which properties of small droplets can alter chemical rates, selectivity or accessible pathways, and how those properties can be separated from analytical artefacts. A contemporary review </w:t>
      </w:r>
      <w:r w:rsidRPr="00827B42">
        <w:t>by Lee et al. (2015) helped consolidate these early observations into an emerging field of charged-microdroplet reaction chemistry.</w:t>
      </w:r>
      <w:r w:rsidRPr="00827B42">
        <w:rPr>
          <w:highlight w:val="yellow"/>
        </w:rPr>
        <w:t xml:space="preserve"> Recent reviews have further consolidated the field around interfacial mechanisms, synthetic applications and emerging reactor functions, while also documenting continuing debate over how individual effects contribute across reaction classes (Wei et al., 2026; Cooks &amp; Pradeep, 2026).</w:t>
      </w:r>
    </w:p>
    <w:p w14:paraId="6655417A" w14:textId="77777777" w:rsidR="00E25F3E" w:rsidRPr="00827B42" w:rsidRDefault="00000000" w:rsidP="00827B42">
      <w:pPr>
        <w:pStyle w:val="BodyTextCustom"/>
      </w:pPr>
      <w:r w:rsidRPr="00827B42">
        <w:t>That shift generated an unusually heterogeneous evidence base. Some studies infer acceleration from product-to-reactant ratios recorded by mass spectrometry after milliseconds of flight. Others collect product offline, vary emitter-to-inlet distance, manipulate droplet size or surfactants, expose suspended droplets to reagent vapour, or construct devices in which droplets and films are recycled for preparative synthesis (Liu et al., 2019; Marsh et al., 2019; Nie et al., 2020; Qiu et al., 2024). These experiments do not interrogate the same physical object. A charged ESI droplet near its Rayleigh limit, a neutral levitated aqueous droplet, a Leidenfrost droplet and a recirculating spray-film system differ in charge density, temperature, evaporation history, gas exchange, residence-time distribution and interfacial area. Treating all of them as equivalent 'microdroplet chemistry' can therefore obscure the distinction between a recurring interfacial principle and platform-specific chemistry.</w:t>
      </w:r>
    </w:p>
    <w:p w14:paraId="6FBDD8DB" w14:textId="77777777" w:rsidR="00E25F3E" w:rsidRPr="00827B42" w:rsidRDefault="00000000" w:rsidP="00827B42">
      <w:pPr>
        <w:pStyle w:val="BodyTextCustom"/>
      </w:pPr>
      <w:r w:rsidRPr="00827B42">
        <w:t>The mechanistic literature is similarly plural. Proposed drivers include simple concentration increases during solvent loss, enrichment and orientation of reagents at an interface, partial solvation of transition states, strong interfacial electric fields, charge-mediated redox chemistry, unusual acid-base conditions, enhanced gas uptake and combinations of these effects (Hao et al., 2022; LaCour et al., 2025; Ruiz-López &amp; Martins-Costa, 2022; Wei et al., 2020). Several mechanisms are physically plausible and supported in defined systems, yet none has achieved the status of a general law. The strongest counterweight to universal explanations is the observation that some reactions are not accelerated, that apparent rate enhancement can arise from evaporation-driven concentration alone, and that chemical readouts can be strongly conditioned by ionisation and sampling (Banerjee et al., 2017; Chen &amp; Williams, 2023; Gong et al., 2024; Rovelli et al., 2020). A critical review must therefore distinguish evidence that a microdroplet changes reaction kinetics from evidence that a detector preferentially reports product or that a shrinking volume changes the concentration scale used to calculate rate.</w:t>
      </w:r>
      <w:r w:rsidRPr="00827B42">
        <w:rPr>
          <w:highlight w:val="yellow"/>
        </w:rPr>
        <w:t xml:space="preserve"> Droplet-on-demand experiments have further shown that interfacial reactivity can vary with droplet curvature, providing a direct route to testing size-dependent interface effects under controlled droplet generation (Xia et al., 2025).</w:t>
      </w:r>
    </w:p>
    <w:p w14:paraId="61354D35" w14:textId="77777777" w:rsidR="00E25F3E" w:rsidRPr="00827B42" w:rsidRDefault="00000000" w:rsidP="00827B42">
      <w:pPr>
        <w:pStyle w:val="BodyTextCustom"/>
      </w:pPr>
      <w:r w:rsidRPr="00827B42">
        <w:t>At the same time, the field has moved beyond mechanism into reactor engineering. Heated ultrasonic nebulisation has produced isolated material at preparative rates; solvent-recycling arrangements have combined droplets and thin films to achieve gram-scale output; DESI has been developed into a high-throughput reaction-screening and synthesis platform; and voltage-controlled interfacial configurations have merged microdroplet reactivity with electrochemistry (Cheng et al., 2020; Huang et al., 2024; Liu et al., 2019; Nie et al., 2020). These developments make the term 'microreactor' increasingly defensible, but they also raise a more demanding standard. A reactor must be evaluated not merely by whether chemistry occurs, but by its controllability, reproducibility, residence-time definition, mass balance, isolation yield, energy and solvent use, scalability, and capacity to transfer mechanistic insight across operating conditions. The distinction between spectacular local chemistry and useful process technology is therefore central to judging the field's maturity.</w:t>
      </w:r>
      <w:r w:rsidRPr="00827B42">
        <w:rPr>
          <w:highlight w:val="yellow"/>
        </w:rPr>
        <w:t xml:space="preserve"> Recent scale-up work on CO2 conversion has also demonstrated a purpose-built spray microdroplet reactor for continuous organic-carbonate production, reinforcing the need to evaluate reactor geometry and process parameters together with chemical acceleration (Liu et al., 2025).</w:t>
      </w:r>
    </w:p>
    <w:p w14:paraId="54DFC9A3" w14:textId="77777777" w:rsidR="00E25F3E" w:rsidRDefault="00000000" w:rsidP="00827B42">
      <w:pPr>
        <w:pStyle w:val="Heading2"/>
        <w:jc w:val="both"/>
      </w:pPr>
      <w:r>
        <w:t>1.1 Scope, Research Gap and Objectives</w:t>
      </w:r>
    </w:p>
    <w:p w14:paraId="284754D2" w14:textId="77777777" w:rsidR="00E25F3E" w:rsidRDefault="00000000" w:rsidP="00827B42">
      <w:pPr>
        <w:pStyle w:val="BodyTextCustom"/>
      </w:pPr>
      <w:r>
        <w:t>This review examines liquid microdroplets and closely related spray-generated or free-standing droplets as chemical reaction vessels, with particular emphasis on the historical transition from ion transport in electrospray-</w:t>
      </w:r>
      <w:r>
        <w:lastRenderedPageBreak/>
        <w:t>based analysis to deliberate reaction acceleration, mechanistic interrogation and reactor design. The scope covers charged electrospray and desorption-electrospray droplets, pneumatically or ultrasonically generated droplets, fused or colliding droplets, levitated droplets, electrically unactivated droplets, and spray-thin-film systems when their behaviour is directly informative about droplet-enabled chemistry. Routine segmented-flow microfluidics in an immiscible carrier phase is excluded unless it provides a mechanistically relevant comparison, as are broad atmospheric and biological aerosol literatures that do not address reactor behaviour directly.</w:t>
      </w:r>
    </w:p>
    <w:p w14:paraId="538DD7A0" w14:textId="77777777" w:rsidR="00E25F3E" w:rsidRDefault="00000000" w:rsidP="00827B42">
      <w:pPr>
        <w:pStyle w:val="BodyTextCustom"/>
      </w:pPr>
      <w:r>
        <w:t>The principal research gap is not the absence of reviews describing accelerated reactions, but the lack of an integrated assessment that links historical reframing, evidence quality, mechanistic specificity and engineering maturity. The objectives are therefore to define operational criteria for an 'active' microdroplet vessel; compare the principal mechanistic explanations without imposing a universal mechanism; identify which experimental architectures can distinguish genuine interfacial kinetics from evaporation, ionisation and sampling effects; assess how synthetic and high-throughput applications translate into reactor performance; and formulate research priorities that would make claims of acceleration, mechanism and scalability more comparable and falsifiable.</w:t>
      </w:r>
    </w:p>
    <w:p w14:paraId="0395FF14" w14:textId="77777777" w:rsidR="00E25F3E" w:rsidRDefault="00000000" w:rsidP="00827B42">
      <w:pPr>
        <w:pStyle w:val="Heading1"/>
        <w:jc w:val="both"/>
      </w:pPr>
      <w:r>
        <w:t>2. Methods for Literature Selection</w:t>
      </w:r>
    </w:p>
    <w:p w14:paraId="2C674F99" w14:textId="77777777" w:rsidR="00E25F3E" w:rsidRDefault="00000000" w:rsidP="00827B42">
      <w:pPr>
        <w:pStyle w:val="Heading2"/>
        <w:jc w:val="both"/>
      </w:pPr>
      <w:r>
        <w:t>2.1 Review Design and Rationale</w:t>
      </w:r>
    </w:p>
    <w:p w14:paraId="1265764E" w14:textId="77777777" w:rsidR="00E25F3E" w:rsidRDefault="00000000" w:rsidP="00827B42">
      <w:pPr>
        <w:pStyle w:val="BodyTextCustom"/>
      </w:pPr>
      <w:r>
        <w:t>A critical narrative review was selected because the central problem is interpretive rather than reducible to a single intervention-outcome effect size. The literature combines mass-spectrometric method development, physical chemistry, molecular simulation, analytical chemistry, synthetic chemistry and reactor engineering, with substantial variation in droplet generation, reaction time, quantification and mechanistic inference. A conventional meta-analysis would therefore risk pooling fundamentally non-equivalent acceleration metrics, whereas a narrowly systematic question would not capture the historical and conceptual transition under review. The review nevertheless used an explicit search, verification and appraisal process, consistent with the expectation that narrative synthesis should be transparent about its purpose, information sources and evidence selection rather than relying on unsystematic expert recollection (Baethge et al., 2019).</w:t>
      </w:r>
    </w:p>
    <w:p w14:paraId="59783A05" w14:textId="77777777" w:rsidR="00E25F3E" w:rsidRDefault="00000000" w:rsidP="00827B42">
      <w:pPr>
        <w:pStyle w:val="Heading2"/>
        <w:jc w:val="both"/>
      </w:pPr>
      <w:r>
        <w:t>2.2 Information Sources</w:t>
      </w:r>
    </w:p>
    <w:p w14:paraId="7456A7AE" w14:textId="77777777" w:rsidR="00E25F3E" w:rsidRDefault="00000000" w:rsidP="00827B42">
      <w:pPr>
        <w:pStyle w:val="BodyTextCustom"/>
      </w:pPr>
      <w:r>
        <w:t>Live literature searching was conducted in Google Scholar, OpenAlex, OpenAIRE, Crossref, Semantic Scholar, the Directory of Open Access Journals, PubMed and Europe PMC. Searches were supplemented by backward citation searching from seminal and recent reviews, forward citation searching for influential mechanistic and reactor-engineering papers, related-article searching, and targeted checks for corrections or retractions. Bibliographic identities and Digital Object Identifiers (DOIs) were confirmed against authoritative DOI records, indexed bibliographic records and official article landing pages. Only sources whose identity and relevance could be verified were retained.</w:t>
      </w:r>
    </w:p>
    <w:p w14:paraId="3B6BC48F" w14:textId="77777777" w:rsidR="00E25F3E" w:rsidRDefault="00000000" w:rsidP="00827B42">
      <w:pPr>
        <w:pStyle w:val="Heading2"/>
        <w:jc w:val="both"/>
      </w:pPr>
      <w:r>
        <w:t>2.3 Search Strategy and Search Period</w:t>
      </w:r>
    </w:p>
    <w:p w14:paraId="30606FA7" w14:textId="77777777" w:rsidR="00E25F3E" w:rsidRDefault="00000000" w:rsidP="00827B42">
      <w:pPr>
        <w:pStyle w:val="BodyTextCustom"/>
      </w:pPr>
      <w:r>
        <w:t>The core search concepts combined droplet terminology with reaction, mechanism and reactor terms. Representative combinations included: ("microdroplet*" OR "charged droplet*" OR "electrospray droplet*" OR nanodroplet*) AND ("reaction acceleration" OR reactivity OR microreactor* OR synthesis OR catalysis); ("microdroplet*" OR "air-water interface") AND ("electric field*" OR charge OR solvation OR evaporation OR pH OR radical* OR "hydrogen peroxide"); and (microdroplet* OR DESI OR ESSI OR electrospray OR levitat*) AND ("high-throughput" OR scale-up OR synthesis OR "reaction screening" OR "interfacial microreactor"). Targeted searches were then used for droplet fusion, ultrasonic nebulisation, Leidenfrost chemistry, electrochemistry, gas uptake, redox chemistry and specific mechanistic controversies.</w:t>
      </w:r>
    </w:p>
    <w:p w14:paraId="7EA81B00" w14:textId="77777777" w:rsidR="00E25F3E" w:rsidRDefault="00000000" w:rsidP="00827B42">
      <w:pPr>
        <w:pStyle w:val="BodyTextCustom"/>
      </w:pPr>
      <w:r>
        <w:t>The principal search period was 1 January 2011 to 19 June 2026, chosen to begin with the period in which accelerated bimolecular chemistry in electrospray-derived droplets was explicitly framed as a microdroplet reaction phenomenon. Foundational pre-2011 publications were retained when necessary to establish the earlier analytical carrier paradigm or the development of ambient ionisation.</w:t>
      </w:r>
    </w:p>
    <w:p w14:paraId="1220DE31" w14:textId="77777777" w:rsidR="00E25F3E" w:rsidRDefault="00000000" w:rsidP="00827B42">
      <w:pPr>
        <w:pStyle w:val="Heading2"/>
        <w:jc w:val="both"/>
      </w:pPr>
      <w:r>
        <w:lastRenderedPageBreak/>
        <w:t>2.4 Eligibility Criteria</w:t>
      </w:r>
    </w:p>
    <w:p w14:paraId="11F8B5C6" w14:textId="77777777" w:rsidR="00E25F3E" w:rsidRDefault="00000000" w:rsidP="00827B42">
      <w:pPr>
        <w:pStyle w:val="BodyTextCustom"/>
      </w:pPr>
      <w:r>
        <w:t>Eligible sources were peer-reviewed original studies and high-quality reviews directly addressing reaction behaviour, mechanistic determinants, measurement validity, synthesis, screening or reactor engineering in liquid microdroplets or closely related high-interface droplet systems. Seminal analytical-ionisation papers were included where they were essential to the historical argument. Preference was given to studies with clearly described droplet generation, reaction-time or residence-time information, orthogonal or collectable product evidence, mechanistic perturbations, quantitative kinetics, molecular simulation tied to experiment, or process metrics relevant to reactor use. English-language publications were used because reliable full-text verification and citation auditing were required. Conference abstracts, patents used as evidence of efficacy, promotional material, non-peer-reviewed commentary and records with incomplete or uncertain metadata were excluded.</w:t>
      </w:r>
    </w:p>
    <w:p w14:paraId="0D623AB5" w14:textId="77777777" w:rsidR="00E25F3E" w:rsidRDefault="00000000" w:rsidP="00827B42">
      <w:pPr>
        <w:pStyle w:val="Heading2"/>
        <w:jc w:val="both"/>
      </w:pPr>
      <w:r>
        <w:t>2.5 Screening, Duplicate Handling and Study Selection</w:t>
      </w:r>
    </w:p>
    <w:p w14:paraId="0C72FA10" w14:textId="77777777" w:rsidR="00E25F3E" w:rsidRDefault="00000000" w:rsidP="00827B42">
      <w:pPr>
        <w:pStyle w:val="BodyTextCustom"/>
      </w:pPr>
      <w:r>
        <w:t>Search results were assessed first for direct relevance to microdroplet reaction chemistry and then for their contribution to one or more of four questions: historical transition, mechanism, experimental validity, or reactor application. Duplicate records identified by DOI, title and author overlap were consolidated before full-text appraisal. Studies available only as unverifiable secondary citations were not used. No record counts are presented because the purpose was critical narrative selection rather than an exhaustive systematic census, and no PRISMA-style screening log with auditable numerical flow was generated. Recent review articles were used to map themes and identify candidate primary studies, but mechanistic and numerical claims were traced back to the original articles whenever possible.</w:t>
      </w:r>
    </w:p>
    <w:p w14:paraId="31EFF627" w14:textId="77777777" w:rsidR="00E25F3E" w:rsidRDefault="00000000" w:rsidP="00827B42">
      <w:pPr>
        <w:pStyle w:val="Heading2"/>
        <w:jc w:val="both"/>
      </w:pPr>
      <w:r>
        <w:t>2.6 Critical Appraisal and Evidence Synthesis</w:t>
      </w:r>
    </w:p>
    <w:p w14:paraId="5DC314CD" w14:textId="77777777" w:rsidR="00E25F3E" w:rsidRDefault="00000000" w:rsidP="00827B42">
      <w:pPr>
        <w:pStyle w:val="BodyTextCustom"/>
      </w:pPr>
      <w:r>
        <w:t>Evidence was appraised according to whether the experimental design could separate chemistry from measurement. Particular weight was given to independent control of droplet size, charge, flight or residence time, gas composition, humidity and temperature; measurement or modelling of evaporation; calibration of product quantification; use of collected products or orthogonal analytical methods; and explicit comparison with bulk or otherwise appropriate controls. For computational studies, attention was paid to whether model dimensions, charge states and field strengths were linked plausibly to experimental droplets. For reactor studies, evaluation extended beyond acceleration factors to isolated yield, production rate, solvent handling, reproducibility and the degree to which the active reaction zone was actually confined to droplets. The resulting synthesis was organised around competing explanations and experimental discriminants rather than by publication chronology alone.</w:t>
      </w:r>
    </w:p>
    <w:p w14:paraId="2001E620" w14:textId="77777777" w:rsidR="00E25F3E" w:rsidRDefault="00000000" w:rsidP="00827B42">
      <w:pPr>
        <w:pStyle w:val="Heading1"/>
        <w:jc w:val="both"/>
      </w:pPr>
      <w:r>
        <w:t>3. From Analytical Transport to Chemical Function: Historical Reframing</w:t>
      </w:r>
    </w:p>
    <w:p w14:paraId="03E61173" w14:textId="77777777" w:rsidR="00E25F3E" w:rsidRDefault="00000000" w:rsidP="00827B42">
      <w:pPr>
        <w:pStyle w:val="BodyTextCustom"/>
      </w:pPr>
      <w:r>
        <w:t>The origin story matters because it explains why microdroplet chemistry inherited both the strengths and the blind spots of mass spectrometry. In early ESI, droplets were unavoidable physical intermediates in ion production. Their evaporation, electrostatic instability and fission governed the efficiency with which solvated analytes could become gas-phase ions, but chemistry occurring during that transit was usually a complication rather than the intended outcome (Fenn et al., 1989). DESI then repurposed the spray as a sampling projectile: primary charged droplets impacted a surface, mobilised analytes and generated secondary droplets that delivered ions to the mass spectrometer (Takáts et al., 2004). The broader ambient-mass-spectrometry framework made droplets chemically adventurous in the sense that they contacted surfaces and open air, yet the analytical goal remained detection (Cooks et al., 2006).</w:t>
      </w:r>
    </w:p>
    <w:p w14:paraId="2C38289E" w14:textId="77777777" w:rsidR="00E25F3E" w:rsidRDefault="00000000" w:rsidP="00827B42">
      <w:pPr>
        <w:pStyle w:val="BodyTextCustom"/>
      </w:pPr>
      <w:r>
        <w:t xml:space="preserve">Girod et al. (2011) provided an early explicit break with this framing by studying bimolecular reactions in DESI microdroplets and reporting product formation on spray timescales. The conceptual consequence was more important than any single acceleration value. A droplet could no longer be treated as a passive conveyor if the chemical composition detected at its end depended materially on the droplet's interfacial and evaporative history. Subsequent work strengthened the case by using microdroplets to accelerate Hantzsch synthesis, hydrazone formation and heterocycle-forming reactions, and by detecting intermediates whose abundance changed with spray flight time (Bain et al., 2015; Bain, Pulliam, Ayrton, et al., 2016; Banerjee &amp; Zare, 2015). These experiments also </w:t>
      </w:r>
      <w:r>
        <w:lastRenderedPageBreak/>
        <w:t>established a practical advantage of sprayed reactors: reaction initiation, evolution and sampling can be coupled on sub-second timescales.</w:t>
      </w:r>
    </w:p>
    <w:p w14:paraId="017B05F3" w14:textId="77777777" w:rsidR="00E25F3E" w:rsidRDefault="00000000" w:rsidP="00827B42">
      <w:pPr>
        <w:pStyle w:val="BodyTextCustom"/>
      </w:pPr>
      <w:r>
        <w:t>Yet the phrase 'reaction acceleration in microdroplets' initially compressed several distinct comparisons. A higher product fraction at the mass-spectrometer inlet can reflect a higher intrinsic rate constant, higher instantaneous reagent concentrations caused by solvent loss, preferential partitioning of reactants to an interface, altered ionisation efficiencies, or reaction after the nominal solution phase. The analytical lineage therefore created a structural identification problem: the instrument that makes ultrafast chemistry visible can also perturb the chemistry and weight the observed species unequally. Rovelli et al. (2020) showed why this matters, demonstrating that electrospray-based kinetic inferences require careful treatment of evaporation, transport, ionisation and possible gas-phase or instrument-associated processes. The historical shift from carrier to reactor is thus scientifically meaningful only when the droplet's causal contribution is demonstrated independently of its role as an ion source.</w:t>
      </w:r>
    </w:p>
    <w:p w14:paraId="679FF8DE" w14:textId="77777777" w:rsidR="00E25F3E" w:rsidRDefault="00000000" w:rsidP="00827B42">
      <w:pPr>
        <w:pStyle w:val="BodyTextCustom"/>
      </w:pPr>
      <w:r>
        <w:t>A useful operational distinction is between a passive carrier, an opportunistic reaction environment and an active vessel. A passive carrier transports a composition established before droplet formation, aside from predictable desolvation. An opportunistic reaction environment allows chemistry during transport but is not deliberately controlled or mechanistically attributed. An active vessel is a droplet whose evolving physical state is manipulated or characterised as part of reactor design and whose chemical output can be linked to those state variables. On this definition, evidence becomes progressively stronger when product can be collected, when reaction time is independently varied, when droplet size or surface chemistry is perturbed, when charge-free or levitated controls are available, and when conversion or rate is measured by more than the same ionisation process that created the droplet (Liu et al., 2019; Marsh et al., 2019; Qiu et al., 2024).</w:t>
      </w:r>
    </w:p>
    <w:p w14:paraId="7F1B4253" w14:textId="77777777" w:rsidR="00E25F3E" w:rsidRDefault="00000000" w:rsidP="00827B42">
      <w:pPr>
        <w:pStyle w:val="BodyTextCustom"/>
      </w:pPr>
      <w:r>
        <w:t>This graded definition also accommodates the fact that the field's most compelling evidence is distributed across different architectures. Leidenfrost droplets demonstrate rapid chemistry without an electrospray emitter, although extreme heating introduces a separate set of transport and thermal effects (Bain, Pulliam, Thery, &amp; Cooks, 2016). Heated ultrasonic nebulisation produces collections of small droplets at rates compatible with isolated synthesis (Liu et al., 2019). Levitated-droplet experiments can decouple reaction from direct electrospray ionisation and expose an intact droplet to reagent vapour (Qiu et al., 2024). Electrically unactivated droplet systems further challenge the idea that high externally imposed charge is a prerequisite for rapid chemistry (Chen et al., 2025). Together, these platforms support the broad proposition that small liquid bodies can be chemically active, while simultaneously weakening any claim that one electrospray-specific mechanism must explain all observations.</w:t>
      </w:r>
    </w:p>
    <w:p w14:paraId="53CC621D" w14:textId="77777777" w:rsidR="00E25F3E" w:rsidRDefault="00000000" w:rsidP="00827B42">
      <w:pPr>
        <w:pStyle w:val="Heading2"/>
        <w:jc w:val="both"/>
      </w:pPr>
      <w:r>
        <w:t>3.1 Evidence that Marks the Transition to an Active-Vessel Concept</w:t>
      </w:r>
    </w:p>
    <w:p w14:paraId="62DCC508" w14:textId="77777777" w:rsidR="00E25F3E" w:rsidRDefault="00000000" w:rsidP="00827B42">
      <w:pPr>
        <w:pStyle w:val="BodyTextCustom"/>
      </w:pPr>
      <w:r>
        <w:t>The progression summarised in Table 1 is not simply chronological. Each phase added a different form of causal evidence. Early mass spectrometry established droplet transport; reaction-time and product studies established chemistry during transit; mechanistic perturbations made the interface experimentally testable; and preparative or levitated systems turned the droplet into a controllable unit operation. The most important advance was therefore methodological diversification. Claims that survived outside a single spray-ionisation geometry became more credible as properties of droplets rather than properties of one instrument.</w:t>
      </w:r>
    </w:p>
    <w:p w14:paraId="4A7F9D38" w14:textId="77777777" w:rsidR="00E25F3E" w:rsidRDefault="00000000" w:rsidP="00827B42">
      <w:pPr>
        <w:pStyle w:val="TableCaptionCustom"/>
        <w:jc w:val="both"/>
      </w:pPr>
      <w:r>
        <w:t>Table 1. Historical transition from droplet transport to active chemical vessels</w:t>
      </w:r>
    </w:p>
    <w:tbl>
      <w:tblPr>
        <w:tblStyle w:val="TableGrid"/>
        <w:tblW w:w="0" w:type="auto"/>
        <w:jc w:val="center"/>
        <w:tblLayout w:type="fixed"/>
        <w:tblLook w:val="04A0" w:firstRow="1" w:lastRow="0" w:firstColumn="1" w:lastColumn="0" w:noHBand="0" w:noVBand="1"/>
      </w:tblPr>
      <w:tblGrid>
        <w:gridCol w:w="1325"/>
        <w:gridCol w:w="1699"/>
        <w:gridCol w:w="1800"/>
        <w:gridCol w:w="1829"/>
        <w:gridCol w:w="1915"/>
        <w:gridCol w:w="1800"/>
      </w:tblGrid>
      <w:tr w:rsidR="00E25F3E" w14:paraId="4474A4D1" w14:textId="77777777">
        <w:trPr>
          <w:cantSplit/>
          <w:tblHeader/>
          <w:jc w:val="center"/>
        </w:trPr>
        <w:tc>
          <w:tcPr>
            <w:tcW w:w="1325" w:type="dxa"/>
            <w:shd w:val="clear" w:color="auto" w:fill="D9E2F3"/>
            <w:tcMar>
              <w:top w:w="80" w:type="dxa"/>
              <w:left w:w="80" w:type="dxa"/>
              <w:bottom w:w="80" w:type="dxa"/>
              <w:right w:w="80" w:type="dxa"/>
            </w:tcMar>
            <w:vAlign w:val="center"/>
          </w:tcPr>
          <w:p w14:paraId="1CBF5AF7" w14:textId="77777777" w:rsidR="00E25F3E" w:rsidRDefault="00000000" w:rsidP="00827B42">
            <w:pPr>
              <w:spacing w:after="0" w:line="240" w:lineRule="auto"/>
              <w:jc w:val="both"/>
            </w:pPr>
            <w:r>
              <w:rPr>
                <w:b/>
                <w:sz w:val="15"/>
              </w:rPr>
              <w:t>Phase</w:t>
            </w:r>
          </w:p>
        </w:tc>
        <w:tc>
          <w:tcPr>
            <w:tcW w:w="1699" w:type="dxa"/>
            <w:shd w:val="clear" w:color="auto" w:fill="D9E2F3"/>
            <w:tcMar>
              <w:top w:w="80" w:type="dxa"/>
              <w:left w:w="80" w:type="dxa"/>
              <w:bottom w:w="80" w:type="dxa"/>
              <w:right w:w="80" w:type="dxa"/>
            </w:tcMar>
            <w:vAlign w:val="center"/>
          </w:tcPr>
          <w:p w14:paraId="7411859A" w14:textId="77777777" w:rsidR="00E25F3E" w:rsidRDefault="00000000" w:rsidP="00827B42">
            <w:pPr>
              <w:spacing w:after="0" w:line="240" w:lineRule="auto"/>
              <w:jc w:val="both"/>
            </w:pPr>
            <w:r>
              <w:rPr>
                <w:b/>
                <w:sz w:val="15"/>
              </w:rPr>
              <w:t>Representative configuration</w:t>
            </w:r>
          </w:p>
        </w:tc>
        <w:tc>
          <w:tcPr>
            <w:tcW w:w="1800" w:type="dxa"/>
            <w:shd w:val="clear" w:color="auto" w:fill="D9E2F3"/>
            <w:tcMar>
              <w:top w:w="80" w:type="dxa"/>
              <w:left w:w="80" w:type="dxa"/>
              <w:bottom w:w="80" w:type="dxa"/>
              <w:right w:w="80" w:type="dxa"/>
            </w:tcMar>
            <w:vAlign w:val="center"/>
          </w:tcPr>
          <w:p w14:paraId="5F3F56E9" w14:textId="77777777" w:rsidR="00E25F3E" w:rsidRDefault="00000000" w:rsidP="00827B42">
            <w:pPr>
              <w:spacing w:after="0" w:line="240" w:lineRule="auto"/>
              <w:jc w:val="both"/>
            </w:pPr>
            <w:r>
              <w:rPr>
                <w:b/>
                <w:sz w:val="15"/>
              </w:rPr>
              <w:t>Primary scientific role</w:t>
            </w:r>
          </w:p>
        </w:tc>
        <w:tc>
          <w:tcPr>
            <w:tcW w:w="1829" w:type="dxa"/>
            <w:shd w:val="clear" w:color="auto" w:fill="D9E2F3"/>
            <w:tcMar>
              <w:top w:w="80" w:type="dxa"/>
              <w:left w:w="80" w:type="dxa"/>
              <w:bottom w:w="80" w:type="dxa"/>
              <w:right w:w="80" w:type="dxa"/>
            </w:tcMar>
            <w:vAlign w:val="center"/>
          </w:tcPr>
          <w:p w14:paraId="1BF60D20" w14:textId="77777777" w:rsidR="00E25F3E" w:rsidRDefault="00000000" w:rsidP="00827B42">
            <w:pPr>
              <w:spacing w:after="0" w:line="240" w:lineRule="auto"/>
              <w:jc w:val="both"/>
            </w:pPr>
            <w:r>
              <w:rPr>
                <w:b/>
                <w:sz w:val="15"/>
              </w:rPr>
              <w:t>Evidence added</w:t>
            </w:r>
          </w:p>
        </w:tc>
        <w:tc>
          <w:tcPr>
            <w:tcW w:w="1915" w:type="dxa"/>
            <w:shd w:val="clear" w:color="auto" w:fill="D9E2F3"/>
            <w:tcMar>
              <w:top w:w="80" w:type="dxa"/>
              <w:left w:w="80" w:type="dxa"/>
              <w:bottom w:w="80" w:type="dxa"/>
              <w:right w:w="80" w:type="dxa"/>
            </w:tcMar>
            <w:vAlign w:val="center"/>
          </w:tcPr>
          <w:p w14:paraId="49624E5B" w14:textId="77777777" w:rsidR="00E25F3E" w:rsidRDefault="00000000" w:rsidP="00827B42">
            <w:pPr>
              <w:spacing w:after="0" w:line="240" w:lineRule="auto"/>
              <w:jc w:val="both"/>
            </w:pPr>
            <w:r>
              <w:rPr>
                <w:b/>
                <w:sz w:val="15"/>
              </w:rPr>
              <w:t>Critical limitation</w:t>
            </w:r>
          </w:p>
        </w:tc>
        <w:tc>
          <w:tcPr>
            <w:tcW w:w="1800" w:type="dxa"/>
            <w:shd w:val="clear" w:color="auto" w:fill="D9E2F3"/>
            <w:tcMar>
              <w:top w:w="80" w:type="dxa"/>
              <w:left w:w="80" w:type="dxa"/>
              <w:bottom w:w="80" w:type="dxa"/>
              <w:right w:w="80" w:type="dxa"/>
            </w:tcMar>
            <w:vAlign w:val="center"/>
          </w:tcPr>
          <w:p w14:paraId="5B64C8B5" w14:textId="77777777" w:rsidR="00E25F3E" w:rsidRDefault="00000000" w:rsidP="00827B42">
            <w:pPr>
              <w:spacing w:after="0" w:line="240" w:lineRule="auto"/>
              <w:jc w:val="both"/>
            </w:pPr>
            <w:r>
              <w:rPr>
                <w:b/>
                <w:sz w:val="15"/>
              </w:rPr>
              <w:t>Supporting references</w:t>
            </w:r>
          </w:p>
        </w:tc>
      </w:tr>
      <w:tr w:rsidR="00E25F3E" w14:paraId="35016292" w14:textId="77777777">
        <w:trPr>
          <w:cantSplit/>
          <w:jc w:val="center"/>
        </w:trPr>
        <w:tc>
          <w:tcPr>
            <w:tcW w:w="1325" w:type="dxa"/>
            <w:tcMar>
              <w:top w:w="75" w:type="dxa"/>
              <w:left w:w="80" w:type="dxa"/>
              <w:bottom w:w="75" w:type="dxa"/>
              <w:right w:w="80" w:type="dxa"/>
            </w:tcMar>
            <w:vAlign w:val="center"/>
          </w:tcPr>
          <w:p w14:paraId="49E3B054" w14:textId="77777777" w:rsidR="00E25F3E" w:rsidRDefault="00000000" w:rsidP="00827B42">
            <w:pPr>
              <w:spacing w:after="0" w:line="240" w:lineRule="auto"/>
              <w:jc w:val="both"/>
            </w:pPr>
            <w:r>
              <w:rPr>
                <w:sz w:val="14"/>
              </w:rPr>
              <w:t>Carrier paradigm</w:t>
            </w:r>
          </w:p>
        </w:tc>
        <w:tc>
          <w:tcPr>
            <w:tcW w:w="1699" w:type="dxa"/>
            <w:tcMar>
              <w:top w:w="75" w:type="dxa"/>
              <w:left w:w="80" w:type="dxa"/>
              <w:bottom w:w="75" w:type="dxa"/>
              <w:right w:w="80" w:type="dxa"/>
            </w:tcMar>
            <w:vAlign w:val="center"/>
          </w:tcPr>
          <w:p w14:paraId="3EF06E84" w14:textId="77777777" w:rsidR="00E25F3E" w:rsidRDefault="00000000" w:rsidP="00827B42">
            <w:pPr>
              <w:spacing w:after="0" w:line="240" w:lineRule="auto"/>
              <w:jc w:val="both"/>
            </w:pPr>
            <w:r>
              <w:rPr>
                <w:sz w:val="14"/>
              </w:rPr>
              <w:t>Electrospray ionisation droplets</w:t>
            </w:r>
          </w:p>
        </w:tc>
        <w:tc>
          <w:tcPr>
            <w:tcW w:w="1800" w:type="dxa"/>
            <w:tcMar>
              <w:top w:w="75" w:type="dxa"/>
              <w:left w:w="80" w:type="dxa"/>
              <w:bottom w:w="75" w:type="dxa"/>
              <w:right w:w="80" w:type="dxa"/>
            </w:tcMar>
            <w:vAlign w:val="center"/>
          </w:tcPr>
          <w:p w14:paraId="28CC9C4A" w14:textId="77777777" w:rsidR="00E25F3E" w:rsidRDefault="00000000" w:rsidP="00827B42">
            <w:pPr>
              <w:spacing w:after="0" w:line="240" w:lineRule="auto"/>
              <w:jc w:val="both"/>
            </w:pPr>
            <w:r>
              <w:rPr>
                <w:sz w:val="14"/>
              </w:rPr>
              <w:t>Transport/desolvation of solvated ions</w:t>
            </w:r>
          </w:p>
        </w:tc>
        <w:tc>
          <w:tcPr>
            <w:tcW w:w="1829" w:type="dxa"/>
            <w:tcMar>
              <w:top w:w="75" w:type="dxa"/>
              <w:left w:w="80" w:type="dxa"/>
              <w:bottom w:w="75" w:type="dxa"/>
              <w:right w:w="80" w:type="dxa"/>
            </w:tcMar>
            <w:vAlign w:val="center"/>
          </w:tcPr>
          <w:p w14:paraId="4C9490A8" w14:textId="77777777" w:rsidR="00E25F3E" w:rsidRDefault="00000000" w:rsidP="00827B42">
            <w:pPr>
              <w:spacing w:after="0" w:line="240" w:lineRule="auto"/>
              <w:jc w:val="both"/>
            </w:pPr>
            <w:r>
              <w:rPr>
                <w:sz w:val="14"/>
              </w:rPr>
              <w:t>Established droplets as necessary intermediates in solution-to-gas ion transfer</w:t>
            </w:r>
          </w:p>
        </w:tc>
        <w:tc>
          <w:tcPr>
            <w:tcW w:w="1915" w:type="dxa"/>
            <w:tcMar>
              <w:top w:w="75" w:type="dxa"/>
              <w:left w:w="80" w:type="dxa"/>
              <w:bottom w:w="75" w:type="dxa"/>
              <w:right w:w="80" w:type="dxa"/>
            </w:tcMar>
            <w:vAlign w:val="center"/>
          </w:tcPr>
          <w:p w14:paraId="7A7E6BB2" w14:textId="77777777" w:rsidR="00E25F3E" w:rsidRDefault="00000000" w:rsidP="00827B42">
            <w:pPr>
              <w:spacing w:after="0" w:line="240" w:lineRule="auto"/>
              <w:jc w:val="both"/>
            </w:pPr>
            <w:r>
              <w:rPr>
                <w:sz w:val="14"/>
              </w:rPr>
              <w:t>Chemistry in transit was not the intended observable</w:t>
            </w:r>
          </w:p>
        </w:tc>
        <w:tc>
          <w:tcPr>
            <w:tcW w:w="1800" w:type="dxa"/>
            <w:tcMar>
              <w:top w:w="75" w:type="dxa"/>
              <w:left w:w="80" w:type="dxa"/>
              <w:bottom w:w="75" w:type="dxa"/>
              <w:right w:w="80" w:type="dxa"/>
            </w:tcMar>
            <w:vAlign w:val="center"/>
          </w:tcPr>
          <w:p w14:paraId="5EF696BB" w14:textId="77777777" w:rsidR="00E25F3E" w:rsidRDefault="00000000" w:rsidP="00827B42">
            <w:pPr>
              <w:spacing w:after="0" w:line="240" w:lineRule="auto"/>
              <w:jc w:val="both"/>
            </w:pPr>
            <w:r>
              <w:rPr>
                <w:sz w:val="14"/>
              </w:rPr>
              <w:t>Fenn et al., 1989</w:t>
            </w:r>
          </w:p>
        </w:tc>
      </w:tr>
      <w:tr w:rsidR="00E25F3E" w14:paraId="7BE833B9" w14:textId="77777777">
        <w:trPr>
          <w:cantSplit/>
          <w:jc w:val="center"/>
        </w:trPr>
        <w:tc>
          <w:tcPr>
            <w:tcW w:w="1325" w:type="dxa"/>
            <w:tcMar>
              <w:top w:w="75" w:type="dxa"/>
              <w:left w:w="80" w:type="dxa"/>
              <w:bottom w:w="75" w:type="dxa"/>
              <w:right w:w="80" w:type="dxa"/>
            </w:tcMar>
            <w:vAlign w:val="center"/>
          </w:tcPr>
          <w:p w14:paraId="112F3E54" w14:textId="77777777" w:rsidR="00E25F3E" w:rsidRDefault="00000000" w:rsidP="00827B42">
            <w:pPr>
              <w:spacing w:after="0" w:line="240" w:lineRule="auto"/>
              <w:jc w:val="both"/>
            </w:pPr>
            <w:r>
              <w:rPr>
                <w:sz w:val="14"/>
              </w:rPr>
              <w:t>Ambient sampling</w:t>
            </w:r>
          </w:p>
        </w:tc>
        <w:tc>
          <w:tcPr>
            <w:tcW w:w="1699" w:type="dxa"/>
            <w:tcMar>
              <w:top w:w="75" w:type="dxa"/>
              <w:left w:w="80" w:type="dxa"/>
              <w:bottom w:w="75" w:type="dxa"/>
              <w:right w:w="80" w:type="dxa"/>
            </w:tcMar>
            <w:vAlign w:val="center"/>
          </w:tcPr>
          <w:p w14:paraId="5C76D456" w14:textId="77777777" w:rsidR="00E25F3E" w:rsidRDefault="00000000" w:rsidP="00827B42">
            <w:pPr>
              <w:spacing w:after="0" w:line="240" w:lineRule="auto"/>
              <w:jc w:val="both"/>
            </w:pPr>
            <w:r>
              <w:rPr>
                <w:sz w:val="14"/>
              </w:rPr>
              <w:t>DESI secondary droplets</w:t>
            </w:r>
          </w:p>
        </w:tc>
        <w:tc>
          <w:tcPr>
            <w:tcW w:w="1800" w:type="dxa"/>
            <w:tcMar>
              <w:top w:w="75" w:type="dxa"/>
              <w:left w:w="80" w:type="dxa"/>
              <w:bottom w:w="75" w:type="dxa"/>
              <w:right w:w="80" w:type="dxa"/>
            </w:tcMar>
            <w:vAlign w:val="center"/>
          </w:tcPr>
          <w:p w14:paraId="55BCCD72" w14:textId="77777777" w:rsidR="00E25F3E" w:rsidRDefault="00000000" w:rsidP="00827B42">
            <w:pPr>
              <w:spacing w:after="0" w:line="240" w:lineRule="auto"/>
              <w:jc w:val="both"/>
            </w:pPr>
            <w:r>
              <w:rPr>
                <w:sz w:val="14"/>
              </w:rPr>
              <w:t>Surface sampling and ambient ionisation</w:t>
            </w:r>
          </w:p>
        </w:tc>
        <w:tc>
          <w:tcPr>
            <w:tcW w:w="1829" w:type="dxa"/>
            <w:tcMar>
              <w:top w:w="75" w:type="dxa"/>
              <w:left w:w="80" w:type="dxa"/>
              <w:bottom w:w="75" w:type="dxa"/>
              <w:right w:w="80" w:type="dxa"/>
            </w:tcMar>
            <w:vAlign w:val="center"/>
          </w:tcPr>
          <w:p w14:paraId="47225EF6" w14:textId="77777777" w:rsidR="00E25F3E" w:rsidRDefault="00000000" w:rsidP="00827B42">
            <w:pPr>
              <w:spacing w:after="0" w:line="240" w:lineRule="auto"/>
              <w:jc w:val="both"/>
            </w:pPr>
            <w:r>
              <w:rPr>
                <w:sz w:val="14"/>
              </w:rPr>
              <w:t>Showed droplets can acquire analytes and remain analytically functional outside closed sources</w:t>
            </w:r>
          </w:p>
        </w:tc>
        <w:tc>
          <w:tcPr>
            <w:tcW w:w="1915" w:type="dxa"/>
            <w:tcMar>
              <w:top w:w="75" w:type="dxa"/>
              <w:left w:w="80" w:type="dxa"/>
              <w:bottom w:w="75" w:type="dxa"/>
              <w:right w:w="80" w:type="dxa"/>
            </w:tcMar>
            <w:vAlign w:val="center"/>
          </w:tcPr>
          <w:p w14:paraId="0CA1E753" w14:textId="77777777" w:rsidR="00E25F3E" w:rsidRDefault="00000000" w:rsidP="00827B42">
            <w:pPr>
              <w:spacing w:after="0" w:line="240" w:lineRule="auto"/>
              <w:jc w:val="both"/>
            </w:pPr>
            <w:r>
              <w:rPr>
                <w:sz w:val="14"/>
              </w:rPr>
              <w:t>Sampling, extraction and ionisation remain tightly coupled</w:t>
            </w:r>
          </w:p>
        </w:tc>
        <w:tc>
          <w:tcPr>
            <w:tcW w:w="1800" w:type="dxa"/>
            <w:tcMar>
              <w:top w:w="75" w:type="dxa"/>
              <w:left w:w="80" w:type="dxa"/>
              <w:bottom w:w="75" w:type="dxa"/>
              <w:right w:w="80" w:type="dxa"/>
            </w:tcMar>
            <w:vAlign w:val="center"/>
          </w:tcPr>
          <w:p w14:paraId="3A341A78" w14:textId="77777777" w:rsidR="00E25F3E" w:rsidRDefault="00000000" w:rsidP="00827B42">
            <w:pPr>
              <w:spacing w:after="0" w:line="240" w:lineRule="auto"/>
              <w:jc w:val="both"/>
            </w:pPr>
            <w:r>
              <w:rPr>
                <w:sz w:val="14"/>
              </w:rPr>
              <w:t>Takáts et al., 2004; Cooks et al., 2006</w:t>
            </w:r>
          </w:p>
        </w:tc>
      </w:tr>
      <w:tr w:rsidR="00E25F3E" w14:paraId="5BD4E6A4" w14:textId="77777777">
        <w:trPr>
          <w:cantSplit/>
          <w:jc w:val="center"/>
        </w:trPr>
        <w:tc>
          <w:tcPr>
            <w:tcW w:w="1325" w:type="dxa"/>
            <w:tcMar>
              <w:top w:w="75" w:type="dxa"/>
              <w:left w:w="80" w:type="dxa"/>
              <w:bottom w:w="75" w:type="dxa"/>
              <w:right w:w="80" w:type="dxa"/>
            </w:tcMar>
            <w:vAlign w:val="center"/>
          </w:tcPr>
          <w:p w14:paraId="16154103" w14:textId="77777777" w:rsidR="00E25F3E" w:rsidRDefault="00000000" w:rsidP="00827B42">
            <w:pPr>
              <w:spacing w:after="0" w:line="240" w:lineRule="auto"/>
              <w:jc w:val="both"/>
            </w:pPr>
            <w:r>
              <w:rPr>
                <w:sz w:val="14"/>
              </w:rPr>
              <w:lastRenderedPageBreak/>
              <w:t>Reaction discovery</w:t>
            </w:r>
          </w:p>
        </w:tc>
        <w:tc>
          <w:tcPr>
            <w:tcW w:w="1699" w:type="dxa"/>
            <w:tcMar>
              <w:top w:w="75" w:type="dxa"/>
              <w:left w:w="80" w:type="dxa"/>
              <w:bottom w:w="75" w:type="dxa"/>
              <w:right w:w="80" w:type="dxa"/>
            </w:tcMar>
            <w:vAlign w:val="center"/>
          </w:tcPr>
          <w:p w14:paraId="486BCCDB" w14:textId="77777777" w:rsidR="00E25F3E" w:rsidRDefault="00000000" w:rsidP="00827B42">
            <w:pPr>
              <w:spacing w:after="0" w:line="240" w:lineRule="auto"/>
              <w:jc w:val="both"/>
            </w:pPr>
            <w:r>
              <w:rPr>
                <w:sz w:val="14"/>
              </w:rPr>
              <w:t>DESI/ESI reaction droplets</w:t>
            </w:r>
          </w:p>
        </w:tc>
        <w:tc>
          <w:tcPr>
            <w:tcW w:w="1800" w:type="dxa"/>
            <w:tcMar>
              <w:top w:w="75" w:type="dxa"/>
              <w:left w:w="80" w:type="dxa"/>
              <w:bottom w:w="75" w:type="dxa"/>
              <w:right w:w="80" w:type="dxa"/>
            </w:tcMar>
            <w:vAlign w:val="center"/>
          </w:tcPr>
          <w:p w14:paraId="6A9ED34F" w14:textId="77777777" w:rsidR="00E25F3E" w:rsidRDefault="00000000" w:rsidP="00827B42">
            <w:pPr>
              <w:spacing w:after="0" w:line="240" w:lineRule="auto"/>
              <w:jc w:val="both"/>
            </w:pPr>
            <w:r>
              <w:rPr>
                <w:sz w:val="14"/>
              </w:rPr>
              <w:t>Detect reaction during millisecond-scale transit</w:t>
            </w:r>
          </w:p>
        </w:tc>
        <w:tc>
          <w:tcPr>
            <w:tcW w:w="1829" w:type="dxa"/>
            <w:tcMar>
              <w:top w:w="75" w:type="dxa"/>
              <w:left w:w="80" w:type="dxa"/>
              <w:bottom w:w="75" w:type="dxa"/>
              <w:right w:w="80" w:type="dxa"/>
            </w:tcMar>
            <w:vAlign w:val="center"/>
          </w:tcPr>
          <w:p w14:paraId="6A1D7129" w14:textId="77777777" w:rsidR="00E25F3E" w:rsidRDefault="00000000" w:rsidP="00827B42">
            <w:pPr>
              <w:spacing w:after="0" w:line="240" w:lineRule="auto"/>
              <w:jc w:val="both"/>
            </w:pPr>
            <w:r>
              <w:rPr>
                <w:sz w:val="14"/>
              </w:rPr>
              <w:t>Made chemical evolution inside/on droplets an explicit object of study</w:t>
            </w:r>
          </w:p>
        </w:tc>
        <w:tc>
          <w:tcPr>
            <w:tcW w:w="1915" w:type="dxa"/>
            <w:tcMar>
              <w:top w:w="75" w:type="dxa"/>
              <w:left w:w="80" w:type="dxa"/>
              <w:bottom w:w="75" w:type="dxa"/>
              <w:right w:w="80" w:type="dxa"/>
            </w:tcMar>
            <w:vAlign w:val="center"/>
          </w:tcPr>
          <w:p w14:paraId="068B2E94" w14:textId="77777777" w:rsidR="00E25F3E" w:rsidRDefault="00000000" w:rsidP="00827B42">
            <w:pPr>
              <w:spacing w:after="0" w:line="240" w:lineRule="auto"/>
              <w:jc w:val="both"/>
            </w:pPr>
            <w:r>
              <w:rPr>
                <w:sz w:val="14"/>
              </w:rPr>
              <w:t>Product signal does not alone prove an intrinsic rate-constant change</w:t>
            </w:r>
          </w:p>
        </w:tc>
        <w:tc>
          <w:tcPr>
            <w:tcW w:w="1800" w:type="dxa"/>
            <w:tcMar>
              <w:top w:w="75" w:type="dxa"/>
              <w:left w:w="80" w:type="dxa"/>
              <w:bottom w:w="75" w:type="dxa"/>
              <w:right w:w="80" w:type="dxa"/>
            </w:tcMar>
            <w:vAlign w:val="center"/>
          </w:tcPr>
          <w:p w14:paraId="2486A0D6" w14:textId="77777777" w:rsidR="00E25F3E" w:rsidRDefault="00000000" w:rsidP="00827B42">
            <w:pPr>
              <w:spacing w:after="0" w:line="240" w:lineRule="auto"/>
              <w:jc w:val="both"/>
            </w:pPr>
            <w:r>
              <w:rPr>
                <w:sz w:val="14"/>
              </w:rPr>
              <w:t>Girod et al., 2011; Bain et al., 2015</w:t>
            </w:r>
          </w:p>
        </w:tc>
      </w:tr>
      <w:tr w:rsidR="00E25F3E" w14:paraId="3B4D188A" w14:textId="77777777">
        <w:trPr>
          <w:cantSplit/>
          <w:jc w:val="center"/>
        </w:trPr>
        <w:tc>
          <w:tcPr>
            <w:tcW w:w="1325" w:type="dxa"/>
            <w:tcMar>
              <w:top w:w="75" w:type="dxa"/>
              <w:left w:w="80" w:type="dxa"/>
              <w:bottom w:w="75" w:type="dxa"/>
              <w:right w:w="80" w:type="dxa"/>
            </w:tcMar>
            <w:vAlign w:val="center"/>
          </w:tcPr>
          <w:p w14:paraId="11A10490" w14:textId="77777777" w:rsidR="00E25F3E" w:rsidRDefault="00000000" w:rsidP="00827B42">
            <w:pPr>
              <w:spacing w:after="0" w:line="240" w:lineRule="auto"/>
              <w:jc w:val="both"/>
            </w:pPr>
            <w:r>
              <w:rPr>
                <w:sz w:val="14"/>
              </w:rPr>
              <w:t>Mechanistic perturbation</w:t>
            </w:r>
          </w:p>
        </w:tc>
        <w:tc>
          <w:tcPr>
            <w:tcW w:w="1699" w:type="dxa"/>
            <w:tcMar>
              <w:top w:w="75" w:type="dxa"/>
              <w:left w:w="80" w:type="dxa"/>
              <w:bottom w:w="75" w:type="dxa"/>
              <w:right w:w="80" w:type="dxa"/>
            </w:tcMar>
            <w:vAlign w:val="center"/>
          </w:tcPr>
          <w:p w14:paraId="6938B9C3" w14:textId="77777777" w:rsidR="00E25F3E" w:rsidRDefault="00000000" w:rsidP="00827B42">
            <w:pPr>
              <w:spacing w:after="0" w:line="240" w:lineRule="auto"/>
              <w:jc w:val="both"/>
            </w:pPr>
            <w:r>
              <w:rPr>
                <w:sz w:val="14"/>
              </w:rPr>
              <w:t>Variable-size, variable-distance, surfactant-modified droplets</w:t>
            </w:r>
          </w:p>
        </w:tc>
        <w:tc>
          <w:tcPr>
            <w:tcW w:w="1800" w:type="dxa"/>
            <w:tcMar>
              <w:top w:w="75" w:type="dxa"/>
              <w:left w:w="80" w:type="dxa"/>
              <w:bottom w:w="75" w:type="dxa"/>
              <w:right w:w="80" w:type="dxa"/>
            </w:tcMar>
            <w:vAlign w:val="center"/>
          </w:tcPr>
          <w:p w14:paraId="403B698C" w14:textId="77777777" w:rsidR="00E25F3E" w:rsidRDefault="00000000" w:rsidP="00827B42">
            <w:pPr>
              <w:spacing w:after="0" w:line="240" w:lineRule="auto"/>
              <w:jc w:val="both"/>
            </w:pPr>
            <w:r>
              <w:rPr>
                <w:sz w:val="14"/>
              </w:rPr>
              <w:t>Test surface and evaporation dependencies</w:t>
            </w:r>
          </w:p>
        </w:tc>
        <w:tc>
          <w:tcPr>
            <w:tcW w:w="1829" w:type="dxa"/>
            <w:tcMar>
              <w:top w:w="75" w:type="dxa"/>
              <w:left w:w="80" w:type="dxa"/>
              <w:bottom w:w="75" w:type="dxa"/>
              <w:right w:w="80" w:type="dxa"/>
            </w:tcMar>
            <w:vAlign w:val="center"/>
          </w:tcPr>
          <w:p w14:paraId="424CF56D" w14:textId="77777777" w:rsidR="00E25F3E" w:rsidRDefault="00000000" w:rsidP="00827B42">
            <w:pPr>
              <w:spacing w:after="0" w:line="240" w:lineRule="auto"/>
              <w:jc w:val="both"/>
            </w:pPr>
            <w:r>
              <w:rPr>
                <w:sz w:val="14"/>
              </w:rPr>
              <w:t>Added causal perturbations beyond endpoint product detection</w:t>
            </w:r>
          </w:p>
        </w:tc>
        <w:tc>
          <w:tcPr>
            <w:tcW w:w="1915" w:type="dxa"/>
            <w:tcMar>
              <w:top w:w="75" w:type="dxa"/>
              <w:left w:w="80" w:type="dxa"/>
              <w:bottom w:w="75" w:type="dxa"/>
              <w:right w:w="80" w:type="dxa"/>
            </w:tcMar>
            <w:vAlign w:val="center"/>
          </w:tcPr>
          <w:p w14:paraId="1D704113" w14:textId="77777777" w:rsidR="00E25F3E" w:rsidRDefault="00000000" w:rsidP="00827B42">
            <w:pPr>
              <w:spacing w:after="0" w:line="240" w:lineRule="auto"/>
              <w:jc w:val="both"/>
            </w:pPr>
            <w:r>
              <w:rPr>
                <w:sz w:val="14"/>
              </w:rPr>
              <w:t>Distance, size and evaporation can covary</w:t>
            </w:r>
          </w:p>
        </w:tc>
        <w:tc>
          <w:tcPr>
            <w:tcW w:w="1800" w:type="dxa"/>
            <w:tcMar>
              <w:top w:w="75" w:type="dxa"/>
              <w:left w:w="80" w:type="dxa"/>
              <w:bottom w:w="75" w:type="dxa"/>
              <w:right w:w="80" w:type="dxa"/>
            </w:tcMar>
            <w:vAlign w:val="center"/>
          </w:tcPr>
          <w:p w14:paraId="767D2DA5" w14:textId="77777777" w:rsidR="00E25F3E" w:rsidRDefault="00000000" w:rsidP="00827B42">
            <w:pPr>
              <w:spacing w:after="0" w:line="240" w:lineRule="auto"/>
              <w:jc w:val="both"/>
            </w:pPr>
            <w:r>
              <w:rPr>
                <w:sz w:val="14"/>
              </w:rPr>
              <w:t>Li et al., 2016; Marsh et al., 2019</w:t>
            </w:r>
          </w:p>
        </w:tc>
      </w:tr>
      <w:tr w:rsidR="00E25F3E" w14:paraId="17288D10" w14:textId="77777777">
        <w:trPr>
          <w:cantSplit/>
          <w:jc w:val="center"/>
        </w:trPr>
        <w:tc>
          <w:tcPr>
            <w:tcW w:w="1325" w:type="dxa"/>
            <w:tcMar>
              <w:top w:w="75" w:type="dxa"/>
              <w:left w:w="80" w:type="dxa"/>
              <w:bottom w:w="75" w:type="dxa"/>
              <w:right w:w="80" w:type="dxa"/>
            </w:tcMar>
            <w:vAlign w:val="center"/>
          </w:tcPr>
          <w:p w14:paraId="17B33AE1" w14:textId="77777777" w:rsidR="00E25F3E" w:rsidRDefault="00000000" w:rsidP="00827B42">
            <w:pPr>
              <w:spacing w:after="0" w:line="240" w:lineRule="auto"/>
              <w:jc w:val="both"/>
            </w:pPr>
            <w:r>
              <w:rPr>
                <w:sz w:val="14"/>
              </w:rPr>
              <w:t>Orthogonal vessel</w:t>
            </w:r>
          </w:p>
        </w:tc>
        <w:tc>
          <w:tcPr>
            <w:tcW w:w="1699" w:type="dxa"/>
            <w:tcMar>
              <w:top w:w="75" w:type="dxa"/>
              <w:left w:w="80" w:type="dxa"/>
              <w:bottom w:w="75" w:type="dxa"/>
              <w:right w:w="80" w:type="dxa"/>
            </w:tcMar>
            <w:vAlign w:val="center"/>
          </w:tcPr>
          <w:p w14:paraId="51E68DEC" w14:textId="77777777" w:rsidR="00E25F3E" w:rsidRDefault="00000000" w:rsidP="00827B42">
            <w:pPr>
              <w:spacing w:after="0" w:line="240" w:lineRule="auto"/>
              <w:jc w:val="both"/>
            </w:pPr>
            <w:r>
              <w:rPr>
                <w:sz w:val="14"/>
              </w:rPr>
              <w:t>Levitated or electrically unactivated droplets</w:t>
            </w:r>
          </w:p>
        </w:tc>
        <w:tc>
          <w:tcPr>
            <w:tcW w:w="1800" w:type="dxa"/>
            <w:tcMar>
              <w:top w:w="75" w:type="dxa"/>
              <w:left w:w="80" w:type="dxa"/>
              <w:bottom w:w="75" w:type="dxa"/>
              <w:right w:w="80" w:type="dxa"/>
            </w:tcMar>
            <w:vAlign w:val="center"/>
          </w:tcPr>
          <w:p w14:paraId="14DF7BD1" w14:textId="77777777" w:rsidR="00E25F3E" w:rsidRDefault="00000000" w:rsidP="00827B42">
            <w:pPr>
              <w:spacing w:after="0" w:line="240" w:lineRule="auto"/>
              <w:jc w:val="both"/>
            </w:pPr>
            <w:r>
              <w:rPr>
                <w:sz w:val="14"/>
              </w:rPr>
              <w:t>Observe chemistry without conventional ESI activation</w:t>
            </w:r>
          </w:p>
        </w:tc>
        <w:tc>
          <w:tcPr>
            <w:tcW w:w="1829" w:type="dxa"/>
            <w:tcMar>
              <w:top w:w="75" w:type="dxa"/>
              <w:left w:w="80" w:type="dxa"/>
              <w:bottom w:w="75" w:type="dxa"/>
              <w:right w:w="80" w:type="dxa"/>
            </w:tcMar>
            <w:vAlign w:val="center"/>
          </w:tcPr>
          <w:p w14:paraId="5C9DB5AD" w14:textId="77777777" w:rsidR="00E25F3E" w:rsidRDefault="00000000" w:rsidP="00827B42">
            <w:pPr>
              <w:spacing w:after="0" w:line="240" w:lineRule="auto"/>
              <w:jc w:val="both"/>
            </w:pPr>
            <w:r>
              <w:rPr>
                <w:sz w:val="14"/>
              </w:rPr>
              <w:t>Shows rapid droplet chemistry can persist outside a single ionisation architecture</w:t>
            </w:r>
          </w:p>
        </w:tc>
        <w:tc>
          <w:tcPr>
            <w:tcW w:w="1915" w:type="dxa"/>
            <w:tcMar>
              <w:top w:w="75" w:type="dxa"/>
              <w:left w:w="80" w:type="dxa"/>
              <w:bottom w:w="75" w:type="dxa"/>
              <w:right w:w="80" w:type="dxa"/>
            </w:tcMar>
            <w:vAlign w:val="center"/>
          </w:tcPr>
          <w:p w14:paraId="294F82E5" w14:textId="77777777" w:rsidR="00E25F3E" w:rsidRDefault="00000000" w:rsidP="00827B42">
            <w:pPr>
              <w:spacing w:after="0" w:line="240" w:lineRule="auto"/>
              <w:jc w:val="both"/>
            </w:pPr>
            <w:r>
              <w:rPr>
                <w:sz w:val="14"/>
              </w:rPr>
              <w:t>Conditions may differ substantially from electrospray plumes</w:t>
            </w:r>
          </w:p>
        </w:tc>
        <w:tc>
          <w:tcPr>
            <w:tcW w:w="1800" w:type="dxa"/>
            <w:tcMar>
              <w:top w:w="75" w:type="dxa"/>
              <w:left w:w="80" w:type="dxa"/>
              <w:bottom w:w="75" w:type="dxa"/>
              <w:right w:w="80" w:type="dxa"/>
            </w:tcMar>
            <w:vAlign w:val="center"/>
          </w:tcPr>
          <w:p w14:paraId="6A5D44E2" w14:textId="77777777" w:rsidR="00E25F3E" w:rsidRDefault="00000000" w:rsidP="00827B42">
            <w:pPr>
              <w:spacing w:after="0" w:line="240" w:lineRule="auto"/>
              <w:jc w:val="both"/>
            </w:pPr>
            <w:r>
              <w:rPr>
                <w:sz w:val="14"/>
              </w:rPr>
              <w:t>Qiu et al., 2024; Chen et al., 2025</w:t>
            </w:r>
          </w:p>
        </w:tc>
      </w:tr>
      <w:tr w:rsidR="00E25F3E" w14:paraId="6AB99797" w14:textId="77777777">
        <w:trPr>
          <w:cantSplit/>
          <w:jc w:val="center"/>
        </w:trPr>
        <w:tc>
          <w:tcPr>
            <w:tcW w:w="1325" w:type="dxa"/>
            <w:tcMar>
              <w:top w:w="75" w:type="dxa"/>
              <w:left w:w="80" w:type="dxa"/>
              <w:bottom w:w="75" w:type="dxa"/>
              <w:right w:w="80" w:type="dxa"/>
            </w:tcMar>
            <w:vAlign w:val="center"/>
          </w:tcPr>
          <w:p w14:paraId="09B85510" w14:textId="77777777" w:rsidR="00E25F3E" w:rsidRDefault="00000000" w:rsidP="00827B42">
            <w:pPr>
              <w:spacing w:after="0" w:line="240" w:lineRule="auto"/>
              <w:jc w:val="both"/>
            </w:pPr>
            <w:r>
              <w:rPr>
                <w:sz w:val="14"/>
              </w:rPr>
              <w:t>Engineered reactor</w:t>
            </w:r>
          </w:p>
        </w:tc>
        <w:tc>
          <w:tcPr>
            <w:tcW w:w="1699" w:type="dxa"/>
            <w:tcMar>
              <w:top w:w="75" w:type="dxa"/>
              <w:left w:w="80" w:type="dxa"/>
              <w:bottom w:w="75" w:type="dxa"/>
              <w:right w:w="80" w:type="dxa"/>
            </w:tcMar>
            <w:vAlign w:val="center"/>
          </w:tcPr>
          <w:p w14:paraId="7FA40DC4" w14:textId="77777777" w:rsidR="00E25F3E" w:rsidRDefault="00000000" w:rsidP="00827B42">
            <w:pPr>
              <w:spacing w:after="0" w:line="240" w:lineRule="auto"/>
              <w:jc w:val="both"/>
            </w:pPr>
            <w:r>
              <w:rPr>
                <w:sz w:val="14"/>
              </w:rPr>
              <w:t>Ultrasonic nebulisation, recirculating spray-film, automated arrays</w:t>
            </w:r>
          </w:p>
        </w:tc>
        <w:tc>
          <w:tcPr>
            <w:tcW w:w="1800" w:type="dxa"/>
            <w:tcMar>
              <w:top w:w="75" w:type="dxa"/>
              <w:left w:w="80" w:type="dxa"/>
              <w:bottom w:w="75" w:type="dxa"/>
              <w:right w:w="80" w:type="dxa"/>
            </w:tcMar>
            <w:vAlign w:val="center"/>
          </w:tcPr>
          <w:p w14:paraId="53B118EE" w14:textId="77777777" w:rsidR="00E25F3E" w:rsidRDefault="00000000" w:rsidP="00827B42">
            <w:pPr>
              <w:spacing w:after="0" w:line="240" w:lineRule="auto"/>
              <w:jc w:val="both"/>
            </w:pPr>
            <w:r>
              <w:rPr>
                <w:sz w:val="14"/>
              </w:rPr>
              <w:t>Preparative or information-throughput function</w:t>
            </w:r>
          </w:p>
        </w:tc>
        <w:tc>
          <w:tcPr>
            <w:tcW w:w="1829" w:type="dxa"/>
            <w:tcMar>
              <w:top w:w="75" w:type="dxa"/>
              <w:left w:w="80" w:type="dxa"/>
              <w:bottom w:w="75" w:type="dxa"/>
              <w:right w:w="80" w:type="dxa"/>
            </w:tcMar>
            <w:vAlign w:val="center"/>
          </w:tcPr>
          <w:p w14:paraId="4C163EB2" w14:textId="77777777" w:rsidR="00E25F3E" w:rsidRDefault="00000000" w:rsidP="00827B42">
            <w:pPr>
              <w:spacing w:after="0" w:line="240" w:lineRule="auto"/>
              <w:jc w:val="both"/>
            </w:pPr>
            <w:r>
              <w:rPr>
                <w:sz w:val="14"/>
              </w:rPr>
              <w:t>Adds isolated yield, mass productivity, automation and control</w:t>
            </w:r>
          </w:p>
        </w:tc>
        <w:tc>
          <w:tcPr>
            <w:tcW w:w="1915" w:type="dxa"/>
            <w:tcMar>
              <w:top w:w="75" w:type="dxa"/>
              <w:left w:w="80" w:type="dxa"/>
              <w:bottom w:w="75" w:type="dxa"/>
              <w:right w:w="80" w:type="dxa"/>
            </w:tcMar>
            <w:vAlign w:val="center"/>
          </w:tcPr>
          <w:p w14:paraId="0C702382" w14:textId="77777777" w:rsidR="00E25F3E" w:rsidRDefault="00000000" w:rsidP="00827B42">
            <w:pPr>
              <w:spacing w:after="0" w:line="240" w:lineRule="auto"/>
              <w:jc w:val="both"/>
            </w:pPr>
            <w:r>
              <w:rPr>
                <w:sz w:val="14"/>
              </w:rPr>
              <w:t>Hybrid reaction zones complicate attribution; process metrics remain incomplete</w:t>
            </w:r>
          </w:p>
        </w:tc>
        <w:tc>
          <w:tcPr>
            <w:tcW w:w="1800" w:type="dxa"/>
            <w:tcMar>
              <w:top w:w="75" w:type="dxa"/>
              <w:left w:w="80" w:type="dxa"/>
              <w:bottom w:w="75" w:type="dxa"/>
              <w:right w:w="80" w:type="dxa"/>
            </w:tcMar>
            <w:vAlign w:val="center"/>
          </w:tcPr>
          <w:p w14:paraId="450EFAD5" w14:textId="77777777" w:rsidR="00E25F3E" w:rsidRDefault="00000000" w:rsidP="00827B42">
            <w:pPr>
              <w:spacing w:after="0" w:line="240" w:lineRule="auto"/>
              <w:jc w:val="both"/>
            </w:pPr>
            <w:r>
              <w:rPr>
                <w:sz w:val="14"/>
              </w:rPr>
              <w:t>Liu et al., 2019; Nie et al., 2020; Huang et al., 2025</w:t>
            </w:r>
          </w:p>
        </w:tc>
      </w:tr>
    </w:tbl>
    <w:p w14:paraId="6CF9705E" w14:textId="77777777" w:rsidR="00E25F3E" w:rsidRDefault="00000000" w:rsidP="00827B42">
      <w:pPr>
        <w:pStyle w:val="TableNoteCustom"/>
        <w:jc w:val="both"/>
      </w:pPr>
      <w:r>
        <w:t>Note. Abbreviations: DESI, desorption electrospray ionisation; ESI, electrospray ionisation.</w:t>
      </w:r>
    </w:p>
    <w:p w14:paraId="3858B14C" w14:textId="77777777" w:rsidR="00E25F3E" w:rsidRDefault="00000000" w:rsidP="00827B42">
      <w:pPr>
        <w:pStyle w:val="Heading1"/>
        <w:jc w:val="both"/>
      </w:pPr>
      <w:r>
        <w:t>4. Why Microdroplets React Differently: Mechanisms under Critical Scrutiny</w:t>
      </w:r>
    </w:p>
    <w:p w14:paraId="3D9680DC" w14:textId="77777777" w:rsidR="00E25F3E" w:rsidRDefault="00000000" w:rsidP="00827B42">
      <w:pPr>
        <w:pStyle w:val="BodyTextCustom"/>
      </w:pPr>
      <w:r>
        <w:t>A mechanistic account must begin from the recognition that a microdroplet is not a static miniature beaker. Its radius can decrease rapidly, increasing solute concentration and surface-to-volume ratio while changing ionic strength, charge density, pH, temperature and composition. Volatile components can be lost selectively; non-volatile solutes can become surface-enriched; dissolved gases can enter or leave; and highly charged droplets can approach electrostatic instability. These processes are coupled. Consequently, a mechanism inferred from the endpoint composition of a sprayed droplet is potentially underdetermined unless at least one of these variables is independently constrained (Rovelli et al., 2020; Wei et al., 2020).</w:t>
      </w:r>
    </w:p>
    <w:p w14:paraId="51DA4001" w14:textId="77777777" w:rsidR="00E25F3E" w:rsidRDefault="00000000" w:rsidP="00827B42">
      <w:pPr>
        <w:pStyle w:val="BodyTextCustom"/>
      </w:pPr>
      <w:r>
        <w:t>The field has often used an 'acceleration factor' to communicate the contrast between droplet and bulk chemistry, but this quantity is not methodologically uniform. In some studies it is a ratio of estimated rate constants, in others a ratio of conversion over unequal time intervals, and in still others it depends on an assumed droplet reaction time that may not account for continuing reaction in films or collection vessels. Chen and Williams (2023) provided a particularly important calibration by showing that evaporation-driven concentration alone could generate apparent reaction-acceleration factors spanning roughly five orders of magnitude in a model system chosen not to rely on special interfacial catalysis. Their result does not negate genuine interfacial chemistry; it shows that acceleration is a compound observable unless changing volume is built into the kinetic model.</w:t>
      </w:r>
    </w:p>
    <w:p w14:paraId="3CD6362A" w14:textId="77777777" w:rsidR="00E25F3E" w:rsidRDefault="00000000" w:rsidP="00827B42">
      <w:pPr>
        <w:pStyle w:val="BodyTextCustom"/>
      </w:pPr>
      <w:r>
        <w:t>This distinction helps reconcile apparently contradictory studies. A reaction may be faster in a droplet because its reactants become more concentrated, because its transition state is preferentially stabilised at the interface, because one component is surface enriched, because an interfacial field changes activation free energy, or because several effects act sequentially. Conversely, a reaction can be inhibited if the interface destabilises the transition state, separates necessary partners, or exposes them to competing pathways. The Diels-Alder study of Gong et al. (2024) is instructive because it found that confinement and evaporative concentration could dominate while the air-water interface and electric-field contributions were negligible or unfavourable for the specific reaction examined. Such counterexamples are more mechanistically informative than a catalogue of positive cases because they delimit the conditions under which a proposed general explanation fails.</w:t>
      </w:r>
    </w:p>
    <w:p w14:paraId="00E8ADE5" w14:textId="77777777" w:rsidR="00E25F3E" w:rsidRDefault="00000000" w:rsidP="00827B42">
      <w:pPr>
        <w:pStyle w:val="Heading2"/>
        <w:jc w:val="both"/>
      </w:pPr>
      <w:r>
        <w:t>4.1 Evaporation, Concentration and Residence-Time Coupling</w:t>
      </w:r>
    </w:p>
    <w:p w14:paraId="7963EC5A" w14:textId="77777777" w:rsidR="00E25F3E" w:rsidRDefault="00000000" w:rsidP="00827B42">
      <w:pPr>
        <w:pStyle w:val="BodyTextCustom"/>
      </w:pPr>
      <w:r>
        <w:t xml:space="preserve">Evaporation is the least exotic and most universal source of kinetic change in freely flying droplets. When solvent is lost faster than reactants, local molarity rises; for reactions with positive concentration dependence, the volumetric rate can increase even if the intrinsic rate coefficient is unchanged. The effect is non-linear because surface-to-volume ratio increases as droplets shrink and because evaporation rates depend on humidity, gas temperature, solvent composition and solute activity. In an electrospray plume, droplets also have a distribution of initial sizes and trajectories, so the detector integrates chemically different histories. Chen and Williams (2023) demonstrated that </w:t>
      </w:r>
      <w:r>
        <w:lastRenderedPageBreak/>
        <w:t>neglecting these histories can yield enormous apparent acceleration, providing a quantitative warning against comparing final product ratios with a bulk reaction performed at the initial concentration.</w:t>
      </w:r>
    </w:p>
    <w:p w14:paraId="096F2173" w14:textId="77777777" w:rsidR="00E25F3E" w:rsidRDefault="00000000" w:rsidP="00827B42">
      <w:pPr>
        <w:pStyle w:val="BodyTextCustom"/>
      </w:pPr>
      <w:r>
        <w:t>Evaporation can also interact with genuine surface chemistry. If a reagent is surface active, shrinking concentrates the reagent while simultaneously increasing the fraction of molecules that sample the interface. Marsh et al. (2019) observed systematic size, distance and surfactant effects in electrospray droplets, consistent with interfacial involvement but also illustrating how flight distance changes both reaction time and evaporation. The appropriate mechanistic question is therefore not 'evaporation or interface?' but whether an interfacial contribution remains after a physically realistic evaporation model has explained concentration changes. Studies that vary humidity, initial droplet size or solvent volatility while independently quantifying volume loss are especially valuable because they can separate these terms rather than assigning all excess conversion to a vaguely defined surface effect.</w:t>
      </w:r>
    </w:p>
    <w:p w14:paraId="0762F540" w14:textId="77777777" w:rsidR="00E25F3E" w:rsidRDefault="00000000" w:rsidP="00827B42">
      <w:pPr>
        <w:pStyle w:val="Heading2"/>
        <w:jc w:val="both"/>
      </w:pPr>
      <w:r>
        <w:t>4.2 Interfacial Enrichment, Partial Solvation and Molecular Orientation</w:t>
      </w:r>
    </w:p>
    <w:p w14:paraId="7A673BC3" w14:textId="77777777" w:rsidR="00E25F3E" w:rsidRDefault="00000000" w:rsidP="00827B42">
      <w:pPr>
        <w:pStyle w:val="BodyTextCustom"/>
      </w:pPr>
      <w:r>
        <w:t>The air-water interface differs from bulk water in density, hydrogen-bond coordination, dielectric response and the orientation of molecular dipoles. Molecules that are amphiphilic or weakly solvated can become enriched there, and transition states may experience a solvation environment that changes activation free energy. Li et al. (2016) used competitive substituent effects in droplets and thin films to support a role for the interface, while Narendra et al. (2020) used quantum-mechanical modelling to show how reduced solvation and altered transition-state stabilisation could produce substantial rate changes for selected reactions. These lines of evidence are stronger when surface perturbations change the reaction in a direction predicted by the proposed solvation mechanism rather than merely correlating faster reaction with smaller droplets.</w:t>
      </w:r>
    </w:p>
    <w:p w14:paraId="656CABC9" w14:textId="77777777" w:rsidR="00E25F3E" w:rsidRDefault="00000000" w:rsidP="00827B42">
      <w:pPr>
        <w:pStyle w:val="BodyTextCustom"/>
      </w:pPr>
      <w:r>
        <w:t>Partial solvation is nevertheless reaction-specific. The interface can stabilise a charge-separated transition state in one transformation and destabilise it in another. Banerjee et al. (2017) explicitly challenged the idea that all bulk-phase reactions should accelerate in droplets, finding that acceleration was not universal. Gong et al. (2024) provided a later molecularly detailed example in which the interfacial environment did not supply the expected catalytic advantage for a Diels-Alder transformation. These results argue against using 'interfacial catalysis' as a catch-all explanation. A defensible claim requires a structure-reactivity relationship, spectroscopic or computational evidence for the relevant interfacial population, or perturbations that alter interfacial occupancy without simultaneously changing too many other variables.</w:t>
      </w:r>
    </w:p>
    <w:p w14:paraId="15073948" w14:textId="77777777" w:rsidR="00E25F3E" w:rsidRDefault="00000000" w:rsidP="00827B42">
      <w:pPr>
        <w:pStyle w:val="BodyTextCustom"/>
      </w:pPr>
      <w:r>
        <w:t>Surface orientation can also affect bimolecular encounter geometry. The idea is attractive because a two-dimensional interfacial region can increase effective local concentrations and constrain orientation, but direct measurements of reactive encounter statistics remain scarce. Apparent surface rate constants inferred from whole-droplet conversion depend on assumptions about the thickness and composition of the reactive layer. Qiu et al. (2024), for example, observed a whole-droplet rate increase during vapour dosing of a levitated droplet and estimated a much larger surface-region acceleration from a model of where reaction occurred. The whole-droplet kinetic contrast is directly constrained by experiment; the very large local surface value is a model-dependent inference. Maintaining that distinction is essential when reporting interfacial rate enhancements.</w:t>
      </w:r>
    </w:p>
    <w:p w14:paraId="512D2AEA" w14:textId="77777777" w:rsidR="00E25F3E" w:rsidRDefault="00000000" w:rsidP="00827B42">
      <w:pPr>
        <w:pStyle w:val="Heading2"/>
        <w:jc w:val="both"/>
      </w:pPr>
      <w:r>
        <w:t>4.3 Charge, Electric Fields and Redox Reactivity</w:t>
      </w:r>
    </w:p>
    <w:p w14:paraId="4CD42FD8" w14:textId="77777777" w:rsidR="00E25F3E" w:rsidRDefault="00000000" w:rsidP="00827B42">
      <w:pPr>
        <w:pStyle w:val="BodyTextCustom"/>
      </w:pPr>
      <w:r>
        <w:t>Charge is inseparable from classical ESI droplets and can influence chemistry through electrostatic potential, ionic composition and strong local electric fields. Direct spectroscopic evidence for large fields at an aqueous interface has been obtained in a water-oil system, with Xiong et al. (2020) reporting fields on the order of 10^9 V m-1. Molecular simulations by Hao et al. (2022) likewise found intense, fluctuating fields at aqueous microdroplet interfaces and showed that field orientation relative to a reaction coordinate can determine whether a barrier is lowered. The agreement in order of magnitude supports electric-field plausibility, but the water-oil measurement should not be transferred quantitatively to every air-water electrospray droplet. Interfacial composition, ion identity, curvature and charge distribution all matter.</w:t>
      </w:r>
    </w:p>
    <w:p w14:paraId="033C4D56" w14:textId="77777777" w:rsidR="00E25F3E" w:rsidRDefault="00000000" w:rsidP="00827B42">
      <w:pPr>
        <w:pStyle w:val="BodyTextCustom"/>
      </w:pPr>
      <w:r>
        <w:t xml:space="preserve">A useful mechanistic advance has been the move from treating charge as a scalar to treating the interface as an electrochemical environment. Vannoy et al. (2024) synthesised evidence that microdroplet reactions can be </w:t>
      </w:r>
      <w:r>
        <w:lastRenderedPageBreak/>
        <w:t>interpreted in terms of interfacial potentials, charge separation and redox processes, while Cheng et al. (2020) demonstrated a voltage-controlled interfacial microreactor in which an applied electrical variable directly modulated electrochemical reaction. Such control is stronger evidence for causality than observing an oxidation or reduction product in an uncontrolled spray. It also reveals why 'charge effect' is too coarse: the relevant variable may be local field, excess ion identity, electrode-like potential, reactive radical generation or field-driven molecular orientation.</w:t>
      </w:r>
    </w:p>
    <w:p w14:paraId="3B6F83E1" w14:textId="77777777" w:rsidR="00E25F3E" w:rsidRDefault="00000000" w:rsidP="00827B42">
      <w:pPr>
        <w:pStyle w:val="BodyTextCustom"/>
      </w:pPr>
      <w:r>
        <w:t>Redox chemistry has produced some of the field's most provocative observations. Lee, Samanta, et al. (2019) reported spontaneous reduction in micrometre-scale water droplets, while later mechanistic work explored whether interfacial fields can enable reactions that are thermodynamically or kinetically disfavoured in bulk water. LaCour et al. (2025) integrated simulation and physical arguments to emphasise the joint roles of interfaces and charge, and Holden et al. (2025) proposed field ionisation followed by chemical ionisation as a unifying hypothesis for ionisation and some droplet reactions. The latter is valuable as a mechanistic framework but remains a hypothesis rather than settled consensus. Its strongest future test would be a set of reactions for which field ionisation predicts specific isotope, substituent or charge-state dependencies that can be measured independently of ESI detection.</w:t>
      </w:r>
    </w:p>
    <w:p w14:paraId="40232BF4" w14:textId="77777777" w:rsidR="00E25F3E" w:rsidRDefault="00000000" w:rsidP="00827B42">
      <w:pPr>
        <w:pStyle w:val="Heading2"/>
        <w:jc w:val="both"/>
      </w:pPr>
      <w:r>
        <w:t>4.4 Interfacial Acidity, Basicity and Gas Uptake</w:t>
      </w:r>
    </w:p>
    <w:p w14:paraId="2059F89F" w14:textId="77777777" w:rsidR="00E25F3E" w:rsidRDefault="00000000" w:rsidP="00827B42">
      <w:pPr>
        <w:pStyle w:val="BodyTextCustom"/>
      </w:pPr>
      <w:r>
        <w:t>Acid-base chemistry in droplets is difficult to compress into a single statement such as 'the interface is acidic' or 'the interface is basic'. Apparent proton activity depends on surface propensity of ions, water orientation, charge sign, buffering, volatile acid or base exchange and the method used to probe pH. The practical consequence is that acid- or base-catalysed reactions can respond strongly to droplet formation without requiring a universally anomalous pH. Huang et al. (2021) showed that superacidic interfacial conditions could drive accelerated reactions of amines with carbon dioxide in microdroplets, illustrating how gas uptake, protonation and interfacial chemistry can become inseparable. The result broadens the microreactor concept from a liquid-phase confinement effect to a gas-liquid reactive interface.</w:t>
      </w:r>
    </w:p>
    <w:p w14:paraId="36A3C274" w14:textId="77777777" w:rsidR="00E25F3E" w:rsidRDefault="00000000" w:rsidP="00827B42">
      <w:pPr>
        <w:pStyle w:val="BodyTextCustom"/>
      </w:pPr>
      <w:r>
        <w:t>Gas exchange deserves greater attention because sprayed droplets have exceptionally high interfacial area and are continuously exposed to the surrounding atmosphere. Oxygen, carbon dioxide, ozone and volatile organic compounds can be reactants, inhibitors or sources of reactive intermediates. This makes the composition of the carrier gas part of the reactor specification rather than a peripheral experimental detail. The hydrogen-peroxide debate makes that point starkly: trace ozone at environmentally plausible concentrations can generate measurable peroxide in sprayed water, potentially mimicking a purported intrinsic property of the air-water interface (Gallo et al., 2022). Gas purity, humidity and residence time should therefore be treated as kinetic variables in experiments that invoke spontaneous redox chemistry.</w:t>
      </w:r>
    </w:p>
    <w:p w14:paraId="4367BC0D" w14:textId="77777777" w:rsidR="00E25F3E" w:rsidRDefault="00000000" w:rsidP="00827B42">
      <w:pPr>
        <w:pStyle w:val="Heading2"/>
        <w:jc w:val="both"/>
      </w:pPr>
      <w:r>
        <w:t>4.5 The Hydrogen-Peroxide Controversy as a Methodological Stress Test</w:t>
      </w:r>
    </w:p>
    <w:p w14:paraId="7DA60560" w14:textId="77777777" w:rsidR="00E25F3E" w:rsidRDefault="00000000" w:rsidP="00827B42">
      <w:pPr>
        <w:pStyle w:val="BodyTextCustom"/>
      </w:pPr>
      <w:r>
        <w:t>The claim that pure water microdroplets spontaneously generate hydrogen peroxide became a focal test of how the field handles surprising chemistry. Lee, Walker, et al. (2019) reported peroxide concentrations around tens of micromolar in condensed microdroplets and attributed formation to the air-water interface. The result was striking because it implied intrinsic redox chemistry in nominally pure water without conventional reagents. Subsequent work produced divergent results. Gallo et al. (2022) found no detectable peroxide under carefully controlled low-ozone conditions at a detection limit in the submicromolar range, but observed micromolar peroxide when ozone was introduced at tens of parts per billion. This directly demonstrated that trace gas contamination could reproduce part of the reported signal.</w:t>
      </w:r>
    </w:p>
    <w:p w14:paraId="65293F17" w14:textId="77777777" w:rsidR="00E25F3E" w:rsidRDefault="00000000" w:rsidP="00827B42">
      <w:pPr>
        <w:pStyle w:val="BodyTextCustom"/>
      </w:pPr>
      <w:r>
        <w:t>Mehrgardi et al. (2022), in contrast, detected lower micromolar peroxide from sprayed water even under ozone-suppressed conditions and found that gas composition affected production. Heindel et al. (2022) provided a theoretical route by which strong interfacial fields could make hydroxide oxidation and subsequent peroxide formation plausible. These studies do not collapse into a simple yes-or-no verdict. Differences in nebulisation, dissolved gases, surfaces, collection, analytical detection and background oxidants can change outcomes. The controversy therefore supports a narrower conclusion: peroxide formation is highly condition-sensitive, and any claim of spontaneous interfacial generation must establish gas-phase purity, material blanks, independent detection and concentration-dependent controls.</w:t>
      </w:r>
    </w:p>
    <w:p w14:paraId="7A664213" w14:textId="77777777" w:rsidR="00E25F3E" w:rsidRDefault="00000000" w:rsidP="00827B42">
      <w:pPr>
        <w:pStyle w:val="BodyTextCustom"/>
      </w:pPr>
      <w:r>
        <w:lastRenderedPageBreak/>
        <w:t>More broadly, the episode illustrates how extraordinary microdroplet claims should be evaluated. Replication must reproduce not only nominal solvent and droplet size but also gas composition, emitter material, charge, collection geometry, residence time and assay chemistry. Mechanistic papers should report what would falsify their preferred explanation. When independent laboratories obtain different outcomes, that disagreement is scientifically productive if it identifies hidden reactor variables. It is less useful to average the results into a vague consensus that microdroplets are 'highly reactive'. The correct lesson is that a microdroplet reactor includes its surrounding gas and contacting materials, and these boundary conditions can be chemically active.</w:t>
      </w:r>
    </w:p>
    <w:p w14:paraId="4001C23F" w14:textId="77777777" w:rsidR="00E25F3E" w:rsidRDefault="00000000" w:rsidP="00827B42">
      <w:pPr>
        <w:pStyle w:val="Heading2"/>
        <w:jc w:val="both"/>
      </w:pPr>
      <w:r>
        <w:t>4.6 Mechanistic Synthesis</w:t>
      </w:r>
    </w:p>
    <w:p w14:paraId="1E85C1BB" w14:textId="77777777" w:rsidR="00E25F3E" w:rsidRDefault="00000000" w:rsidP="00827B42">
      <w:pPr>
        <w:pStyle w:val="BodyTextCustom"/>
      </w:pPr>
      <w:r>
        <w:t>Table 2 compares the principal mechanisms and, crucially, the observations that would discriminate among them. The table shows why no single mechanism can be ranked as universally dominant. Evaporation is nearly unavoidable but does not explain reaction-specific surface perturbations; interfacial solvation can alter barriers but can be favourable or unfavourable; strong fields are plausible yet highly heterogeneous; and reactive-gas uptake can produce chemistry that appears intrinsic if the atmosphere is poorly controlled. The most robust mechanistic studies are therefore factorial rather than singular: they change droplet size, charge, humidity, surface composition or gas composition while following both reaction and droplet state.</w:t>
      </w:r>
    </w:p>
    <w:p w14:paraId="0C65EA6B" w14:textId="77777777" w:rsidR="00E25F3E" w:rsidRDefault="00000000" w:rsidP="00827B42">
      <w:pPr>
        <w:pStyle w:val="TableCaptionCustom"/>
        <w:jc w:val="both"/>
      </w:pPr>
      <w:r>
        <w:t>Table 2. Competing and complementary mechanisms proposed for microdroplet reactivity</w:t>
      </w:r>
    </w:p>
    <w:tbl>
      <w:tblPr>
        <w:tblStyle w:val="TableGrid"/>
        <w:tblW w:w="5000" w:type="pct"/>
        <w:jc w:val="center"/>
        <w:tblLook w:val="04A0" w:firstRow="1" w:lastRow="0" w:firstColumn="1" w:lastColumn="0" w:noHBand="0" w:noVBand="1"/>
      </w:tblPr>
      <w:tblGrid>
        <w:gridCol w:w="1786"/>
        <w:gridCol w:w="1565"/>
        <w:gridCol w:w="1830"/>
        <w:gridCol w:w="1696"/>
        <w:gridCol w:w="1782"/>
        <w:gridCol w:w="1667"/>
      </w:tblGrid>
      <w:tr w:rsidR="00E25F3E" w14:paraId="1A51655C" w14:textId="77777777" w:rsidTr="0001640A">
        <w:trPr>
          <w:cantSplit/>
          <w:tblHeader/>
          <w:jc w:val="center"/>
        </w:trPr>
        <w:tc>
          <w:tcPr>
            <w:tcW w:w="639" w:type="pct"/>
            <w:shd w:val="clear" w:color="auto" w:fill="D9E2F3"/>
            <w:tcMar>
              <w:top w:w="80" w:type="dxa"/>
              <w:left w:w="80" w:type="dxa"/>
              <w:bottom w:w="80" w:type="dxa"/>
              <w:right w:w="80" w:type="dxa"/>
            </w:tcMar>
            <w:vAlign w:val="center"/>
          </w:tcPr>
          <w:p w14:paraId="3CDEC949" w14:textId="77777777" w:rsidR="00E25F3E" w:rsidRDefault="00000000" w:rsidP="00827B42">
            <w:pPr>
              <w:spacing w:after="0" w:line="240" w:lineRule="auto"/>
              <w:jc w:val="both"/>
            </w:pPr>
            <w:r>
              <w:rPr>
                <w:b/>
                <w:sz w:val="15"/>
              </w:rPr>
              <w:t>Mechanism</w:t>
            </w:r>
          </w:p>
        </w:tc>
        <w:tc>
          <w:tcPr>
            <w:tcW w:w="819" w:type="pct"/>
            <w:shd w:val="clear" w:color="auto" w:fill="D9E2F3"/>
            <w:tcMar>
              <w:top w:w="80" w:type="dxa"/>
              <w:left w:w="80" w:type="dxa"/>
              <w:bottom w:w="80" w:type="dxa"/>
              <w:right w:w="80" w:type="dxa"/>
            </w:tcMar>
            <w:vAlign w:val="center"/>
          </w:tcPr>
          <w:p w14:paraId="49DCDB1F" w14:textId="77777777" w:rsidR="00E25F3E" w:rsidRDefault="00000000" w:rsidP="00827B42">
            <w:pPr>
              <w:spacing w:after="0" w:line="240" w:lineRule="auto"/>
              <w:jc w:val="both"/>
            </w:pPr>
            <w:r>
              <w:rPr>
                <w:b/>
                <w:sz w:val="15"/>
              </w:rPr>
              <w:t>Expected signature</w:t>
            </w:r>
          </w:p>
        </w:tc>
        <w:tc>
          <w:tcPr>
            <w:tcW w:w="868" w:type="pct"/>
            <w:shd w:val="clear" w:color="auto" w:fill="D9E2F3"/>
            <w:tcMar>
              <w:top w:w="80" w:type="dxa"/>
              <w:left w:w="80" w:type="dxa"/>
              <w:bottom w:w="80" w:type="dxa"/>
              <w:right w:w="80" w:type="dxa"/>
            </w:tcMar>
            <w:vAlign w:val="center"/>
          </w:tcPr>
          <w:p w14:paraId="38CF19CA" w14:textId="77777777" w:rsidR="00E25F3E" w:rsidRDefault="00000000" w:rsidP="00827B42">
            <w:pPr>
              <w:spacing w:after="0" w:line="240" w:lineRule="auto"/>
              <w:jc w:val="both"/>
            </w:pPr>
            <w:r>
              <w:rPr>
                <w:b/>
                <w:sz w:val="15"/>
              </w:rPr>
              <w:t>Supporting evidence</w:t>
            </w:r>
          </w:p>
        </w:tc>
        <w:tc>
          <w:tcPr>
            <w:tcW w:w="882" w:type="pct"/>
            <w:shd w:val="clear" w:color="auto" w:fill="D9E2F3"/>
            <w:tcMar>
              <w:top w:w="80" w:type="dxa"/>
              <w:left w:w="80" w:type="dxa"/>
              <w:bottom w:w="80" w:type="dxa"/>
              <w:right w:w="80" w:type="dxa"/>
            </w:tcMar>
            <w:vAlign w:val="center"/>
          </w:tcPr>
          <w:p w14:paraId="7C1D38F0" w14:textId="77777777" w:rsidR="00E25F3E" w:rsidRDefault="00000000" w:rsidP="00827B42">
            <w:pPr>
              <w:spacing w:after="0" w:line="240" w:lineRule="auto"/>
              <w:jc w:val="both"/>
            </w:pPr>
            <w:r>
              <w:rPr>
                <w:b/>
                <w:sz w:val="15"/>
              </w:rPr>
              <w:t>Main alternative explanation</w:t>
            </w:r>
          </w:p>
        </w:tc>
        <w:tc>
          <w:tcPr>
            <w:tcW w:w="924" w:type="pct"/>
            <w:shd w:val="clear" w:color="auto" w:fill="D9E2F3"/>
            <w:tcMar>
              <w:top w:w="80" w:type="dxa"/>
              <w:left w:w="80" w:type="dxa"/>
              <w:bottom w:w="80" w:type="dxa"/>
              <w:right w:w="80" w:type="dxa"/>
            </w:tcMar>
            <w:vAlign w:val="center"/>
          </w:tcPr>
          <w:p w14:paraId="081E583C" w14:textId="77777777" w:rsidR="00E25F3E" w:rsidRDefault="00000000" w:rsidP="00827B42">
            <w:pPr>
              <w:spacing w:after="0" w:line="240" w:lineRule="auto"/>
              <w:jc w:val="both"/>
            </w:pPr>
            <w:r>
              <w:rPr>
                <w:b/>
                <w:sz w:val="15"/>
              </w:rPr>
              <w:t>Best discriminating experiment</w:t>
            </w:r>
          </w:p>
        </w:tc>
        <w:tc>
          <w:tcPr>
            <w:tcW w:w="868" w:type="pct"/>
            <w:shd w:val="clear" w:color="auto" w:fill="D9E2F3"/>
            <w:tcMar>
              <w:top w:w="80" w:type="dxa"/>
              <w:left w:w="80" w:type="dxa"/>
              <w:bottom w:w="80" w:type="dxa"/>
              <w:right w:w="80" w:type="dxa"/>
            </w:tcMar>
            <w:vAlign w:val="center"/>
          </w:tcPr>
          <w:p w14:paraId="0F2BB1D1" w14:textId="77777777" w:rsidR="00E25F3E" w:rsidRDefault="00000000" w:rsidP="00827B42">
            <w:pPr>
              <w:spacing w:after="0" w:line="240" w:lineRule="auto"/>
              <w:jc w:val="both"/>
            </w:pPr>
            <w:r>
              <w:rPr>
                <w:b/>
                <w:sz w:val="15"/>
              </w:rPr>
              <w:t>Supporting references</w:t>
            </w:r>
          </w:p>
        </w:tc>
      </w:tr>
      <w:tr w:rsidR="00E25F3E" w14:paraId="3A789AD6" w14:textId="77777777" w:rsidTr="0001640A">
        <w:trPr>
          <w:cantSplit/>
          <w:jc w:val="center"/>
        </w:trPr>
        <w:tc>
          <w:tcPr>
            <w:tcW w:w="639" w:type="pct"/>
            <w:tcMar>
              <w:top w:w="75" w:type="dxa"/>
              <w:left w:w="80" w:type="dxa"/>
              <w:bottom w:w="75" w:type="dxa"/>
              <w:right w:w="80" w:type="dxa"/>
            </w:tcMar>
            <w:vAlign w:val="center"/>
          </w:tcPr>
          <w:p w14:paraId="3FAA4A5F" w14:textId="77777777" w:rsidR="00E25F3E" w:rsidRDefault="00000000" w:rsidP="00827B42">
            <w:pPr>
              <w:spacing w:after="0" w:line="240" w:lineRule="auto"/>
              <w:jc w:val="both"/>
            </w:pPr>
            <w:r>
              <w:rPr>
                <w:sz w:val="14"/>
              </w:rPr>
              <w:t>Evaporation/concentration</w:t>
            </w:r>
          </w:p>
        </w:tc>
        <w:tc>
          <w:tcPr>
            <w:tcW w:w="819" w:type="pct"/>
            <w:tcMar>
              <w:top w:w="75" w:type="dxa"/>
              <w:left w:w="80" w:type="dxa"/>
              <w:bottom w:w="75" w:type="dxa"/>
              <w:right w:w="80" w:type="dxa"/>
            </w:tcMar>
            <w:vAlign w:val="center"/>
          </w:tcPr>
          <w:p w14:paraId="02F3F116" w14:textId="77777777" w:rsidR="00E25F3E" w:rsidRDefault="00000000" w:rsidP="00827B42">
            <w:pPr>
              <w:spacing w:after="0" w:line="240" w:lineRule="auto"/>
              <w:jc w:val="both"/>
            </w:pPr>
            <w:r>
              <w:rPr>
                <w:sz w:val="14"/>
              </w:rPr>
              <w:t>Rate rises with solvent loss and concentration trajectory</w:t>
            </w:r>
          </w:p>
        </w:tc>
        <w:tc>
          <w:tcPr>
            <w:tcW w:w="868" w:type="pct"/>
            <w:tcMar>
              <w:top w:w="75" w:type="dxa"/>
              <w:left w:w="80" w:type="dxa"/>
              <w:bottom w:w="75" w:type="dxa"/>
              <w:right w:w="80" w:type="dxa"/>
            </w:tcMar>
            <w:vAlign w:val="center"/>
          </w:tcPr>
          <w:p w14:paraId="637492E9" w14:textId="77777777" w:rsidR="00E25F3E" w:rsidRDefault="00000000" w:rsidP="00827B42">
            <w:pPr>
              <w:spacing w:after="0" w:line="240" w:lineRule="auto"/>
              <w:jc w:val="both"/>
            </w:pPr>
            <w:r>
              <w:rPr>
                <w:sz w:val="14"/>
              </w:rPr>
              <w:t>Apparent accelerations can be very large even without special surface catalysis</w:t>
            </w:r>
          </w:p>
        </w:tc>
        <w:tc>
          <w:tcPr>
            <w:tcW w:w="882" w:type="pct"/>
            <w:tcMar>
              <w:top w:w="75" w:type="dxa"/>
              <w:left w:w="80" w:type="dxa"/>
              <w:bottom w:w="75" w:type="dxa"/>
              <w:right w:w="80" w:type="dxa"/>
            </w:tcMar>
            <w:vAlign w:val="center"/>
          </w:tcPr>
          <w:p w14:paraId="0A34DE26" w14:textId="77777777" w:rsidR="00E25F3E" w:rsidRDefault="00000000" w:rsidP="00827B42">
            <w:pPr>
              <w:spacing w:after="0" w:line="240" w:lineRule="auto"/>
              <w:jc w:val="both"/>
            </w:pPr>
            <w:r>
              <w:rPr>
                <w:sz w:val="14"/>
              </w:rPr>
              <w:t>True interfacial kinetics can covary with shrinking radius</w:t>
            </w:r>
          </w:p>
        </w:tc>
        <w:tc>
          <w:tcPr>
            <w:tcW w:w="924" w:type="pct"/>
            <w:tcMar>
              <w:top w:w="75" w:type="dxa"/>
              <w:left w:w="80" w:type="dxa"/>
              <w:bottom w:w="75" w:type="dxa"/>
              <w:right w:w="80" w:type="dxa"/>
            </w:tcMar>
            <w:vAlign w:val="center"/>
          </w:tcPr>
          <w:p w14:paraId="293B18B2" w14:textId="77777777" w:rsidR="00E25F3E" w:rsidRDefault="00000000" w:rsidP="00827B42">
            <w:pPr>
              <w:spacing w:after="0" w:line="240" w:lineRule="auto"/>
              <w:jc w:val="both"/>
            </w:pPr>
            <w:r>
              <w:rPr>
                <w:sz w:val="14"/>
              </w:rPr>
              <w:t>Measure droplet volume and reproduce concentration trajectory in bulk control</w:t>
            </w:r>
          </w:p>
        </w:tc>
        <w:tc>
          <w:tcPr>
            <w:tcW w:w="868" w:type="pct"/>
            <w:tcMar>
              <w:top w:w="75" w:type="dxa"/>
              <w:left w:w="80" w:type="dxa"/>
              <w:bottom w:w="75" w:type="dxa"/>
              <w:right w:w="80" w:type="dxa"/>
            </w:tcMar>
            <w:vAlign w:val="center"/>
          </w:tcPr>
          <w:p w14:paraId="5B2F23AD" w14:textId="77777777" w:rsidR="00E25F3E" w:rsidRDefault="00000000" w:rsidP="00827B42">
            <w:pPr>
              <w:spacing w:after="0" w:line="240" w:lineRule="auto"/>
              <w:jc w:val="both"/>
            </w:pPr>
            <w:r>
              <w:rPr>
                <w:sz w:val="14"/>
              </w:rPr>
              <w:t>Chen &amp; Williams, 2023; Rovelli et al., 2020</w:t>
            </w:r>
          </w:p>
        </w:tc>
      </w:tr>
      <w:tr w:rsidR="00E25F3E" w14:paraId="5D0329E5" w14:textId="77777777" w:rsidTr="0001640A">
        <w:trPr>
          <w:cantSplit/>
          <w:jc w:val="center"/>
        </w:trPr>
        <w:tc>
          <w:tcPr>
            <w:tcW w:w="639" w:type="pct"/>
            <w:tcMar>
              <w:top w:w="75" w:type="dxa"/>
              <w:left w:w="80" w:type="dxa"/>
              <w:bottom w:w="75" w:type="dxa"/>
              <w:right w:w="80" w:type="dxa"/>
            </w:tcMar>
            <w:vAlign w:val="center"/>
          </w:tcPr>
          <w:p w14:paraId="3FD8C84D" w14:textId="77777777" w:rsidR="00E25F3E" w:rsidRDefault="00000000" w:rsidP="00827B42">
            <w:pPr>
              <w:spacing w:after="0" w:line="240" w:lineRule="auto"/>
              <w:jc w:val="both"/>
            </w:pPr>
            <w:r>
              <w:rPr>
                <w:sz w:val="14"/>
              </w:rPr>
              <w:t>Interfacial enrichment/partial solvation</w:t>
            </w:r>
          </w:p>
        </w:tc>
        <w:tc>
          <w:tcPr>
            <w:tcW w:w="819" w:type="pct"/>
            <w:tcMar>
              <w:top w:w="75" w:type="dxa"/>
              <w:left w:w="80" w:type="dxa"/>
              <w:bottom w:w="75" w:type="dxa"/>
              <w:right w:w="80" w:type="dxa"/>
            </w:tcMar>
            <w:vAlign w:val="center"/>
          </w:tcPr>
          <w:p w14:paraId="7A891387" w14:textId="77777777" w:rsidR="00E25F3E" w:rsidRDefault="00000000" w:rsidP="00827B42">
            <w:pPr>
              <w:spacing w:after="0" w:line="240" w:lineRule="auto"/>
              <w:jc w:val="both"/>
            </w:pPr>
            <w:r>
              <w:rPr>
                <w:sz w:val="14"/>
              </w:rPr>
              <w:t>Surface-active reagents or transition states respond to surface composition and radius</w:t>
            </w:r>
          </w:p>
        </w:tc>
        <w:tc>
          <w:tcPr>
            <w:tcW w:w="868" w:type="pct"/>
            <w:tcMar>
              <w:top w:w="75" w:type="dxa"/>
              <w:left w:w="80" w:type="dxa"/>
              <w:bottom w:w="75" w:type="dxa"/>
              <w:right w:w="80" w:type="dxa"/>
            </w:tcMar>
            <w:vAlign w:val="center"/>
          </w:tcPr>
          <w:p w14:paraId="77BF0EE9" w14:textId="77777777" w:rsidR="00E25F3E" w:rsidRDefault="00000000" w:rsidP="00827B42">
            <w:pPr>
              <w:spacing w:after="0" w:line="240" w:lineRule="auto"/>
              <w:jc w:val="both"/>
            </w:pPr>
            <w:r>
              <w:rPr>
                <w:sz w:val="14"/>
              </w:rPr>
              <w:t>Substituent, size and surfactant effects; reaction-specific calculations</w:t>
            </w:r>
          </w:p>
        </w:tc>
        <w:tc>
          <w:tcPr>
            <w:tcW w:w="882" w:type="pct"/>
            <w:tcMar>
              <w:top w:w="75" w:type="dxa"/>
              <w:left w:w="80" w:type="dxa"/>
              <w:bottom w:w="75" w:type="dxa"/>
              <w:right w:w="80" w:type="dxa"/>
            </w:tcMar>
            <w:vAlign w:val="center"/>
          </w:tcPr>
          <w:p w14:paraId="77ABFDFF" w14:textId="77777777" w:rsidR="00E25F3E" w:rsidRDefault="00000000" w:rsidP="00827B42">
            <w:pPr>
              <w:spacing w:after="0" w:line="240" w:lineRule="auto"/>
              <w:jc w:val="both"/>
            </w:pPr>
            <w:r>
              <w:rPr>
                <w:sz w:val="14"/>
              </w:rPr>
              <w:t>Evaporation or ionisation changes may mimic surface effects</w:t>
            </w:r>
          </w:p>
        </w:tc>
        <w:tc>
          <w:tcPr>
            <w:tcW w:w="924" w:type="pct"/>
            <w:tcMar>
              <w:top w:w="75" w:type="dxa"/>
              <w:left w:w="80" w:type="dxa"/>
              <w:bottom w:w="75" w:type="dxa"/>
              <w:right w:w="80" w:type="dxa"/>
            </w:tcMar>
            <w:vAlign w:val="center"/>
          </w:tcPr>
          <w:p w14:paraId="1C3C1B7F" w14:textId="77777777" w:rsidR="00E25F3E" w:rsidRDefault="00000000" w:rsidP="00827B42">
            <w:pPr>
              <w:spacing w:after="0" w:line="240" w:lineRule="auto"/>
              <w:jc w:val="both"/>
            </w:pPr>
            <w:r>
              <w:rPr>
                <w:sz w:val="14"/>
              </w:rPr>
              <w:t>Vary surface occupancy independently of final concentration and detection</w:t>
            </w:r>
          </w:p>
        </w:tc>
        <w:tc>
          <w:tcPr>
            <w:tcW w:w="868" w:type="pct"/>
            <w:tcMar>
              <w:top w:w="75" w:type="dxa"/>
              <w:left w:w="80" w:type="dxa"/>
              <w:bottom w:w="75" w:type="dxa"/>
              <w:right w:w="80" w:type="dxa"/>
            </w:tcMar>
            <w:vAlign w:val="center"/>
          </w:tcPr>
          <w:p w14:paraId="48F7945A" w14:textId="77777777" w:rsidR="00E25F3E" w:rsidRDefault="00000000" w:rsidP="00827B42">
            <w:pPr>
              <w:spacing w:after="0" w:line="240" w:lineRule="auto"/>
              <w:jc w:val="both"/>
            </w:pPr>
            <w:r>
              <w:rPr>
                <w:sz w:val="14"/>
              </w:rPr>
              <w:t>Li et al., 2016; Marsh et al., 2019; Narendra et al., 2020</w:t>
            </w:r>
          </w:p>
        </w:tc>
      </w:tr>
      <w:tr w:rsidR="00E25F3E" w14:paraId="482D8765" w14:textId="77777777" w:rsidTr="0001640A">
        <w:trPr>
          <w:cantSplit/>
          <w:jc w:val="center"/>
        </w:trPr>
        <w:tc>
          <w:tcPr>
            <w:tcW w:w="639" w:type="pct"/>
            <w:tcMar>
              <w:top w:w="75" w:type="dxa"/>
              <w:left w:w="80" w:type="dxa"/>
              <w:bottom w:w="75" w:type="dxa"/>
              <w:right w:w="80" w:type="dxa"/>
            </w:tcMar>
            <w:vAlign w:val="center"/>
          </w:tcPr>
          <w:p w14:paraId="5D6B10EE" w14:textId="77777777" w:rsidR="00E25F3E" w:rsidRDefault="00000000" w:rsidP="00827B42">
            <w:pPr>
              <w:spacing w:after="0" w:line="240" w:lineRule="auto"/>
              <w:jc w:val="both"/>
            </w:pPr>
            <w:r>
              <w:rPr>
                <w:sz w:val="14"/>
              </w:rPr>
              <w:t>Electric field/charge</w:t>
            </w:r>
          </w:p>
        </w:tc>
        <w:tc>
          <w:tcPr>
            <w:tcW w:w="819" w:type="pct"/>
            <w:tcMar>
              <w:top w:w="75" w:type="dxa"/>
              <w:left w:w="80" w:type="dxa"/>
              <w:bottom w:w="75" w:type="dxa"/>
              <w:right w:w="80" w:type="dxa"/>
            </w:tcMar>
            <w:vAlign w:val="center"/>
          </w:tcPr>
          <w:p w14:paraId="6F755306" w14:textId="77777777" w:rsidR="00E25F3E" w:rsidRDefault="00000000" w:rsidP="00827B42">
            <w:pPr>
              <w:spacing w:after="0" w:line="240" w:lineRule="auto"/>
              <w:jc w:val="both"/>
            </w:pPr>
            <w:r>
              <w:rPr>
                <w:sz w:val="14"/>
              </w:rPr>
              <w:t>Field-sensitive reactions depend on charge, field orientation or potential</w:t>
            </w:r>
          </w:p>
        </w:tc>
        <w:tc>
          <w:tcPr>
            <w:tcW w:w="868" w:type="pct"/>
            <w:tcMar>
              <w:top w:w="75" w:type="dxa"/>
              <w:left w:w="80" w:type="dxa"/>
              <w:bottom w:w="75" w:type="dxa"/>
              <w:right w:w="80" w:type="dxa"/>
            </w:tcMar>
            <w:vAlign w:val="center"/>
          </w:tcPr>
          <w:p w14:paraId="02FF01D9" w14:textId="77777777" w:rsidR="00E25F3E" w:rsidRDefault="00000000" w:rsidP="00827B42">
            <w:pPr>
              <w:spacing w:after="0" w:line="240" w:lineRule="auto"/>
              <w:jc w:val="both"/>
            </w:pPr>
            <w:r>
              <w:rPr>
                <w:sz w:val="14"/>
              </w:rPr>
              <w:t>Strong interfacial fields are plausible; voltage can control interfacial electrochemistry</w:t>
            </w:r>
          </w:p>
        </w:tc>
        <w:tc>
          <w:tcPr>
            <w:tcW w:w="882" w:type="pct"/>
            <w:tcMar>
              <w:top w:w="75" w:type="dxa"/>
              <w:left w:w="80" w:type="dxa"/>
              <w:bottom w:w="75" w:type="dxa"/>
              <w:right w:w="80" w:type="dxa"/>
            </w:tcMar>
            <w:vAlign w:val="center"/>
          </w:tcPr>
          <w:p w14:paraId="0BF68E45" w14:textId="77777777" w:rsidR="00E25F3E" w:rsidRDefault="00000000" w:rsidP="00827B42">
            <w:pPr>
              <w:spacing w:after="0" w:line="240" w:lineRule="auto"/>
              <w:jc w:val="both"/>
            </w:pPr>
            <w:r>
              <w:rPr>
                <w:sz w:val="14"/>
              </w:rPr>
              <w:t>Specific ion effects or local concentration may be responsible</w:t>
            </w:r>
          </w:p>
        </w:tc>
        <w:tc>
          <w:tcPr>
            <w:tcW w:w="924" w:type="pct"/>
            <w:tcMar>
              <w:top w:w="75" w:type="dxa"/>
              <w:left w:w="80" w:type="dxa"/>
              <w:bottom w:w="75" w:type="dxa"/>
              <w:right w:w="80" w:type="dxa"/>
            </w:tcMar>
            <w:vAlign w:val="center"/>
          </w:tcPr>
          <w:p w14:paraId="0CBC9589" w14:textId="77777777" w:rsidR="00E25F3E" w:rsidRDefault="00000000" w:rsidP="00827B42">
            <w:pPr>
              <w:spacing w:after="0" w:line="240" w:lineRule="auto"/>
              <w:jc w:val="both"/>
            </w:pPr>
            <w:r>
              <w:rPr>
                <w:sz w:val="14"/>
              </w:rPr>
              <w:t>Matched charged/neutral droplets with direct field/charge measurements</w:t>
            </w:r>
          </w:p>
        </w:tc>
        <w:tc>
          <w:tcPr>
            <w:tcW w:w="868" w:type="pct"/>
            <w:tcMar>
              <w:top w:w="75" w:type="dxa"/>
              <w:left w:w="80" w:type="dxa"/>
              <w:bottom w:w="75" w:type="dxa"/>
              <w:right w:w="80" w:type="dxa"/>
            </w:tcMar>
            <w:vAlign w:val="center"/>
          </w:tcPr>
          <w:p w14:paraId="39C1502C" w14:textId="77777777" w:rsidR="00E25F3E" w:rsidRDefault="00000000" w:rsidP="00827B42">
            <w:pPr>
              <w:spacing w:after="0" w:line="240" w:lineRule="auto"/>
              <w:jc w:val="both"/>
            </w:pPr>
            <w:r>
              <w:rPr>
                <w:sz w:val="14"/>
              </w:rPr>
              <w:t>Xiong et al., 2020; Hao et al., 2022; Cheng et al., 2020</w:t>
            </w:r>
          </w:p>
        </w:tc>
      </w:tr>
      <w:tr w:rsidR="00E25F3E" w14:paraId="734C65E3" w14:textId="77777777" w:rsidTr="0001640A">
        <w:trPr>
          <w:cantSplit/>
          <w:jc w:val="center"/>
        </w:trPr>
        <w:tc>
          <w:tcPr>
            <w:tcW w:w="639" w:type="pct"/>
            <w:tcMar>
              <w:top w:w="75" w:type="dxa"/>
              <w:left w:w="80" w:type="dxa"/>
              <w:bottom w:w="75" w:type="dxa"/>
              <w:right w:w="80" w:type="dxa"/>
            </w:tcMar>
            <w:vAlign w:val="center"/>
          </w:tcPr>
          <w:p w14:paraId="15B017B8" w14:textId="77777777" w:rsidR="00E25F3E" w:rsidRDefault="00000000" w:rsidP="00827B42">
            <w:pPr>
              <w:spacing w:after="0" w:line="240" w:lineRule="auto"/>
              <w:jc w:val="both"/>
            </w:pPr>
            <w:r>
              <w:rPr>
                <w:sz w:val="14"/>
              </w:rPr>
              <w:t>Reactive redox pathways</w:t>
            </w:r>
          </w:p>
        </w:tc>
        <w:tc>
          <w:tcPr>
            <w:tcW w:w="819" w:type="pct"/>
            <w:tcMar>
              <w:top w:w="75" w:type="dxa"/>
              <w:left w:w="80" w:type="dxa"/>
              <w:bottom w:w="75" w:type="dxa"/>
              <w:right w:w="80" w:type="dxa"/>
            </w:tcMar>
            <w:vAlign w:val="center"/>
          </w:tcPr>
          <w:p w14:paraId="1F8AA225" w14:textId="77777777" w:rsidR="00E25F3E" w:rsidRDefault="00000000" w:rsidP="00827B42">
            <w:pPr>
              <w:spacing w:after="0" w:line="240" w:lineRule="auto"/>
              <w:jc w:val="both"/>
            </w:pPr>
            <w:r>
              <w:rPr>
                <w:sz w:val="14"/>
              </w:rPr>
              <w:t>Oxidation/reduction products vary with charge, gas and radical chemistry</w:t>
            </w:r>
          </w:p>
        </w:tc>
        <w:tc>
          <w:tcPr>
            <w:tcW w:w="868" w:type="pct"/>
            <w:tcMar>
              <w:top w:w="75" w:type="dxa"/>
              <w:left w:w="80" w:type="dxa"/>
              <w:bottom w:w="75" w:type="dxa"/>
              <w:right w:w="80" w:type="dxa"/>
            </w:tcMar>
            <w:vAlign w:val="center"/>
          </w:tcPr>
          <w:p w14:paraId="247B370A" w14:textId="77777777" w:rsidR="00E25F3E" w:rsidRDefault="00000000" w:rsidP="00827B42">
            <w:pPr>
              <w:spacing w:after="0" w:line="240" w:lineRule="auto"/>
              <w:jc w:val="both"/>
            </w:pPr>
            <w:r>
              <w:rPr>
                <w:sz w:val="14"/>
              </w:rPr>
              <w:t>Spontaneous reduction and peroxide-related chemistry observed in selected systems</w:t>
            </w:r>
          </w:p>
        </w:tc>
        <w:tc>
          <w:tcPr>
            <w:tcW w:w="882" w:type="pct"/>
            <w:tcMar>
              <w:top w:w="75" w:type="dxa"/>
              <w:left w:w="80" w:type="dxa"/>
              <w:bottom w:w="75" w:type="dxa"/>
              <w:right w:w="80" w:type="dxa"/>
            </w:tcMar>
            <w:vAlign w:val="center"/>
          </w:tcPr>
          <w:p w14:paraId="25FB4D0E" w14:textId="77777777" w:rsidR="00E25F3E" w:rsidRDefault="00000000" w:rsidP="00827B42">
            <w:pPr>
              <w:spacing w:after="0" w:line="240" w:lineRule="auto"/>
              <w:jc w:val="both"/>
            </w:pPr>
            <w:r>
              <w:rPr>
                <w:sz w:val="14"/>
              </w:rPr>
              <w:t>Trace oxidants, materials or collection artefacts</w:t>
            </w:r>
          </w:p>
        </w:tc>
        <w:tc>
          <w:tcPr>
            <w:tcW w:w="924" w:type="pct"/>
            <w:tcMar>
              <w:top w:w="75" w:type="dxa"/>
              <w:left w:w="80" w:type="dxa"/>
              <w:bottom w:w="75" w:type="dxa"/>
              <w:right w:w="80" w:type="dxa"/>
            </w:tcMar>
            <w:vAlign w:val="center"/>
          </w:tcPr>
          <w:p w14:paraId="34C7E46F" w14:textId="77777777" w:rsidR="00E25F3E" w:rsidRDefault="00000000" w:rsidP="00827B42">
            <w:pPr>
              <w:spacing w:after="0" w:line="240" w:lineRule="auto"/>
              <w:jc w:val="both"/>
            </w:pPr>
            <w:r>
              <w:rPr>
                <w:sz w:val="14"/>
              </w:rPr>
              <w:t>Gas-purity controls, independent product assays and radical/isotope probes</w:t>
            </w:r>
          </w:p>
        </w:tc>
        <w:tc>
          <w:tcPr>
            <w:tcW w:w="868" w:type="pct"/>
            <w:tcMar>
              <w:top w:w="75" w:type="dxa"/>
              <w:left w:w="80" w:type="dxa"/>
              <w:bottom w:w="75" w:type="dxa"/>
              <w:right w:w="80" w:type="dxa"/>
            </w:tcMar>
            <w:vAlign w:val="center"/>
          </w:tcPr>
          <w:p w14:paraId="739341B3" w14:textId="77777777" w:rsidR="00E25F3E" w:rsidRDefault="00000000" w:rsidP="00827B42">
            <w:pPr>
              <w:spacing w:after="0" w:line="240" w:lineRule="auto"/>
              <w:jc w:val="both"/>
            </w:pPr>
            <w:r>
              <w:rPr>
                <w:sz w:val="14"/>
              </w:rPr>
              <w:t>Lee, Samanta, et al., 2019; Gallo et al., 2022; Heindel et al., 2022</w:t>
            </w:r>
          </w:p>
        </w:tc>
      </w:tr>
      <w:tr w:rsidR="00E25F3E" w14:paraId="435F62EB" w14:textId="77777777" w:rsidTr="0001640A">
        <w:trPr>
          <w:cantSplit/>
          <w:jc w:val="center"/>
        </w:trPr>
        <w:tc>
          <w:tcPr>
            <w:tcW w:w="639" w:type="pct"/>
            <w:tcMar>
              <w:top w:w="75" w:type="dxa"/>
              <w:left w:w="80" w:type="dxa"/>
              <w:bottom w:w="75" w:type="dxa"/>
              <w:right w:w="80" w:type="dxa"/>
            </w:tcMar>
            <w:vAlign w:val="center"/>
          </w:tcPr>
          <w:p w14:paraId="54EDAB07" w14:textId="77777777" w:rsidR="00E25F3E" w:rsidRDefault="00000000" w:rsidP="00827B42">
            <w:pPr>
              <w:spacing w:after="0" w:line="240" w:lineRule="auto"/>
              <w:jc w:val="both"/>
            </w:pPr>
            <w:r>
              <w:rPr>
                <w:sz w:val="14"/>
              </w:rPr>
              <w:t>Interfacial acid-base chemistry</w:t>
            </w:r>
          </w:p>
        </w:tc>
        <w:tc>
          <w:tcPr>
            <w:tcW w:w="819" w:type="pct"/>
            <w:tcMar>
              <w:top w:w="75" w:type="dxa"/>
              <w:left w:w="80" w:type="dxa"/>
              <w:bottom w:w="75" w:type="dxa"/>
              <w:right w:w="80" w:type="dxa"/>
            </w:tcMar>
            <w:vAlign w:val="center"/>
          </w:tcPr>
          <w:p w14:paraId="3CC7053C" w14:textId="77777777" w:rsidR="00E25F3E" w:rsidRDefault="00000000" w:rsidP="00827B42">
            <w:pPr>
              <w:spacing w:after="0" w:line="240" w:lineRule="auto"/>
              <w:jc w:val="both"/>
            </w:pPr>
            <w:r>
              <w:rPr>
                <w:sz w:val="14"/>
              </w:rPr>
              <w:t>Acid/base-sensitive reactions depend on droplet charge and volatile gas exchange</w:t>
            </w:r>
          </w:p>
        </w:tc>
        <w:tc>
          <w:tcPr>
            <w:tcW w:w="868" w:type="pct"/>
            <w:tcMar>
              <w:top w:w="75" w:type="dxa"/>
              <w:left w:w="80" w:type="dxa"/>
              <w:bottom w:w="75" w:type="dxa"/>
              <w:right w:w="80" w:type="dxa"/>
            </w:tcMar>
            <w:vAlign w:val="center"/>
          </w:tcPr>
          <w:p w14:paraId="3A209288" w14:textId="77777777" w:rsidR="00E25F3E" w:rsidRDefault="00000000" w:rsidP="00827B42">
            <w:pPr>
              <w:spacing w:after="0" w:line="240" w:lineRule="auto"/>
              <w:jc w:val="both"/>
            </w:pPr>
            <w:r>
              <w:rPr>
                <w:sz w:val="14"/>
              </w:rPr>
              <w:t>Strongly acid-enabled CO2/amine chemistry shows interface-gas coupling</w:t>
            </w:r>
          </w:p>
        </w:tc>
        <w:tc>
          <w:tcPr>
            <w:tcW w:w="882" w:type="pct"/>
            <w:tcMar>
              <w:top w:w="75" w:type="dxa"/>
              <w:left w:w="80" w:type="dxa"/>
              <w:bottom w:w="75" w:type="dxa"/>
              <w:right w:w="80" w:type="dxa"/>
            </w:tcMar>
            <w:vAlign w:val="center"/>
          </w:tcPr>
          <w:p w14:paraId="0EA24D0B" w14:textId="77777777" w:rsidR="00E25F3E" w:rsidRDefault="00000000" w:rsidP="00827B42">
            <w:pPr>
              <w:spacing w:after="0" w:line="240" w:lineRule="auto"/>
              <w:jc w:val="both"/>
            </w:pPr>
            <w:r>
              <w:rPr>
                <w:sz w:val="14"/>
              </w:rPr>
              <w:t>Bulk concentration and volatile acid/base uptake</w:t>
            </w:r>
          </w:p>
        </w:tc>
        <w:tc>
          <w:tcPr>
            <w:tcW w:w="924" w:type="pct"/>
            <w:tcMar>
              <w:top w:w="75" w:type="dxa"/>
              <w:left w:w="80" w:type="dxa"/>
              <w:bottom w:w="75" w:type="dxa"/>
              <w:right w:w="80" w:type="dxa"/>
            </w:tcMar>
            <w:vAlign w:val="center"/>
          </w:tcPr>
          <w:p w14:paraId="0372461D" w14:textId="77777777" w:rsidR="00E25F3E" w:rsidRDefault="00000000" w:rsidP="00827B42">
            <w:pPr>
              <w:spacing w:after="0" w:line="240" w:lineRule="auto"/>
              <w:jc w:val="both"/>
            </w:pPr>
            <w:r>
              <w:rPr>
                <w:sz w:val="14"/>
              </w:rPr>
              <w:t>Buffer-capacity series with independent pH-sensitive probes and gas control</w:t>
            </w:r>
          </w:p>
        </w:tc>
        <w:tc>
          <w:tcPr>
            <w:tcW w:w="868" w:type="pct"/>
            <w:tcMar>
              <w:top w:w="75" w:type="dxa"/>
              <w:left w:w="80" w:type="dxa"/>
              <w:bottom w:w="75" w:type="dxa"/>
              <w:right w:w="80" w:type="dxa"/>
            </w:tcMar>
            <w:vAlign w:val="center"/>
          </w:tcPr>
          <w:p w14:paraId="51F872F8" w14:textId="77777777" w:rsidR="00E25F3E" w:rsidRDefault="00000000" w:rsidP="00827B42">
            <w:pPr>
              <w:spacing w:after="0" w:line="240" w:lineRule="auto"/>
              <w:jc w:val="both"/>
            </w:pPr>
            <w:r>
              <w:rPr>
                <w:sz w:val="14"/>
              </w:rPr>
              <w:t>Huang et al., 2021; Vannoy et al., 2024</w:t>
            </w:r>
          </w:p>
        </w:tc>
      </w:tr>
      <w:tr w:rsidR="00E25F3E" w14:paraId="7830A750" w14:textId="77777777" w:rsidTr="0001640A">
        <w:trPr>
          <w:cantSplit/>
          <w:jc w:val="center"/>
        </w:trPr>
        <w:tc>
          <w:tcPr>
            <w:tcW w:w="639" w:type="pct"/>
            <w:tcMar>
              <w:top w:w="75" w:type="dxa"/>
              <w:left w:w="80" w:type="dxa"/>
              <w:bottom w:w="75" w:type="dxa"/>
              <w:right w:w="80" w:type="dxa"/>
            </w:tcMar>
            <w:vAlign w:val="center"/>
          </w:tcPr>
          <w:p w14:paraId="3D62AE82" w14:textId="77777777" w:rsidR="00E25F3E" w:rsidRDefault="00000000" w:rsidP="00827B42">
            <w:pPr>
              <w:spacing w:after="0" w:line="240" w:lineRule="auto"/>
              <w:jc w:val="both"/>
            </w:pPr>
            <w:r>
              <w:rPr>
                <w:sz w:val="14"/>
              </w:rPr>
              <w:t>Confinement/orientation</w:t>
            </w:r>
          </w:p>
        </w:tc>
        <w:tc>
          <w:tcPr>
            <w:tcW w:w="819" w:type="pct"/>
            <w:tcMar>
              <w:top w:w="75" w:type="dxa"/>
              <w:left w:w="80" w:type="dxa"/>
              <w:bottom w:w="75" w:type="dxa"/>
              <w:right w:w="80" w:type="dxa"/>
            </w:tcMar>
            <w:vAlign w:val="center"/>
          </w:tcPr>
          <w:p w14:paraId="0DCD829A" w14:textId="77777777" w:rsidR="00E25F3E" w:rsidRDefault="00000000" w:rsidP="00827B42">
            <w:pPr>
              <w:spacing w:after="0" w:line="240" w:lineRule="auto"/>
              <w:jc w:val="both"/>
            </w:pPr>
            <w:r>
              <w:rPr>
                <w:sz w:val="14"/>
              </w:rPr>
              <w:t>Rate depends on restricted geometry or encounter orientation even without favourable field</w:t>
            </w:r>
          </w:p>
        </w:tc>
        <w:tc>
          <w:tcPr>
            <w:tcW w:w="868" w:type="pct"/>
            <w:tcMar>
              <w:top w:w="75" w:type="dxa"/>
              <w:left w:w="80" w:type="dxa"/>
              <w:bottom w:w="75" w:type="dxa"/>
              <w:right w:w="80" w:type="dxa"/>
            </w:tcMar>
            <w:vAlign w:val="center"/>
          </w:tcPr>
          <w:p w14:paraId="20180B77" w14:textId="77777777" w:rsidR="00E25F3E" w:rsidRDefault="00000000" w:rsidP="00827B42">
            <w:pPr>
              <w:spacing w:after="0" w:line="240" w:lineRule="auto"/>
              <w:jc w:val="both"/>
            </w:pPr>
            <w:r>
              <w:rPr>
                <w:sz w:val="14"/>
              </w:rPr>
              <w:t>Some systems fit confinement/concentration better than interface catalysis</w:t>
            </w:r>
          </w:p>
        </w:tc>
        <w:tc>
          <w:tcPr>
            <w:tcW w:w="882" w:type="pct"/>
            <w:tcMar>
              <w:top w:w="75" w:type="dxa"/>
              <w:left w:w="80" w:type="dxa"/>
              <w:bottom w:w="75" w:type="dxa"/>
              <w:right w:w="80" w:type="dxa"/>
            </w:tcMar>
            <w:vAlign w:val="center"/>
          </w:tcPr>
          <w:p w14:paraId="557C8C93" w14:textId="77777777" w:rsidR="00E25F3E" w:rsidRDefault="00000000" w:rsidP="00827B42">
            <w:pPr>
              <w:spacing w:after="0" w:line="240" w:lineRule="auto"/>
              <w:jc w:val="both"/>
            </w:pPr>
            <w:r>
              <w:rPr>
                <w:sz w:val="14"/>
              </w:rPr>
              <w:t>Surface effects may still coexist</w:t>
            </w:r>
          </w:p>
        </w:tc>
        <w:tc>
          <w:tcPr>
            <w:tcW w:w="924" w:type="pct"/>
            <w:tcMar>
              <w:top w:w="75" w:type="dxa"/>
              <w:left w:w="80" w:type="dxa"/>
              <w:bottom w:w="75" w:type="dxa"/>
              <w:right w:w="80" w:type="dxa"/>
            </w:tcMar>
            <w:vAlign w:val="center"/>
          </w:tcPr>
          <w:p w14:paraId="2629D405" w14:textId="77777777" w:rsidR="00E25F3E" w:rsidRDefault="00000000" w:rsidP="00827B42">
            <w:pPr>
              <w:spacing w:after="0" w:line="240" w:lineRule="auto"/>
              <w:jc w:val="both"/>
            </w:pPr>
            <w:r>
              <w:rPr>
                <w:sz w:val="14"/>
              </w:rPr>
              <w:t>Reaction series with known transition-state polarity and surface affinity</w:t>
            </w:r>
          </w:p>
        </w:tc>
        <w:tc>
          <w:tcPr>
            <w:tcW w:w="868" w:type="pct"/>
            <w:tcMar>
              <w:top w:w="75" w:type="dxa"/>
              <w:left w:w="80" w:type="dxa"/>
              <w:bottom w:w="75" w:type="dxa"/>
              <w:right w:w="80" w:type="dxa"/>
            </w:tcMar>
            <w:vAlign w:val="center"/>
          </w:tcPr>
          <w:p w14:paraId="2DB79DE2" w14:textId="77777777" w:rsidR="00E25F3E" w:rsidRDefault="00000000" w:rsidP="00827B42">
            <w:pPr>
              <w:spacing w:after="0" w:line="240" w:lineRule="auto"/>
              <w:jc w:val="both"/>
            </w:pPr>
            <w:r>
              <w:rPr>
                <w:sz w:val="14"/>
              </w:rPr>
              <w:t>Banerjee et al., 2017; Gong et al., 2024</w:t>
            </w:r>
          </w:p>
        </w:tc>
      </w:tr>
    </w:tbl>
    <w:p w14:paraId="7D8F9B73" w14:textId="77777777" w:rsidR="00E25F3E" w:rsidRDefault="00000000" w:rsidP="00827B42">
      <w:pPr>
        <w:pStyle w:val="TableNoteCustom"/>
        <w:jc w:val="both"/>
      </w:pPr>
      <w:r>
        <w:t>Note. Mechanisms are not mutually exclusive; the table identifies discriminants rather than assigning a universal hierarchy.</w:t>
      </w:r>
    </w:p>
    <w:p w14:paraId="094B807E" w14:textId="77777777" w:rsidR="00E25F3E" w:rsidRDefault="00000000" w:rsidP="00827B42">
      <w:pPr>
        <w:pStyle w:val="Heading1"/>
        <w:jc w:val="both"/>
      </w:pPr>
      <w:r>
        <w:t>5. Experimental Microreactors: What Each Platform Actually Controls</w:t>
      </w:r>
    </w:p>
    <w:p w14:paraId="308D230A" w14:textId="77777777" w:rsidR="00E25F3E" w:rsidRDefault="00000000" w:rsidP="00827B42">
      <w:pPr>
        <w:pStyle w:val="BodyTextCustom"/>
      </w:pPr>
      <w:r>
        <w:t xml:space="preserve">A central source of confusion in the literature is the assumption that different microdroplet generators are interchangeable. They are not. Each platform fixes some variables and entangles others, so its mechanistic value depends on the question asked. Electrospray provides fine droplets, strong charge and direct mass-spectrometric coupling, but the same features make it difficult to separate solution reaction from ionisation. Ultrasonic and pneumatic nebulisation can reduce dependence on high voltage and support scale-up, but they introduce broad droplet-size and residence-time distributions. Levitated droplets offer unusually long observation windows and </w:t>
      </w:r>
      <w:r>
        <w:lastRenderedPageBreak/>
        <w:t>physical isolation, yet have very different evaporation and charge histories from a spray plume. The strongest conclusions emerge when a mechanism is supported across platforms with complementary confounding structures.</w:t>
      </w:r>
    </w:p>
    <w:p w14:paraId="3185F221" w14:textId="77777777" w:rsidR="00E25F3E" w:rsidRDefault="00000000" w:rsidP="00827B42">
      <w:pPr>
        <w:pStyle w:val="BodyTextCustom"/>
      </w:pPr>
      <w:r>
        <w:t>ESI, easy ambient sonic-spray ionisation and DESI remain powerful because they provide precise temporal access to fast chemistry. Emitter-to-inlet distance can be varied, reagent streams can be combined immediately before or during spraying, and product spectra are acquired without conventional work-up. Bain et al. (2015) exploited such timing to follow Hantzsch synthesis and intermediates, while hydrazone and Fischer indole studies used related arrangements to compare droplet, solution and gas-phase behaviour (Bain, Pulliam, Ayrton, et al., 2016; Bain et al., 2017). The limitation is that 'reaction time' may be estimated from flight distance and gas velocity rather than measured directly, and changing distance alters not just time but evaporation and droplet size.</w:t>
      </w:r>
    </w:p>
    <w:p w14:paraId="7AA69801" w14:textId="77777777" w:rsidR="00E25F3E" w:rsidRDefault="00000000" w:rsidP="00827B42">
      <w:pPr>
        <w:pStyle w:val="BodyTextCustom"/>
      </w:pPr>
      <w:r>
        <w:t>DESI adds a surface-contact step that is analytically useful for high-throughput screening. Wleklinski et al. (2018) demonstrated reaction screening by depositing mixtures in arrays and using DESI to initiate or sample chemistry rapidly. Fedick et al. (2019) then used DESI to screen Suzuki coupling conditions at very high throughput and compared with Leidenfrost-droplet experiments. The method's speed is compelling for discovery, but signal intensity is not equivalent to isolated yield. Matrix effects, catalyst ionisation, salt suppression and product response factors can distort rank ordering. For high-throughput chemistry, the reactor and detector must therefore be calibrated as separate systems even when they are physically coupled.</w:t>
      </w:r>
    </w:p>
    <w:p w14:paraId="64224B28" w14:textId="77777777" w:rsidR="00E25F3E" w:rsidRDefault="00000000" w:rsidP="00827B42">
      <w:pPr>
        <w:pStyle w:val="BodyTextCustom"/>
      </w:pPr>
      <w:r>
        <w:t>Droplet fusion and multi-stream emitters address a different problem: how to define reaction start time. When two reagent streams meet only at or immediately after droplet formation, premixing time in tubing is minimised. Such architectures can capture very fast intermediates and reduce ambiguity about when reagents first contact. Their weakness is incomplete knowledge of mixing within the fused droplet, particularly if viscosity, surface activity or charge differs between streams. A nominal millisecond reaction time is meaningful only if diffusive and convective mixing is faster than the chemistry under study.</w:t>
      </w:r>
    </w:p>
    <w:p w14:paraId="12AA33D9" w14:textId="77777777" w:rsidR="00E25F3E" w:rsidRDefault="00000000" w:rsidP="00827B42">
      <w:pPr>
        <w:pStyle w:val="BodyTextCustom"/>
      </w:pPr>
      <w:r>
        <w:t>Levitated droplets offer a valuable orthogonal architecture because product formation can be observed in an intact droplet rather than inferred only from a spray plume. Qiu et al. (2024) dosed a levitated droplet with reagent vapour from a partner droplet and measured a whole-droplet second-order rate constant of approximately 18 L mol-1 s-1 compared with 0.58 L mol-1 s-1 in bulk solution, an acceleration of about 31-fold under the reported conditions. A much larger surface-region acceleration, exceeding 10^5 in rate-factor terms, was inferred from a model of where the reaction was localised. The distinction is exemplary: the whole-droplet value is experimentally constrained, whereas the local surface value depends on a geometric and transport model. Levitated systems can become benchmark platforms precisely because they allow these layers of inference to be separated.</w:t>
      </w:r>
    </w:p>
    <w:p w14:paraId="2693B80B" w14:textId="77777777" w:rsidR="00E25F3E" w:rsidRDefault="00000000" w:rsidP="00827B42">
      <w:pPr>
        <w:pStyle w:val="BodyTextCustom"/>
      </w:pPr>
      <w:r>
        <w:t>Electrically unactivated droplets broaden the mechanistic landscape further. Chen et al. (2025) reported reactions in droplets generated without the conventional high-voltage activation associated with electrospray and argued that rapid chemistry can occur in neutral or weakly activated droplets. Such observations weaken any assertion that externally imposed charge is a necessary condition for all microdroplet acceleration. They do not show that charge is irrelevant in ESI systems, because droplet formation, surface potential and spontaneous charge separation can still differ from bulk solution. The appropriate interpretation is conditional: the field effect, excess charge and interfacial solvation should be treated as separable variables whenever experimental design permits.</w:t>
      </w:r>
    </w:p>
    <w:p w14:paraId="0C0837EB" w14:textId="77777777" w:rsidR="00E25F3E" w:rsidRDefault="00000000" w:rsidP="00827B42">
      <w:pPr>
        <w:pStyle w:val="BodyTextCustom"/>
      </w:pPr>
      <w:r>
        <w:t>Table 3 maps what each platform controls and what it confounds. The comparison makes clear that no architecture is a universal gold standard. ESI-based devices are excellent for temporal resolution and molecular detection; levitated droplets improve physical observability; nebulisers increase throughput; Leidenfrost systems remove the mass-spectrometer inlet but add strong thermal gradients; and recirculating spray-film systems are more reactor-like but complicate attribution of where the acceleration occurs. Mechanistic confidence grows when the same qualitative prediction survives across architectures rather than when one platform produces the largest apparent acceleration factor.</w:t>
      </w:r>
    </w:p>
    <w:p w14:paraId="3255F582" w14:textId="77777777" w:rsidR="00E25F3E" w:rsidRDefault="00000000" w:rsidP="00827B42">
      <w:pPr>
        <w:pStyle w:val="TableCaptionCustom"/>
        <w:jc w:val="both"/>
      </w:pPr>
      <w:r>
        <w:t>Table 3. Experimental platforms for probing or exploiting microdroplet reactivity</w:t>
      </w:r>
    </w:p>
    <w:tbl>
      <w:tblPr>
        <w:tblStyle w:val="TableGrid"/>
        <w:tblW w:w="5000" w:type="pct"/>
        <w:jc w:val="center"/>
        <w:tblLook w:val="04A0" w:firstRow="1" w:lastRow="0" w:firstColumn="1" w:lastColumn="0" w:noHBand="0" w:noVBand="1"/>
      </w:tblPr>
      <w:tblGrid>
        <w:gridCol w:w="1655"/>
        <w:gridCol w:w="1623"/>
        <w:gridCol w:w="1726"/>
        <w:gridCol w:w="1755"/>
        <w:gridCol w:w="1841"/>
        <w:gridCol w:w="1726"/>
      </w:tblGrid>
      <w:tr w:rsidR="00E25F3E" w14:paraId="72362C48" w14:textId="77777777" w:rsidTr="0001640A">
        <w:trPr>
          <w:cantSplit/>
          <w:tblHeader/>
          <w:jc w:val="center"/>
        </w:trPr>
        <w:tc>
          <w:tcPr>
            <w:tcW w:w="639" w:type="pct"/>
            <w:shd w:val="clear" w:color="auto" w:fill="D9E2F3"/>
            <w:tcMar>
              <w:top w:w="80" w:type="dxa"/>
              <w:left w:w="80" w:type="dxa"/>
              <w:bottom w:w="80" w:type="dxa"/>
              <w:right w:w="80" w:type="dxa"/>
            </w:tcMar>
            <w:vAlign w:val="center"/>
          </w:tcPr>
          <w:p w14:paraId="26B84C7A" w14:textId="77777777" w:rsidR="00E25F3E" w:rsidRDefault="00000000" w:rsidP="00827B42">
            <w:pPr>
              <w:spacing w:after="0" w:line="240" w:lineRule="auto"/>
              <w:jc w:val="both"/>
            </w:pPr>
            <w:r>
              <w:rPr>
                <w:b/>
                <w:sz w:val="15"/>
              </w:rPr>
              <w:t>Platform</w:t>
            </w:r>
          </w:p>
        </w:tc>
        <w:tc>
          <w:tcPr>
            <w:tcW w:w="819" w:type="pct"/>
            <w:shd w:val="clear" w:color="auto" w:fill="D9E2F3"/>
            <w:tcMar>
              <w:top w:w="80" w:type="dxa"/>
              <w:left w:w="80" w:type="dxa"/>
              <w:bottom w:w="80" w:type="dxa"/>
              <w:right w:w="80" w:type="dxa"/>
            </w:tcMar>
            <w:vAlign w:val="center"/>
          </w:tcPr>
          <w:p w14:paraId="075AAC68" w14:textId="77777777" w:rsidR="00E25F3E" w:rsidRDefault="00000000" w:rsidP="00827B42">
            <w:pPr>
              <w:spacing w:after="0" w:line="240" w:lineRule="auto"/>
              <w:jc w:val="both"/>
            </w:pPr>
            <w:r>
              <w:rPr>
                <w:b/>
                <w:sz w:val="15"/>
              </w:rPr>
              <w:t>What is controllable</w:t>
            </w:r>
          </w:p>
        </w:tc>
        <w:tc>
          <w:tcPr>
            <w:tcW w:w="868" w:type="pct"/>
            <w:shd w:val="clear" w:color="auto" w:fill="D9E2F3"/>
            <w:tcMar>
              <w:top w:w="80" w:type="dxa"/>
              <w:left w:w="80" w:type="dxa"/>
              <w:bottom w:w="80" w:type="dxa"/>
              <w:right w:w="80" w:type="dxa"/>
            </w:tcMar>
            <w:vAlign w:val="center"/>
          </w:tcPr>
          <w:p w14:paraId="3C94BB38" w14:textId="77777777" w:rsidR="00E25F3E" w:rsidRDefault="00000000" w:rsidP="00827B42">
            <w:pPr>
              <w:spacing w:after="0" w:line="240" w:lineRule="auto"/>
              <w:jc w:val="both"/>
            </w:pPr>
            <w:r>
              <w:rPr>
                <w:b/>
                <w:sz w:val="15"/>
              </w:rPr>
              <w:t>Key strength</w:t>
            </w:r>
          </w:p>
        </w:tc>
        <w:tc>
          <w:tcPr>
            <w:tcW w:w="882" w:type="pct"/>
            <w:shd w:val="clear" w:color="auto" w:fill="D9E2F3"/>
            <w:tcMar>
              <w:top w:w="80" w:type="dxa"/>
              <w:left w:w="80" w:type="dxa"/>
              <w:bottom w:w="80" w:type="dxa"/>
              <w:right w:w="80" w:type="dxa"/>
            </w:tcMar>
            <w:vAlign w:val="center"/>
          </w:tcPr>
          <w:p w14:paraId="30DF17FB" w14:textId="77777777" w:rsidR="00E25F3E" w:rsidRDefault="00000000" w:rsidP="00827B42">
            <w:pPr>
              <w:spacing w:after="0" w:line="240" w:lineRule="auto"/>
              <w:jc w:val="both"/>
            </w:pPr>
            <w:r>
              <w:rPr>
                <w:b/>
                <w:sz w:val="15"/>
              </w:rPr>
              <w:t>Principal confounder</w:t>
            </w:r>
          </w:p>
        </w:tc>
        <w:tc>
          <w:tcPr>
            <w:tcW w:w="924" w:type="pct"/>
            <w:shd w:val="clear" w:color="auto" w:fill="D9E2F3"/>
            <w:tcMar>
              <w:top w:w="80" w:type="dxa"/>
              <w:left w:w="80" w:type="dxa"/>
              <w:bottom w:w="80" w:type="dxa"/>
              <w:right w:w="80" w:type="dxa"/>
            </w:tcMar>
            <w:vAlign w:val="center"/>
          </w:tcPr>
          <w:p w14:paraId="79A7BA58" w14:textId="77777777" w:rsidR="00E25F3E" w:rsidRDefault="00000000" w:rsidP="00827B42">
            <w:pPr>
              <w:spacing w:after="0" w:line="240" w:lineRule="auto"/>
              <w:jc w:val="both"/>
            </w:pPr>
            <w:r>
              <w:rPr>
                <w:b/>
                <w:sz w:val="15"/>
              </w:rPr>
              <w:t>Most defensible use</w:t>
            </w:r>
          </w:p>
        </w:tc>
        <w:tc>
          <w:tcPr>
            <w:tcW w:w="868" w:type="pct"/>
            <w:shd w:val="clear" w:color="auto" w:fill="D9E2F3"/>
            <w:tcMar>
              <w:top w:w="80" w:type="dxa"/>
              <w:left w:w="80" w:type="dxa"/>
              <w:bottom w:w="80" w:type="dxa"/>
              <w:right w:w="80" w:type="dxa"/>
            </w:tcMar>
            <w:vAlign w:val="center"/>
          </w:tcPr>
          <w:p w14:paraId="32A4AAB8" w14:textId="77777777" w:rsidR="00E25F3E" w:rsidRDefault="00000000" w:rsidP="00827B42">
            <w:pPr>
              <w:spacing w:after="0" w:line="240" w:lineRule="auto"/>
              <w:jc w:val="both"/>
            </w:pPr>
            <w:r>
              <w:rPr>
                <w:b/>
                <w:sz w:val="15"/>
              </w:rPr>
              <w:t>Supporting references</w:t>
            </w:r>
          </w:p>
        </w:tc>
      </w:tr>
      <w:tr w:rsidR="00E25F3E" w14:paraId="04B98B72" w14:textId="77777777" w:rsidTr="0001640A">
        <w:trPr>
          <w:cantSplit/>
          <w:jc w:val="center"/>
        </w:trPr>
        <w:tc>
          <w:tcPr>
            <w:tcW w:w="639" w:type="pct"/>
            <w:tcMar>
              <w:top w:w="75" w:type="dxa"/>
              <w:left w:w="80" w:type="dxa"/>
              <w:bottom w:w="75" w:type="dxa"/>
              <w:right w:w="80" w:type="dxa"/>
            </w:tcMar>
            <w:vAlign w:val="center"/>
          </w:tcPr>
          <w:p w14:paraId="234DC563" w14:textId="77777777" w:rsidR="00E25F3E" w:rsidRDefault="00000000" w:rsidP="00827B42">
            <w:pPr>
              <w:spacing w:after="0" w:line="240" w:lineRule="auto"/>
              <w:jc w:val="both"/>
            </w:pPr>
            <w:r>
              <w:rPr>
                <w:sz w:val="14"/>
              </w:rPr>
              <w:lastRenderedPageBreak/>
              <w:t>ESI/ESSI spray</w:t>
            </w:r>
          </w:p>
        </w:tc>
        <w:tc>
          <w:tcPr>
            <w:tcW w:w="819" w:type="pct"/>
            <w:tcMar>
              <w:top w:w="75" w:type="dxa"/>
              <w:left w:w="80" w:type="dxa"/>
              <w:bottom w:w="75" w:type="dxa"/>
              <w:right w:w="80" w:type="dxa"/>
            </w:tcMar>
            <w:vAlign w:val="center"/>
          </w:tcPr>
          <w:p w14:paraId="799A2AEC" w14:textId="77777777" w:rsidR="00E25F3E" w:rsidRDefault="00000000" w:rsidP="00827B42">
            <w:pPr>
              <w:spacing w:after="0" w:line="240" w:lineRule="auto"/>
              <w:jc w:val="both"/>
            </w:pPr>
            <w:r>
              <w:rPr>
                <w:sz w:val="14"/>
              </w:rPr>
              <w:t>Voltage, flow, solvent, distance, gas conditions</w:t>
            </w:r>
          </w:p>
        </w:tc>
        <w:tc>
          <w:tcPr>
            <w:tcW w:w="868" w:type="pct"/>
            <w:tcMar>
              <w:top w:w="75" w:type="dxa"/>
              <w:left w:w="80" w:type="dxa"/>
              <w:bottom w:w="75" w:type="dxa"/>
              <w:right w:w="80" w:type="dxa"/>
            </w:tcMar>
            <w:vAlign w:val="center"/>
          </w:tcPr>
          <w:p w14:paraId="2A6D9646" w14:textId="77777777" w:rsidR="00E25F3E" w:rsidRDefault="00000000" w:rsidP="00827B42">
            <w:pPr>
              <w:spacing w:after="0" w:line="240" w:lineRule="auto"/>
              <w:jc w:val="both"/>
            </w:pPr>
            <w:r>
              <w:rPr>
                <w:sz w:val="14"/>
              </w:rPr>
              <w:t>Excellent time resolution and direct molecular detection</w:t>
            </w:r>
          </w:p>
        </w:tc>
        <w:tc>
          <w:tcPr>
            <w:tcW w:w="882" w:type="pct"/>
            <w:tcMar>
              <w:top w:w="75" w:type="dxa"/>
              <w:left w:w="80" w:type="dxa"/>
              <w:bottom w:w="75" w:type="dxa"/>
              <w:right w:w="80" w:type="dxa"/>
            </w:tcMar>
            <w:vAlign w:val="center"/>
          </w:tcPr>
          <w:p w14:paraId="492ABCB1" w14:textId="77777777" w:rsidR="00E25F3E" w:rsidRDefault="00000000" w:rsidP="00827B42">
            <w:pPr>
              <w:spacing w:after="0" w:line="240" w:lineRule="auto"/>
              <w:jc w:val="both"/>
            </w:pPr>
            <w:r>
              <w:rPr>
                <w:sz w:val="14"/>
              </w:rPr>
              <w:t>Ionisation, evaporation and chemistry are coupled</w:t>
            </w:r>
          </w:p>
        </w:tc>
        <w:tc>
          <w:tcPr>
            <w:tcW w:w="924" w:type="pct"/>
            <w:tcMar>
              <w:top w:w="75" w:type="dxa"/>
              <w:left w:w="80" w:type="dxa"/>
              <w:bottom w:w="75" w:type="dxa"/>
              <w:right w:w="80" w:type="dxa"/>
            </w:tcMar>
            <w:vAlign w:val="center"/>
          </w:tcPr>
          <w:p w14:paraId="0795B429" w14:textId="77777777" w:rsidR="00E25F3E" w:rsidRDefault="00000000" w:rsidP="00827B42">
            <w:pPr>
              <w:spacing w:after="0" w:line="240" w:lineRule="auto"/>
              <w:jc w:val="both"/>
            </w:pPr>
            <w:r>
              <w:rPr>
                <w:sz w:val="14"/>
              </w:rPr>
              <w:t>Rapid discovery and reaction-time perturbation with appropriate calibration</w:t>
            </w:r>
          </w:p>
        </w:tc>
        <w:tc>
          <w:tcPr>
            <w:tcW w:w="868" w:type="pct"/>
            <w:tcMar>
              <w:top w:w="75" w:type="dxa"/>
              <w:left w:w="80" w:type="dxa"/>
              <w:bottom w:w="75" w:type="dxa"/>
              <w:right w:w="80" w:type="dxa"/>
            </w:tcMar>
            <w:vAlign w:val="center"/>
          </w:tcPr>
          <w:p w14:paraId="152D44EA" w14:textId="77777777" w:rsidR="00E25F3E" w:rsidRDefault="00000000" w:rsidP="00827B42">
            <w:pPr>
              <w:spacing w:after="0" w:line="240" w:lineRule="auto"/>
              <w:jc w:val="both"/>
            </w:pPr>
            <w:r>
              <w:rPr>
                <w:sz w:val="14"/>
              </w:rPr>
              <w:t>Bain et al., 2015; Yan et al., 2016</w:t>
            </w:r>
          </w:p>
        </w:tc>
      </w:tr>
      <w:tr w:rsidR="00E25F3E" w14:paraId="41D33920" w14:textId="77777777" w:rsidTr="0001640A">
        <w:trPr>
          <w:cantSplit/>
          <w:jc w:val="center"/>
        </w:trPr>
        <w:tc>
          <w:tcPr>
            <w:tcW w:w="639" w:type="pct"/>
            <w:tcMar>
              <w:top w:w="75" w:type="dxa"/>
              <w:left w:w="80" w:type="dxa"/>
              <w:bottom w:w="75" w:type="dxa"/>
              <w:right w:w="80" w:type="dxa"/>
            </w:tcMar>
            <w:vAlign w:val="center"/>
          </w:tcPr>
          <w:p w14:paraId="5D273DFF" w14:textId="77777777" w:rsidR="00E25F3E" w:rsidRDefault="00000000" w:rsidP="00827B42">
            <w:pPr>
              <w:spacing w:after="0" w:line="240" w:lineRule="auto"/>
              <w:jc w:val="both"/>
            </w:pPr>
            <w:r>
              <w:rPr>
                <w:sz w:val="14"/>
              </w:rPr>
              <w:t>DESI array/surface sampling</w:t>
            </w:r>
          </w:p>
        </w:tc>
        <w:tc>
          <w:tcPr>
            <w:tcW w:w="819" w:type="pct"/>
            <w:tcMar>
              <w:top w:w="75" w:type="dxa"/>
              <w:left w:w="80" w:type="dxa"/>
              <w:bottom w:w="75" w:type="dxa"/>
              <w:right w:w="80" w:type="dxa"/>
            </w:tcMar>
            <w:vAlign w:val="center"/>
          </w:tcPr>
          <w:p w14:paraId="45825892" w14:textId="77777777" w:rsidR="00E25F3E" w:rsidRDefault="00000000" w:rsidP="00827B42">
            <w:pPr>
              <w:spacing w:after="0" w:line="240" w:lineRule="auto"/>
              <w:jc w:val="both"/>
            </w:pPr>
            <w:r>
              <w:rPr>
                <w:sz w:val="14"/>
              </w:rPr>
              <w:t>Array composition, spray geometry, dwell time</w:t>
            </w:r>
          </w:p>
        </w:tc>
        <w:tc>
          <w:tcPr>
            <w:tcW w:w="868" w:type="pct"/>
            <w:tcMar>
              <w:top w:w="75" w:type="dxa"/>
              <w:left w:w="80" w:type="dxa"/>
              <w:bottom w:w="75" w:type="dxa"/>
              <w:right w:w="80" w:type="dxa"/>
            </w:tcMar>
            <w:vAlign w:val="center"/>
          </w:tcPr>
          <w:p w14:paraId="348CB953" w14:textId="77777777" w:rsidR="00E25F3E" w:rsidRDefault="00000000" w:rsidP="00827B42">
            <w:pPr>
              <w:spacing w:after="0" w:line="240" w:lineRule="auto"/>
              <w:jc w:val="both"/>
            </w:pPr>
            <w:r>
              <w:rPr>
                <w:sz w:val="14"/>
              </w:rPr>
              <w:t>High-throughput reaction screening</w:t>
            </w:r>
          </w:p>
        </w:tc>
        <w:tc>
          <w:tcPr>
            <w:tcW w:w="882" w:type="pct"/>
            <w:tcMar>
              <w:top w:w="75" w:type="dxa"/>
              <w:left w:w="80" w:type="dxa"/>
              <w:bottom w:w="75" w:type="dxa"/>
              <w:right w:w="80" w:type="dxa"/>
            </w:tcMar>
            <w:vAlign w:val="center"/>
          </w:tcPr>
          <w:p w14:paraId="15AE684A" w14:textId="77777777" w:rsidR="00E25F3E" w:rsidRDefault="00000000" w:rsidP="00827B42">
            <w:pPr>
              <w:spacing w:after="0" w:line="240" w:lineRule="auto"/>
              <w:jc w:val="both"/>
            </w:pPr>
            <w:r>
              <w:rPr>
                <w:sz w:val="14"/>
              </w:rPr>
              <w:t>Surface extraction and ionisation response vary by matrix</w:t>
            </w:r>
          </w:p>
        </w:tc>
        <w:tc>
          <w:tcPr>
            <w:tcW w:w="924" w:type="pct"/>
            <w:tcMar>
              <w:top w:w="75" w:type="dxa"/>
              <w:left w:w="80" w:type="dxa"/>
              <w:bottom w:w="75" w:type="dxa"/>
              <w:right w:w="80" w:type="dxa"/>
            </w:tcMar>
            <w:vAlign w:val="center"/>
          </w:tcPr>
          <w:p w14:paraId="5EE3AF21" w14:textId="77777777" w:rsidR="00E25F3E" w:rsidRDefault="00000000" w:rsidP="00827B42">
            <w:pPr>
              <w:spacing w:after="0" w:line="240" w:lineRule="auto"/>
              <w:jc w:val="both"/>
            </w:pPr>
            <w:r>
              <w:rPr>
                <w:sz w:val="14"/>
              </w:rPr>
              <w:t>Comparative screening followed by orthogonal validation</w:t>
            </w:r>
          </w:p>
        </w:tc>
        <w:tc>
          <w:tcPr>
            <w:tcW w:w="868" w:type="pct"/>
            <w:tcMar>
              <w:top w:w="75" w:type="dxa"/>
              <w:left w:w="80" w:type="dxa"/>
              <w:bottom w:w="75" w:type="dxa"/>
              <w:right w:w="80" w:type="dxa"/>
            </w:tcMar>
            <w:vAlign w:val="center"/>
          </w:tcPr>
          <w:p w14:paraId="5FC2736E" w14:textId="77777777" w:rsidR="00E25F3E" w:rsidRDefault="00000000" w:rsidP="00827B42">
            <w:pPr>
              <w:spacing w:after="0" w:line="240" w:lineRule="auto"/>
              <w:jc w:val="both"/>
            </w:pPr>
            <w:r>
              <w:rPr>
                <w:sz w:val="14"/>
              </w:rPr>
              <w:t>Wleklinski et al., 2018; Fedick et al., 2019</w:t>
            </w:r>
          </w:p>
        </w:tc>
      </w:tr>
      <w:tr w:rsidR="00E25F3E" w14:paraId="76CA2227" w14:textId="77777777" w:rsidTr="0001640A">
        <w:trPr>
          <w:cantSplit/>
          <w:jc w:val="center"/>
        </w:trPr>
        <w:tc>
          <w:tcPr>
            <w:tcW w:w="639" w:type="pct"/>
            <w:tcMar>
              <w:top w:w="75" w:type="dxa"/>
              <w:left w:w="80" w:type="dxa"/>
              <w:bottom w:w="75" w:type="dxa"/>
              <w:right w:w="80" w:type="dxa"/>
            </w:tcMar>
            <w:vAlign w:val="center"/>
          </w:tcPr>
          <w:p w14:paraId="5F434542" w14:textId="77777777" w:rsidR="00E25F3E" w:rsidRDefault="00000000" w:rsidP="00827B42">
            <w:pPr>
              <w:spacing w:after="0" w:line="240" w:lineRule="auto"/>
              <w:jc w:val="both"/>
            </w:pPr>
            <w:r>
              <w:rPr>
                <w:sz w:val="14"/>
              </w:rPr>
              <w:t>Leidenfrost droplets</w:t>
            </w:r>
          </w:p>
        </w:tc>
        <w:tc>
          <w:tcPr>
            <w:tcW w:w="819" w:type="pct"/>
            <w:tcMar>
              <w:top w:w="75" w:type="dxa"/>
              <w:left w:w="80" w:type="dxa"/>
              <w:bottom w:w="75" w:type="dxa"/>
              <w:right w:w="80" w:type="dxa"/>
            </w:tcMar>
            <w:vAlign w:val="center"/>
          </w:tcPr>
          <w:p w14:paraId="32C4DD81" w14:textId="77777777" w:rsidR="00E25F3E" w:rsidRDefault="00000000" w:rsidP="00827B42">
            <w:pPr>
              <w:spacing w:after="0" w:line="240" w:lineRule="auto"/>
              <w:jc w:val="both"/>
            </w:pPr>
            <w:r>
              <w:rPr>
                <w:sz w:val="14"/>
              </w:rPr>
              <w:t>Droplet composition and heated-surface temperature</w:t>
            </w:r>
          </w:p>
        </w:tc>
        <w:tc>
          <w:tcPr>
            <w:tcW w:w="868" w:type="pct"/>
            <w:tcMar>
              <w:top w:w="75" w:type="dxa"/>
              <w:left w:w="80" w:type="dxa"/>
              <w:bottom w:w="75" w:type="dxa"/>
              <w:right w:w="80" w:type="dxa"/>
            </w:tcMar>
            <w:vAlign w:val="center"/>
          </w:tcPr>
          <w:p w14:paraId="45726040" w14:textId="77777777" w:rsidR="00E25F3E" w:rsidRDefault="00000000" w:rsidP="00827B42">
            <w:pPr>
              <w:spacing w:after="0" w:line="240" w:lineRule="auto"/>
              <w:jc w:val="both"/>
            </w:pPr>
            <w:r>
              <w:rPr>
                <w:sz w:val="14"/>
              </w:rPr>
              <w:t>Removes mass-spectrometer inlet from the reactor</w:t>
            </w:r>
          </w:p>
        </w:tc>
        <w:tc>
          <w:tcPr>
            <w:tcW w:w="882" w:type="pct"/>
            <w:tcMar>
              <w:top w:w="75" w:type="dxa"/>
              <w:left w:w="80" w:type="dxa"/>
              <w:bottom w:w="75" w:type="dxa"/>
              <w:right w:w="80" w:type="dxa"/>
            </w:tcMar>
            <w:vAlign w:val="center"/>
          </w:tcPr>
          <w:p w14:paraId="4FE34E8A" w14:textId="77777777" w:rsidR="00E25F3E" w:rsidRDefault="00000000" w:rsidP="00827B42">
            <w:pPr>
              <w:spacing w:after="0" w:line="240" w:lineRule="auto"/>
              <w:jc w:val="both"/>
            </w:pPr>
            <w:r>
              <w:rPr>
                <w:sz w:val="14"/>
              </w:rPr>
              <w:t>Strong thermal gradients and evaporation</w:t>
            </w:r>
          </w:p>
        </w:tc>
        <w:tc>
          <w:tcPr>
            <w:tcW w:w="924" w:type="pct"/>
            <w:tcMar>
              <w:top w:w="75" w:type="dxa"/>
              <w:left w:w="80" w:type="dxa"/>
              <w:bottom w:w="75" w:type="dxa"/>
              <w:right w:w="80" w:type="dxa"/>
            </w:tcMar>
            <w:vAlign w:val="center"/>
          </w:tcPr>
          <w:p w14:paraId="5E48F56C" w14:textId="77777777" w:rsidR="00E25F3E" w:rsidRDefault="00000000" w:rsidP="00827B42">
            <w:pPr>
              <w:spacing w:after="0" w:line="240" w:lineRule="auto"/>
              <w:jc w:val="both"/>
            </w:pPr>
            <w:r>
              <w:rPr>
                <w:sz w:val="14"/>
              </w:rPr>
              <w:t>Demonstrating rapid chemistry outside conventional ESI</w:t>
            </w:r>
          </w:p>
        </w:tc>
        <w:tc>
          <w:tcPr>
            <w:tcW w:w="868" w:type="pct"/>
            <w:tcMar>
              <w:top w:w="75" w:type="dxa"/>
              <w:left w:w="80" w:type="dxa"/>
              <w:bottom w:w="75" w:type="dxa"/>
              <w:right w:w="80" w:type="dxa"/>
            </w:tcMar>
            <w:vAlign w:val="center"/>
          </w:tcPr>
          <w:p w14:paraId="2FFC22A7" w14:textId="77777777" w:rsidR="00E25F3E" w:rsidRDefault="00000000" w:rsidP="00827B42">
            <w:pPr>
              <w:spacing w:after="0" w:line="240" w:lineRule="auto"/>
              <w:jc w:val="both"/>
            </w:pPr>
            <w:r>
              <w:rPr>
                <w:sz w:val="14"/>
              </w:rPr>
              <w:t>Bain, Pulliam, Thery, &amp; Cooks, 2016</w:t>
            </w:r>
          </w:p>
        </w:tc>
      </w:tr>
      <w:tr w:rsidR="00E25F3E" w14:paraId="1114D2F9" w14:textId="77777777" w:rsidTr="0001640A">
        <w:trPr>
          <w:cantSplit/>
          <w:jc w:val="center"/>
        </w:trPr>
        <w:tc>
          <w:tcPr>
            <w:tcW w:w="639" w:type="pct"/>
            <w:tcMar>
              <w:top w:w="75" w:type="dxa"/>
              <w:left w:w="80" w:type="dxa"/>
              <w:bottom w:w="75" w:type="dxa"/>
              <w:right w:w="80" w:type="dxa"/>
            </w:tcMar>
            <w:vAlign w:val="center"/>
          </w:tcPr>
          <w:p w14:paraId="438D28EE" w14:textId="77777777" w:rsidR="00E25F3E" w:rsidRDefault="00000000" w:rsidP="00827B42">
            <w:pPr>
              <w:spacing w:after="0" w:line="240" w:lineRule="auto"/>
              <w:jc w:val="both"/>
            </w:pPr>
            <w:r>
              <w:rPr>
                <w:sz w:val="14"/>
              </w:rPr>
              <w:t>Heated ultrasonic nebulisation</w:t>
            </w:r>
          </w:p>
        </w:tc>
        <w:tc>
          <w:tcPr>
            <w:tcW w:w="819" w:type="pct"/>
            <w:tcMar>
              <w:top w:w="75" w:type="dxa"/>
              <w:left w:w="80" w:type="dxa"/>
              <w:bottom w:w="75" w:type="dxa"/>
              <w:right w:w="80" w:type="dxa"/>
            </w:tcMar>
            <w:vAlign w:val="center"/>
          </w:tcPr>
          <w:p w14:paraId="1968088E" w14:textId="77777777" w:rsidR="00E25F3E" w:rsidRDefault="00000000" w:rsidP="00827B42">
            <w:pPr>
              <w:spacing w:after="0" w:line="240" w:lineRule="auto"/>
              <w:jc w:val="both"/>
            </w:pPr>
            <w:r>
              <w:rPr>
                <w:sz w:val="14"/>
              </w:rPr>
              <w:t>Liquid feed, temperature, nebulisation conditions</w:t>
            </w:r>
          </w:p>
        </w:tc>
        <w:tc>
          <w:tcPr>
            <w:tcW w:w="868" w:type="pct"/>
            <w:tcMar>
              <w:top w:w="75" w:type="dxa"/>
              <w:left w:w="80" w:type="dxa"/>
              <w:bottom w:w="75" w:type="dxa"/>
              <w:right w:w="80" w:type="dxa"/>
            </w:tcMar>
            <w:vAlign w:val="center"/>
          </w:tcPr>
          <w:p w14:paraId="471CFE1C" w14:textId="77777777" w:rsidR="00E25F3E" w:rsidRDefault="00000000" w:rsidP="00827B42">
            <w:pPr>
              <w:spacing w:after="0" w:line="240" w:lineRule="auto"/>
              <w:jc w:val="both"/>
            </w:pPr>
            <w:r>
              <w:rPr>
                <w:sz w:val="14"/>
              </w:rPr>
              <w:t>Continuous preparative output with collected product</w:t>
            </w:r>
          </w:p>
        </w:tc>
        <w:tc>
          <w:tcPr>
            <w:tcW w:w="882" w:type="pct"/>
            <w:tcMar>
              <w:top w:w="75" w:type="dxa"/>
              <w:left w:w="80" w:type="dxa"/>
              <w:bottom w:w="75" w:type="dxa"/>
              <w:right w:w="80" w:type="dxa"/>
            </w:tcMar>
            <w:vAlign w:val="center"/>
          </w:tcPr>
          <w:p w14:paraId="3E4D5FCC" w14:textId="77777777" w:rsidR="00E25F3E" w:rsidRDefault="00000000" w:rsidP="00827B42">
            <w:pPr>
              <w:spacing w:after="0" w:line="240" w:lineRule="auto"/>
              <w:jc w:val="both"/>
            </w:pPr>
            <w:r>
              <w:rPr>
                <w:sz w:val="14"/>
              </w:rPr>
              <w:t>Broad size/residence distributions; heating contributes</w:t>
            </w:r>
          </w:p>
        </w:tc>
        <w:tc>
          <w:tcPr>
            <w:tcW w:w="924" w:type="pct"/>
            <w:tcMar>
              <w:top w:w="75" w:type="dxa"/>
              <w:left w:w="80" w:type="dxa"/>
              <w:bottom w:w="75" w:type="dxa"/>
              <w:right w:w="80" w:type="dxa"/>
            </w:tcMar>
            <w:vAlign w:val="center"/>
          </w:tcPr>
          <w:p w14:paraId="3960F6F7" w14:textId="77777777" w:rsidR="00E25F3E" w:rsidRDefault="00000000" w:rsidP="00827B42">
            <w:pPr>
              <w:spacing w:after="0" w:line="240" w:lineRule="auto"/>
              <w:jc w:val="both"/>
            </w:pPr>
            <w:r>
              <w:rPr>
                <w:sz w:val="14"/>
              </w:rPr>
              <w:t>Scale-up and isolated-product evaluation</w:t>
            </w:r>
          </w:p>
        </w:tc>
        <w:tc>
          <w:tcPr>
            <w:tcW w:w="868" w:type="pct"/>
            <w:tcMar>
              <w:top w:w="75" w:type="dxa"/>
              <w:left w:w="80" w:type="dxa"/>
              <w:bottom w:w="75" w:type="dxa"/>
              <w:right w:w="80" w:type="dxa"/>
            </w:tcMar>
            <w:vAlign w:val="center"/>
          </w:tcPr>
          <w:p w14:paraId="57EF441C" w14:textId="77777777" w:rsidR="00E25F3E" w:rsidRDefault="00000000" w:rsidP="00827B42">
            <w:pPr>
              <w:spacing w:after="0" w:line="240" w:lineRule="auto"/>
              <w:jc w:val="both"/>
            </w:pPr>
            <w:r>
              <w:rPr>
                <w:sz w:val="14"/>
              </w:rPr>
              <w:t>Liu et al., 2019</w:t>
            </w:r>
          </w:p>
        </w:tc>
      </w:tr>
      <w:tr w:rsidR="00E25F3E" w14:paraId="52E2C032" w14:textId="77777777" w:rsidTr="0001640A">
        <w:trPr>
          <w:cantSplit/>
          <w:jc w:val="center"/>
        </w:trPr>
        <w:tc>
          <w:tcPr>
            <w:tcW w:w="639" w:type="pct"/>
            <w:tcMar>
              <w:top w:w="75" w:type="dxa"/>
              <w:left w:w="80" w:type="dxa"/>
              <w:bottom w:w="75" w:type="dxa"/>
              <w:right w:w="80" w:type="dxa"/>
            </w:tcMar>
            <w:vAlign w:val="center"/>
          </w:tcPr>
          <w:p w14:paraId="66EE440A" w14:textId="77777777" w:rsidR="00E25F3E" w:rsidRDefault="00000000" w:rsidP="00827B42">
            <w:pPr>
              <w:spacing w:after="0" w:line="240" w:lineRule="auto"/>
              <w:jc w:val="both"/>
            </w:pPr>
            <w:r>
              <w:rPr>
                <w:sz w:val="14"/>
              </w:rPr>
              <w:t>Levitated droplet/vapour dosing</w:t>
            </w:r>
          </w:p>
        </w:tc>
        <w:tc>
          <w:tcPr>
            <w:tcW w:w="819" w:type="pct"/>
            <w:tcMar>
              <w:top w:w="75" w:type="dxa"/>
              <w:left w:w="80" w:type="dxa"/>
              <w:bottom w:w="75" w:type="dxa"/>
              <w:right w:w="80" w:type="dxa"/>
            </w:tcMar>
            <w:vAlign w:val="center"/>
          </w:tcPr>
          <w:p w14:paraId="5DB52C91" w14:textId="77777777" w:rsidR="00E25F3E" w:rsidRDefault="00000000" w:rsidP="00827B42">
            <w:pPr>
              <w:spacing w:after="0" w:line="240" w:lineRule="auto"/>
              <w:jc w:val="both"/>
            </w:pPr>
            <w:r>
              <w:rPr>
                <w:sz w:val="14"/>
              </w:rPr>
              <w:t>Single-droplet size, exposure time, reagent vapour</w:t>
            </w:r>
          </w:p>
        </w:tc>
        <w:tc>
          <w:tcPr>
            <w:tcW w:w="868" w:type="pct"/>
            <w:tcMar>
              <w:top w:w="75" w:type="dxa"/>
              <w:left w:w="80" w:type="dxa"/>
              <w:bottom w:w="75" w:type="dxa"/>
              <w:right w:w="80" w:type="dxa"/>
            </w:tcMar>
            <w:vAlign w:val="center"/>
          </w:tcPr>
          <w:p w14:paraId="0A7B96F6" w14:textId="77777777" w:rsidR="00E25F3E" w:rsidRDefault="00000000" w:rsidP="00827B42">
            <w:pPr>
              <w:spacing w:after="0" w:line="240" w:lineRule="auto"/>
              <w:jc w:val="both"/>
            </w:pPr>
            <w:r>
              <w:rPr>
                <w:sz w:val="14"/>
              </w:rPr>
              <w:t>Whole-droplet observation separated from ESI ion source</w:t>
            </w:r>
          </w:p>
        </w:tc>
        <w:tc>
          <w:tcPr>
            <w:tcW w:w="882" w:type="pct"/>
            <w:tcMar>
              <w:top w:w="75" w:type="dxa"/>
              <w:left w:w="80" w:type="dxa"/>
              <w:bottom w:w="75" w:type="dxa"/>
              <w:right w:w="80" w:type="dxa"/>
            </w:tcMar>
            <w:vAlign w:val="center"/>
          </w:tcPr>
          <w:p w14:paraId="425B1E81" w14:textId="77777777" w:rsidR="00E25F3E" w:rsidRDefault="00000000" w:rsidP="00827B42">
            <w:pPr>
              <w:spacing w:after="0" w:line="240" w:lineRule="auto"/>
              <w:jc w:val="both"/>
            </w:pPr>
            <w:r>
              <w:rPr>
                <w:sz w:val="14"/>
              </w:rPr>
              <w:t>Local surface rates require transport modelling</w:t>
            </w:r>
          </w:p>
        </w:tc>
        <w:tc>
          <w:tcPr>
            <w:tcW w:w="924" w:type="pct"/>
            <w:tcMar>
              <w:top w:w="75" w:type="dxa"/>
              <w:left w:w="80" w:type="dxa"/>
              <w:bottom w:w="75" w:type="dxa"/>
              <w:right w:w="80" w:type="dxa"/>
            </w:tcMar>
            <w:vAlign w:val="center"/>
          </w:tcPr>
          <w:p w14:paraId="3CAE0B1D" w14:textId="77777777" w:rsidR="00E25F3E" w:rsidRDefault="00000000" w:rsidP="00827B42">
            <w:pPr>
              <w:spacing w:after="0" w:line="240" w:lineRule="auto"/>
              <w:jc w:val="both"/>
            </w:pPr>
            <w:r>
              <w:rPr>
                <w:sz w:val="14"/>
              </w:rPr>
              <w:t>Benchmark kinetics and surface-localisation tests</w:t>
            </w:r>
          </w:p>
        </w:tc>
        <w:tc>
          <w:tcPr>
            <w:tcW w:w="868" w:type="pct"/>
            <w:tcMar>
              <w:top w:w="75" w:type="dxa"/>
              <w:left w:w="80" w:type="dxa"/>
              <w:bottom w:w="75" w:type="dxa"/>
              <w:right w:w="80" w:type="dxa"/>
            </w:tcMar>
            <w:vAlign w:val="center"/>
          </w:tcPr>
          <w:p w14:paraId="7BED1F9D" w14:textId="77777777" w:rsidR="00E25F3E" w:rsidRDefault="00000000" w:rsidP="00827B42">
            <w:pPr>
              <w:spacing w:after="0" w:line="240" w:lineRule="auto"/>
              <w:jc w:val="both"/>
            </w:pPr>
            <w:r>
              <w:rPr>
                <w:sz w:val="14"/>
              </w:rPr>
              <w:t>Qiu et al., 2024</w:t>
            </w:r>
          </w:p>
        </w:tc>
      </w:tr>
      <w:tr w:rsidR="00E25F3E" w14:paraId="3753D3DF" w14:textId="77777777" w:rsidTr="0001640A">
        <w:trPr>
          <w:cantSplit/>
          <w:jc w:val="center"/>
        </w:trPr>
        <w:tc>
          <w:tcPr>
            <w:tcW w:w="639" w:type="pct"/>
            <w:tcMar>
              <w:top w:w="75" w:type="dxa"/>
              <w:left w:w="80" w:type="dxa"/>
              <w:bottom w:w="75" w:type="dxa"/>
              <w:right w:w="80" w:type="dxa"/>
            </w:tcMar>
            <w:vAlign w:val="center"/>
          </w:tcPr>
          <w:p w14:paraId="5FF4293C" w14:textId="77777777" w:rsidR="00E25F3E" w:rsidRDefault="00000000" w:rsidP="00827B42">
            <w:pPr>
              <w:spacing w:after="0" w:line="240" w:lineRule="auto"/>
              <w:jc w:val="both"/>
            </w:pPr>
            <w:r>
              <w:rPr>
                <w:sz w:val="14"/>
              </w:rPr>
              <w:t>Unactivated/contactless droplets</w:t>
            </w:r>
          </w:p>
        </w:tc>
        <w:tc>
          <w:tcPr>
            <w:tcW w:w="819" w:type="pct"/>
            <w:tcMar>
              <w:top w:w="75" w:type="dxa"/>
              <w:left w:w="80" w:type="dxa"/>
              <w:bottom w:w="75" w:type="dxa"/>
              <w:right w:w="80" w:type="dxa"/>
            </w:tcMar>
            <w:vAlign w:val="center"/>
          </w:tcPr>
          <w:p w14:paraId="34DED24B" w14:textId="77777777" w:rsidR="00E25F3E" w:rsidRDefault="00000000" w:rsidP="00827B42">
            <w:pPr>
              <w:spacing w:after="0" w:line="240" w:lineRule="auto"/>
              <w:jc w:val="both"/>
            </w:pPr>
            <w:r>
              <w:rPr>
                <w:sz w:val="14"/>
              </w:rPr>
              <w:t>Droplet generation without conventional high voltage</w:t>
            </w:r>
          </w:p>
        </w:tc>
        <w:tc>
          <w:tcPr>
            <w:tcW w:w="868" w:type="pct"/>
            <w:tcMar>
              <w:top w:w="75" w:type="dxa"/>
              <w:left w:w="80" w:type="dxa"/>
              <w:bottom w:w="75" w:type="dxa"/>
              <w:right w:w="80" w:type="dxa"/>
            </w:tcMar>
            <w:vAlign w:val="center"/>
          </w:tcPr>
          <w:p w14:paraId="63364582" w14:textId="77777777" w:rsidR="00E25F3E" w:rsidRDefault="00000000" w:rsidP="00827B42">
            <w:pPr>
              <w:spacing w:after="0" w:line="240" w:lineRule="auto"/>
              <w:jc w:val="both"/>
            </w:pPr>
            <w:r>
              <w:rPr>
                <w:sz w:val="14"/>
              </w:rPr>
              <w:t>Tests necessity of external electrical activation</w:t>
            </w:r>
          </w:p>
        </w:tc>
        <w:tc>
          <w:tcPr>
            <w:tcW w:w="882" w:type="pct"/>
            <w:tcMar>
              <w:top w:w="75" w:type="dxa"/>
              <w:left w:w="80" w:type="dxa"/>
              <w:bottom w:w="75" w:type="dxa"/>
              <w:right w:w="80" w:type="dxa"/>
            </w:tcMar>
            <w:vAlign w:val="center"/>
          </w:tcPr>
          <w:p w14:paraId="34158A42" w14:textId="77777777" w:rsidR="00E25F3E" w:rsidRDefault="00000000" w:rsidP="00827B42">
            <w:pPr>
              <w:spacing w:after="0" w:line="240" w:lineRule="auto"/>
              <w:jc w:val="both"/>
            </w:pPr>
            <w:r>
              <w:rPr>
                <w:sz w:val="14"/>
              </w:rPr>
              <w:t>Residual charge and formation history still require characterisation</w:t>
            </w:r>
          </w:p>
        </w:tc>
        <w:tc>
          <w:tcPr>
            <w:tcW w:w="924" w:type="pct"/>
            <w:tcMar>
              <w:top w:w="75" w:type="dxa"/>
              <w:left w:w="80" w:type="dxa"/>
              <w:bottom w:w="75" w:type="dxa"/>
              <w:right w:w="80" w:type="dxa"/>
            </w:tcMar>
            <w:vAlign w:val="center"/>
          </w:tcPr>
          <w:p w14:paraId="3965CD62" w14:textId="77777777" w:rsidR="00E25F3E" w:rsidRDefault="00000000" w:rsidP="00827B42">
            <w:pPr>
              <w:spacing w:after="0" w:line="240" w:lineRule="auto"/>
              <w:jc w:val="both"/>
            </w:pPr>
            <w:r>
              <w:rPr>
                <w:sz w:val="14"/>
              </w:rPr>
              <w:t>Charge-dependence comparisons</w:t>
            </w:r>
          </w:p>
        </w:tc>
        <w:tc>
          <w:tcPr>
            <w:tcW w:w="868" w:type="pct"/>
            <w:tcMar>
              <w:top w:w="75" w:type="dxa"/>
              <w:left w:w="80" w:type="dxa"/>
              <w:bottom w:w="75" w:type="dxa"/>
              <w:right w:w="80" w:type="dxa"/>
            </w:tcMar>
            <w:vAlign w:val="center"/>
          </w:tcPr>
          <w:p w14:paraId="1185066A" w14:textId="77777777" w:rsidR="00E25F3E" w:rsidRDefault="00000000" w:rsidP="00827B42">
            <w:pPr>
              <w:spacing w:after="0" w:line="240" w:lineRule="auto"/>
              <w:jc w:val="both"/>
            </w:pPr>
            <w:r>
              <w:rPr>
                <w:sz w:val="14"/>
              </w:rPr>
              <w:t>Chen et al., 2025</w:t>
            </w:r>
          </w:p>
        </w:tc>
      </w:tr>
      <w:tr w:rsidR="00E25F3E" w14:paraId="2E8BA2AB" w14:textId="77777777" w:rsidTr="0001640A">
        <w:trPr>
          <w:cantSplit/>
          <w:jc w:val="center"/>
        </w:trPr>
        <w:tc>
          <w:tcPr>
            <w:tcW w:w="639" w:type="pct"/>
            <w:tcMar>
              <w:top w:w="75" w:type="dxa"/>
              <w:left w:w="80" w:type="dxa"/>
              <w:bottom w:w="75" w:type="dxa"/>
              <w:right w:w="80" w:type="dxa"/>
            </w:tcMar>
            <w:vAlign w:val="center"/>
          </w:tcPr>
          <w:p w14:paraId="25F3D0CE" w14:textId="77777777" w:rsidR="00E25F3E" w:rsidRDefault="00000000" w:rsidP="00827B42">
            <w:pPr>
              <w:spacing w:after="0" w:line="240" w:lineRule="auto"/>
              <w:jc w:val="both"/>
            </w:pPr>
            <w:r>
              <w:rPr>
                <w:sz w:val="14"/>
              </w:rPr>
              <w:t>Recirculating spray/thin film</w:t>
            </w:r>
          </w:p>
        </w:tc>
        <w:tc>
          <w:tcPr>
            <w:tcW w:w="819" w:type="pct"/>
            <w:tcMar>
              <w:top w:w="75" w:type="dxa"/>
              <w:left w:w="80" w:type="dxa"/>
              <w:bottom w:w="75" w:type="dxa"/>
              <w:right w:w="80" w:type="dxa"/>
            </w:tcMar>
            <w:vAlign w:val="center"/>
          </w:tcPr>
          <w:p w14:paraId="159E2A8F" w14:textId="77777777" w:rsidR="00E25F3E" w:rsidRDefault="00000000" w:rsidP="00827B42">
            <w:pPr>
              <w:spacing w:after="0" w:line="240" w:lineRule="auto"/>
              <w:jc w:val="both"/>
            </w:pPr>
            <w:r>
              <w:rPr>
                <w:sz w:val="14"/>
              </w:rPr>
              <w:t>Flow, recycle, temperature, solvent recovery</w:t>
            </w:r>
          </w:p>
        </w:tc>
        <w:tc>
          <w:tcPr>
            <w:tcW w:w="868" w:type="pct"/>
            <w:tcMar>
              <w:top w:w="75" w:type="dxa"/>
              <w:left w:w="80" w:type="dxa"/>
              <w:bottom w:w="75" w:type="dxa"/>
              <w:right w:w="80" w:type="dxa"/>
            </w:tcMar>
            <w:vAlign w:val="center"/>
          </w:tcPr>
          <w:p w14:paraId="6FD35A82" w14:textId="77777777" w:rsidR="00E25F3E" w:rsidRDefault="00000000" w:rsidP="00827B42">
            <w:pPr>
              <w:spacing w:after="0" w:line="240" w:lineRule="auto"/>
              <w:jc w:val="both"/>
            </w:pPr>
            <w:r>
              <w:rPr>
                <w:sz w:val="14"/>
              </w:rPr>
              <w:t>Gram-scale productivity and solvent retention</w:t>
            </w:r>
          </w:p>
        </w:tc>
        <w:tc>
          <w:tcPr>
            <w:tcW w:w="882" w:type="pct"/>
            <w:tcMar>
              <w:top w:w="75" w:type="dxa"/>
              <w:left w:w="80" w:type="dxa"/>
              <w:bottom w:w="75" w:type="dxa"/>
              <w:right w:w="80" w:type="dxa"/>
            </w:tcMar>
            <w:vAlign w:val="center"/>
          </w:tcPr>
          <w:p w14:paraId="1A440DA9" w14:textId="77777777" w:rsidR="00E25F3E" w:rsidRDefault="00000000" w:rsidP="00827B42">
            <w:pPr>
              <w:spacing w:after="0" w:line="240" w:lineRule="auto"/>
              <w:jc w:val="both"/>
            </w:pPr>
            <w:r>
              <w:rPr>
                <w:sz w:val="14"/>
              </w:rPr>
              <w:t>Multiple reactive zones prevent pure droplet attribution</w:t>
            </w:r>
          </w:p>
        </w:tc>
        <w:tc>
          <w:tcPr>
            <w:tcW w:w="924" w:type="pct"/>
            <w:tcMar>
              <w:top w:w="75" w:type="dxa"/>
              <w:left w:w="80" w:type="dxa"/>
              <w:bottom w:w="75" w:type="dxa"/>
              <w:right w:w="80" w:type="dxa"/>
            </w:tcMar>
            <w:vAlign w:val="center"/>
          </w:tcPr>
          <w:p w14:paraId="3FCCDD8B" w14:textId="77777777" w:rsidR="00E25F3E" w:rsidRDefault="00000000" w:rsidP="00827B42">
            <w:pPr>
              <w:spacing w:after="0" w:line="240" w:lineRule="auto"/>
              <w:jc w:val="both"/>
            </w:pPr>
            <w:r>
              <w:rPr>
                <w:sz w:val="14"/>
              </w:rPr>
              <w:t>Process intensification where hybrid interfaces are acceptable</w:t>
            </w:r>
          </w:p>
        </w:tc>
        <w:tc>
          <w:tcPr>
            <w:tcW w:w="868" w:type="pct"/>
            <w:tcMar>
              <w:top w:w="75" w:type="dxa"/>
              <w:left w:w="80" w:type="dxa"/>
              <w:bottom w:w="75" w:type="dxa"/>
              <w:right w:w="80" w:type="dxa"/>
            </w:tcMar>
            <w:vAlign w:val="center"/>
          </w:tcPr>
          <w:p w14:paraId="315BEC79" w14:textId="77777777" w:rsidR="00E25F3E" w:rsidRDefault="00000000" w:rsidP="00827B42">
            <w:pPr>
              <w:spacing w:after="0" w:line="240" w:lineRule="auto"/>
              <w:jc w:val="both"/>
            </w:pPr>
            <w:r>
              <w:rPr>
                <w:sz w:val="14"/>
              </w:rPr>
              <w:t>Nie et al., 2020</w:t>
            </w:r>
          </w:p>
        </w:tc>
      </w:tr>
    </w:tbl>
    <w:p w14:paraId="3DEC4340" w14:textId="77777777" w:rsidR="00E25F3E" w:rsidRDefault="00000000" w:rsidP="00827B42">
      <w:pPr>
        <w:pStyle w:val="TableNoteCustom"/>
        <w:jc w:val="both"/>
      </w:pPr>
      <w:r>
        <w:t>Note. Abbreviations: DESI, desorption electrospray ionisation; ESI, electrospray ionisation; ESSI, easy ambient sonic-spray ionisation.</w:t>
      </w:r>
    </w:p>
    <w:p w14:paraId="2BDCD2E1" w14:textId="77777777" w:rsidR="00E25F3E" w:rsidRDefault="00000000" w:rsidP="00827B42">
      <w:pPr>
        <w:pStyle w:val="Heading1"/>
        <w:jc w:val="both"/>
      </w:pPr>
      <w:r>
        <w:t>6. Synthetic Chemistry and Reaction Discovery</w:t>
      </w:r>
    </w:p>
    <w:p w14:paraId="5192D967" w14:textId="77777777" w:rsidR="00E25F3E" w:rsidRDefault="00000000" w:rsidP="00827B42">
      <w:pPr>
        <w:pStyle w:val="BodyTextCustom"/>
      </w:pPr>
      <w:r>
        <w:t>The synthetic literature established that microdroplet chemistry is not limited to simple acid-base reactions or ion-molecule processes. Charged droplets have supported condensations, heterocycle formation, coupling chemistry, redox processes and multicomponent transformations, often with reaction times compressed to milliseconds or seconds (Banerjee &amp; Zare, 2015; Basuri et al., 2020; Yan et al., 2016). These reports are significant because the products are recognisable synthetic targets rather than analytical artefacts defined only by a mass-to-charge ratio. Yet synthetic usefulness requires more than observing a product ion. Yield, selectivity, substrate generality and recoverability matter, and claims of rate acceleration should be separated from claims of process intensification.</w:t>
      </w:r>
    </w:p>
    <w:p w14:paraId="09AB3231" w14:textId="77777777" w:rsidR="00E25F3E" w:rsidRDefault="00000000" w:rsidP="00827B42">
      <w:pPr>
        <w:pStyle w:val="BodyTextCustom"/>
      </w:pPr>
      <w:r>
        <w:t>Heterocycle synthesis provides an instructive case. Banerjee and Zare (2015) reported isoquinoline and substituted quinoline formation in charged microdroplets, demonstrating that bond-forming sequences with synthetic value could be promoted during spray. Basuri et al. (2020) later described accelerated benzimidazole synthesis through nucleophilic addition to protonated carboxylic acids, linking observed reactivity to an acid-activated interfacial mechanism. Such studies show how microdroplets can become mechanistic probes for reaction classes that are sluggish under mild bulk conditions. Generalisation nevertheless requires substrate panels broad enough to distinguish a true mechanistic principle from the behaviour of especially surface-active or readily ionised molecules.</w:t>
      </w:r>
    </w:p>
    <w:p w14:paraId="07B13940" w14:textId="77777777" w:rsidR="00E25F3E" w:rsidRDefault="00000000" w:rsidP="00827B42">
      <w:pPr>
        <w:pStyle w:val="BodyTextCustom"/>
      </w:pPr>
      <w:r>
        <w:t>Catalytic and multi-reagent chemistry raises additional transport questions. Iyer et al. (2018) showed accelerated copper-catalysed coupling in microdroplets and thin films, but the presence of catalyst, ligands, bases and multiple substrates makes local composition difficult to infer. Evaporation can increase all non-volatile concentrations, while surface partitioning may enrich some components and exclude others. A high observed conversion can therefore arise from process intensification without a large change in the intrinsic catalytic cycle. For reaction engineering, that distinction may be less important if the practical output is favourable; for mechanism, it is decisive. Measuring catalyst speciation or using an internal kinetic clock would strengthen claims that the droplet changes elementary-step kinetics rather than simply creating a rapidly concentrating mixture.</w:t>
      </w:r>
    </w:p>
    <w:p w14:paraId="34EE0F9D" w14:textId="77777777" w:rsidR="00E25F3E" w:rsidRDefault="00000000" w:rsidP="00827B42">
      <w:pPr>
        <w:pStyle w:val="BodyTextCustom"/>
      </w:pPr>
      <w:r>
        <w:t xml:space="preserve">Preparative electrospray also provided an early bridge between analytical reaction monitoring and material production. Falcone et al. (2017) coupled reaction screening with continuous-flow atropine synthesis using preparative electrospray mass spectrometry, showing that rapid analytical feedback could be linked to optimisation of an actual synthetic stream. The configuration did not establish that every productive step occurred exclusively inside airborne droplets, but it anticipated a recurring engineering theme: microdroplet methods are most useful when </w:t>
      </w:r>
      <w:r>
        <w:lastRenderedPageBreak/>
        <w:t>reaction, analysis and process control are designed as a single workflow rather than when a spray source is treated as a stand-alone catalyst.</w:t>
      </w:r>
    </w:p>
    <w:p w14:paraId="2BD9B8D4" w14:textId="77777777" w:rsidR="00E25F3E" w:rsidRDefault="00000000" w:rsidP="00827B42">
      <w:pPr>
        <w:pStyle w:val="BodyTextCustom"/>
      </w:pPr>
      <w:r>
        <w:t>The transition from reaction demonstration to reaction discovery is exemplified by DESI-based high-throughput methods. Wleklinski et al. (2018) established a platform for screening arrays of reaction mixtures, while Fedick et al. (2019) reported screening at approximately 2.8 Suzuki reaction mixtures per second. Huang et al. (2024) further developed high-throughput DESI mass spectrometry for rapid exploration of chemical space at approximately one reaction per second under representative operating conditions. The strategic advantage is clear: chemistry, sampling and structure-sensitive detection can be integrated without transferring each well through a conventional chromatography workflow.</w:t>
      </w:r>
    </w:p>
    <w:p w14:paraId="5A9458BB" w14:textId="77777777" w:rsidR="00E25F3E" w:rsidRDefault="00000000" w:rsidP="00827B42">
      <w:pPr>
        <w:pStyle w:val="BodyTextCustom"/>
      </w:pPr>
      <w:r>
        <w:t>High-throughput diversification of complex bioactive molecules illustrates a more demanding application. Huang et al. (2023) used accelerated microdroplet synthesis to generate derivatives of structurally complex molecules, suggesting a route to late-stage diversification in which very small reagent quantities and rapid screening shorten design cycles. The platform can be valuable even if every microdroplet transformation is not ultimately selected for preparative synthesis. It functions as a discovery reactor, generating chemical hypotheses and candidate products quickly. The main translational risk is that mass-spectrometric detectability favours products with suitable ionisation and that a transformation ranking may shift when scaled, purified or evaluated by orthogonal quantitative analysis.</w:t>
      </w:r>
    </w:p>
    <w:p w14:paraId="081CF539" w14:textId="77777777" w:rsidR="00E25F3E" w:rsidRDefault="00000000" w:rsidP="00827B42">
      <w:pPr>
        <w:pStyle w:val="BodyTextCustom"/>
      </w:pPr>
      <w:r>
        <w:t>A useful way to judge synthetic reports is therefore to separate three levels of evidence. Level one is analytical formation: a product consistent with the expected transformation appears in a droplet-coupled detector. Level two is quantitative microreactor chemistry: conversion or kinetics are measured with calibration, appropriate blanks and time/volume controls. Level three is preparative validation: product is isolated, characterised and produced at a meaningful rate with solvent and energy use reported. Many early studies made a valuable contribution at level one, while later work increasingly reaches levels two and three (Liu et al., 2019; Nie et al., 2020). The field will mature more rapidly if publications state clearly which level they establish rather than treating detection, kinetic acceleration and process viability as interchangeable claims.</w:t>
      </w:r>
    </w:p>
    <w:p w14:paraId="59F845C6" w14:textId="77777777" w:rsidR="00E25F3E" w:rsidRDefault="00000000" w:rsidP="00827B42">
      <w:pPr>
        <w:pStyle w:val="Heading1"/>
        <w:jc w:val="both"/>
      </w:pPr>
      <w:r>
        <w:t>7. From Demonstration to Reactor Technology</w:t>
      </w:r>
    </w:p>
    <w:p w14:paraId="2499B45E" w14:textId="77777777" w:rsidR="00E25F3E" w:rsidRDefault="00000000" w:rsidP="00827B42">
      <w:pPr>
        <w:pStyle w:val="BodyTextCustom"/>
      </w:pPr>
      <w:r>
        <w:t>A chemical reactor is judged by controllable throughput and reproducibility as well as by molecular novelty. Microdroplet systems face a fundamental scaling tension: the high surface-to-volume ratio that may enable unusual chemistry is strongest for small droplets, whereas mass productivity often increases by making larger droplets or processing more liquid. Larger droplets reduce interfacial area per unit volume and lengthen diffusion distances; simply increasing nozzle flow can therefore erase the conditions responsible for acceleration. Successful scale-up must number-up or intensify droplet generation while maintaining the relevant size, residence-time and interfacial state, or deliberately use films and recirculation to preserve a high-interface environment.</w:t>
      </w:r>
    </w:p>
    <w:p w14:paraId="37A94228" w14:textId="77777777" w:rsidR="00E25F3E" w:rsidRDefault="00000000" w:rsidP="00827B42">
      <w:pPr>
        <w:pStyle w:val="BodyTextCustom"/>
      </w:pPr>
      <w:r>
        <w:t>Heated ultrasonic nebulisation (HUN) is one of the clearest examples of preparative scale-up. Liu et al. (2019) reported four representative reactions with isolated product formation rates of approximately 0.32-0.67 mg s-1 and reaction-acceleration factors ranging from tens to several thousand, depending on the reaction. The strength of this work lies in isolated products rather than detector-only signals and in a design that creates many droplets without relying solely on a conventional ESI source. The wide spread of acceleration factors also reinforces a mechanistic lesson: the device is not a universal catalyst of fixed strength. Its benefit depends on the reaction's sensitivity to concentration, temperature, surface and gas-phase environment.</w:t>
      </w:r>
    </w:p>
    <w:p w14:paraId="735BC15C" w14:textId="77777777" w:rsidR="00E25F3E" w:rsidRDefault="00000000" w:rsidP="00827B42">
      <w:pPr>
        <w:pStyle w:val="BodyTextCustom"/>
      </w:pPr>
      <w:r>
        <w:t xml:space="preserve">Nie et al. (2020) addressed solvent use and productivity by recirculating solvent through a system that combined accelerated microdroplet and thin-film reactions. For a Claisen-Schmidt reaction, the authors reported productivity of about 0.88 mg s-1 and an isolated yield close to 87%, alongside large acceleration factors for the tested transformations. The engineering achievement is important, but the device also demonstrates why reactor terminology must be precise. Chemistry occurred in both droplets and thin films, so the observed productivity cannot be assigned solely to freely flying microdroplets. From a process perspective that may be an advantage: the useful </w:t>
      </w:r>
      <w:r>
        <w:lastRenderedPageBreak/>
        <w:t>technology is a high-interface reactor, not a doctrinally pure droplet. From a mechanistic perspective, contribution of each zone should be measured separately.</w:t>
      </w:r>
    </w:p>
    <w:p w14:paraId="2215D58B" w14:textId="77777777" w:rsidR="00E25F3E" w:rsidRDefault="00000000" w:rsidP="00827B42">
      <w:pPr>
        <w:pStyle w:val="BodyTextCustom"/>
      </w:pPr>
      <w:r>
        <w:t>High-throughput synthesis creates another route to scale, based on parallelism rather than bulk flow. Huang et al. (2025) developed automated array-to-array transfer for microdroplet-based synthesis, extending rapid screening toward programmable reaction generation. Such systems can make microdroplets valuable for medicinal chemistry or reaction optimisation even when individual droplets produce negligible material. The relevant performance metric is then information productivity: validated reactions or characterised products per unit time and per unit reagent, rather than bulk mass output. This illustrates why 'scale-up' has at least two meanings in microdroplet technology—preparative mass throughput and scalable experimental throughput—and why they should not be conflated.</w:t>
      </w:r>
    </w:p>
    <w:p w14:paraId="3AADF75C" w14:textId="77777777" w:rsidR="00E25F3E" w:rsidRDefault="00000000" w:rsidP="00827B42">
      <w:pPr>
        <w:pStyle w:val="BodyTextCustom"/>
      </w:pPr>
      <w:r>
        <w:t>Interfacial electrochemistry adds a different engineering dimension. Cheng et al. (2020) used voltage control to accelerate electrochemical reactions in an interfacial microreactor, converting an uncontrolled charge environment into a tunable process variable. This is conceptually important because it transforms a proposed mechanism into a control knob. If reaction rate or selectivity changes reproducibly with applied potential while other conditions are held constant, the reactor becomes both mechanistically interpretable and engineerable. Vannoy et al. (2024) argued for precisely this electrochemical perspective, in which microdroplet charge and potential are analysed with concepts familiar from electrodes rather than treated as vaguely 'special' surface properties.</w:t>
      </w:r>
    </w:p>
    <w:p w14:paraId="3EF7514C" w14:textId="77777777" w:rsidR="00E25F3E" w:rsidRDefault="00000000" w:rsidP="00827B42">
      <w:pPr>
        <w:pStyle w:val="BodyTextCustom"/>
      </w:pPr>
      <w:r>
        <w:t>Gas-liquid reactions also reveal an expanded reactor function. Huang et al. (2021) showed accelerated capture and reaction of carbon dioxide with amines under strongly acidic microdroplet conditions. At small length scales, gas transport into the liquid can be rapid and interfacial chemical potential can differ substantially from bulk solution. The implication is that microdroplet reactors may be particularly suited to transformations limited by gas-liquid transfer, provided that gas composition, pressure and droplet lifetime are controlled. This opportunity should be evaluated against conventional intensified contactors, which can also provide very high interfacial area without the analytical complexity of charged sprays.</w:t>
      </w:r>
    </w:p>
    <w:p w14:paraId="30F6B863" w14:textId="77777777" w:rsidR="00E25F3E" w:rsidRDefault="00000000" w:rsidP="00827B42">
      <w:pPr>
        <w:pStyle w:val="BodyTextCustom"/>
      </w:pPr>
      <w:r>
        <w:t>Claims of sustainability require especially careful calibration. Microdroplet systems can operate at ambient pressure, use small reagent inventories and shorten nominal reaction time, all of which can be favourable. Yet a high acceleration factor does not determine process mass intensity, solvent recovery, energy use for nebulisation or heating, yield after isolation, or waste generated in collection and analysis. The recirculation strategy of Nie et al. (2020) begins to address solvent use, but comparative life-cycle or techno-economic analyses remain rare. Until such data exist, 'green' should be treated as a hypothesis to be tested with system-level metrics rather than inferred from small droplet size or short residence time alone.</w:t>
      </w:r>
    </w:p>
    <w:p w14:paraId="040C7766" w14:textId="77777777" w:rsidR="00E25F3E" w:rsidRDefault="00000000" w:rsidP="00827B42">
      <w:pPr>
        <w:pStyle w:val="BodyTextCustom"/>
      </w:pPr>
      <w:r>
        <w:t>Table 4 therefore evaluates reactor developments by the form of scale they demonstrate and by the unresolved engineering constraint. Preparative nebulisation shows that isolated product can be generated continuously; recirculating spray-film systems address solvent retention; array-based DESI platforms scale information throughput; and electrochemical microreactors make interfacial potential controllable. None solves all reactor-design problems, but together they mark a genuine transition from proof-of-concept chemistry toward configurable process architectures.</w:t>
      </w:r>
    </w:p>
    <w:p w14:paraId="6D4D37D4" w14:textId="77777777" w:rsidR="00E25F3E" w:rsidRDefault="00000000" w:rsidP="00827B42">
      <w:pPr>
        <w:pStyle w:val="TableCaptionCustom"/>
        <w:jc w:val="both"/>
      </w:pPr>
      <w:r>
        <w:t>Table 4. Representative translation of microdroplet chemistry into reactor or discovery technology</w:t>
      </w:r>
    </w:p>
    <w:tbl>
      <w:tblPr>
        <w:tblStyle w:val="TableGrid"/>
        <w:tblW w:w="5000" w:type="pct"/>
        <w:jc w:val="center"/>
        <w:tblLook w:val="04A0" w:firstRow="1" w:lastRow="0" w:firstColumn="1" w:lastColumn="0" w:noHBand="0" w:noVBand="1"/>
      </w:tblPr>
      <w:tblGrid>
        <w:gridCol w:w="1319"/>
        <w:gridCol w:w="1691"/>
        <w:gridCol w:w="1793"/>
        <w:gridCol w:w="1822"/>
        <w:gridCol w:w="1908"/>
        <w:gridCol w:w="1793"/>
      </w:tblGrid>
      <w:tr w:rsidR="00E25F3E" w14:paraId="6352F75D" w14:textId="77777777" w:rsidTr="0001640A">
        <w:trPr>
          <w:cantSplit/>
          <w:tblHeader/>
          <w:jc w:val="center"/>
        </w:trPr>
        <w:tc>
          <w:tcPr>
            <w:tcW w:w="639" w:type="pct"/>
            <w:shd w:val="clear" w:color="auto" w:fill="D9E2F3"/>
            <w:tcMar>
              <w:top w:w="80" w:type="dxa"/>
              <w:left w:w="80" w:type="dxa"/>
              <w:bottom w:w="80" w:type="dxa"/>
              <w:right w:w="80" w:type="dxa"/>
            </w:tcMar>
            <w:vAlign w:val="center"/>
          </w:tcPr>
          <w:p w14:paraId="4663AD90" w14:textId="77777777" w:rsidR="00E25F3E" w:rsidRDefault="00000000" w:rsidP="00827B42">
            <w:pPr>
              <w:spacing w:after="0" w:line="240" w:lineRule="auto"/>
              <w:jc w:val="both"/>
            </w:pPr>
            <w:r>
              <w:rPr>
                <w:b/>
                <w:sz w:val="15"/>
              </w:rPr>
              <w:t>Development</w:t>
            </w:r>
          </w:p>
        </w:tc>
        <w:tc>
          <w:tcPr>
            <w:tcW w:w="819" w:type="pct"/>
            <w:shd w:val="clear" w:color="auto" w:fill="D9E2F3"/>
            <w:tcMar>
              <w:top w:w="80" w:type="dxa"/>
              <w:left w:w="80" w:type="dxa"/>
              <w:bottom w:w="80" w:type="dxa"/>
              <w:right w:w="80" w:type="dxa"/>
            </w:tcMar>
            <w:vAlign w:val="center"/>
          </w:tcPr>
          <w:p w14:paraId="7906365D" w14:textId="77777777" w:rsidR="00E25F3E" w:rsidRDefault="00000000" w:rsidP="00827B42">
            <w:pPr>
              <w:spacing w:after="0" w:line="240" w:lineRule="auto"/>
              <w:jc w:val="both"/>
            </w:pPr>
            <w:r>
              <w:rPr>
                <w:b/>
                <w:sz w:val="15"/>
              </w:rPr>
              <w:t>Demonstrated function</w:t>
            </w:r>
          </w:p>
        </w:tc>
        <w:tc>
          <w:tcPr>
            <w:tcW w:w="868" w:type="pct"/>
            <w:shd w:val="clear" w:color="auto" w:fill="D9E2F3"/>
            <w:tcMar>
              <w:top w:w="80" w:type="dxa"/>
              <w:left w:w="80" w:type="dxa"/>
              <w:bottom w:w="80" w:type="dxa"/>
              <w:right w:w="80" w:type="dxa"/>
            </w:tcMar>
            <w:vAlign w:val="center"/>
          </w:tcPr>
          <w:p w14:paraId="7E6091CE" w14:textId="77777777" w:rsidR="00E25F3E" w:rsidRDefault="00000000" w:rsidP="00827B42">
            <w:pPr>
              <w:spacing w:after="0" w:line="240" w:lineRule="auto"/>
              <w:jc w:val="both"/>
            </w:pPr>
            <w:r>
              <w:rPr>
                <w:b/>
                <w:sz w:val="15"/>
              </w:rPr>
              <w:t>Representative performance</w:t>
            </w:r>
          </w:p>
        </w:tc>
        <w:tc>
          <w:tcPr>
            <w:tcW w:w="882" w:type="pct"/>
            <w:shd w:val="clear" w:color="auto" w:fill="D9E2F3"/>
            <w:tcMar>
              <w:top w:w="80" w:type="dxa"/>
              <w:left w:w="80" w:type="dxa"/>
              <w:bottom w:w="80" w:type="dxa"/>
              <w:right w:w="80" w:type="dxa"/>
            </w:tcMar>
            <w:vAlign w:val="center"/>
          </w:tcPr>
          <w:p w14:paraId="59C68E23" w14:textId="77777777" w:rsidR="00E25F3E" w:rsidRDefault="00000000" w:rsidP="00827B42">
            <w:pPr>
              <w:spacing w:after="0" w:line="240" w:lineRule="auto"/>
              <w:jc w:val="both"/>
            </w:pPr>
            <w:r>
              <w:rPr>
                <w:b/>
                <w:sz w:val="15"/>
              </w:rPr>
              <w:t>Engineering advance</w:t>
            </w:r>
          </w:p>
        </w:tc>
        <w:tc>
          <w:tcPr>
            <w:tcW w:w="924" w:type="pct"/>
            <w:shd w:val="clear" w:color="auto" w:fill="D9E2F3"/>
            <w:tcMar>
              <w:top w:w="80" w:type="dxa"/>
              <w:left w:w="80" w:type="dxa"/>
              <w:bottom w:w="80" w:type="dxa"/>
              <w:right w:w="80" w:type="dxa"/>
            </w:tcMar>
            <w:vAlign w:val="center"/>
          </w:tcPr>
          <w:p w14:paraId="3147A9C2" w14:textId="77777777" w:rsidR="00E25F3E" w:rsidRDefault="00000000" w:rsidP="00827B42">
            <w:pPr>
              <w:spacing w:after="0" w:line="240" w:lineRule="auto"/>
              <w:jc w:val="both"/>
            </w:pPr>
            <w:r>
              <w:rPr>
                <w:b/>
                <w:sz w:val="15"/>
              </w:rPr>
              <w:t>Unresolved constraint</w:t>
            </w:r>
          </w:p>
        </w:tc>
        <w:tc>
          <w:tcPr>
            <w:tcW w:w="868" w:type="pct"/>
            <w:shd w:val="clear" w:color="auto" w:fill="D9E2F3"/>
            <w:tcMar>
              <w:top w:w="80" w:type="dxa"/>
              <w:left w:w="80" w:type="dxa"/>
              <w:bottom w:w="80" w:type="dxa"/>
              <w:right w:w="80" w:type="dxa"/>
            </w:tcMar>
            <w:vAlign w:val="center"/>
          </w:tcPr>
          <w:p w14:paraId="25485789" w14:textId="77777777" w:rsidR="00E25F3E" w:rsidRDefault="00000000" w:rsidP="00827B42">
            <w:pPr>
              <w:spacing w:after="0" w:line="240" w:lineRule="auto"/>
              <w:jc w:val="both"/>
            </w:pPr>
            <w:r>
              <w:rPr>
                <w:b/>
                <w:sz w:val="15"/>
              </w:rPr>
              <w:t>Supporting references</w:t>
            </w:r>
          </w:p>
        </w:tc>
      </w:tr>
      <w:tr w:rsidR="00E25F3E" w14:paraId="5B5200CF" w14:textId="77777777" w:rsidTr="0001640A">
        <w:trPr>
          <w:cantSplit/>
          <w:jc w:val="center"/>
        </w:trPr>
        <w:tc>
          <w:tcPr>
            <w:tcW w:w="639" w:type="pct"/>
            <w:tcMar>
              <w:top w:w="75" w:type="dxa"/>
              <w:left w:w="80" w:type="dxa"/>
              <w:bottom w:w="75" w:type="dxa"/>
              <w:right w:w="80" w:type="dxa"/>
            </w:tcMar>
            <w:vAlign w:val="center"/>
          </w:tcPr>
          <w:p w14:paraId="00E88767" w14:textId="77777777" w:rsidR="00E25F3E" w:rsidRDefault="00000000" w:rsidP="00827B42">
            <w:pPr>
              <w:spacing w:after="0" w:line="240" w:lineRule="auto"/>
              <w:jc w:val="both"/>
            </w:pPr>
            <w:r>
              <w:rPr>
                <w:sz w:val="14"/>
              </w:rPr>
              <w:t>Preparative HUN</w:t>
            </w:r>
          </w:p>
        </w:tc>
        <w:tc>
          <w:tcPr>
            <w:tcW w:w="819" w:type="pct"/>
            <w:tcMar>
              <w:top w:w="75" w:type="dxa"/>
              <w:left w:w="80" w:type="dxa"/>
              <w:bottom w:w="75" w:type="dxa"/>
              <w:right w:w="80" w:type="dxa"/>
            </w:tcMar>
            <w:vAlign w:val="center"/>
          </w:tcPr>
          <w:p w14:paraId="739F1B02" w14:textId="77777777" w:rsidR="00E25F3E" w:rsidRDefault="00000000" w:rsidP="00827B42">
            <w:pPr>
              <w:spacing w:after="0" w:line="240" w:lineRule="auto"/>
              <w:jc w:val="both"/>
            </w:pPr>
            <w:r>
              <w:rPr>
                <w:sz w:val="14"/>
              </w:rPr>
              <w:t>Continuous synthesis with isolated products</w:t>
            </w:r>
          </w:p>
        </w:tc>
        <w:tc>
          <w:tcPr>
            <w:tcW w:w="868" w:type="pct"/>
            <w:tcMar>
              <w:top w:w="75" w:type="dxa"/>
              <w:left w:w="80" w:type="dxa"/>
              <w:bottom w:w="75" w:type="dxa"/>
              <w:right w:w="80" w:type="dxa"/>
            </w:tcMar>
            <w:vAlign w:val="center"/>
          </w:tcPr>
          <w:p w14:paraId="39DC1C75" w14:textId="77777777" w:rsidR="00E25F3E" w:rsidRDefault="00000000" w:rsidP="00827B42">
            <w:pPr>
              <w:spacing w:after="0" w:line="240" w:lineRule="auto"/>
              <w:jc w:val="both"/>
            </w:pPr>
            <w:r>
              <w:rPr>
                <w:sz w:val="14"/>
              </w:rPr>
              <w:t>Approximately 0.32-0.67 mg s-1 isolated product in four reported reactions; reaction-dependent acceleration</w:t>
            </w:r>
          </w:p>
        </w:tc>
        <w:tc>
          <w:tcPr>
            <w:tcW w:w="882" w:type="pct"/>
            <w:tcMar>
              <w:top w:w="75" w:type="dxa"/>
              <w:left w:w="80" w:type="dxa"/>
              <w:bottom w:w="75" w:type="dxa"/>
              <w:right w:w="80" w:type="dxa"/>
            </w:tcMar>
            <w:vAlign w:val="center"/>
          </w:tcPr>
          <w:p w14:paraId="4C3C75C4" w14:textId="77777777" w:rsidR="00E25F3E" w:rsidRDefault="00000000" w:rsidP="00827B42">
            <w:pPr>
              <w:spacing w:after="0" w:line="240" w:lineRule="auto"/>
              <w:jc w:val="both"/>
            </w:pPr>
            <w:r>
              <w:rPr>
                <w:sz w:val="14"/>
              </w:rPr>
              <w:t>Numbers-up droplet production beyond conventional analytical spray</w:t>
            </w:r>
          </w:p>
        </w:tc>
        <w:tc>
          <w:tcPr>
            <w:tcW w:w="924" w:type="pct"/>
            <w:tcMar>
              <w:top w:w="75" w:type="dxa"/>
              <w:left w:w="80" w:type="dxa"/>
              <w:bottom w:w="75" w:type="dxa"/>
              <w:right w:w="80" w:type="dxa"/>
            </w:tcMar>
            <w:vAlign w:val="center"/>
          </w:tcPr>
          <w:p w14:paraId="467EC20F" w14:textId="77777777" w:rsidR="00E25F3E" w:rsidRDefault="00000000" w:rsidP="00827B42">
            <w:pPr>
              <w:spacing w:after="0" w:line="240" w:lineRule="auto"/>
              <w:jc w:val="both"/>
            </w:pPr>
            <w:r>
              <w:rPr>
                <w:sz w:val="14"/>
              </w:rPr>
              <w:t>Energy use, size distribution and broader reaction generality require benchmarking</w:t>
            </w:r>
          </w:p>
        </w:tc>
        <w:tc>
          <w:tcPr>
            <w:tcW w:w="868" w:type="pct"/>
            <w:tcMar>
              <w:top w:w="75" w:type="dxa"/>
              <w:left w:w="80" w:type="dxa"/>
              <w:bottom w:w="75" w:type="dxa"/>
              <w:right w:w="80" w:type="dxa"/>
            </w:tcMar>
            <w:vAlign w:val="center"/>
          </w:tcPr>
          <w:p w14:paraId="07E79BD5" w14:textId="77777777" w:rsidR="00E25F3E" w:rsidRDefault="00000000" w:rsidP="00827B42">
            <w:pPr>
              <w:spacing w:after="0" w:line="240" w:lineRule="auto"/>
              <w:jc w:val="both"/>
            </w:pPr>
            <w:r>
              <w:rPr>
                <w:sz w:val="14"/>
              </w:rPr>
              <w:t>Liu et al., 2019</w:t>
            </w:r>
          </w:p>
        </w:tc>
      </w:tr>
      <w:tr w:rsidR="00E25F3E" w14:paraId="5C4ED9A7" w14:textId="77777777" w:rsidTr="0001640A">
        <w:trPr>
          <w:cantSplit/>
          <w:jc w:val="center"/>
        </w:trPr>
        <w:tc>
          <w:tcPr>
            <w:tcW w:w="639" w:type="pct"/>
            <w:tcMar>
              <w:top w:w="75" w:type="dxa"/>
              <w:left w:w="80" w:type="dxa"/>
              <w:bottom w:w="75" w:type="dxa"/>
              <w:right w:w="80" w:type="dxa"/>
            </w:tcMar>
            <w:vAlign w:val="center"/>
          </w:tcPr>
          <w:p w14:paraId="73F5FB82" w14:textId="77777777" w:rsidR="00E25F3E" w:rsidRDefault="00000000" w:rsidP="00827B42">
            <w:pPr>
              <w:spacing w:after="0" w:line="240" w:lineRule="auto"/>
              <w:jc w:val="both"/>
            </w:pPr>
            <w:r>
              <w:rPr>
                <w:sz w:val="14"/>
              </w:rPr>
              <w:t>Spray-film solvent recycling</w:t>
            </w:r>
          </w:p>
        </w:tc>
        <w:tc>
          <w:tcPr>
            <w:tcW w:w="819" w:type="pct"/>
            <w:tcMar>
              <w:top w:w="75" w:type="dxa"/>
              <w:left w:w="80" w:type="dxa"/>
              <w:bottom w:w="75" w:type="dxa"/>
              <w:right w:w="80" w:type="dxa"/>
            </w:tcMar>
            <w:vAlign w:val="center"/>
          </w:tcPr>
          <w:p w14:paraId="3EBEA329" w14:textId="77777777" w:rsidR="00E25F3E" w:rsidRDefault="00000000" w:rsidP="00827B42">
            <w:pPr>
              <w:spacing w:after="0" w:line="240" w:lineRule="auto"/>
              <w:jc w:val="both"/>
            </w:pPr>
            <w:r>
              <w:rPr>
                <w:sz w:val="14"/>
              </w:rPr>
              <w:t>Gram-scale accelerated synthesis with solvent recirculation</w:t>
            </w:r>
          </w:p>
        </w:tc>
        <w:tc>
          <w:tcPr>
            <w:tcW w:w="868" w:type="pct"/>
            <w:tcMar>
              <w:top w:w="75" w:type="dxa"/>
              <w:left w:w="80" w:type="dxa"/>
              <w:bottom w:w="75" w:type="dxa"/>
              <w:right w:w="80" w:type="dxa"/>
            </w:tcMar>
            <w:vAlign w:val="center"/>
          </w:tcPr>
          <w:p w14:paraId="32863C54" w14:textId="77777777" w:rsidR="00E25F3E" w:rsidRDefault="00000000" w:rsidP="00827B42">
            <w:pPr>
              <w:spacing w:after="0" w:line="240" w:lineRule="auto"/>
              <w:jc w:val="both"/>
            </w:pPr>
            <w:r>
              <w:rPr>
                <w:sz w:val="14"/>
              </w:rPr>
              <w:t>Claisen-Schmidt example reported about 0.88 mg s-1 and approximately 87% isolated yield</w:t>
            </w:r>
          </w:p>
        </w:tc>
        <w:tc>
          <w:tcPr>
            <w:tcW w:w="882" w:type="pct"/>
            <w:tcMar>
              <w:top w:w="75" w:type="dxa"/>
              <w:left w:w="80" w:type="dxa"/>
              <w:bottom w:w="75" w:type="dxa"/>
              <w:right w:w="80" w:type="dxa"/>
            </w:tcMar>
            <w:vAlign w:val="center"/>
          </w:tcPr>
          <w:p w14:paraId="62C53396" w14:textId="77777777" w:rsidR="00E25F3E" w:rsidRDefault="00000000" w:rsidP="00827B42">
            <w:pPr>
              <w:spacing w:after="0" w:line="240" w:lineRule="auto"/>
              <w:jc w:val="both"/>
            </w:pPr>
            <w:r>
              <w:rPr>
                <w:sz w:val="14"/>
              </w:rPr>
              <w:t>Links high-interface chemistry with solvent recovery</w:t>
            </w:r>
          </w:p>
        </w:tc>
        <w:tc>
          <w:tcPr>
            <w:tcW w:w="924" w:type="pct"/>
            <w:tcMar>
              <w:top w:w="75" w:type="dxa"/>
              <w:left w:w="80" w:type="dxa"/>
              <w:bottom w:w="75" w:type="dxa"/>
              <w:right w:w="80" w:type="dxa"/>
            </w:tcMar>
            <w:vAlign w:val="center"/>
          </w:tcPr>
          <w:p w14:paraId="4258EFDD" w14:textId="77777777" w:rsidR="00E25F3E" w:rsidRDefault="00000000" w:rsidP="00827B42">
            <w:pPr>
              <w:spacing w:after="0" w:line="240" w:lineRule="auto"/>
              <w:jc w:val="both"/>
            </w:pPr>
            <w:r>
              <w:rPr>
                <w:sz w:val="14"/>
              </w:rPr>
              <w:t>Droplet and thin-film contributions are not fully separable</w:t>
            </w:r>
          </w:p>
        </w:tc>
        <w:tc>
          <w:tcPr>
            <w:tcW w:w="868" w:type="pct"/>
            <w:tcMar>
              <w:top w:w="75" w:type="dxa"/>
              <w:left w:w="80" w:type="dxa"/>
              <w:bottom w:w="75" w:type="dxa"/>
              <w:right w:w="80" w:type="dxa"/>
            </w:tcMar>
            <w:vAlign w:val="center"/>
          </w:tcPr>
          <w:p w14:paraId="68F6BA1D" w14:textId="77777777" w:rsidR="00E25F3E" w:rsidRDefault="00000000" w:rsidP="00827B42">
            <w:pPr>
              <w:spacing w:after="0" w:line="240" w:lineRule="auto"/>
              <w:jc w:val="both"/>
            </w:pPr>
            <w:r>
              <w:rPr>
                <w:sz w:val="14"/>
              </w:rPr>
              <w:t>Nie et al., 2020</w:t>
            </w:r>
          </w:p>
        </w:tc>
      </w:tr>
      <w:tr w:rsidR="00E25F3E" w14:paraId="1063BF72" w14:textId="77777777" w:rsidTr="0001640A">
        <w:trPr>
          <w:cantSplit/>
          <w:jc w:val="center"/>
        </w:trPr>
        <w:tc>
          <w:tcPr>
            <w:tcW w:w="639" w:type="pct"/>
            <w:tcMar>
              <w:top w:w="75" w:type="dxa"/>
              <w:left w:w="80" w:type="dxa"/>
              <w:bottom w:w="75" w:type="dxa"/>
              <w:right w:w="80" w:type="dxa"/>
            </w:tcMar>
            <w:vAlign w:val="center"/>
          </w:tcPr>
          <w:p w14:paraId="5800C3D1" w14:textId="77777777" w:rsidR="00E25F3E" w:rsidRDefault="00000000" w:rsidP="00827B42">
            <w:pPr>
              <w:spacing w:after="0" w:line="240" w:lineRule="auto"/>
              <w:jc w:val="both"/>
            </w:pPr>
            <w:r>
              <w:rPr>
                <w:sz w:val="14"/>
              </w:rPr>
              <w:lastRenderedPageBreak/>
              <w:t>DESI high-throughput screening</w:t>
            </w:r>
          </w:p>
        </w:tc>
        <w:tc>
          <w:tcPr>
            <w:tcW w:w="819" w:type="pct"/>
            <w:tcMar>
              <w:top w:w="75" w:type="dxa"/>
              <w:left w:w="80" w:type="dxa"/>
              <w:bottom w:w="75" w:type="dxa"/>
              <w:right w:w="80" w:type="dxa"/>
            </w:tcMar>
            <w:vAlign w:val="center"/>
          </w:tcPr>
          <w:p w14:paraId="30651533" w14:textId="77777777" w:rsidR="00E25F3E" w:rsidRDefault="00000000" w:rsidP="00827B42">
            <w:pPr>
              <w:spacing w:after="0" w:line="240" w:lineRule="auto"/>
              <w:jc w:val="both"/>
            </w:pPr>
            <w:r>
              <w:rPr>
                <w:sz w:val="14"/>
              </w:rPr>
              <w:t>Rapid comparison of reaction conditions</w:t>
            </w:r>
          </w:p>
        </w:tc>
        <w:tc>
          <w:tcPr>
            <w:tcW w:w="868" w:type="pct"/>
            <w:tcMar>
              <w:top w:w="75" w:type="dxa"/>
              <w:left w:w="80" w:type="dxa"/>
              <w:bottom w:w="75" w:type="dxa"/>
              <w:right w:w="80" w:type="dxa"/>
            </w:tcMar>
            <w:vAlign w:val="center"/>
          </w:tcPr>
          <w:p w14:paraId="30EB0B10" w14:textId="77777777" w:rsidR="00E25F3E" w:rsidRDefault="00000000" w:rsidP="00827B42">
            <w:pPr>
              <w:spacing w:after="0" w:line="240" w:lineRule="auto"/>
              <w:jc w:val="both"/>
            </w:pPr>
            <w:r>
              <w:rPr>
                <w:sz w:val="14"/>
              </w:rPr>
              <w:t>Suzuki screening reported at roughly 2.8 mixtures s-1</w:t>
            </w:r>
          </w:p>
        </w:tc>
        <w:tc>
          <w:tcPr>
            <w:tcW w:w="882" w:type="pct"/>
            <w:tcMar>
              <w:top w:w="75" w:type="dxa"/>
              <w:left w:w="80" w:type="dxa"/>
              <w:bottom w:w="75" w:type="dxa"/>
              <w:right w:w="80" w:type="dxa"/>
            </w:tcMar>
            <w:vAlign w:val="center"/>
          </w:tcPr>
          <w:p w14:paraId="44142DDE" w14:textId="77777777" w:rsidR="00E25F3E" w:rsidRDefault="00000000" w:rsidP="00827B42">
            <w:pPr>
              <w:spacing w:after="0" w:line="240" w:lineRule="auto"/>
              <w:jc w:val="both"/>
            </w:pPr>
            <w:r>
              <w:rPr>
                <w:sz w:val="14"/>
              </w:rPr>
              <w:t>Scales information generation rather than material output</w:t>
            </w:r>
          </w:p>
        </w:tc>
        <w:tc>
          <w:tcPr>
            <w:tcW w:w="924" w:type="pct"/>
            <w:tcMar>
              <w:top w:w="75" w:type="dxa"/>
              <w:left w:w="80" w:type="dxa"/>
              <w:bottom w:w="75" w:type="dxa"/>
              <w:right w:w="80" w:type="dxa"/>
            </w:tcMar>
            <w:vAlign w:val="center"/>
          </w:tcPr>
          <w:p w14:paraId="55307B4F" w14:textId="77777777" w:rsidR="00E25F3E" w:rsidRDefault="00000000" w:rsidP="00827B42">
            <w:pPr>
              <w:spacing w:after="0" w:line="240" w:lineRule="auto"/>
              <w:jc w:val="both"/>
            </w:pPr>
            <w:r>
              <w:rPr>
                <w:sz w:val="14"/>
              </w:rPr>
              <w:t>MS response and isolated yield may rank conditions differently</w:t>
            </w:r>
          </w:p>
        </w:tc>
        <w:tc>
          <w:tcPr>
            <w:tcW w:w="868" w:type="pct"/>
            <w:tcMar>
              <w:top w:w="75" w:type="dxa"/>
              <w:left w:w="80" w:type="dxa"/>
              <w:bottom w:w="75" w:type="dxa"/>
              <w:right w:w="80" w:type="dxa"/>
            </w:tcMar>
            <w:vAlign w:val="center"/>
          </w:tcPr>
          <w:p w14:paraId="3FF7617D" w14:textId="77777777" w:rsidR="00E25F3E" w:rsidRDefault="00000000" w:rsidP="00827B42">
            <w:pPr>
              <w:spacing w:after="0" w:line="240" w:lineRule="auto"/>
              <w:jc w:val="both"/>
            </w:pPr>
            <w:r>
              <w:rPr>
                <w:sz w:val="14"/>
              </w:rPr>
              <w:t>Fedick et al., 2019</w:t>
            </w:r>
          </w:p>
        </w:tc>
      </w:tr>
      <w:tr w:rsidR="00E25F3E" w14:paraId="47A3A0F5" w14:textId="77777777" w:rsidTr="0001640A">
        <w:trPr>
          <w:cantSplit/>
          <w:jc w:val="center"/>
        </w:trPr>
        <w:tc>
          <w:tcPr>
            <w:tcW w:w="639" w:type="pct"/>
            <w:tcMar>
              <w:top w:w="75" w:type="dxa"/>
              <w:left w:w="80" w:type="dxa"/>
              <w:bottom w:w="75" w:type="dxa"/>
              <w:right w:w="80" w:type="dxa"/>
            </w:tcMar>
            <w:vAlign w:val="center"/>
          </w:tcPr>
          <w:p w14:paraId="5DB43362" w14:textId="77777777" w:rsidR="00E25F3E" w:rsidRDefault="00000000" w:rsidP="00827B42">
            <w:pPr>
              <w:spacing w:after="0" w:line="240" w:lineRule="auto"/>
              <w:jc w:val="both"/>
            </w:pPr>
            <w:r>
              <w:rPr>
                <w:sz w:val="14"/>
              </w:rPr>
              <w:t>Rapid chemical-space exploration</w:t>
            </w:r>
          </w:p>
        </w:tc>
        <w:tc>
          <w:tcPr>
            <w:tcW w:w="819" w:type="pct"/>
            <w:tcMar>
              <w:top w:w="75" w:type="dxa"/>
              <w:left w:w="80" w:type="dxa"/>
              <w:bottom w:w="75" w:type="dxa"/>
              <w:right w:w="80" w:type="dxa"/>
            </w:tcMar>
            <w:vAlign w:val="center"/>
          </w:tcPr>
          <w:p w14:paraId="65240E91" w14:textId="77777777" w:rsidR="00E25F3E" w:rsidRDefault="00000000" w:rsidP="00827B42">
            <w:pPr>
              <w:spacing w:after="0" w:line="240" w:lineRule="auto"/>
              <w:jc w:val="both"/>
            </w:pPr>
            <w:r>
              <w:rPr>
                <w:sz w:val="14"/>
              </w:rPr>
              <w:t>Automated/rapid microdroplet reaction analysis</w:t>
            </w:r>
          </w:p>
        </w:tc>
        <w:tc>
          <w:tcPr>
            <w:tcW w:w="868" w:type="pct"/>
            <w:tcMar>
              <w:top w:w="75" w:type="dxa"/>
              <w:left w:w="80" w:type="dxa"/>
              <w:bottom w:w="75" w:type="dxa"/>
              <w:right w:w="80" w:type="dxa"/>
            </w:tcMar>
            <w:vAlign w:val="center"/>
          </w:tcPr>
          <w:p w14:paraId="334FB3F5" w14:textId="77777777" w:rsidR="00E25F3E" w:rsidRDefault="00000000" w:rsidP="00827B42">
            <w:pPr>
              <w:spacing w:after="0" w:line="240" w:lineRule="auto"/>
              <w:jc w:val="both"/>
            </w:pPr>
            <w:r>
              <w:rPr>
                <w:sz w:val="14"/>
              </w:rPr>
              <w:t>Representative operation near one reaction s-1</w:t>
            </w:r>
          </w:p>
        </w:tc>
        <w:tc>
          <w:tcPr>
            <w:tcW w:w="882" w:type="pct"/>
            <w:tcMar>
              <w:top w:w="75" w:type="dxa"/>
              <w:left w:w="80" w:type="dxa"/>
              <w:bottom w:w="75" w:type="dxa"/>
              <w:right w:w="80" w:type="dxa"/>
            </w:tcMar>
            <w:vAlign w:val="center"/>
          </w:tcPr>
          <w:p w14:paraId="13B78B55" w14:textId="77777777" w:rsidR="00E25F3E" w:rsidRDefault="00000000" w:rsidP="00827B42">
            <w:pPr>
              <w:spacing w:after="0" w:line="240" w:lineRule="auto"/>
              <w:jc w:val="both"/>
            </w:pPr>
            <w:r>
              <w:rPr>
                <w:sz w:val="14"/>
              </w:rPr>
              <w:t>Integrates synthesis, sampling and structure-sensitive detection</w:t>
            </w:r>
          </w:p>
        </w:tc>
        <w:tc>
          <w:tcPr>
            <w:tcW w:w="924" w:type="pct"/>
            <w:tcMar>
              <w:top w:w="75" w:type="dxa"/>
              <w:left w:w="80" w:type="dxa"/>
              <w:bottom w:w="75" w:type="dxa"/>
              <w:right w:w="80" w:type="dxa"/>
            </w:tcMar>
            <w:vAlign w:val="center"/>
          </w:tcPr>
          <w:p w14:paraId="036900BE" w14:textId="77777777" w:rsidR="00E25F3E" w:rsidRDefault="00000000" w:rsidP="00827B42">
            <w:pPr>
              <w:spacing w:after="0" w:line="240" w:lineRule="auto"/>
              <w:jc w:val="both"/>
            </w:pPr>
            <w:r>
              <w:rPr>
                <w:sz w:val="14"/>
              </w:rPr>
              <w:t>Hit confirmation and downstream purification remain rate-limiting</w:t>
            </w:r>
          </w:p>
        </w:tc>
        <w:tc>
          <w:tcPr>
            <w:tcW w:w="868" w:type="pct"/>
            <w:tcMar>
              <w:top w:w="75" w:type="dxa"/>
              <w:left w:w="80" w:type="dxa"/>
              <w:bottom w:w="75" w:type="dxa"/>
              <w:right w:w="80" w:type="dxa"/>
            </w:tcMar>
            <w:vAlign w:val="center"/>
          </w:tcPr>
          <w:p w14:paraId="6E4E29B9" w14:textId="77777777" w:rsidR="00E25F3E" w:rsidRDefault="00000000" w:rsidP="00827B42">
            <w:pPr>
              <w:spacing w:after="0" w:line="240" w:lineRule="auto"/>
              <w:jc w:val="both"/>
            </w:pPr>
            <w:r>
              <w:rPr>
                <w:sz w:val="14"/>
              </w:rPr>
              <w:t>Huang et al., 2024</w:t>
            </w:r>
          </w:p>
        </w:tc>
      </w:tr>
      <w:tr w:rsidR="00E25F3E" w14:paraId="0D751E58" w14:textId="77777777" w:rsidTr="0001640A">
        <w:trPr>
          <w:cantSplit/>
          <w:jc w:val="center"/>
        </w:trPr>
        <w:tc>
          <w:tcPr>
            <w:tcW w:w="639" w:type="pct"/>
            <w:tcMar>
              <w:top w:w="75" w:type="dxa"/>
              <w:left w:w="80" w:type="dxa"/>
              <w:bottom w:w="75" w:type="dxa"/>
              <w:right w:w="80" w:type="dxa"/>
            </w:tcMar>
            <w:vAlign w:val="center"/>
          </w:tcPr>
          <w:p w14:paraId="6B62AF7E" w14:textId="77777777" w:rsidR="00E25F3E" w:rsidRDefault="00000000" w:rsidP="00827B42">
            <w:pPr>
              <w:spacing w:after="0" w:line="240" w:lineRule="auto"/>
              <w:jc w:val="both"/>
            </w:pPr>
            <w:r>
              <w:rPr>
                <w:sz w:val="14"/>
              </w:rPr>
              <w:t>Automated array-to-array synthesis</w:t>
            </w:r>
          </w:p>
        </w:tc>
        <w:tc>
          <w:tcPr>
            <w:tcW w:w="819" w:type="pct"/>
            <w:tcMar>
              <w:top w:w="75" w:type="dxa"/>
              <w:left w:w="80" w:type="dxa"/>
              <w:bottom w:w="75" w:type="dxa"/>
              <w:right w:w="80" w:type="dxa"/>
            </w:tcMar>
            <w:vAlign w:val="center"/>
          </w:tcPr>
          <w:p w14:paraId="43F36278" w14:textId="77777777" w:rsidR="00E25F3E" w:rsidRDefault="00000000" w:rsidP="00827B42">
            <w:pPr>
              <w:spacing w:after="0" w:line="240" w:lineRule="auto"/>
              <w:jc w:val="both"/>
            </w:pPr>
            <w:r>
              <w:rPr>
                <w:sz w:val="14"/>
              </w:rPr>
              <w:t>Programmable parallel microdroplet synthesis</w:t>
            </w:r>
          </w:p>
        </w:tc>
        <w:tc>
          <w:tcPr>
            <w:tcW w:w="868" w:type="pct"/>
            <w:tcMar>
              <w:top w:w="75" w:type="dxa"/>
              <w:left w:w="80" w:type="dxa"/>
              <w:bottom w:w="75" w:type="dxa"/>
              <w:right w:w="80" w:type="dxa"/>
            </w:tcMar>
            <w:vAlign w:val="center"/>
          </w:tcPr>
          <w:p w14:paraId="6B156C6F" w14:textId="77777777" w:rsidR="00E25F3E" w:rsidRDefault="00000000" w:rsidP="00827B42">
            <w:pPr>
              <w:spacing w:after="0" w:line="240" w:lineRule="auto"/>
              <w:jc w:val="both"/>
            </w:pPr>
            <w:r>
              <w:rPr>
                <w:sz w:val="14"/>
              </w:rPr>
              <w:t>Automated transfer increases experimental throughput</w:t>
            </w:r>
          </w:p>
        </w:tc>
        <w:tc>
          <w:tcPr>
            <w:tcW w:w="882" w:type="pct"/>
            <w:tcMar>
              <w:top w:w="75" w:type="dxa"/>
              <w:left w:w="80" w:type="dxa"/>
              <w:bottom w:w="75" w:type="dxa"/>
              <w:right w:w="80" w:type="dxa"/>
            </w:tcMar>
            <w:vAlign w:val="center"/>
          </w:tcPr>
          <w:p w14:paraId="2FEDCC2C" w14:textId="77777777" w:rsidR="00E25F3E" w:rsidRDefault="00000000" w:rsidP="00827B42">
            <w:pPr>
              <w:spacing w:after="0" w:line="240" w:lineRule="auto"/>
              <w:jc w:val="both"/>
            </w:pPr>
            <w:r>
              <w:rPr>
                <w:sz w:val="14"/>
              </w:rPr>
              <w:t>Moves from manual screening to workflow automation</w:t>
            </w:r>
          </w:p>
        </w:tc>
        <w:tc>
          <w:tcPr>
            <w:tcW w:w="924" w:type="pct"/>
            <w:tcMar>
              <w:top w:w="75" w:type="dxa"/>
              <w:left w:w="80" w:type="dxa"/>
              <w:bottom w:w="75" w:type="dxa"/>
              <w:right w:w="80" w:type="dxa"/>
            </w:tcMar>
            <w:vAlign w:val="center"/>
          </w:tcPr>
          <w:p w14:paraId="50BE728C" w14:textId="77777777" w:rsidR="00E25F3E" w:rsidRDefault="00000000" w:rsidP="00827B42">
            <w:pPr>
              <w:spacing w:after="0" w:line="240" w:lineRule="auto"/>
              <w:jc w:val="both"/>
            </w:pPr>
            <w:r>
              <w:rPr>
                <w:sz w:val="14"/>
              </w:rPr>
              <w:t>Preparative scale and process robustness need wider validation</w:t>
            </w:r>
          </w:p>
        </w:tc>
        <w:tc>
          <w:tcPr>
            <w:tcW w:w="868" w:type="pct"/>
            <w:tcMar>
              <w:top w:w="75" w:type="dxa"/>
              <w:left w:w="80" w:type="dxa"/>
              <w:bottom w:w="75" w:type="dxa"/>
              <w:right w:w="80" w:type="dxa"/>
            </w:tcMar>
            <w:vAlign w:val="center"/>
          </w:tcPr>
          <w:p w14:paraId="353D5866" w14:textId="77777777" w:rsidR="00E25F3E" w:rsidRDefault="00000000" w:rsidP="00827B42">
            <w:pPr>
              <w:spacing w:after="0" w:line="240" w:lineRule="auto"/>
              <w:jc w:val="both"/>
            </w:pPr>
            <w:r>
              <w:rPr>
                <w:sz w:val="14"/>
              </w:rPr>
              <w:t>Huang et al., 2025</w:t>
            </w:r>
          </w:p>
        </w:tc>
      </w:tr>
      <w:tr w:rsidR="00E25F3E" w14:paraId="34291FA8" w14:textId="77777777" w:rsidTr="0001640A">
        <w:trPr>
          <w:cantSplit/>
          <w:jc w:val="center"/>
        </w:trPr>
        <w:tc>
          <w:tcPr>
            <w:tcW w:w="639" w:type="pct"/>
            <w:tcMar>
              <w:top w:w="75" w:type="dxa"/>
              <w:left w:w="80" w:type="dxa"/>
              <w:bottom w:w="75" w:type="dxa"/>
              <w:right w:w="80" w:type="dxa"/>
            </w:tcMar>
            <w:vAlign w:val="center"/>
          </w:tcPr>
          <w:p w14:paraId="6119CEEA" w14:textId="77777777" w:rsidR="00E25F3E" w:rsidRDefault="00000000" w:rsidP="00827B42">
            <w:pPr>
              <w:spacing w:after="0" w:line="240" w:lineRule="auto"/>
              <w:jc w:val="both"/>
            </w:pPr>
            <w:r>
              <w:rPr>
                <w:sz w:val="14"/>
              </w:rPr>
              <w:t>Voltage-controlled interfacial electrochemistry</w:t>
            </w:r>
          </w:p>
        </w:tc>
        <w:tc>
          <w:tcPr>
            <w:tcW w:w="819" w:type="pct"/>
            <w:tcMar>
              <w:top w:w="75" w:type="dxa"/>
              <w:left w:w="80" w:type="dxa"/>
              <w:bottom w:w="75" w:type="dxa"/>
              <w:right w:w="80" w:type="dxa"/>
            </w:tcMar>
            <w:vAlign w:val="center"/>
          </w:tcPr>
          <w:p w14:paraId="3623C2A5" w14:textId="77777777" w:rsidR="00E25F3E" w:rsidRDefault="00000000" w:rsidP="00827B42">
            <w:pPr>
              <w:spacing w:after="0" w:line="240" w:lineRule="auto"/>
              <w:jc w:val="both"/>
            </w:pPr>
            <w:r>
              <w:rPr>
                <w:sz w:val="14"/>
              </w:rPr>
              <w:t>Electrochemical rate modulation at a microinterface</w:t>
            </w:r>
          </w:p>
        </w:tc>
        <w:tc>
          <w:tcPr>
            <w:tcW w:w="868" w:type="pct"/>
            <w:tcMar>
              <w:top w:w="75" w:type="dxa"/>
              <w:left w:w="80" w:type="dxa"/>
              <w:bottom w:w="75" w:type="dxa"/>
              <w:right w:w="80" w:type="dxa"/>
            </w:tcMar>
            <w:vAlign w:val="center"/>
          </w:tcPr>
          <w:p w14:paraId="14EF1367" w14:textId="77777777" w:rsidR="00E25F3E" w:rsidRDefault="00000000" w:rsidP="00827B42">
            <w:pPr>
              <w:spacing w:after="0" w:line="240" w:lineRule="auto"/>
              <w:jc w:val="both"/>
            </w:pPr>
            <w:r>
              <w:rPr>
                <w:sz w:val="14"/>
              </w:rPr>
              <w:t>Applied voltage acts as a controllable reaction variable</w:t>
            </w:r>
          </w:p>
        </w:tc>
        <w:tc>
          <w:tcPr>
            <w:tcW w:w="882" w:type="pct"/>
            <w:tcMar>
              <w:top w:w="75" w:type="dxa"/>
              <w:left w:w="80" w:type="dxa"/>
              <w:bottom w:w="75" w:type="dxa"/>
              <w:right w:w="80" w:type="dxa"/>
            </w:tcMar>
            <w:vAlign w:val="center"/>
          </w:tcPr>
          <w:p w14:paraId="32C819A1" w14:textId="77777777" w:rsidR="00E25F3E" w:rsidRDefault="00000000" w:rsidP="00827B42">
            <w:pPr>
              <w:spacing w:after="0" w:line="240" w:lineRule="auto"/>
              <w:jc w:val="both"/>
            </w:pPr>
            <w:r>
              <w:rPr>
                <w:sz w:val="14"/>
              </w:rPr>
              <w:t>Converts charge from a nuisance variable into a reactor control</w:t>
            </w:r>
          </w:p>
        </w:tc>
        <w:tc>
          <w:tcPr>
            <w:tcW w:w="924" w:type="pct"/>
            <w:tcMar>
              <w:top w:w="75" w:type="dxa"/>
              <w:left w:w="80" w:type="dxa"/>
              <w:bottom w:w="75" w:type="dxa"/>
              <w:right w:w="80" w:type="dxa"/>
            </w:tcMar>
            <w:vAlign w:val="center"/>
          </w:tcPr>
          <w:p w14:paraId="418C0CB4" w14:textId="77777777" w:rsidR="00E25F3E" w:rsidRDefault="00000000" w:rsidP="00827B42">
            <w:pPr>
              <w:spacing w:after="0" w:line="240" w:lineRule="auto"/>
              <w:jc w:val="both"/>
            </w:pPr>
            <w:r>
              <w:rPr>
                <w:sz w:val="14"/>
              </w:rPr>
              <w:t>Need standard electrochemical metrics and comparison with conventional electrodes</w:t>
            </w:r>
          </w:p>
        </w:tc>
        <w:tc>
          <w:tcPr>
            <w:tcW w:w="868" w:type="pct"/>
            <w:tcMar>
              <w:top w:w="75" w:type="dxa"/>
              <w:left w:w="80" w:type="dxa"/>
              <w:bottom w:w="75" w:type="dxa"/>
              <w:right w:w="80" w:type="dxa"/>
            </w:tcMar>
            <w:vAlign w:val="center"/>
          </w:tcPr>
          <w:p w14:paraId="34D03FB7" w14:textId="77777777" w:rsidR="00E25F3E" w:rsidRDefault="00000000" w:rsidP="00827B42">
            <w:pPr>
              <w:spacing w:after="0" w:line="240" w:lineRule="auto"/>
              <w:jc w:val="both"/>
            </w:pPr>
            <w:r>
              <w:rPr>
                <w:sz w:val="14"/>
              </w:rPr>
              <w:t>Cheng et al., 2020; Vannoy et al., 2024</w:t>
            </w:r>
          </w:p>
        </w:tc>
      </w:tr>
    </w:tbl>
    <w:p w14:paraId="28B03125" w14:textId="77777777" w:rsidR="00E25F3E" w:rsidRDefault="00000000" w:rsidP="00827B42">
      <w:pPr>
        <w:pStyle w:val="TableNoteCustom"/>
        <w:jc w:val="both"/>
      </w:pPr>
      <w:r>
        <w:t>Note. HUN, heated ultrasonic nebulisation; MS, mass spectrometry. Performance values are representative of the cited studies and should not be interpreted as universal device specifications.</w:t>
      </w:r>
    </w:p>
    <w:p w14:paraId="0A5A2C5D" w14:textId="77777777" w:rsidR="00E25F3E" w:rsidRDefault="00000000" w:rsidP="00827B42">
      <w:pPr>
        <w:pStyle w:val="Heading1"/>
        <w:jc w:val="both"/>
      </w:pPr>
      <w:r>
        <w:t>8. Evidence Quality, Reproducibility and Engineering Readiness</w:t>
      </w:r>
    </w:p>
    <w:p w14:paraId="4064B00C" w14:textId="77777777" w:rsidR="00E25F3E" w:rsidRDefault="00000000" w:rsidP="00827B42">
      <w:pPr>
        <w:pStyle w:val="BodyTextCustom"/>
      </w:pPr>
      <w:r>
        <w:t>The microdroplet field has been unusually productive because the experiments are fast and the phenomena can be dramatic. The same features make it vulnerable to overinterpretation. Very large acceleration factors are rhetorically powerful but depend on denominator choices, reaction-time estimates, concentration histories and detector response. A more mature evidence standard would rank the direct observables before the derived quantities. Droplet size distribution, solvent loss, residence time, charge, gas composition, calibrated conversion and isolated product are direct or near-direct measurements. Interfacial rate constants, local pH and field-induced barrier changes are often model-assisted inferences. Both are valuable, but their uncertainties should not be presented on the same footing.</w:t>
      </w:r>
    </w:p>
    <w:p w14:paraId="71C2820A" w14:textId="77777777" w:rsidR="00E25F3E" w:rsidRDefault="00000000" w:rsidP="00827B42">
      <w:pPr>
        <w:pStyle w:val="BodyTextCustom"/>
      </w:pPr>
      <w:r>
        <w:t>Rovelli et al. (2020) articulated many of these issues for electrospray kinetics, stressing that reactions can continue during evaporation and sampling and that ESI signals are not inherently quantitative concentration measurements. Chen and Williams (2023) then showed experimentally how neglect of concentration changes can magnify apparent acceleration. These critiques are not evidence that electrospray chemistry is artifactual; rather, they specify the controls required for stronger causal claims. Indeed, the later development of levitated, unactivated and preparative systems can be read as a direct response to those methodological concerns (Chen et al., 2025; Qiu et al., 2024).</w:t>
      </w:r>
    </w:p>
    <w:p w14:paraId="4E03B6FD" w14:textId="77777777" w:rsidR="00E25F3E" w:rsidRDefault="00000000" w:rsidP="00827B42">
      <w:pPr>
        <w:pStyle w:val="BodyTextCustom"/>
      </w:pPr>
      <w:r>
        <w:t>Reproducibility also depends on reporting reactor boundary conditions. A label such as 'aqueous microdroplet' omits variables that can decide the outcome: droplet diameter and distribution, charge sign and current, emitter material, solvent purity, ionic strength, gas identity, ozone content, humidity, temperature, flight distance, flow rate, nebulising pressure and collection surface. The peroxide controversy shows how trace ozone can reverse a mechanistic interpretation (Gallo et al., 2022; Mehrgardi et al., 2022). Electric-field studies similarly show that field strength and orientation are local properties, not universal constants of all interfaces (Hao et al., 2022; Xiong et al., 2020). A minimal reporting standard would make these variables explicit even when they are not the focus of the experiment.</w:t>
      </w:r>
    </w:p>
    <w:p w14:paraId="7F8FDD66" w14:textId="77777777" w:rsidR="00E25F3E" w:rsidRDefault="00000000" w:rsidP="00827B42">
      <w:pPr>
        <w:pStyle w:val="BodyTextCustom"/>
      </w:pPr>
      <w:r>
        <w:t>Computational chemistry can provide access to interfacial quantities that are difficult to measure, but scale mismatch remains a recurring limitation. Molecular dynamics and quantum calculations typically treat nanometre-scale systems over short times, whereas experiments may involve micrometre droplets with complex solute distributions and ongoing evaporation. Narendra et al. (2020) and Hao et al. (2022) demonstrate the explanatory value of theory when it generates reaction-specific predictions about solvation or electric fields. LaCour et al. (2025) likewise integrated charge and interface effects into a broader framework. The evidential hierarchy is strongest when simulations predict a perturbation—such as field direction, ion identity or surface occupancy—that is then varied experimentally, rather than when computation is used post hoc to rationalise any observed acceleration.</w:t>
      </w:r>
    </w:p>
    <w:p w14:paraId="4D2D9BEC" w14:textId="77777777" w:rsidR="00E25F3E" w:rsidRDefault="00000000" w:rsidP="00827B42">
      <w:pPr>
        <w:pStyle w:val="BodyTextCustom"/>
      </w:pPr>
      <w:r>
        <w:t xml:space="preserve">The distinction between kinetic and process evidence is equally important. An ultrafast reaction can still be a poor reactor process if product is dilute, the droplet generator consumes substantial energy, collection is inefficient or </w:t>
      </w:r>
      <w:r>
        <w:lastRenderedPageBreak/>
        <w:t>downstream purification dominates cost. Conversely, a hybrid spray-film device can be technologically useful even if the pure microdroplet contribution cannot be isolated mechanistically. Reactor readiness should therefore be evaluated with metrics appropriate to the intended function: calibrated conversion and selectivity for kinetic claims; isolated yield and space-time productivity for synthesis; hit confirmation rate and false-positive control for screening; and energy, solvent, material and waste intensity for sustainability claims.</w:t>
      </w:r>
    </w:p>
    <w:p w14:paraId="69C38EF7" w14:textId="77777777" w:rsidR="00E25F3E" w:rsidRDefault="00000000" w:rsidP="00827B42">
      <w:pPr>
        <w:pStyle w:val="BodyTextCustom"/>
      </w:pPr>
      <w:r>
        <w:t>The evidence hierarchy in Table 5 is intended as a practical bridge between mechanistic and engineering evaluation. It does not assign formal risk-of-bias scores. Instead, it identifies which additional measurements most reduce ambiguity. Across the field, the highest-value improvements are orthogonal product quantification, explicit droplet-history measurement, charge- and gas-controlled comparisons, and transparent separation of observed whole-droplet kinetics from model-derived local surface rates.</w:t>
      </w:r>
    </w:p>
    <w:p w14:paraId="0E507898" w14:textId="77777777" w:rsidR="00E25F3E" w:rsidRDefault="00000000" w:rsidP="00827B42">
      <w:pPr>
        <w:pStyle w:val="TableCaptionCustom"/>
        <w:jc w:val="both"/>
      </w:pPr>
      <w:r>
        <w:t>Table 5. Evidence-strength criteria for claims about microdroplet mechanisms and reactor performance</w:t>
      </w:r>
    </w:p>
    <w:tbl>
      <w:tblPr>
        <w:tblStyle w:val="TableGrid"/>
        <w:tblW w:w="0" w:type="auto"/>
        <w:jc w:val="center"/>
        <w:tblLayout w:type="fixed"/>
        <w:tblLook w:val="04A0" w:firstRow="1" w:lastRow="0" w:firstColumn="1" w:lastColumn="0" w:noHBand="0" w:noVBand="1"/>
      </w:tblPr>
      <w:tblGrid>
        <w:gridCol w:w="1325"/>
        <w:gridCol w:w="1699"/>
        <w:gridCol w:w="1800"/>
        <w:gridCol w:w="1829"/>
        <w:gridCol w:w="1915"/>
        <w:gridCol w:w="1800"/>
      </w:tblGrid>
      <w:tr w:rsidR="00E25F3E" w14:paraId="06DACC04" w14:textId="77777777">
        <w:trPr>
          <w:cantSplit/>
          <w:tblHeader/>
          <w:jc w:val="center"/>
        </w:trPr>
        <w:tc>
          <w:tcPr>
            <w:tcW w:w="1325" w:type="dxa"/>
            <w:shd w:val="clear" w:color="auto" w:fill="D9E2F3"/>
            <w:tcMar>
              <w:top w:w="80" w:type="dxa"/>
              <w:left w:w="80" w:type="dxa"/>
              <w:bottom w:w="80" w:type="dxa"/>
              <w:right w:w="80" w:type="dxa"/>
            </w:tcMar>
            <w:vAlign w:val="center"/>
          </w:tcPr>
          <w:p w14:paraId="402F110C" w14:textId="77777777" w:rsidR="00E25F3E" w:rsidRDefault="00000000" w:rsidP="00827B42">
            <w:pPr>
              <w:spacing w:after="0" w:line="240" w:lineRule="auto"/>
              <w:jc w:val="both"/>
            </w:pPr>
            <w:r>
              <w:rPr>
                <w:b/>
                <w:sz w:val="15"/>
              </w:rPr>
              <w:t>Claim type</w:t>
            </w:r>
          </w:p>
        </w:tc>
        <w:tc>
          <w:tcPr>
            <w:tcW w:w="1699" w:type="dxa"/>
            <w:shd w:val="clear" w:color="auto" w:fill="D9E2F3"/>
            <w:tcMar>
              <w:top w:w="80" w:type="dxa"/>
              <w:left w:w="80" w:type="dxa"/>
              <w:bottom w:w="80" w:type="dxa"/>
              <w:right w:w="80" w:type="dxa"/>
            </w:tcMar>
            <w:vAlign w:val="center"/>
          </w:tcPr>
          <w:p w14:paraId="68ADCB2E" w14:textId="77777777" w:rsidR="00E25F3E" w:rsidRDefault="00000000" w:rsidP="00827B42">
            <w:pPr>
              <w:spacing w:after="0" w:line="240" w:lineRule="auto"/>
              <w:jc w:val="both"/>
            </w:pPr>
            <w:r>
              <w:rPr>
                <w:b/>
                <w:sz w:val="15"/>
              </w:rPr>
              <w:t>Lower-confidence evidence</w:t>
            </w:r>
          </w:p>
        </w:tc>
        <w:tc>
          <w:tcPr>
            <w:tcW w:w="1800" w:type="dxa"/>
            <w:shd w:val="clear" w:color="auto" w:fill="D9E2F3"/>
            <w:tcMar>
              <w:top w:w="80" w:type="dxa"/>
              <w:left w:w="80" w:type="dxa"/>
              <w:bottom w:w="80" w:type="dxa"/>
              <w:right w:w="80" w:type="dxa"/>
            </w:tcMar>
            <w:vAlign w:val="center"/>
          </w:tcPr>
          <w:p w14:paraId="6E588B09" w14:textId="77777777" w:rsidR="00E25F3E" w:rsidRDefault="00000000" w:rsidP="00827B42">
            <w:pPr>
              <w:spacing w:after="0" w:line="240" w:lineRule="auto"/>
              <w:jc w:val="both"/>
            </w:pPr>
            <w:r>
              <w:rPr>
                <w:b/>
                <w:sz w:val="15"/>
              </w:rPr>
              <w:t>Stronger evidence</w:t>
            </w:r>
          </w:p>
        </w:tc>
        <w:tc>
          <w:tcPr>
            <w:tcW w:w="1829" w:type="dxa"/>
            <w:shd w:val="clear" w:color="auto" w:fill="D9E2F3"/>
            <w:tcMar>
              <w:top w:w="80" w:type="dxa"/>
              <w:left w:w="80" w:type="dxa"/>
              <w:bottom w:w="80" w:type="dxa"/>
              <w:right w:w="80" w:type="dxa"/>
            </w:tcMar>
            <w:vAlign w:val="center"/>
          </w:tcPr>
          <w:p w14:paraId="55DAC49D" w14:textId="77777777" w:rsidR="00E25F3E" w:rsidRDefault="00000000" w:rsidP="00827B42">
            <w:pPr>
              <w:spacing w:after="0" w:line="240" w:lineRule="auto"/>
              <w:jc w:val="both"/>
            </w:pPr>
            <w:r>
              <w:rPr>
                <w:b/>
                <w:sz w:val="15"/>
              </w:rPr>
              <w:t>Key uncertainty to report</w:t>
            </w:r>
          </w:p>
        </w:tc>
        <w:tc>
          <w:tcPr>
            <w:tcW w:w="1915" w:type="dxa"/>
            <w:shd w:val="clear" w:color="auto" w:fill="D9E2F3"/>
            <w:tcMar>
              <w:top w:w="80" w:type="dxa"/>
              <w:left w:w="80" w:type="dxa"/>
              <w:bottom w:w="80" w:type="dxa"/>
              <w:right w:w="80" w:type="dxa"/>
            </w:tcMar>
            <w:vAlign w:val="center"/>
          </w:tcPr>
          <w:p w14:paraId="44B5AE0D" w14:textId="77777777" w:rsidR="00E25F3E" w:rsidRDefault="00000000" w:rsidP="00827B42">
            <w:pPr>
              <w:spacing w:after="0" w:line="240" w:lineRule="auto"/>
              <w:jc w:val="both"/>
            </w:pPr>
            <w:r>
              <w:rPr>
                <w:b/>
                <w:sz w:val="15"/>
              </w:rPr>
              <w:t>Practical implication</w:t>
            </w:r>
          </w:p>
        </w:tc>
        <w:tc>
          <w:tcPr>
            <w:tcW w:w="1800" w:type="dxa"/>
            <w:shd w:val="clear" w:color="auto" w:fill="D9E2F3"/>
            <w:tcMar>
              <w:top w:w="80" w:type="dxa"/>
              <w:left w:w="80" w:type="dxa"/>
              <w:bottom w:w="80" w:type="dxa"/>
              <w:right w:w="80" w:type="dxa"/>
            </w:tcMar>
            <w:vAlign w:val="center"/>
          </w:tcPr>
          <w:p w14:paraId="08E2FB99" w14:textId="77777777" w:rsidR="00E25F3E" w:rsidRDefault="00000000" w:rsidP="00827B42">
            <w:pPr>
              <w:spacing w:after="0" w:line="240" w:lineRule="auto"/>
              <w:jc w:val="both"/>
            </w:pPr>
            <w:r>
              <w:rPr>
                <w:b/>
                <w:sz w:val="15"/>
              </w:rPr>
              <w:t>Supporting references</w:t>
            </w:r>
          </w:p>
        </w:tc>
      </w:tr>
      <w:tr w:rsidR="00E25F3E" w14:paraId="094965CB" w14:textId="77777777">
        <w:trPr>
          <w:cantSplit/>
          <w:jc w:val="center"/>
        </w:trPr>
        <w:tc>
          <w:tcPr>
            <w:tcW w:w="1325" w:type="dxa"/>
            <w:tcMar>
              <w:top w:w="75" w:type="dxa"/>
              <w:left w:w="80" w:type="dxa"/>
              <w:bottom w:w="75" w:type="dxa"/>
              <w:right w:w="80" w:type="dxa"/>
            </w:tcMar>
            <w:vAlign w:val="center"/>
          </w:tcPr>
          <w:p w14:paraId="12D1681C" w14:textId="77777777" w:rsidR="00E25F3E" w:rsidRDefault="00000000" w:rsidP="00827B42">
            <w:pPr>
              <w:spacing w:after="0" w:line="240" w:lineRule="auto"/>
              <w:jc w:val="both"/>
            </w:pPr>
            <w:r>
              <w:rPr>
                <w:sz w:val="14"/>
              </w:rPr>
              <w:t>Reaction occurrence</w:t>
            </w:r>
          </w:p>
        </w:tc>
        <w:tc>
          <w:tcPr>
            <w:tcW w:w="1699" w:type="dxa"/>
            <w:tcMar>
              <w:top w:w="75" w:type="dxa"/>
              <w:left w:w="80" w:type="dxa"/>
              <w:bottom w:w="75" w:type="dxa"/>
              <w:right w:w="80" w:type="dxa"/>
            </w:tcMar>
            <w:vAlign w:val="center"/>
          </w:tcPr>
          <w:p w14:paraId="0693A58F" w14:textId="77777777" w:rsidR="00E25F3E" w:rsidRDefault="00000000" w:rsidP="00827B42">
            <w:pPr>
              <w:spacing w:after="0" w:line="240" w:lineRule="auto"/>
              <w:jc w:val="both"/>
            </w:pPr>
            <w:r>
              <w:rPr>
                <w:sz w:val="14"/>
              </w:rPr>
              <w:t>Product ion observed after spraying</w:t>
            </w:r>
          </w:p>
        </w:tc>
        <w:tc>
          <w:tcPr>
            <w:tcW w:w="1800" w:type="dxa"/>
            <w:tcMar>
              <w:top w:w="75" w:type="dxa"/>
              <w:left w:w="80" w:type="dxa"/>
              <w:bottom w:w="75" w:type="dxa"/>
              <w:right w:w="80" w:type="dxa"/>
            </w:tcMar>
            <w:vAlign w:val="center"/>
          </w:tcPr>
          <w:p w14:paraId="694318F1" w14:textId="77777777" w:rsidR="00E25F3E" w:rsidRDefault="00000000" w:rsidP="00827B42">
            <w:pPr>
              <w:spacing w:after="0" w:line="240" w:lineRule="auto"/>
              <w:jc w:val="both"/>
            </w:pPr>
            <w:r>
              <w:rPr>
                <w:sz w:val="14"/>
              </w:rPr>
              <w:t>Collected/orthogonally identified product with blanks</w:t>
            </w:r>
          </w:p>
        </w:tc>
        <w:tc>
          <w:tcPr>
            <w:tcW w:w="1829" w:type="dxa"/>
            <w:tcMar>
              <w:top w:w="75" w:type="dxa"/>
              <w:left w:w="80" w:type="dxa"/>
              <w:bottom w:w="75" w:type="dxa"/>
              <w:right w:w="80" w:type="dxa"/>
            </w:tcMar>
            <w:vAlign w:val="center"/>
          </w:tcPr>
          <w:p w14:paraId="4E20C605" w14:textId="77777777" w:rsidR="00E25F3E" w:rsidRDefault="00000000" w:rsidP="00827B42">
            <w:pPr>
              <w:spacing w:after="0" w:line="240" w:lineRule="auto"/>
              <w:jc w:val="both"/>
            </w:pPr>
            <w:r>
              <w:rPr>
                <w:sz w:val="14"/>
              </w:rPr>
              <w:t>Ionisation, gas-phase and collection contributions</w:t>
            </w:r>
          </w:p>
        </w:tc>
        <w:tc>
          <w:tcPr>
            <w:tcW w:w="1915" w:type="dxa"/>
            <w:tcMar>
              <w:top w:w="75" w:type="dxa"/>
              <w:left w:w="80" w:type="dxa"/>
              <w:bottom w:w="75" w:type="dxa"/>
              <w:right w:w="80" w:type="dxa"/>
            </w:tcMar>
            <w:vAlign w:val="center"/>
          </w:tcPr>
          <w:p w14:paraId="5A5979F1" w14:textId="77777777" w:rsidR="00E25F3E" w:rsidRDefault="00000000" w:rsidP="00827B42">
            <w:pPr>
              <w:spacing w:after="0" w:line="240" w:lineRule="auto"/>
              <w:jc w:val="both"/>
            </w:pPr>
            <w:r>
              <w:rPr>
                <w:sz w:val="14"/>
              </w:rPr>
              <w:t>Separates analytical detection from chemical production</w:t>
            </w:r>
          </w:p>
        </w:tc>
        <w:tc>
          <w:tcPr>
            <w:tcW w:w="1800" w:type="dxa"/>
            <w:tcMar>
              <w:top w:w="75" w:type="dxa"/>
              <w:left w:w="80" w:type="dxa"/>
              <w:bottom w:w="75" w:type="dxa"/>
              <w:right w:w="80" w:type="dxa"/>
            </w:tcMar>
            <w:vAlign w:val="center"/>
          </w:tcPr>
          <w:p w14:paraId="35A8015F" w14:textId="77777777" w:rsidR="00E25F3E" w:rsidRDefault="00000000" w:rsidP="00827B42">
            <w:pPr>
              <w:spacing w:after="0" w:line="240" w:lineRule="auto"/>
              <w:jc w:val="both"/>
            </w:pPr>
            <w:r>
              <w:rPr>
                <w:sz w:val="14"/>
              </w:rPr>
              <w:t>Rovelli et al., 2020; Basuri et al., 2020</w:t>
            </w:r>
          </w:p>
        </w:tc>
      </w:tr>
      <w:tr w:rsidR="00E25F3E" w14:paraId="4C7A26B5" w14:textId="77777777">
        <w:trPr>
          <w:cantSplit/>
          <w:jc w:val="center"/>
        </w:trPr>
        <w:tc>
          <w:tcPr>
            <w:tcW w:w="1325" w:type="dxa"/>
            <w:tcMar>
              <w:top w:w="75" w:type="dxa"/>
              <w:left w:w="80" w:type="dxa"/>
              <w:bottom w:w="75" w:type="dxa"/>
              <w:right w:w="80" w:type="dxa"/>
            </w:tcMar>
            <w:vAlign w:val="center"/>
          </w:tcPr>
          <w:p w14:paraId="5FD2CCC6" w14:textId="77777777" w:rsidR="00E25F3E" w:rsidRDefault="00000000" w:rsidP="00827B42">
            <w:pPr>
              <w:spacing w:after="0" w:line="240" w:lineRule="auto"/>
              <w:jc w:val="both"/>
            </w:pPr>
            <w:r>
              <w:rPr>
                <w:sz w:val="14"/>
              </w:rPr>
              <w:t>Rate acceleration</w:t>
            </w:r>
          </w:p>
        </w:tc>
        <w:tc>
          <w:tcPr>
            <w:tcW w:w="1699" w:type="dxa"/>
            <w:tcMar>
              <w:top w:w="75" w:type="dxa"/>
              <w:left w:w="80" w:type="dxa"/>
              <w:bottom w:w="75" w:type="dxa"/>
              <w:right w:w="80" w:type="dxa"/>
            </w:tcMar>
            <w:vAlign w:val="center"/>
          </w:tcPr>
          <w:p w14:paraId="3506B254" w14:textId="77777777" w:rsidR="00E25F3E" w:rsidRDefault="00000000" w:rsidP="00827B42">
            <w:pPr>
              <w:spacing w:after="0" w:line="240" w:lineRule="auto"/>
              <w:jc w:val="both"/>
            </w:pPr>
            <w:r>
              <w:rPr>
                <w:sz w:val="14"/>
              </w:rPr>
              <w:t>Endpoint droplet/bulk product ratio</w:t>
            </w:r>
          </w:p>
        </w:tc>
        <w:tc>
          <w:tcPr>
            <w:tcW w:w="1800" w:type="dxa"/>
            <w:tcMar>
              <w:top w:w="75" w:type="dxa"/>
              <w:left w:w="80" w:type="dxa"/>
              <w:bottom w:w="75" w:type="dxa"/>
              <w:right w:w="80" w:type="dxa"/>
            </w:tcMar>
            <w:vAlign w:val="center"/>
          </w:tcPr>
          <w:p w14:paraId="5CF417A8" w14:textId="77777777" w:rsidR="00E25F3E" w:rsidRDefault="00000000" w:rsidP="00827B42">
            <w:pPr>
              <w:spacing w:after="0" w:line="240" w:lineRule="auto"/>
              <w:jc w:val="both"/>
            </w:pPr>
            <w:r>
              <w:rPr>
                <w:sz w:val="14"/>
              </w:rPr>
              <w:t>Calibrated kinetics with evaporation and residence-time model</w:t>
            </w:r>
          </w:p>
        </w:tc>
        <w:tc>
          <w:tcPr>
            <w:tcW w:w="1829" w:type="dxa"/>
            <w:tcMar>
              <w:top w:w="75" w:type="dxa"/>
              <w:left w:w="80" w:type="dxa"/>
              <w:bottom w:w="75" w:type="dxa"/>
              <w:right w:w="80" w:type="dxa"/>
            </w:tcMar>
            <w:vAlign w:val="center"/>
          </w:tcPr>
          <w:p w14:paraId="1B3C6B64" w14:textId="77777777" w:rsidR="00E25F3E" w:rsidRDefault="00000000" w:rsidP="00827B42">
            <w:pPr>
              <w:spacing w:after="0" w:line="240" w:lineRule="auto"/>
              <w:jc w:val="both"/>
            </w:pPr>
            <w:r>
              <w:rPr>
                <w:sz w:val="14"/>
              </w:rPr>
              <w:t>Changing concentration and droplet lifetime</w:t>
            </w:r>
          </w:p>
        </w:tc>
        <w:tc>
          <w:tcPr>
            <w:tcW w:w="1915" w:type="dxa"/>
            <w:tcMar>
              <w:top w:w="75" w:type="dxa"/>
              <w:left w:w="80" w:type="dxa"/>
              <w:bottom w:w="75" w:type="dxa"/>
              <w:right w:w="80" w:type="dxa"/>
            </w:tcMar>
            <w:vAlign w:val="center"/>
          </w:tcPr>
          <w:p w14:paraId="77F08942" w14:textId="77777777" w:rsidR="00E25F3E" w:rsidRDefault="00000000" w:rsidP="00827B42">
            <w:pPr>
              <w:spacing w:after="0" w:line="240" w:lineRule="auto"/>
              <w:jc w:val="both"/>
            </w:pPr>
            <w:r>
              <w:rPr>
                <w:sz w:val="14"/>
              </w:rPr>
              <w:t>Makes acceleration factors physically comparable</w:t>
            </w:r>
          </w:p>
        </w:tc>
        <w:tc>
          <w:tcPr>
            <w:tcW w:w="1800" w:type="dxa"/>
            <w:tcMar>
              <w:top w:w="75" w:type="dxa"/>
              <w:left w:w="80" w:type="dxa"/>
              <w:bottom w:w="75" w:type="dxa"/>
              <w:right w:w="80" w:type="dxa"/>
            </w:tcMar>
            <w:vAlign w:val="center"/>
          </w:tcPr>
          <w:p w14:paraId="61CE9013" w14:textId="77777777" w:rsidR="00E25F3E" w:rsidRDefault="00000000" w:rsidP="00827B42">
            <w:pPr>
              <w:spacing w:after="0" w:line="240" w:lineRule="auto"/>
              <w:jc w:val="both"/>
            </w:pPr>
            <w:r>
              <w:rPr>
                <w:sz w:val="14"/>
              </w:rPr>
              <w:t>Chen &amp; Williams, 2023; Qiu et al., 2024</w:t>
            </w:r>
          </w:p>
        </w:tc>
      </w:tr>
      <w:tr w:rsidR="00E25F3E" w14:paraId="53572B40" w14:textId="77777777">
        <w:trPr>
          <w:cantSplit/>
          <w:jc w:val="center"/>
        </w:trPr>
        <w:tc>
          <w:tcPr>
            <w:tcW w:w="1325" w:type="dxa"/>
            <w:tcMar>
              <w:top w:w="75" w:type="dxa"/>
              <w:left w:w="80" w:type="dxa"/>
              <w:bottom w:w="75" w:type="dxa"/>
              <w:right w:w="80" w:type="dxa"/>
            </w:tcMar>
            <w:vAlign w:val="center"/>
          </w:tcPr>
          <w:p w14:paraId="052BC69F" w14:textId="77777777" w:rsidR="00E25F3E" w:rsidRDefault="00000000" w:rsidP="00827B42">
            <w:pPr>
              <w:spacing w:after="0" w:line="240" w:lineRule="auto"/>
              <w:jc w:val="both"/>
            </w:pPr>
            <w:r>
              <w:rPr>
                <w:sz w:val="14"/>
              </w:rPr>
              <w:t>Interfacial mechanism</w:t>
            </w:r>
          </w:p>
        </w:tc>
        <w:tc>
          <w:tcPr>
            <w:tcW w:w="1699" w:type="dxa"/>
            <w:tcMar>
              <w:top w:w="75" w:type="dxa"/>
              <w:left w:w="80" w:type="dxa"/>
              <w:bottom w:w="75" w:type="dxa"/>
              <w:right w:w="80" w:type="dxa"/>
            </w:tcMar>
            <w:vAlign w:val="center"/>
          </w:tcPr>
          <w:p w14:paraId="7B6F8592" w14:textId="77777777" w:rsidR="00E25F3E" w:rsidRDefault="00000000" w:rsidP="00827B42">
            <w:pPr>
              <w:spacing w:after="0" w:line="240" w:lineRule="auto"/>
              <w:jc w:val="both"/>
            </w:pPr>
            <w:r>
              <w:rPr>
                <w:sz w:val="14"/>
              </w:rPr>
              <w:t>Smaller droplets react more</w:t>
            </w:r>
          </w:p>
        </w:tc>
        <w:tc>
          <w:tcPr>
            <w:tcW w:w="1800" w:type="dxa"/>
            <w:tcMar>
              <w:top w:w="75" w:type="dxa"/>
              <w:left w:w="80" w:type="dxa"/>
              <w:bottom w:w="75" w:type="dxa"/>
              <w:right w:w="80" w:type="dxa"/>
            </w:tcMar>
            <w:vAlign w:val="center"/>
          </w:tcPr>
          <w:p w14:paraId="00641AA5" w14:textId="77777777" w:rsidR="00E25F3E" w:rsidRDefault="00000000" w:rsidP="00827B42">
            <w:pPr>
              <w:spacing w:after="0" w:line="240" w:lineRule="auto"/>
              <w:jc w:val="both"/>
            </w:pPr>
            <w:r>
              <w:rPr>
                <w:sz w:val="14"/>
              </w:rPr>
              <w:t>Size/surfactant/charge perturbations plus predictive theory</w:t>
            </w:r>
          </w:p>
        </w:tc>
        <w:tc>
          <w:tcPr>
            <w:tcW w:w="1829" w:type="dxa"/>
            <w:tcMar>
              <w:top w:w="75" w:type="dxa"/>
              <w:left w:w="80" w:type="dxa"/>
              <w:bottom w:w="75" w:type="dxa"/>
              <w:right w:w="80" w:type="dxa"/>
            </w:tcMar>
            <w:vAlign w:val="center"/>
          </w:tcPr>
          <w:p w14:paraId="1B5ECEEF" w14:textId="77777777" w:rsidR="00E25F3E" w:rsidRDefault="00000000" w:rsidP="00827B42">
            <w:pPr>
              <w:spacing w:after="0" w:line="240" w:lineRule="auto"/>
              <w:jc w:val="both"/>
            </w:pPr>
            <w:r>
              <w:rPr>
                <w:sz w:val="14"/>
              </w:rPr>
              <w:t>Covariance of area, concentration, charge and temperature</w:t>
            </w:r>
          </w:p>
        </w:tc>
        <w:tc>
          <w:tcPr>
            <w:tcW w:w="1915" w:type="dxa"/>
            <w:tcMar>
              <w:top w:w="75" w:type="dxa"/>
              <w:left w:w="80" w:type="dxa"/>
              <w:bottom w:w="75" w:type="dxa"/>
              <w:right w:w="80" w:type="dxa"/>
            </w:tcMar>
            <w:vAlign w:val="center"/>
          </w:tcPr>
          <w:p w14:paraId="1F357A00" w14:textId="77777777" w:rsidR="00E25F3E" w:rsidRDefault="00000000" w:rsidP="00827B42">
            <w:pPr>
              <w:spacing w:after="0" w:line="240" w:lineRule="auto"/>
              <w:jc w:val="both"/>
            </w:pPr>
            <w:r>
              <w:rPr>
                <w:sz w:val="14"/>
              </w:rPr>
              <w:t>Supports reaction-specific causal attribution</w:t>
            </w:r>
          </w:p>
        </w:tc>
        <w:tc>
          <w:tcPr>
            <w:tcW w:w="1800" w:type="dxa"/>
            <w:tcMar>
              <w:top w:w="75" w:type="dxa"/>
              <w:left w:w="80" w:type="dxa"/>
              <w:bottom w:w="75" w:type="dxa"/>
              <w:right w:w="80" w:type="dxa"/>
            </w:tcMar>
            <w:vAlign w:val="center"/>
          </w:tcPr>
          <w:p w14:paraId="61960553" w14:textId="77777777" w:rsidR="00E25F3E" w:rsidRDefault="00000000" w:rsidP="00827B42">
            <w:pPr>
              <w:spacing w:after="0" w:line="240" w:lineRule="auto"/>
              <w:jc w:val="both"/>
            </w:pPr>
            <w:r>
              <w:rPr>
                <w:sz w:val="14"/>
              </w:rPr>
              <w:t>Marsh et al., 2019; Narendra et al., 2020</w:t>
            </w:r>
          </w:p>
        </w:tc>
      </w:tr>
      <w:tr w:rsidR="00E25F3E" w14:paraId="5EB35A8E" w14:textId="77777777">
        <w:trPr>
          <w:cantSplit/>
          <w:jc w:val="center"/>
        </w:trPr>
        <w:tc>
          <w:tcPr>
            <w:tcW w:w="1325" w:type="dxa"/>
            <w:tcMar>
              <w:top w:w="75" w:type="dxa"/>
              <w:left w:w="80" w:type="dxa"/>
              <w:bottom w:w="75" w:type="dxa"/>
              <w:right w:w="80" w:type="dxa"/>
            </w:tcMar>
            <w:vAlign w:val="center"/>
          </w:tcPr>
          <w:p w14:paraId="522317E1" w14:textId="77777777" w:rsidR="00E25F3E" w:rsidRDefault="00000000" w:rsidP="00827B42">
            <w:pPr>
              <w:spacing w:after="0" w:line="240" w:lineRule="auto"/>
              <w:jc w:val="both"/>
            </w:pPr>
            <w:r>
              <w:rPr>
                <w:sz w:val="14"/>
              </w:rPr>
              <w:t>Electric-field mechanism</w:t>
            </w:r>
          </w:p>
        </w:tc>
        <w:tc>
          <w:tcPr>
            <w:tcW w:w="1699" w:type="dxa"/>
            <w:tcMar>
              <w:top w:w="75" w:type="dxa"/>
              <w:left w:w="80" w:type="dxa"/>
              <w:bottom w:w="75" w:type="dxa"/>
              <w:right w:w="80" w:type="dxa"/>
            </w:tcMar>
            <w:vAlign w:val="center"/>
          </w:tcPr>
          <w:p w14:paraId="27580694" w14:textId="77777777" w:rsidR="00E25F3E" w:rsidRDefault="00000000" w:rsidP="00827B42">
            <w:pPr>
              <w:spacing w:after="0" w:line="240" w:lineRule="auto"/>
              <w:jc w:val="both"/>
            </w:pPr>
            <w:r>
              <w:rPr>
                <w:sz w:val="14"/>
              </w:rPr>
              <w:t>Charged droplets show different products</w:t>
            </w:r>
          </w:p>
        </w:tc>
        <w:tc>
          <w:tcPr>
            <w:tcW w:w="1800" w:type="dxa"/>
            <w:tcMar>
              <w:top w:w="75" w:type="dxa"/>
              <w:left w:w="80" w:type="dxa"/>
              <w:bottom w:w="75" w:type="dxa"/>
              <w:right w:w="80" w:type="dxa"/>
            </w:tcMar>
            <w:vAlign w:val="center"/>
          </w:tcPr>
          <w:p w14:paraId="77012E8F" w14:textId="77777777" w:rsidR="00E25F3E" w:rsidRDefault="00000000" w:rsidP="00827B42">
            <w:pPr>
              <w:spacing w:after="0" w:line="240" w:lineRule="auto"/>
              <w:jc w:val="both"/>
            </w:pPr>
            <w:r>
              <w:rPr>
                <w:sz w:val="14"/>
              </w:rPr>
              <w:t>Measured/modelled fields plus directional or voltage perturbation</w:t>
            </w:r>
          </w:p>
        </w:tc>
        <w:tc>
          <w:tcPr>
            <w:tcW w:w="1829" w:type="dxa"/>
            <w:tcMar>
              <w:top w:w="75" w:type="dxa"/>
              <w:left w:w="80" w:type="dxa"/>
              <w:bottom w:w="75" w:type="dxa"/>
              <w:right w:w="80" w:type="dxa"/>
            </w:tcMar>
            <w:vAlign w:val="center"/>
          </w:tcPr>
          <w:p w14:paraId="03641924" w14:textId="77777777" w:rsidR="00E25F3E" w:rsidRDefault="00000000" w:rsidP="00827B42">
            <w:pPr>
              <w:spacing w:after="0" w:line="240" w:lineRule="auto"/>
              <w:jc w:val="both"/>
            </w:pPr>
            <w:r>
              <w:rPr>
                <w:sz w:val="14"/>
              </w:rPr>
              <w:t>Field heterogeneity and interface specificity</w:t>
            </w:r>
          </w:p>
        </w:tc>
        <w:tc>
          <w:tcPr>
            <w:tcW w:w="1915" w:type="dxa"/>
            <w:tcMar>
              <w:top w:w="75" w:type="dxa"/>
              <w:left w:w="80" w:type="dxa"/>
              <w:bottom w:w="75" w:type="dxa"/>
              <w:right w:w="80" w:type="dxa"/>
            </w:tcMar>
            <w:vAlign w:val="center"/>
          </w:tcPr>
          <w:p w14:paraId="322530DA" w14:textId="77777777" w:rsidR="00E25F3E" w:rsidRDefault="00000000" w:rsidP="00827B42">
            <w:pPr>
              <w:spacing w:after="0" w:line="240" w:lineRule="auto"/>
              <w:jc w:val="both"/>
            </w:pPr>
            <w:r>
              <w:rPr>
                <w:sz w:val="14"/>
              </w:rPr>
              <w:t>Turns electrostatics into a falsifiable variable</w:t>
            </w:r>
          </w:p>
        </w:tc>
        <w:tc>
          <w:tcPr>
            <w:tcW w:w="1800" w:type="dxa"/>
            <w:tcMar>
              <w:top w:w="75" w:type="dxa"/>
              <w:left w:w="80" w:type="dxa"/>
              <w:bottom w:w="75" w:type="dxa"/>
              <w:right w:w="80" w:type="dxa"/>
            </w:tcMar>
            <w:vAlign w:val="center"/>
          </w:tcPr>
          <w:p w14:paraId="57CFEC91" w14:textId="77777777" w:rsidR="00E25F3E" w:rsidRDefault="00000000" w:rsidP="00827B42">
            <w:pPr>
              <w:spacing w:after="0" w:line="240" w:lineRule="auto"/>
              <w:jc w:val="both"/>
            </w:pPr>
            <w:r>
              <w:rPr>
                <w:sz w:val="14"/>
              </w:rPr>
              <w:t>Xiong et al., 2020; Hao et al., 2022; Cheng et al., 2020</w:t>
            </w:r>
          </w:p>
        </w:tc>
      </w:tr>
      <w:tr w:rsidR="00E25F3E" w14:paraId="2B4BA856" w14:textId="77777777">
        <w:trPr>
          <w:cantSplit/>
          <w:jc w:val="center"/>
        </w:trPr>
        <w:tc>
          <w:tcPr>
            <w:tcW w:w="1325" w:type="dxa"/>
            <w:tcMar>
              <w:top w:w="75" w:type="dxa"/>
              <w:left w:w="80" w:type="dxa"/>
              <w:bottom w:w="75" w:type="dxa"/>
              <w:right w:w="80" w:type="dxa"/>
            </w:tcMar>
            <w:vAlign w:val="center"/>
          </w:tcPr>
          <w:p w14:paraId="21A5D84C" w14:textId="77777777" w:rsidR="00E25F3E" w:rsidRDefault="00000000" w:rsidP="00827B42">
            <w:pPr>
              <w:spacing w:after="0" w:line="240" w:lineRule="auto"/>
              <w:jc w:val="both"/>
            </w:pPr>
            <w:r>
              <w:rPr>
                <w:sz w:val="14"/>
              </w:rPr>
              <w:t>Spontaneous redox chemistry</w:t>
            </w:r>
          </w:p>
        </w:tc>
        <w:tc>
          <w:tcPr>
            <w:tcW w:w="1699" w:type="dxa"/>
            <w:tcMar>
              <w:top w:w="75" w:type="dxa"/>
              <w:left w:w="80" w:type="dxa"/>
              <w:bottom w:w="75" w:type="dxa"/>
              <w:right w:w="80" w:type="dxa"/>
            </w:tcMar>
            <w:vAlign w:val="center"/>
          </w:tcPr>
          <w:p w14:paraId="7267A5DC" w14:textId="77777777" w:rsidR="00E25F3E" w:rsidRDefault="00000000" w:rsidP="00827B42">
            <w:pPr>
              <w:spacing w:after="0" w:line="240" w:lineRule="auto"/>
              <w:jc w:val="both"/>
            </w:pPr>
            <w:r>
              <w:rPr>
                <w:sz w:val="14"/>
              </w:rPr>
              <w:t>Single assay under ambient spray</w:t>
            </w:r>
          </w:p>
        </w:tc>
        <w:tc>
          <w:tcPr>
            <w:tcW w:w="1800" w:type="dxa"/>
            <w:tcMar>
              <w:top w:w="75" w:type="dxa"/>
              <w:left w:w="80" w:type="dxa"/>
              <w:bottom w:w="75" w:type="dxa"/>
              <w:right w:w="80" w:type="dxa"/>
            </w:tcMar>
            <w:vAlign w:val="center"/>
          </w:tcPr>
          <w:p w14:paraId="0D52E95A" w14:textId="77777777" w:rsidR="00E25F3E" w:rsidRDefault="00000000" w:rsidP="00827B42">
            <w:pPr>
              <w:spacing w:after="0" w:line="240" w:lineRule="auto"/>
              <w:jc w:val="both"/>
            </w:pPr>
            <w:r>
              <w:rPr>
                <w:sz w:val="14"/>
              </w:rPr>
              <w:t>Independent assays, ozone/gas/material controls and replication</w:t>
            </w:r>
          </w:p>
        </w:tc>
        <w:tc>
          <w:tcPr>
            <w:tcW w:w="1829" w:type="dxa"/>
            <w:tcMar>
              <w:top w:w="75" w:type="dxa"/>
              <w:left w:w="80" w:type="dxa"/>
              <w:bottom w:w="75" w:type="dxa"/>
              <w:right w:w="80" w:type="dxa"/>
            </w:tcMar>
            <w:vAlign w:val="center"/>
          </w:tcPr>
          <w:p w14:paraId="40CEE20F" w14:textId="77777777" w:rsidR="00E25F3E" w:rsidRDefault="00000000" w:rsidP="00827B42">
            <w:pPr>
              <w:spacing w:after="0" w:line="240" w:lineRule="auto"/>
              <w:jc w:val="both"/>
            </w:pPr>
            <w:r>
              <w:rPr>
                <w:sz w:val="14"/>
              </w:rPr>
              <w:t>Trace oxidants and collection artefacts</w:t>
            </w:r>
          </w:p>
        </w:tc>
        <w:tc>
          <w:tcPr>
            <w:tcW w:w="1915" w:type="dxa"/>
            <w:tcMar>
              <w:top w:w="75" w:type="dxa"/>
              <w:left w:w="80" w:type="dxa"/>
              <w:bottom w:w="75" w:type="dxa"/>
              <w:right w:w="80" w:type="dxa"/>
            </w:tcMar>
            <w:vAlign w:val="center"/>
          </w:tcPr>
          <w:p w14:paraId="5BC33469" w14:textId="77777777" w:rsidR="00E25F3E" w:rsidRDefault="00000000" w:rsidP="00827B42">
            <w:pPr>
              <w:spacing w:after="0" w:line="240" w:lineRule="auto"/>
              <w:jc w:val="both"/>
            </w:pPr>
            <w:r>
              <w:rPr>
                <w:sz w:val="14"/>
              </w:rPr>
              <w:t>Prevents environmental chemistry being mislabelled as intrinsic</w:t>
            </w:r>
          </w:p>
        </w:tc>
        <w:tc>
          <w:tcPr>
            <w:tcW w:w="1800" w:type="dxa"/>
            <w:tcMar>
              <w:top w:w="75" w:type="dxa"/>
              <w:left w:w="80" w:type="dxa"/>
              <w:bottom w:w="75" w:type="dxa"/>
              <w:right w:w="80" w:type="dxa"/>
            </w:tcMar>
            <w:vAlign w:val="center"/>
          </w:tcPr>
          <w:p w14:paraId="6ABE8D9D" w14:textId="77777777" w:rsidR="00E25F3E" w:rsidRDefault="00000000" w:rsidP="00827B42">
            <w:pPr>
              <w:spacing w:after="0" w:line="240" w:lineRule="auto"/>
              <w:jc w:val="both"/>
            </w:pPr>
            <w:r>
              <w:rPr>
                <w:sz w:val="14"/>
              </w:rPr>
              <w:t>Lee, Walker, et al., 2019; Gallo et al., 2022; Mehrgardi et al., 2022</w:t>
            </w:r>
          </w:p>
        </w:tc>
      </w:tr>
      <w:tr w:rsidR="00E25F3E" w14:paraId="25BD9B26" w14:textId="77777777">
        <w:trPr>
          <w:cantSplit/>
          <w:jc w:val="center"/>
        </w:trPr>
        <w:tc>
          <w:tcPr>
            <w:tcW w:w="1325" w:type="dxa"/>
            <w:tcMar>
              <w:top w:w="75" w:type="dxa"/>
              <w:left w:w="80" w:type="dxa"/>
              <w:bottom w:w="75" w:type="dxa"/>
              <w:right w:w="80" w:type="dxa"/>
            </w:tcMar>
            <w:vAlign w:val="center"/>
          </w:tcPr>
          <w:p w14:paraId="1085BF17" w14:textId="77777777" w:rsidR="00E25F3E" w:rsidRDefault="00000000" w:rsidP="00827B42">
            <w:pPr>
              <w:spacing w:after="0" w:line="240" w:lineRule="auto"/>
              <w:jc w:val="both"/>
            </w:pPr>
            <w:r>
              <w:rPr>
                <w:sz w:val="14"/>
              </w:rPr>
              <w:t>Reactor viability</w:t>
            </w:r>
          </w:p>
        </w:tc>
        <w:tc>
          <w:tcPr>
            <w:tcW w:w="1699" w:type="dxa"/>
            <w:tcMar>
              <w:top w:w="75" w:type="dxa"/>
              <w:left w:w="80" w:type="dxa"/>
              <w:bottom w:w="75" w:type="dxa"/>
              <w:right w:w="80" w:type="dxa"/>
            </w:tcMar>
            <w:vAlign w:val="center"/>
          </w:tcPr>
          <w:p w14:paraId="760092A5" w14:textId="77777777" w:rsidR="00E25F3E" w:rsidRDefault="00000000" w:rsidP="00827B42">
            <w:pPr>
              <w:spacing w:after="0" w:line="240" w:lineRule="auto"/>
              <w:jc w:val="both"/>
            </w:pPr>
            <w:r>
              <w:rPr>
                <w:sz w:val="14"/>
              </w:rPr>
              <w:t>Large acceleration factor</w:t>
            </w:r>
          </w:p>
        </w:tc>
        <w:tc>
          <w:tcPr>
            <w:tcW w:w="1800" w:type="dxa"/>
            <w:tcMar>
              <w:top w:w="75" w:type="dxa"/>
              <w:left w:w="80" w:type="dxa"/>
              <w:bottom w:w="75" w:type="dxa"/>
              <w:right w:w="80" w:type="dxa"/>
            </w:tcMar>
            <w:vAlign w:val="center"/>
          </w:tcPr>
          <w:p w14:paraId="0F06B41D" w14:textId="77777777" w:rsidR="00E25F3E" w:rsidRDefault="00000000" w:rsidP="00827B42">
            <w:pPr>
              <w:spacing w:after="0" w:line="240" w:lineRule="auto"/>
              <w:jc w:val="both"/>
            </w:pPr>
            <w:r>
              <w:rPr>
                <w:sz w:val="14"/>
              </w:rPr>
              <w:t>Isolated yield, productivity, stability, solvent and energy accounting</w:t>
            </w:r>
          </w:p>
        </w:tc>
        <w:tc>
          <w:tcPr>
            <w:tcW w:w="1829" w:type="dxa"/>
            <w:tcMar>
              <w:top w:w="75" w:type="dxa"/>
              <w:left w:w="80" w:type="dxa"/>
              <w:bottom w:w="75" w:type="dxa"/>
              <w:right w:w="80" w:type="dxa"/>
            </w:tcMar>
            <w:vAlign w:val="center"/>
          </w:tcPr>
          <w:p w14:paraId="0F386CDE" w14:textId="77777777" w:rsidR="00E25F3E" w:rsidRDefault="00000000" w:rsidP="00827B42">
            <w:pPr>
              <w:spacing w:after="0" w:line="240" w:lineRule="auto"/>
              <w:jc w:val="both"/>
            </w:pPr>
            <w:r>
              <w:rPr>
                <w:sz w:val="14"/>
              </w:rPr>
              <w:t>Scale-dependent loss of surface-to-volume advantage</w:t>
            </w:r>
          </w:p>
        </w:tc>
        <w:tc>
          <w:tcPr>
            <w:tcW w:w="1915" w:type="dxa"/>
            <w:tcMar>
              <w:top w:w="75" w:type="dxa"/>
              <w:left w:w="80" w:type="dxa"/>
              <w:bottom w:w="75" w:type="dxa"/>
              <w:right w:w="80" w:type="dxa"/>
            </w:tcMar>
            <w:vAlign w:val="center"/>
          </w:tcPr>
          <w:p w14:paraId="02B53A33" w14:textId="77777777" w:rsidR="00E25F3E" w:rsidRDefault="00000000" w:rsidP="00827B42">
            <w:pPr>
              <w:spacing w:after="0" w:line="240" w:lineRule="auto"/>
              <w:jc w:val="both"/>
            </w:pPr>
            <w:r>
              <w:rPr>
                <w:sz w:val="14"/>
              </w:rPr>
              <w:t>Allows comparison with batch/flow technologies</w:t>
            </w:r>
          </w:p>
        </w:tc>
        <w:tc>
          <w:tcPr>
            <w:tcW w:w="1800" w:type="dxa"/>
            <w:tcMar>
              <w:top w:w="75" w:type="dxa"/>
              <w:left w:w="80" w:type="dxa"/>
              <w:bottom w:w="75" w:type="dxa"/>
              <w:right w:w="80" w:type="dxa"/>
            </w:tcMar>
            <w:vAlign w:val="center"/>
          </w:tcPr>
          <w:p w14:paraId="7D8656D1" w14:textId="77777777" w:rsidR="00E25F3E" w:rsidRDefault="00000000" w:rsidP="00827B42">
            <w:pPr>
              <w:spacing w:after="0" w:line="240" w:lineRule="auto"/>
              <w:jc w:val="both"/>
            </w:pPr>
            <w:r>
              <w:rPr>
                <w:sz w:val="14"/>
              </w:rPr>
              <w:t>Liu et al., 2019; Nie et al., 2020</w:t>
            </w:r>
          </w:p>
        </w:tc>
      </w:tr>
    </w:tbl>
    <w:p w14:paraId="75F5B7B9" w14:textId="77777777" w:rsidR="00E25F3E" w:rsidRDefault="00000000" w:rsidP="00827B42">
      <w:pPr>
        <w:pStyle w:val="TableNoteCustom"/>
        <w:jc w:val="both"/>
      </w:pPr>
      <w:r>
        <w:t>Note. This is a qualitative appraisal framework, not a formal risk-of-bias scoring tool.</w:t>
      </w:r>
    </w:p>
    <w:p w14:paraId="6E9639E0" w14:textId="77777777" w:rsidR="00E25F3E" w:rsidRDefault="00000000" w:rsidP="00827B42">
      <w:pPr>
        <w:pStyle w:val="Heading1"/>
        <w:jc w:val="both"/>
      </w:pPr>
      <w:r>
        <w:t>9. Future Directions</w:t>
      </w:r>
    </w:p>
    <w:p w14:paraId="14374861" w14:textId="77777777" w:rsidR="00E25F3E" w:rsidRDefault="00000000" w:rsidP="00827B42">
      <w:pPr>
        <w:pStyle w:val="BodyTextCustom"/>
      </w:pPr>
      <w:r>
        <w:t>The most immediate priority is to make reaction acceleration a dimensionally and physically comparable quantity. Future kinetic studies should report the initial and evolving droplet volume or a validated evaporation model, the residence-time distribution, temperature and humidity, and the analytical response factors for reactant and product. Bulk controls should reproduce the concentration and temperature trajectory as closely as practicable rather than merely use the starting solution. For reactions proposed to be interfacially accelerated, experiments should vary droplet radius and surface composition while holding final concentration as constant as possible. Such designs would allow a residual surface contribution to be estimated instead of assuming that any excess conversion over an initial-concentration bulk experiment is interfacial.</w:t>
      </w:r>
    </w:p>
    <w:p w14:paraId="27E06A69" w14:textId="77777777" w:rsidR="00E25F3E" w:rsidRDefault="00000000" w:rsidP="00827B42">
      <w:pPr>
        <w:pStyle w:val="BodyTextCustom"/>
      </w:pPr>
      <w:r>
        <w:t>A second priority is direct experimental control of charge and field. Charged and nominally neutral droplets should be compared using the same chemistry, size distribution, solvent and gas environment, while droplet charge is measured rather than inferred from the generator type. Where electric fields are proposed to alter a barrier, reaction systems with known field-direction sensitivity should be selected, and field-responsive spectroscopic probes could be measured in parallel. The combination of experiment and simulation should be prospective: calculations should predict the sign and magnitude of a perturbation before the corresponding droplet experiment is performed. This would move electric-field explanations from plausible post hoc narratives toward falsifiable mechanistic models.</w:t>
      </w:r>
    </w:p>
    <w:p w14:paraId="675F0852" w14:textId="77777777" w:rsidR="00E25F3E" w:rsidRDefault="00000000" w:rsidP="00827B42">
      <w:pPr>
        <w:pStyle w:val="BodyTextCustom"/>
      </w:pPr>
      <w:r>
        <w:t xml:space="preserve">Third, free-standing and orthogonal reactor architectures should become standard benchmarks for claims originally discovered by ESI-MS. Levitated droplets, contactless droplets and controlled nebulisation provide </w:t>
      </w:r>
      <w:r>
        <w:lastRenderedPageBreak/>
        <w:t>opportunities to collect products or follow reaction independently of the ion source. A strong validation sequence would discover a reaction by high-throughput DESI, reproduce it in a non-ESI droplet system, quantify conversion by chromatography or spectroscopy with external calibration, and then test the same mechanistic perturbation across both platforms. Such cross-platform replication would identify which phenomena are genuine consequences of small droplets and which depend on the charged spray or mass-spectrometer interface.</w:t>
      </w:r>
    </w:p>
    <w:p w14:paraId="43CF2B3F" w14:textId="77777777" w:rsidR="00E25F3E" w:rsidRDefault="00000000" w:rsidP="00827B42">
      <w:pPr>
        <w:pStyle w:val="BodyTextCustom"/>
      </w:pPr>
      <w:r>
        <w:t>Fourth, reactive-gas and surface contamination should be treated as designed variables. Experiments involving redox chemistry should report ozone, oxygen and relevant volatile contaminants in the carrier gas whenever technically feasible, use materials blanks for emitters and collection surfaces, and test whether changing gas composition changes product yield. The peroxide literature demonstrates that sub-part-per-billion to parts-per-billion impurities can be mechanistically consequential. The same principle applies to carbon dioxide, ammonia and organic vapours. In reactor engineering, controlled gas dosing could become an advantage rather than a nuisance, particularly for gas-liquid reactions where the droplet interface provides rapid mass transfer.</w:t>
      </w:r>
    </w:p>
    <w:p w14:paraId="7DBAFA95" w14:textId="77777777" w:rsidR="00E25F3E" w:rsidRDefault="00000000" w:rsidP="00827B42">
      <w:pPr>
        <w:pStyle w:val="BodyTextCustom"/>
      </w:pPr>
      <w:r>
        <w:t>Fifth, the field needs reaction-class maps rather than ever longer lists of accelerated examples. Systematic substrate series should be chosen to vary charge localisation, hydrophobicity, surface affinity, transition-state polarity and gas-phase susceptibility. Negative results should be reported with the same care as positive results. The contrasting behaviour documented by Banerjee et al. (2017) and Gong et al. (2024) suggests that non-accelerated reactions are especially useful for testing mechanism. A mechanistic atlas that predicts when evaporation, partial solvation, electrostatics or surface enrichment dominates would be more valuable than a universal acceleration narrative.</w:t>
      </w:r>
    </w:p>
    <w:p w14:paraId="092C1926" w14:textId="77777777" w:rsidR="00E25F3E" w:rsidRDefault="00000000" w:rsidP="00827B42">
      <w:pPr>
        <w:pStyle w:val="BodyTextCustom"/>
      </w:pPr>
      <w:r>
        <w:t>Sixth, reactor engineering should adopt standard process metrics. Preparative studies should report isolated yield, selectivity, product concentration, mass production rate, solvent-to-product ratio, droplet-generation energy, recovery efficiency and stability over extended operation. Screening platforms should report the fraction of mass-spectrometric hits confirmed by an orthogonal assay and the reproducibility of rank ordering across days or instruments. These metrics would make HUN, spray-film recirculation, automated array transfer and conventional batch or flow reactors comparable on the function that matters, rather than on acceleration factor alone (Huang et al., 2025; Liu et al., 2019; Nie et al., 2020).</w:t>
      </w:r>
    </w:p>
    <w:p w14:paraId="7BCD7362" w14:textId="77777777" w:rsidR="00E25F3E" w:rsidRDefault="00000000" w:rsidP="00827B42">
      <w:pPr>
        <w:pStyle w:val="BodyTextCustom"/>
      </w:pPr>
      <w:r>
        <w:t>Longer-term work should integrate diagnostics into the reactor itself. Simultaneous measurement of droplet size, charge, temperature, composition and product formation would allow data-driven reconstruction of reaction trajectories. Microdroplet reactors are particularly well suited to this approach because their state changes rapidly and many existing instruments already provide time-resolved or single-particle observables. Coupling these measurements with mechanistic models could enable feedback control of nozzle voltage, gas flow, humidity or droplet size to maintain a target interfacial state. At that point the term 'active vessel' would gain an engineering meaning: the droplet would not merely host unusual chemistry, but its transient state would be sensed and controlled as part of the reaction process.</w:t>
      </w:r>
    </w:p>
    <w:p w14:paraId="13D079BB" w14:textId="77777777" w:rsidR="00E25F3E" w:rsidRDefault="00000000" w:rsidP="00827B42">
      <w:pPr>
        <w:pStyle w:val="Heading1"/>
        <w:jc w:val="both"/>
      </w:pPr>
      <w:r>
        <w:t>10. Conclusions</w:t>
      </w:r>
    </w:p>
    <w:p w14:paraId="3FDAA99D" w14:textId="77777777" w:rsidR="00E25F3E" w:rsidRDefault="00000000" w:rsidP="00827B42">
      <w:pPr>
        <w:pStyle w:val="BodyTextCustom"/>
      </w:pPr>
      <w:r>
        <w:t>Microdroplet chemistry has undergone a substantive conceptual transition. Droplets that were originally valued as transient carriers in electrospray and ambient ionisation are now used deliberately to accelerate, screen and, in some cases, produce chemical transformations. The evidence is strongest when reaction behaviour is reproduced outside a single ionisation geometry, when droplet size or surface properties are perturbed in mechanistically predicted directions, when product is quantified orthogonally or isolated, and when reaction time and solvent loss are measured rather than assumed.</w:t>
      </w:r>
    </w:p>
    <w:p w14:paraId="42A9CC18" w14:textId="77777777" w:rsidR="00E25F3E" w:rsidRDefault="00000000" w:rsidP="00827B42">
      <w:pPr>
        <w:pStyle w:val="BodyTextCustom"/>
      </w:pPr>
      <w:r>
        <w:t>No universal microdroplet mechanism is supported. Evaporation-driven concentration is unavoidable in many systems and can by itself generate very large apparent acceleration. Interfacial enrichment and partial solvation can alter activation barriers, but their sign and magnitude are reaction-specific. Strong interfacial electric fields and charge-mediated redox chemistry are physically plausible and experimentally relevant in selected systems, yet require direct control of charge, gas composition and field-sensitive chemistry before they can be generalised. The hydrogen-</w:t>
      </w:r>
      <w:r>
        <w:lastRenderedPageBreak/>
        <w:t>peroxide controversy demonstrates that trace environmental reactants can become part of the reactor and can reverse mechanistic interpretations.</w:t>
      </w:r>
    </w:p>
    <w:p w14:paraId="07078951" w14:textId="77777777" w:rsidR="00E25F3E" w:rsidRDefault="00000000" w:rsidP="00827B42">
      <w:pPr>
        <w:pStyle w:val="BodyTextCustom"/>
      </w:pPr>
      <w:r>
        <w:t>The most coherent model is therefore a transient non-equilibrium reactor trajectory. As a microdroplet evolves, its volume, concentration, interfacial area, charge, solvation environment and gas exchange evolve together. This coupled dynamics explains both the unusual opportunities and the methodological difficulty. Engineering advances in preparative nebulisation, solvent recycling, high-throughput synthesis and interfacial electrochemistry show that microdroplet systems can progress beyond analytical curiosities. Their future value will depend less on reporting the largest acceleration factor and more on achieving mechanistic falsifiability, reproducible control, orthogonal quantification and process metrics that demonstrate where microdroplets offer a genuine advantage over established reaction technologies.</w:t>
      </w:r>
    </w:p>
    <w:p w14:paraId="472B9EAC" w14:textId="77777777" w:rsidR="00E25F3E" w:rsidRDefault="00000000" w:rsidP="00827B42">
      <w:pPr>
        <w:pStyle w:val="Heading1"/>
        <w:jc w:val="both"/>
      </w:pPr>
      <w:r>
        <w:t>11. Limitations</w:t>
      </w:r>
    </w:p>
    <w:p w14:paraId="6F7319CD" w14:textId="77777777" w:rsidR="00E25F3E" w:rsidRDefault="00000000" w:rsidP="00827B42">
      <w:pPr>
        <w:pStyle w:val="BodyTextCustom"/>
      </w:pPr>
      <w:r>
        <w:t>As a critical narrative review, this synthesis is intrinsically susceptible to selection and interpretive bias despite the use of explicit live searching, source verification and structured appraisal. The literature is methodologically heterogeneous, and reported acceleration factors are not directly comparable because droplet sizes, residence-time definitions, analytical response factors and evaporation corrections vary substantially. The review was restricted to English-language sources whose metadata and relevance could be verified through accessible scholarly resources, which may underrepresent relevant work indexed only in subscription databases or published in other languages. Rapid development of the field also means that studies appearing after the defined search end date are not incorporated.</w:t>
      </w:r>
    </w:p>
    <w:p w14:paraId="2DB1CE33" w14:textId="77777777" w:rsidR="00E25F3E" w:rsidRDefault="00000000" w:rsidP="00827B42">
      <w:pPr>
        <w:pStyle w:val="BodyTextCustom"/>
      </w:pPr>
      <w:r>
        <w:t>A further limitation is that many mechanistic claims rely on coupled mass spectrometry, indirect estimates of droplet state or molecular simulations at scales smaller than experimental droplets. This constrains the certainty with which local interfacial rates, fields or pH can be extrapolated to whole-droplet behaviour. Reactor-engineering studies remain fewer than mechanistic demonstrations, and system-level energy, solvent, waste and economic data are sparse. These limitations preclude quantitative synthesis across the full literature and make the conclusions strongest at the level of mechanistic principles, experimental design and comparative reactor readiness rather than universal numerical estimates of reaction acceleration.</w:t>
      </w:r>
    </w:p>
    <w:p w14:paraId="194056C4" w14:textId="77777777" w:rsidR="00301604" w:rsidRDefault="00301604" w:rsidP="00827B42">
      <w:pPr>
        <w:spacing w:after="0" w:line="240" w:lineRule="auto"/>
        <w:jc w:val="both"/>
        <w:rPr>
          <w:rFonts w:ascii="Times New Roman" w:hAnsi="Times New Roman" w:cs="Times New Roman"/>
          <w:b/>
        </w:rPr>
      </w:pPr>
      <w:r w:rsidRPr="000839CE">
        <w:rPr>
          <w:rFonts w:ascii="Times New Roman" w:hAnsi="Times New Roman" w:cs="Times New Roman"/>
          <w:b/>
        </w:rPr>
        <w:t>Declaration of AI Use</w:t>
      </w:r>
    </w:p>
    <w:p w14:paraId="544D67AE" w14:textId="77777777" w:rsidR="00301604" w:rsidRDefault="00301604" w:rsidP="00827B42">
      <w:pPr>
        <w:spacing w:after="0" w:line="240" w:lineRule="auto"/>
        <w:jc w:val="both"/>
        <w:rPr>
          <w:rFonts w:ascii="Times New Roman" w:hAnsi="Times New Roman" w:cs="Times New Roman"/>
          <w:b/>
        </w:rPr>
      </w:pPr>
    </w:p>
    <w:p w14:paraId="388F6D2E" w14:textId="77777777" w:rsidR="00301604" w:rsidRDefault="00301604" w:rsidP="00827B42">
      <w:pPr>
        <w:spacing w:after="0" w:line="240" w:lineRule="auto"/>
        <w:jc w:val="both"/>
        <w:rPr>
          <w:rFonts w:ascii="Times New Roman" w:hAnsi="Times New Roman" w:cs="Times New Roman"/>
          <w:b/>
        </w:rPr>
      </w:pPr>
    </w:p>
    <w:p w14:paraId="715C57EC" w14:textId="77777777" w:rsidR="00301604" w:rsidRDefault="00301604" w:rsidP="00827B42">
      <w:pPr>
        <w:spacing w:after="0" w:line="240" w:lineRule="auto"/>
        <w:jc w:val="both"/>
        <w:rPr>
          <w:rFonts w:ascii="Times New Roman" w:hAnsi="Times New Roman" w:cs="Times New Roman"/>
          <w:b/>
        </w:rPr>
      </w:pPr>
    </w:p>
    <w:p w14:paraId="7EA5ED3F" w14:textId="77777777" w:rsidR="00301604" w:rsidRPr="002D08AC" w:rsidRDefault="00301604" w:rsidP="00827B42">
      <w:pPr>
        <w:spacing w:after="0" w:line="240" w:lineRule="auto"/>
        <w:jc w:val="both"/>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E8B751C" w14:textId="77777777" w:rsidR="00301604" w:rsidRDefault="00301604" w:rsidP="00827B42">
      <w:pPr>
        <w:pStyle w:val="BodyTextCustom"/>
      </w:pPr>
    </w:p>
    <w:p w14:paraId="07188A51" w14:textId="77777777" w:rsidR="00E25F3E" w:rsidRDefault="00000000" w:rsidP="00827B42">
      <w:pPr>
        <w:pStyle w:val="Heading1"/>
        <w:jc w:val="both"/>
      </w:pPr>
      <w:r>
        <w:t>References</w:t>
      </w:r>
    </w:p>
    <w:p w14:paraId="537F026B" w14:textId="77777777" w:rsidR="00E25F3E" w:rsidRDefault="00000000" w:rsidP="00827B42">
      <w:pPr>
        <w:pStyle w:val="References"/>
        <w:jc w:val="both"/>
      </w:pPr>
      <w:r>
        <w:t xml:space="preserve">Baethge, C., Goldbeck-Wood, S., &amp; Mertens, S. (2019). SANRA—a scale for the quality assessment of narrative review articles. </w:t>
      </w:r>
      <w:r>
        <w:rPr>
          <w:i/>
        </w:rPr>
        <w:t>Research Integrity and Peer Review, 4</w:t>
      </w:r>
      <w:r>
        <w:t xml:space="preserve">, Article 5. </w:t>
      </w:r>
      <w:r>
        <w:rPr>
          <w:color w:val="0563C1"/>
          <w:u w:val="single"/>
        </w:rPr>
        <w:t>https://doi.org/10.1186/s41073-019-0064-8</w:t>
      </w:r>
    </w:p>
    <w:p w14:paraId="4A8C972A" w14:textId="77777777" w:rsidR="00E25F3E" w:rsidRDefault="00000000" w:rsidP="00827B42">
      <w:pPr>
        <w:pStyle w:val="References"/>
        <w:jc w:val="both"/>
      </w:pPr>
      <w:r>
        <w:t xml:space="preserve">Bain, R. M., Ayrton, S. T., &amp; Cooks, R. G. (2017). Fischer indole synthesis in the gas phase, the solution phase, and at the electrospray droplet interface. </w:t>
      </w:r>
      <w:r>
        <w:rPr>
          <w:i/>
        </w:rPr>
        <w:t>Journal of the American Society for Mass Spectrometry, 28</w:t>
      </w:r>
      <w:r>
        <w:t xml:space="preserve">(7), 1359-1364. </w:t>
      </w:r>
      <w:r>
        <w:rPr>
          <w:color w:val="0563C1"/>
          <w:u w:val="single"/>
        </w:rPr>
        <w:t>https://doi.org/10.1007/s13361-017-1597-z</w:t>
      </w:r>
    </w:p>
    <w:p w14:paraId="0E900D5D" w14:textId="77777777" w:rsidR="00E25F3E" w:rsidRDefault="00000000" w:rsidP="00827B42">
      <w:pPr>
        <w:pStyle w:val="References"/>
        <w:jc w:val="both"/>
      </w:pPr>
      <w:r>
        <w:t xml:space="preserve">Bain, R. M., Pulliam, C. J., &amp; Cooks, R. G. (2015). Accelerated Hantzsch electrospray synthesis with temporal control of reaction intermediates. </w:t>
      </w:r>
      <w:r>
        <w:rPr>
          <w:i/>
        </w:rPr>
        <w:t>Chemical Science, 6</w:t>
      </w:r>
      <w:r>
        <w:t xml:space="preserve">(1), 397-401. </w:t>
      </w:r>
      <w:r>
        <w:rPr>
          <w:color w:val="0563C1"/>
          <w:u w:val="single"/>
        </w:rPr>
        <w:t>https://doi.org/10.1039/C4SC02436B</w:t>
      </w:r>
    </w:p>
    <w:p w14:paraId="475D59DD" w14:textId="77777777" w:rsidR="00E25F3E" w:rsidRDefault="00000000" w:rsidP="00827B42">
      <w:pPr>
        <w:pStyle w:val="References"/>
        <w:jc w:val="both"/>
      </w:pPr>
      <w:r>
        <w:t xml:space="preserve">Bain, R. M., Pulliam, C. J., Ayrton, S. T., Bain, K., &amp; Cooks, R. G. (2016). Accelerated hydrazone formation in charged microdroplets. </w:t>
      </w:r>
      <w:r>
        <w:rPr>
          <w:i/>
        </w:rPr>
        <w:t>Rapid Communications in Mass Spectrometry, 30</w:t>
      </w:r>
      <w:r>
        <w:t xml:space="preserve">(16), 1875-1878. </w:t>
      </w:r>
      <w:r>
        <w:rPr>
          <w:color w:val="0563C1"/>
          <w:u w:val="single"/>
        </w:rPr>
        <w:t>https://doi.org/10.1002/rcm.7664</w:t>
      </w:r>
    </w:p>
    <w:p w14:paraId="634D4C26" w14:textId="77777777" w:rsidR="00E25F3E" w:rsidRDefault="00000000" w:rsidP="00827B42">
      <w:pPr>
        <w:pStyle w:val="References"/>
        <w:jc w:val="both"/>
      </w:pPr>
      <w:r>
        <w:t xml:space="preserve">Bain, R. M., Pulliam, C. J., Thery, F., &amp; Cooks, R. G. (2016). Accelerated chemical reactions and organic synthesis in Leidenfrost droplets. </w:t>
      </w:r>
      <w:r>
        <w:rPr>
          <w:i/>
        </w:rPr>
        <w:t>Angewandte Chemie International Edition, 55</w:t>
      </w:r>
      <w:r>
        <w:t xml:space="preserve">(35), 10478-10482. </w:t>
      </w:r>
      <w:r>
        <w:rPr>
          <w:color w:val="0563C1"/>
          <w:u w:val="single"/>
        </w:rPr>
        <w:t>https://doi.org/10.1002/anie.201605899</w:t>
      </w:r>
    </w:p>
    <w:p w14:paraId="276F37FB" w14:textId="77777777" w:rsidR="00E25F3E" w:rsidRPr="00827B42" w:rsidRDefault="00000000" w:rsidP="00827B42">
      <w:pPr>
        <w:pStyle w:val="References"/>
        <w:jc w:val="both"/>
      </w:pPr>
      <w:r>
        <w:lastRenderedPageBreak/>
        <w:t xml:space="preserve">Banerjee, S., &amp; Zare, R. N. (2015). Syntheses of isoquinoline and substituted quinolines in charged microdroplets. </w:t>
      </w:r>
      <w:r>
        <w:rPr>
          <w:i/>
        </w:rPr>
        <w:t xml:space="preserve">Angewandte </w:t>
      </w:r>
      <w:r w:rsidRPr="00827B42">
        <w:rPr>
          <w:i/>
        </w:rPr>
        <w:t>Chemie International Edition, 54</w:t>
      </w:r>
      <w:r w:rsidRPr="00827B42">
        <w:t xml:space="preserve">(49), 14795-14799. </w:t>
      </w:r>
      <w:r w:rsidRPr="00827B42">
        <w:rPr>
          <w:color w:val="0563C1"/>
          <w:u w:val="single"/>
        </w:rPr>
        <w:t>https://doi.org/10.1002/anie.201507805</w:t>
      </w:r>
    </w:p>
    <w:p w14:paraId="70C35A6B" w14:textId="77777777" w:rsidR="00E25F3E" w:rsidRPr="00827B42" w:rsidRDefault="00000000" w:rsidP="00827B42">
      <w:pPr>
        <w:pStyle w:val="References"/>
        <w:jc w:val="both"/>
      </w:pPr>
      <w:r w:rsidRPr="00827B42">
        <w:t xml:space="preserve">Banerjee, S., Gnanamani, E., Yan, X., &amp; Zare, R. N. (2017). Can all bulk-phase reactions be accelerated in microdroplets? </w:t>
      </w:r>
      <w:r w:rsidRPr="00827B42">
        <w:rPr>
          <w:i/>
        </w:rPr>
        <w:t>Analyst, 142</w:t>
      </w:r>
      <w:r w:rsidRPr="00827B42">
        <w:t xml:space="preserve">(9), 1399-1402. </w:t>
      </w:r>
      <w:r w:rsidRPr="00827B42">
        <w:rPr>
          <w:color w:val="0563C1"/>
          <w:u w:val="single"/>
        </w:rPr>
        <w:t>https://doi.org/10.1039/C6AN02225A</w:t>
      </w:r>
    </w:p>
    <w:p w14:paraId="1170AA98" w14:textId="77777777" w:rsidR="00E25F3E" w:rsidRPr="00827B42" w:rsidRDefault="00000000" w:rsidP="00827B42">
      <w:pPr>
        <w:pStyle w:val="References"/>
        <w:jc w:val="both"/>
      </w:pPr>
      <w:r w:rsidRPr="00827B42">
        <w:t xml:space="preserve">Basuri, P., Gonzalez, L. E., Morato, N. M., Pradeep, T., &amp; Cooks, R. G. (2020). Accelerated microdroplet synthesis of benzimidazoles by nucleophilic addition to protonated carboxylic acids. </w:t>
      </w:r>
      <w:r w:rsidRPr="00827B42">
        <w:rPr>
          <w:i/>
        </w:rPr>
        <w:t>Chemical Science, 11</w:t>
      </w:r>
      <w:r w:rsidRPr="00827B42">
        <w:t xml:space="preserve">(47), 12686-12694. </w:t>
      </w:r>
      <w:r w:rsidRPr="00827B42">
        <w:rPr>
          <w:color w:val="0563C1"/>
          <w:u w:val="single"/>
        </w:rPr>
        <w:t>https://doi.org/10.1039/D0SC02467H</w:t>
      </w:r>
    </w:p>
    <w:p w14:paraId="2A4D361A" w14:textId="77777777" w:rsidR="00E25F3E" w:rsidRPr="00827B42" w:rsidRDefault="00000000" w:rsidP="00827B42">
      <w:pPr>
        <w:pStyle w:val="References"/>
        <w:jc w:val="both"/>
      </w:pPr>
      <w:r w:rsidRPr="00827B42">
        <w:t xml:space="preserve">Chen, C. J., &amp; Williams, E. R. (2023). The role of analyte concentration in accelerated reaction rates in evaporating droplets. </w:t>
      </w:r>
      <w:r w:rsidRPr="00827B42">
        <w:rPr>
          <w:i/>
        </w:rPr>
        <w:t>Chemical Science, 14</w:t>
      </w:r>
      <w:r w:rsidRPr="00827B42">
        <w:t xml:space="preserve">(18), 4704-4713. </w:t>
      </w:r>
      <w:r w:rsidRPr="00827B42">
        <w:rPr>
          <w:color w:val="0563C1"/>
          <w:u w:val="single"/>
        </w:rPr>
        <w:t>https://doi.org/10.1039/D3SC00259D</w:t>
      </w:r>
    </w:p>
    <w:p w14:paraId="6F2155B7" w14:textId="77777777" w:rsidR="00E25F3E" w:rsidRPr="00827B42" w:rsidRDefault="00000000" w:rsidP="00827B42">
      <w:pPr>
        <w:pStyle w:val="References"/>
        <w:jc w:val="both"/>
      </w:pPr>
      <w:r w:rsidRPr="00827B42">
        <w:t xml:space="preserve">Chen, H., Li, X., Li, B., Chen, Y., Ouyang, H., Li, Y., &amp; Zhang, X. (2025). Microdroplet chemistry with unactivated droplets. </w:t>
      </w:r>
      <w:r w:rsidRPr="00827B42">
        <w:rPr>
          <w:i/>
        </w:rPr>
        <w:t>Journal of the American Chemical Society, 147</w:t>
      </w:r>
      <w:r w:rsidRPr="00827B42">
        <w:t xml:space="preserve">(13), 11399-11406. </w:t>
      </w:r>
      <w:r w:rsidRPr="00827B42">
        <w:rPr>
          <w:color w:val="0563C1"/>
          <w:u w:val="single"/>
        </w:rPr>
        <w:t>https://doi.org/10.1021/jacs.5c01072</w:t>
      </w:r>
    </w:p>
    <w:p w14:paraId="6CE23840" w14:textId="77777777" w:rsidR="00E25F3E" w:rsidRPr="00827B42" w:rsidRDefault="00000000" w:rsidP="00827B42">
      <w:pPr>
        <w:pStyle w:val="References"/>
        <w:jc w:val="both"/>
      </w:pPr>
      <w:r w:rsidRPr="00827B42">
        <w:t xml:space="preserve">Cheng, H., Tang, S., Yang, T., Xu, S., &amp; Yan, X. (2020). Accelerating electrochemical reactions in a voltage-controlled interfacial microreactor. </w:t>
      </w:r>
      <w:r w:rsidRPr="00827B42">
        <w:rPr>
          <w:i/>
        </w:rPr>
        <w:t>Angewandte Chemie International Edition, 59</w:t>
      </w:r>
      <w:r w:rsidRPr="00827B42">
        <w:t xml:space="preserve">(45), 19862-19867. </w:t>
      </w:r>
      <w:r w:rsidRPr="00827B42">
        <w:rPr>
          <w:color w:val="0563C1"/>
          <w:u w:val="single"/>
        </w:rPr>
        <w:t>https://doi.org/10.1002/anie.202007736</w:t>
      </w:r>
    </w:p>
    <w:p w14:paraId="3D94E94F" w14:textId="77777777" w:rsidR="00E25F3E" w:rsidRPr="00827B42" w:rsidRDefault="00000000" w:rsidP="00827B42">
      <w:pPr>
        <w:pStyle w:val="References"/>
        <w:jc w:val="both"/>
      </w:pPr>
      <w:r w:rsidRPr="00827B42">
        <w:t xml:space="preserve">Cooks, R. G., Ouyang, Z., Takáts, Z., &amp; Wiseman, J. M. (2006). Ambient mass spectrometry. </w:t>
      </w:r>
      <w:r w:rsidRPr="00827B42">
        <w:rPr>
          <w:i/>
        </w:rPr>
        <w:t>Science, 311</w:t>
      </w:r>
      <w:r w:rsidRPr="00827B42">
        <w:t xml:space="preserve">(5767), 1566-1570. </w:t>
      </w:r>
      <w:r w:rsidRPr="00827B42">
        <w:rPr>
          <w:color w:val="0563C1"/>
          <w:u w:val="single"/>
        </w:rPr>
        <w:t>https://doi.org/10.1126/science.1119426</w:t>
      </w:r>
    </w:p>
    <w:p w14:paraId="14C7517F" w14:textId="77777777" w:rsidR="00DD0C64" w:rsidRPr="00827B42" w:rsidRDefault="00000000" w:rsidP="00827B42">
      <w:pPr>
        <w:pStyle w:val="References"/>
        <w:jc w:val="both"/>
      </w:pPr>
      <w:r w:rsidRPr="00827B42">
        <w:rPr>
          <w:highlight w:val="yellow"/>
        </w:rPr>
        <w:t xml:space="preserve">Cooks, R. G., &amp; Pradeep, T. (2026). Accelerated chemistry in microdroplets. </w:t>
      </w:r>
      <w:r w:rsidRPr="00827B42">
        <w:rPr>
          <w:i/>
          <w:highlight w:val="yellow"/>
        </w:rPr>
        <w:t>Accounts of Chemical Research, 59</w:t>
      </w:r>
      <w:r w:rsidRPr="00827B42">
        <w:rPr>
          <w:highlight w:val="yellow"/>
        </w:rPr>
        <w:t xml:space="preserve">(16), 2603-2614. </w:t>
      </w:r>
      <w:r w:rsidRPr="00827B42">
        <w:rPr>
          <w:highlight w:val="yellow"/>
          <w:u w:val="single"/>
        </w:rPr>
        <w:t>https://doi.org/10.1021/acs.accounts.6c00099</w:t>
      </w:r>
    </w:p>
    <w:p w14:paraId="3D8E27CA" w14:textId="77777777" w:rsidR="00E25F3E" w:rsidRPr="00827B42" w:rsidRDefault="00000000" w:rsidP="00827B42">
      <w:pPr>
        <w:pStyle w:val="References"/>
        <w:jc w:val="both"/>
      </w:pPr>
      <w:r w:rsidRPr="00827B42">
        <w:t xml:space="preserve">Falcone, C. E., Jaman, Z., Wleklinski, M., Koswara, A., Thompson, D. H., &amp; Cooks, R. G. (2017). Reaction screening and optimization of continuous-flow atropine synthesis by preparative electrospray mass spectrometry. </w:t>
      </w:r>
      <w:r w:rsidRPr="00827B42">
        <w:rPr>
          <w:i/>
        </w:rPr>
        <w:t>Analyst, 142</w:t>
      </w:r>
      <w:r w:rsidRPr="00827B42">
        <w:t xml:space="preserve">(15), 2836-2845. </w:t>
      </w:r>
      <w:r w:rsidRPr="00827B42">
        <w:rPr>
          <w:color w:val="0563C1"/>
          <w:u w:val="single"/>
        </w:rPr>
        <w:t>https://doi.org/10.1039/C7AN00622E</w:t>
      </w:r>
    </w:p>
    <w:p w14:paraId="11994222" w14:textId="77777777" w:rsidR="00E25F3E" w:rsidRPr="00827B42" w:rsidRDefault="00000000" w:rsidP="00827B42">
      <w:pPr>
        <w:pStyle w:val="References"/>
        <w:jc w:val="both"/>
      </w:pPr>
      <w:r w:rsidRPr="00827B42">
        <w:t xml:space="preserve">Fedick, P. W., Iyer, K., Wei, Z., Avramova, L., Capek, G. O., &amp; Cooks, R. G. (2019). Screening of the Suzuki cross-coupling reaction using desorption electrospray ionization in high-throughput and in Leidenfrost droplet experiments. </w:t>
      </w:r>
      <w:r w:rsidRPr="00827B42">
        <w:rPr>
          <w:i/>
        </w:rPr>
        <w:t>Journal of the American Society for Mass Spectrometry, 30</w:t>
      </w:r>
      <w:r w:rsidRPr="00827B42">
        <w:t xml:space="preserve">(10), 2144-2151. </w:t>
      </w:r>
      <w:r w:rsidRPr="00827B42">
        <w:rPr>
          <w:color w:val="0563C1"/>
          <w:u w:val="single"/>
        </w:rPr>
        <w:t>https://doi.org/10.1007/s13361-019-02287-3</w:t>
      </w:r>
    </w:p>
    <w:p w14:paraId="3F8ACC59" w14:textId="77777777" w:rsidR="00E25F3E" w:rsidRPr="00827B42" w:rsidRDefault="00000000" w:rsidP="00827B42">
      <w:pPr>
        <w:pStyle w:val="References"/>
        <w:jc w:val="both"/>
      </w:pPr>
      <w:r w:rsidRPr="00827B42">
        <w:t xml:space="preserve">Fenn, J. B., Mann, M., Meng, C. K., Wong, S. F., &amp; Whitehouse, C. M. (1989). Electrospray ionization for mass spectrometry of large biomolecules. </w:t>
      </w:r>
      <w:r w:rsidRPr="00827B42">
        <w:rPr>
          <w:i/>
        </w:rPr>
        <w:t>Science, 246</w:t>
      </w:r>
      <w:r w:rsidRPr="00827B42">
        <w:t xml:space="preserve">(4926), 64-71. </w:t>
      </w:r>
      <w:r w:rsidRPr="00827B42">
        <w:rPr>
          <w:color w:val="0563C1"/>
          <w:u w:val="single"/>
        </w:rPr>
        <w:t>https://doi.org/10.1126/science.2675315</w:t>
      </w:r>
    </w:p>
    <w:p w14:paraId="4ACE3C70" w14:textId="77777777" w:rsidR="00E25F3E" w:rsidRPr="00827B42" w:rsidRDefault="00000000" w:rsidP="00827B42">
      <w:pPr>
        <w:pStyle w:val="References"/>
        <w:jc w:val="both"/>
      </w:pPr>
      <w:r w:rsidRPr="00827B42">
        <w:t xml:space="preserve">Gallo, A., Jr., Musskopf, N. H., Liu, X., Yang, Z., Petry, J., Zhang, P., Thoroddsen, S., Im, H., &amp; Mishra, H. (2022). On the formation of hydrogen peroxide in water microdroplets. </w:t>
      </w:r>
      <w:r w:rsidRPr="00827B42">
        <w:rPr>
          <w:i/>
        </w:rPr>
        <w:t>Chemical Science, 13</w:t>
      </w:r>
      <w:r w:rsidRPr="00827B42">
        <w:t xml:space="preserve">(9), 2574-2583. </w:t>
      </w:r>
      <w:r w:rsidRPr="00827B42">
        <w:rPr>
          <w:color w:val="0563C1"/>
          <w:u w:val="single"/>
        </w:rPr>
        <w:t>https://doi.org/10.1039/D1SC06465G</w:t>
      </w:r>
    </w:p>
    <w:p w14:paraId="64F160D0" w14:textId="77777777" w:rsidR="00E25F3E" w:rsidRPr="00827B42" w:rsidRDefault="00000000" w:rsidP="00827B42">
      <w:pPr>
        <w:pStyle w:val="References"/>
        <w:jc w:val="both"/>
      </w:pPr>
      <w:r w:rsidRPr="00827B42">
        <w:t xml:space="preserve">Girod, M., Moyano, E., Campbell, D. I., &amp; Cooks, R. G. (2011). Accelerated bimolecular reactions in microdroplets studied by desorption electrospray ionization mass spectrometry. </w:t>
      </w:r>
      <w:r w:rsidRPr="00827B42">
        <w:rPr>
          <w:i/>
        </w:rPr>
        <w:t>Chemical Science, 2</w:t>
      </w:r>
      <w:r w:rsidRPr="00827B42">
        <w:t xml:space="preserve">(3), 501-510. </w:t>
      </w:r>
      <w:r w:rsidRPr="00827B42">
        <w:rPr>
          <w:color w:val="0563C1"/>
          <w:u w:val="single"/>
        </w:rPr>
        <w:t>https://doi.org/10.1039/C0SC00416B</w:t>
      </w:r>
    </w:p>
    <w:p w14:paraId="1B1BFA62" w14:textId="77777777" w:rsidR="00E25F3E" w:rsidRPr="00827B42" w:rsidRDefault="00000000" w:rsidP="00827B42">
      <w:pPr>
        <w:pStyle w:val="References"/>
        <w:jc w:val="both"/>
      </w:pPr>
      <w:r w:rsidRPr="00827B42">
        <w:t xml:space="preserve">Gong, K., Nandy, A., Song, Z., Li, Q.-S., Hassanali, A., Cassone, G., Banerjee, S., &amp; Xie, J. (2024). Revisiting the enhanced chemical reactivity in water microdroplets: The case of a Diels-Alder reaction. </w:t>
      </w:r>
      <w:r w:rsidRPr="00827B42">
        <w:rPr>
          <w:i/>
        </w:rPr>
        <w:t>Journal of the American Chemical Society, 146</w:t>
      </w:r>
      <w:r w:rsidRPr="00827B42">
        <w:t xml:space="preserve">(46), 31585-31596. </w:t>
      </w:r>
      <w:r w:rsidRPr="00827B42">
        <w:rPr>
          <w:color w:val="0563C1"/>
          <w:u w:val="single"/>
        </w:rPr>
        <w:t>https://doi.org/10.1021/jacs.4c09400</w:t>
      </w:r>
    </w:p>
    <w:p w14:paraId="1B614DE2" w14:textId="77777777" w:rsidR="00E25F3E" w:rsidRPr="00827B42" w:rsidRDefault="00000000" w:rsidP="00827B42">
      <w:pPr>
        <w:pStyle w:val="References"/>
        <w:jc w:val="both"/>
      </w:pPr>
      <w:r w:rsidRPr="00827B42">
        <w:t xml:space="preserve">Hao, H., Leven, I., &amp; Head-Gordon, T. (2022). Can electric fields drive chemistry for an aqueous microdroplet? </w:t>
      </w:r>
      <w:r w:rsidRPr="00827B42">
        <w:rPr>
          <w:i/>
        </w:rPr>
        <w:t>Nature Communications, 13</w:t>
      </w:r>
      <w:r w:rsidRPr="00827B42">
        <w:t xml:space="preserve">(1), Article 280. </w:t>
      </w:r>
      <w:r w:rsidRPr="00827B42">
        <w:rPr>
          <w:color w:val="0563C1"/>
          <w:u w:val="single"/>
        </w:rPr>
        <w:t>https://doi.org/10.1038/s41467-021-27941-x</w:t>
      </w:r>
    </w:p>
    <w:p w14:paraId="7EF58721" w14:textId="77777777" w:rsidR="00E25F3E" w:rsidRPr="00827B42" w:rsidRDefault="00000000" w:rsidP="00827B42">
      <w:pPr>
        <w:pStyle w:val="References"/>
        <w:jc w:val="both"/>
      </w:pPr>
      <w:r w:rsidRPr="00827B42">
        <w:t xml:space="preserve">Heindel, J. P., Hao, H., LaCour, R. A., &amp; Head-Gordon, T. (2022). Spontaneous formation of hydrogen peroxide in water microdroplets. </w:t>
      </w:r>
      <w:r w:rsidRPr="00827B42">
        <w:rPr>
          <w:i/>
        </w:rPr>
        <w:t>The Journal of Physical Chemistry Letters, 13</w:t>
      </w:r>
      <w:r w:rsidRPr="00827B42">
        <w:t xml:space="preserve">(43), 10035-10041. </w:t>
      </w:r>
      <w:r w:rsidRPr="00827B42">
        <w:rPr>
          <w:color w:val="0563C1"/>
          <w:u w:val="single"/>
        </w:rPr>
        <w:t>https://doi.org/10.1021/acs.jpclett.2c01721</w:t>
      </w:r>
    </w:p>
    <w:p w14:paraId="2C4DE763" w14:textId="77777777" w:rsidR="00E25F3E" w:rsidRPr="00827B42" w:rsidRDefault="00000000" w:rsidP="00827B42">
      <w:pPr>
        <w:pStyle w:val="References"/>
        <w:jc w:val="both"/>
      </w:pPr>
      <w:r w:rsidRPr="00827B42">
        <w:t xml:space="preserve">Holden, D. T., Shira, B. A., Edwards, M. Q., Morato, N. M., &amp; Cooks, R. G. (2025). Mechanisms of ionization and of chemical reactions in charged microdroplets. </w:t>
      </w:r>
      <w:r w:rsidRPr="00827B42">
        <w:rPr>
          <w:i/>
        </w:rPr>
        <w:t>Chemical Science, 16</w:t>
      </w:r>
      <w:r w:rsidRPr="00827B42">
        <w:t xml:space="preserve">(37), 17020-17033. </w:t>
      </w:r>
      <w:r w:rsidRPr="00827B42">
        <w:rPr>
          <w:color w:val="0563C1"/>
          <w:u w:val="single"/>
        </w:rPr>
        <w:t>https://doi.org/10.1039/D5SC04781A</w:t>
      </w:r>
    </w:p>
    <w:p w14:paraId="43B2981B" w14:textId="77777777" w:rsidR="00E25F3E" w:rsidRPr="00827B42" w:rsidRDefault="00000000" w:rsidP="00827B42">
      <w:pPr>
        <w:pStyle w:val="References"/>
        <w:jc w:val="both"/>
      </w:pPr>
      <w:r w:rsidRPr="00827B42">
        <w:t xml:space="preserve">Huang, K.-H., Chen, K., Morato, N. M., Sams, T. C., Dziekonski, E. T., &amp; Cooks, R. G. (2025). High-throughput microdroplet-based synthesis using automated array-to-array transfer. </w:t>
      </w:r>
      <w:r w:rsidRPr="00827B42">
        <w:rPr>
          <w:i/>
        </w:rPr>
        <w:t>Chemical Science, 16</w:t>
      </w:r>
      <w:r w:rsidRPr="00827B42">
        <w:t xml:space="preserve">(17), 7544-7550. </w:t>
      </w:r>
      <w:r w:rsidRPr="00827B42">
        <w:rPr>
          <w:color w:val="0563C1"/>
          <w:u w:val="single"/>
        </w:rPr>
        <w:t>https://doi.org/10.1039/D5SC00638D</w:t>
      </w:r>
    </w:p>
    <w:p w14:paraId="3582272A" w14:textId="77777777" w:rsidR="00E25F3E" w:rsidRPr="00827B42" w:rsidRDefault="00000000" w:rsidP="00827B42">
      <w:pPr>
        <w:pStyle w:val="References"/>
        <w:jc w:val="both"/>
      </w:pPr>
      <w:r w:rsidRPr="00827B42">
        <w:t xml:space="preserve">Huang, K.-H., Morato, N. M., Feng, Y., &amp; Cooks, R. G. (2023). High-throughput diversification of complex bioactive molecules by accelerated synthesis in microdroplets. </w:t>
      </w:r>
      <w:r w:rsidRPr="00827B42">
        <w:rPr>
          <w:i/>
        </w:rPr>
        <w:t>Angewandte Chemie International Edition, 62</w:t>
      </w:r>
      <w:r w:rsidRPr="00827B42">
        <w:t xml:space="preserve">(22), e202300956. </w:t>
      </w:r>
      <w:r w:rsidRPr="00827B42">
        <w:rPr>
          <w:color w:val="0563C1"/>
          <w:u w:val="single"/>
        </w:rPr>
        <w:t>https://doi.org/10.1002/anie.202300956</w:t>
      </w:r>
    </w:p>
    <w:p w14:paraId="5D254A8D" w14:textId="77777777" w:rsidR="00E25F3E" w:rsidRPr="00827B42" w:rsidRDefault="00000000" w:rsidP="00827B42">
      <w:pPr>
        <w:pStyle w:val="References"/>
        <w:jc w:val="both"/>
      </w:pPr>
      <w:r w:rsidRPr="00827B42">
        <w:t xml:space="preserve">Huang, K.-H., Morato, N. M., Feng, Y., Toney, A., &amp; Cooks, R. G. (2024). Rapid exploration of chemical space by high-throughput desorption electrospray ionization mass spectrometry. </w:t>
      </w:r>
      <w:r w:rsidRPr="00827B42">
        <w:rPr>
          <w:i/>
        </w:rPr>
        <w:t>Journal of the American Chemical Society, 146</w:t>
      </w:r>
      <w:r w:rsidRPr="00827B42">
        <w:t xml:space="preserve">(48), 33112-33120. </w:t>
      </w:r>
      <w:r w:rsidRPr="00827B42">
        <w:rPr>
          <w:color w:val="0563C1"/>
          <w:u w:val="single"/>
        </w:rPr>
        <w:t>https://doi.org/10.1021/jacs.4c11037</w:t>
      </w:r>
    </w:p>
    <w:p w14:paraId="7AA9EA52" w14:textId="77777777" w:rsidR="00E25F3E" w:rsidRPr="00827B42" w:rsidRDefault="00000000" w:rsidP="00827B42">
      <w:pPr>
        <w:pStyle w:val="References"/>
        <w:jc w:val="both"/>
      </w:pPr>
      <w:r w:rsidRPr="00827B42">
        <w:t xml:space="preserve">Huang, K.-H., Wei, Z., &amp; Cooks, R. G. (2021). Accelerated reactions of amines with carbon dioxide driven by superacid at the microdroplet interface. </w:t>
      </w:r>
      <w:r w:rsidRPr="00827B42">
        <w:rPr>
          <w:i/>
        </w:rPr>
        <w:t>Chemical Science, 12</w:t>
      </w:r>
      <w:r w:rsidRPr="00827B42">
        <w:t xml:space="preserve">(6), 2242-2250. </w:t>
      </w:r>
      <w:r w:rsidRPr="00827B42">
        <w:rPr>
          <w:color w:val="0563C1"/>
          <w:u w:val="single"/>
        </w:rPr>
        <w:t>https://doi.org/10.1039/D0SC05625A</w:t>
      </w:r>
    </w:p>
    <w:p w14:paraId="638F4998" w14:textId="77777777" w:rsidR="00E25F3E" w:rsidRPr="00827B42" w:rsidRDefault="00000000" w:rsidP="00827B42">
      <w:pPr>
        <w:pStyle w:val="References"/>
        <w:jc w:val="both"/>
      </w:pPr>
      <w:r w:rsidRPr="00827B42">
        <w:t xml:space="preserve">Iyer, K., Yi, J., Bogdan, A., Talaty, N., Djuric, S. W., &amp; Cooks, R. G. (2018). Accelerated multi-reagent copper catalysed coupling reactions in micro droplets and thin films. </w:t>
      </w:r>
      <w:r w:rsidRPr="00827B42">
        <w:rPr>
          <w:i/>
        </w:rPr>
        <w:t>Reaction Chemistry &amp; Engineering, 3</w:t>
      </w:r>
      <w:r w:rsidRPr="00827B42">
        <w:t xml:space="preserve">(2), 206-209. </w:t>
      </w:r>
      <w:r w:rsidRPr="00827B42">
        <w:rPr>
          <w:color w:val="0563C1"/>
          <w:u w:val="single"/>
        </w:rPr>
        <w:t>https://doi.org/10.1039/C8RE00002F</w:t>
      </w:r>
    </w:p>
    <w:p w14:paraId="0B07252A" w14:textId="77777777" w:rsidR="00E25F3E" w:rsidRPr="00827B42" w:rsidRDefault="00000000" w:rsidP="00827B42">
      <w:pPr>
        <w:pStyle w:val="References"/>
        <w:jc w:val="both"/>
      </w:pPr>
      <w:r w:rsidRPr="00827B42">
        <w:lastRenderedPageBreak/>
        <w:t xml:space="preserve">LaCour, R. A., Heindel, J. P., Zhao, R., &amp; Head-Gordon, T. (2025). The role of interfaces and charge for chemical reactivity in microdroplets. </w:t>
      </w:r>
      <w:r w:rsidRPr="00827B42">
        <w:rPr>
          <w:i/>
        </w:rPr>
        <w:t>Journal of the American Chemical Society, 147</w:t>
      </w:r>
      <w:r w:rsidRPr="00827B42">
        <w:t xml:space="preserve">(8), 6299-6317. </w:t>
      </w:r>
      <w:r w:rsidRPr="00827B42">
        <w:rPr>
          <w:color w:val="0563C1"/>
          <w:u w:val="single"/>
        </w:rPr>
        <w:t>https://doi.org/10.1021/jacs.4c15493</w:t>
      </w:r>
    </w:p>
    <w:p w14:paraId="2C2960AD" w14:textId="77777777" w:rsidR="00E25F3E" w:rsidRPr="00827B42" w:rsidRDefault="00000000" w:rsidP="00827B42">
      <w:pPr>
        <w:pStyle w:val="References"/>
        <w:jc w:val="both"/>
      </w:pPr>
      <w:r w:rsidRPr="00827B42">
        <w:t xml:space="preserve">Lee, J. K., Banerjee, S., Nam, H. G., &amp; Zare, R. N. (2015). Acceleration of reaction in charged microdroplets. </w:t>
      </w:r>
      <w:r w:rsidRPr="00827B42">
        <w:rPr>
          <w:i/>
        </w:rPr>
        <w:t>Quarterly Reviews of Biophysics, 48</w:t>
      </w:r>
      <w:r w:rsidRPr="00827B42">
        <w:t xml:space="preserve">(4), 437-444. </w:t>
      </w:r>
      <w:r w:rsidRPr="00827B42">
        <w:rPr>
          <w:color w:val="0563C1"/>
          <w:u w:val="single"/>
        </w:rPr>
        <w:t>https://doi.org/10.1017/S0033583515000086</w:t>
      </w:r>
    </w:p>
    <w:p w14:paraId="4A6E8AF7" w14:textId="77777777" w:rsidR="00E25F3E" w:rsidRPr="00827B42" w:rsidRDefault="00000000" w:rsidP="00827B42">
      <w:pPr>
        <w:pStyle w:val="References"/>
        <w:jc w:val="both"/>
      </w:pPr>
      <w:r w:rsidRPr="00827B42">
        <w:t xml:space="preserve">Lee, J. K., Samanta, D., Nam, H. G., &amp; Zare, R. N. (2019). Micrometer-sized water droplets induce spontaneous reduction. </w:t>
      </w:r>
      <w:r w:rsidRPr="00827B42">
        <w:rPr>
          <w:i/>
        </w:rPr>
        <w:t>Journal of the American Chemical Society, 141</w:t>
      </w:r>
      <w:r w:rsidRPr="00827B42">
        <w:t xml:space="preserve">(27), 10585-10589. </w:t>
      </w:r>
      <w:r w:rsidRPr="00827B42">
        <w:rPr>
          <w:color w:val="0563C1"/>
          <w:u w:val="single"/>
        </w:rPr>
        <w:t>https://doi.org/10.1021/jacs.9b03227</w:t>
      </w:r>
    </w:p>
    <w:p w14:paraId="0DD5EF77" w14:textId="77777777" w:rsidR="00E25F3E" w:rsidRPr="00827B42" w:rsidRDefault="00000000" w:rsidP="00827B42">
      <w:pPr>
        <w:pStyle w:val="References"/>
        <w:jc w:val="both"/>
      </w:pPr>
      <w:r w:rsidRPr="00827B42">
        <w:t xml:space="preserve">Lee, J. K., Walker, K. L., Han, H. S., Kang, J., Prinz, F. B., Waymouth, R. M., Nam, H. G., &amp; Zare, R. N. (2019). Spontaneous generation of hydrogen peroxide from aqueous microdroplets. </w:t>
      </w:r>
      <w:r w:rsidRPr="00827B42">
        <w:rPr>
          <w:i/>
        </w:rPr>
        <w:t>Proceedings of the National Academy of Sciences of the United States of America, 116</w:t>
      </w:r>
      <w:r w:rsidRPr="00827B42">
        <w:t xml:space="preserve">(39), 19294-19298. </w:t>
      </w:r>
      <w:r w:rsidRPr="00827B42">
        <w:rPr>
          <w:color w:val="0563C1"/>
          <w:u w:val="single"/>
        </w:rPr>
        <w:t>https://doi.org/10.1073/pnas.1911883116</w:t>
      </w:r>
    </w:p>
    <w:p w14:paraId="63505184" w14:textId="77777777" w:rsidR="00E25F3E" w:rsidRPr="00827B42" w:rsidRDefault="00000000" w:rsidP="00827B42">
      <w:pPr>
        <w:pStyle w:val="References"/>
        <w:jc w:val="both"/>
      </w:pPr>
      <w:r w:rsidRPr="00827B42">
        <w:t xml:space="preserve">Li, Y., Yan, X., &amp; Cooks, R. G. (2016). The role of the interface in thin film and droplet accelerated reactions studied by competitive substituent effects. </w:t>
      </w:r>
      <w:r w:rsidRPr="00827B42">
        <w:rPr>
          <w:i/>
        </w:rPr>
        <w:t>Angewandte Chemie International Edition, 55</w:t>
      </w:r>
      <w:r w:rsidRPr="00827B42">
        <w:t xml:space="preserve">(10), 3433-3437. </w:t>
      </w:r>
      <w:r w:rsidRPr="00827B42">
        <w:rPr>
          <w:color w:val="0563C1"/>
          <w:u w:val="single"/>
        </w:rPr>
        <w:t>https://doi.org/10.1002/anie.201511352</w:t>
      </w:r>
    </w:p>
    <w:p w14:paraId="1B541204" w14:textId="77777777" w:rsidR="00E25F3E" w:rsidRPr="00827B42" w:rsidRDefault="00000000" w:rsidP="00827B42">
      <w:pPr>
        <w:pStyle w:val="References"/>
        <w:jc w:val="both"/>
      </w:pPr>
      <w:r w:rsidRPr="00827B42">
        <w:t xml:space="preserve">Liu, C., Li, J., Chen, H., &amp; Zare, R. N. (2019). Scale-up of microdroplet reactions by heated ultrasonic nebulization. </w:t>
      </w:r>
      <w:r w:rsidRPr="00827B42">
        <w:rPr>
          <w:i/>
        </w:rPr>
        <w:t>Chemical Science, 10</w:t>
      </w:r>
      <w:r w:rsidRPr="00827B42">
        <w:t xml:space="preserve">(40), 9367-9373. </w:t>
      </w:r>
      <w:r w:rsidRPr="00827B42">
        <w:rPr>
          <w:color w:val="0563C1"/>
          <w:u w:val="single"/>
        </w:rPr>
        <w:t>https://doi.org/10.1039/C9SC03701B</w:t>
      </w:r>
    </w:p>
    <w:p w14:paraId="0343EDDC" w14:textId="77777777" w:rsidR="00DD0C64" w:rsidRPr="00827B42" w:rsidRDefault="00000000" w:rsidP="00827B42">
      <w:pPr>
        <w:pStyle w:val="References"/>
        <w:jc w:val="both"/>
      </w:pPr>
      <w:r w:rsidRPr="00827B42">
        <w:rPr>
          <w:highlight w:val="yellow"/>
        </w:rPr>
        <w:t xml:space="preserve">Liu, X., Li, X., Wang, X., Li, Y., Hu, X., Zhou, Z., Zhang, F., Zhang, Z., &amp; Chen, Y. (2025). Scale-up of microdroplet reactors for efficient CO2 resource utilization. </w:t>
      </w:r>
      <w:r w:rsidRPr="00827B42">
        <w:rPr>
          <w:i/>
          <w:highlight w:val="yellow"/>
        </w:rPr>
        <w:t>Journal of the American Chemical Society, 147</w:t>
      </w:r>
      <w:r w:rsidRPr="00827B42">
        <w:rPr>
          <w:highlight w:val="yellow"/>
        </w:rPr>
        <w:t xml:space="preserve">(4), 3529-3538. </w:t>
      </w:r>
      <w:r w:rsidRPr="00827B42">
        <w:rPr>
          <w:highlight w:val="yellow"/>
          <w:u w:val="single"/>
        </w:rPr>
        <w:t>https://doi.org/10.1021/jacs.4c14733</w:t>
      </w:r>
    </w:p>
    <w:p w14:paraId="6008D28F" w14:textId="77777777" w:rsidR="00E25F3E" w:rsidRPr="00827B42" w:rsidRDefault="00000000" w:rsidP="00827B42">
      <w:pPr>
        <w:pStyle w:val="References"/>
        <w:jc w:val="both"/>
      </w:pPr>
      <w:r w:rsidRPr="00827B42">
        <w:t xml:space="preserve">Marsh, B. M., Iyer, K., &amp; Cooks, R. G. (2019). Reaction acceleration in electrospray droplets: Size, distance, and surfactant effects. </w:t>
      </w:r>
      <w:r w:rsidRPr="00827B42">
        <w:rPr>
          <w:i/>
        </w:rPr>
        <w:t>Journal of the American Society for Mass Spectrometry, 30</w:t>
      </w:r>
      <w:r w:rsidRPr="00827B42">
        <w:t xml:space="preserve">(10), 2022-2030. </w:t>
      </w:r>
      <w:r w:rsidRPr="00827B42">
        <w:rPr>
          <w:color w:val="0563C1"/>
          <w:u w:val="single"/>
        </w:rPr>
        <w:t>https://doi.org/10.1007/s13361-019-02264-w</w:t>
      </w:r>
    </w:p>
    <w:p w14:paraId="4D829649" w14:textId="77777777" w:rsidR="00E25F3E" w:rsidRPr="00827B42" w:rsidRDefault="00000000" w:rsidP="00827B42">
      <w:pPr>
        <w:pStyle w:val="References"/>
        <w:jc w:val="both"/>
      </w:pPr>
      <w:r w:rsidRPr="00827B42">
        <w:t xml:space="preserve">Mehrgardi, M. A., Mofidfar, M., &amp; Zare, R. N. (2022). Sprayed water microdroplets are able to generate hydrogen peroxide spontaneously. </w:t>
      </w:r>
      <w:r w:rsidRPr="00827B42">
        <w:rPr>
          <w:i/>
        </w:rPr>
        <w:t>Journal of the American Chemical Society, 144</w:t>
      </w:r>
      <w:r w:rsidRPr="00827B42">
        <w:t xml:space="preserve">(17), 7606-7609. </w:t>
      </w:r>
      <w:r w:rsidRPr="00827B42">
        <w:rPr>
          <w:color w:val="0563C1"/>
          <w:u w:val="single"/>
        </w:rPr>
        <w:t>https://doi.org/10.1021/jacs.2c02890</w:t>
      </w:r>
    </w:p>
    <w:p w14:paraId="25CC534D" w14:textId="77777777" w:rsidR="00E25F3E" w:rsidRPr="00827B42" w:rsidRDefault="00000000" w:rsidP="00827B42">
      <w:pPr>
        <w:pStyle w:val="References"/>
        <w:jc w:val="both"/>
      </w:pPr>
      <w:r w:rsidRPr="00827B42">
        <w:t xml:space="preserve">Narendra, N., Chen, X., Wang, J., Charles, J., Cooks, R. G., &amp; Kubis, T. (2020). Quantum mechanical modeling of reaction rate acceleration in microdroplets. </w:t>
      </w:r>
      <w:r w:rsidRPr="00827B42">
        <w:rPr>
          <w:i/>
        </w:rPr>
        <w:t>The Journal of Physical Chemistry A, 124</w:t>
      </w:r>
      <w:r w:rsidRPr="00827B42">
        <w:t xml:space="preserve">(24), 4984-4989. </w:t>
      </w:r>
      <w:r w:rsidRPr="00827B42">
        <w:rPr>
          <w:color w:val="0563C1"/>
          <w:u w:val="single"/>
        </w:rPr>
        <w:t>https://doi.org/10.1021/acs.jpca.0c03225</w:t>
      </w:r>
    </w:p>
    <w:p w14:paraId="2AA47037" w14:textId="77777777" w:rsidR="00E25F3E" w:rsidRPr="00827B42" w:rsidRDefault="00000000" w:rsidP="00827B42">
      <w:pPr>
        <w:pStyle w:val="References"/>
        <w:jc w:val="both"/>
      </w:pPr>
      <w:r w:rsidRPr="00827B42">
        <w:t xml:space="preserve">Nie, H., Wei, Z., Qiu, L., Chen, X., Holden, D. T., &amp; Cooks, R. G. (2020). High-yield gram-scale organic synthesis using accelerated microdroplet/thin film reactions with solvent recycling. </w:t>
      </w:r>
      <w:r w:rsidRPr="00827B42">
        <w:rPr>
          <w:i/>
        </w:rPr>
        <w:t>Chemical Science, 11</w:t>
      </w:r>
      <w:r w:rsidRPr="00827B42">
        <w:t xml:space="preserve">(9), 2356-2361. </w:t>
      </w:r>
      <w:r w:rsidRPr="00827B42">
        <w:rPr>
          <w:color w:val="0563C1"/>
          <w:u w:val="single"/>
        </w:rPr>
        <w:t>https://doi.org/10.1039/C9SC06265C</w:t>
      </w:r>
    </w:p>
    <w:p w14:paraId="0171AD26" w14:textId="77777777" w:rsidR="00E25F3E" w:rsidRPr="00827B42" w:rsidRDefault="00000000" w:rsidP="00827B42">
      <w:pPr>
        <w:pStyle w:val="References"/>
        <w:jc w:val="both"/>
      </w:pPr>
      <w:r w:rsidRPr="00827B42">
        <w:t xml:space="preserve">Qiu, L., Li, X., Holden, D. T., &amp; Cooks, R. G. (2024). Reaction acceleration at the surface of a levitated droplet by vapor dosing from a partner droplet. </w:t>
      </w:r>
      <w:r w:rsidRPr="00827B42">
        <w:rPr>
          <w:i/>
        </w:rPr>
        <w:t>Chemical Science, 15</w:t>
      </w:r>
      <w:r w:rsidRPr="00827B42">
        <w:t xml:space="preserve">(31), 12277-12283. </w:t>
      </w:r>
      <w:r w:rsidRPr="00827B42">
        <w:rPr>
          <w:color w:val="0563C1"/>
          <w:u w:val="single"/>
        </w:rPr>
        <w:t>https://doi.org/10.1039/D4SC03528C</w:t>
      </w:r>
    </w:p>
    <w:p w14:paraId="010C4301" w14:textId="77777777" w:rsidR="00E25F3E" w:rsidRPr="00827B42" w:rsidRDefault="00000000" w:rsidP="00827B42">
      <w:pPr>
        <w:pStyle w:val="References"/>
        <w:jc w:val="both"/>
      </w:pPr>
      <w:r w:rsidRPr="00827B42">
        <w:t xml:space="preserve">Rovelli, G., Jacobs, M. I., Willis, M. D., Rapf, R. J., Prophet, A. M., &amp; Wilson, K. R. (2020). A critical analysis of electrospray techniques for the determination of accelerated rates and mechanisms of chemical reactions in droplets. </w:t>
      </w:r>
      <w:r w:rsidRPr="00827B42">
        <w:rPr>
          <w:i/>
        </w:rPr>
        <w:t>Chemical Science, 11</w:t>
      </w:r>
      <w:r w:rsidRPr="00827B42">
        <w:t xml:space="preserve">(48), 13026-13043. </w:t>
      </w:r>
      <w:r w:rsidRPr="00827B42">
        <w:rPr>
          <w:color w:val="0563C1"/>
          <w:u w:val="single"/>
        </w:rPr>
        <w:t>https://doi.org/10.1039/D0SC04611F</w:t>
      </w:r>
    </w:p>
    <w:p w14:paraId="4E7339AE" w14:textId="77777777" w:rsidR="00E25F3E" w:rsidRPr="00827B42" w:rsidRDefault="00000000" w:rsidP="00827B42">
      <w:pPr>
        <w:pStyle w:val="References"/>
        <w:jc w:val="both"/>
      </w:pPr>
      <w:r w:rsidRPr="00827B42">
        <w:t xml:space="preserve">Ruiz-López, M. F., &amp; Martins-Costa, M. T. C. (2022). Disentangling reaction rate acceleration in microdroplets. </w:t>
      </w:r>
      <w:r w:rsidRPr="00827B42">
        <w:rPr>
          <w:i/>
        </w:rPr>
        <w:t>Physical Chemistry Chemical Physics, 24</w:t>
      </w:r>
      <w:r w:rsidRPr="00827B42">
        <w:t xml:space="preserve">(48), 29700-29704. </w:t>
      </w:r>
      <w:r w:rsidRPr="00827B42">
        <w:rPr>
          <w:color w:val="0563C1"/>
          <w:u w:val="single"/>
        </w:rPr>
        <w:t>https://doi.org/10.1039/D2CP04998H</w:t>
      </w:r>
    </w:p>
    <w:p w14:paraId="3578B604" w14:textId="77777777" w:rsidR="00E25F3E" w:rsidRPr="00827B42" w:rsidRDefault="00000000" w:rsidP="00827B42">
      <w:pPr>
        <w:pStyle w:val="References"/>
        <w:jc w:val="both"/>
      </w:pPr>
      <w:r w:rsidRPr="00827B42">
        <w:t xml:space="preserve">Takáts, Z., Wiseman, J. M., Gologan, B., &amp; Cooks, R. G. (2004). Mass spectrometry sampling under ambient conditions with desorption electrospray ionization. </w:t>
      </w:r>
      <w:r w:rsidRPr="00827B42">
        <w:rPr>
          <w:i/>
        </w:rPr>
        <w:t>Science, 306</w:t>
      </w:r>
      <w:r w:rsidRPr="00827B42">
        <w:t xml:space="preserve">(5695), 471-473. </w:t>
      </w:r>
      <w:r w:rsidRPr="00827B42">
        <w:rPr>
          <w:color w:val="0563C1"/>
          <w:u w:val="single"/>
        </w:rPr>
        <w:t>https://doi.org/10.1126/science.1104404</w:t>
      </w:r>
    </w:p>
    <w:p w14:paraId="72EB94F6" w14:textId="77777777" w:rsidR="00E25F3E" w:rsidRPr="00827B42" w:rsidRDefault="00000000" w:rsidP="00827B42">
      <w:pPr>
        <w:pStyle w:val="References"/>
        <w:jc w:val="both"/>
      </w:pPr>
      <w:r w:rsidRPr="00827B42">
        <w:t xml:space="preserve">Vannoy, K. J., Edwards, M. Q., Renault, C., &amp; Dick, J. E. (2024). An electrochemical perspective on reaction acceleration in microdroplets. </w:t>
      </w:r>
      <w:r w:rsidRPr="00827B42">
        <w:rPr>
          <w:i/>
        </w:rPr>
        <w:t>Annual Review of Analytical Chemistry, 17</w:t>
      </w:r>
      <w:r w:rsidRPr="00827B42">
        <w:t xml:space="preserve">(1), 149-171. </w:t>
      </w:r>
      <w:r w:rsidRPr="00827B42">
        <w:rPr>
          <w:color w:val="0563C1"/>
          <w:u w:val="single"/>
        </w:rPr>
        <w:t>https://doi.org/10.1146/annurev-anchem-061622-030919</w:t>
      </w:r>
    </w:p>
    <w:p w14:paraId="52BE9595" w14:textId="77777777" w:rsidR="00E25F3E" w:rsidRPr="00827B42" w:rsidRDefault="00000000" w:rsidP="00827B42">
      <w:pPr>
        <w:pStyle w:val="References"/>
        <w:jc w:val="both"/>
      </w:pPr>
      <w:r w:rsidRPr="00827B42">
        <w:t xml:space="preserve">Wei, Z., Li, Y., Cooks, R. G., &amp; Yan, X. (2020). Accelerated reaction kinetics in microdroplets: Overview and recent developments. </w:t>
      </w:r>
      <w:r w:rsidRPr="00827B42">
        <w:rPr>
          <w:i/>
        </w:rPr>
        <w:t>Annual Review of Physical Chemistry, 71</w:t>
      </w:r>
      <w:r w:rsidRPr="00827B42">
        <w:t xml:space="preserve">, 31-51. </w:t>
      </w:r>
      <w:r w:rsidRPr="00827B42">
        <w:rPr>
          <w:color w:val="0563C1"/>
          <w:u w:val="single"/>
        </w:rPr>
        <w:t>https://doi.org/10.1146/annurev-physchem-121319-110654</w:t>
      </w:r>
    </w:p>
    <w:p w14:paraId="747D447A" w14:textId="77777777" w:rsidR="00DD0C64" w:rsidRPr="00827B42" w:rsidRDefault="00000000" w:rsidP="00827B42">
      <w:pPr>
        <w:pStyle w:val="References"/>
        <w:jc w:val="both"/>
      </w:pPr>
      <w:r w:rsidRPr="00827B42">
        <w:rPr>
          <w:highlight w:val="yellow"/>
        </w:rPr>
        <w:t xml:space="preserve">Wei, X., Fan, X., Gao, S., Pan, J., &amp; Yu, K. (2026). Application of microdroplets in chemical synthesis. </w:t>
      </w:r>
      <w:r w:rsidRPr="00827B42">
        <w:rPr>
          <w:i/>
          <w:highlight w:val="yellow"/>
        </w:rPr>
        <w:t>Chinese Journal of Chemistry, 44</w:t>
      </w:r>
      <w:r w:rsidRPr="00827B42">
        <w:rPr>
          <w:highlight w:val="yellow"/>
        </w:rPr>
        <w:t xml:space="preserve">(7), 1039-1057. </w:t>
      </w:r>
      <w:r w:rsidRPr="00827B42">
        <w:rPr>
          <w:highlight w:val="yellow"/>
          <w:u w:val="single"/>
        </w:rPr>
        <w:t>https://doi.org/10.1002/cjoc.70399</w:t>
      </w:r>
    </w:p>
    <w:p w14:paraId="04B8E3E0" w14:textId="77777777" w:rsidR="00E25F3E" w:rsidRPr="00827B42" w:rsidRDefault="00000000" w:rsidP="00827B42">
      <w:pPr>
        <w:pStyle w:val="References"/>
        <w:jc w:val="both"/>
      </w:pPr>
      <w:r w:rsidRPr="00827B42">
        <w:t xml:space="preserve">Wleklinski, M., Loren, B. P., Ferreira, C. R., Jaman, Z., Avramova, L., Sobreira, T. J. P., Thompson, D. H., &amp; Cooks, R. G. (2018). High throughput reaction screening using desorption electrospray ionization mass spectrometry. </w:t>
      </w:r>
      <w:r w:rsidRPr="00827B42">
        <w:rPr>
          <w:i/>
        </w:rPr>
        <w:t>Chemical Science, 9</w:t>
      </w:r>
      <w:r w:rsidRPr="00827B42">
        <w:t xml:space="preserve">(6), 1647-1653. </w:t>
      </w:r>
      <w:r w:rsidRPr="00827B42">
        <w:rPr>
          <w:color w:val="0563C1"/>
          <w:u w:val="single"/>
        </w:rPr>
        <w:t>https://doi.org/10.1039/C7SC04606E</w:t>
      </w:r>
    </w:p>
    <w:p w14:paraId="440ABD0D" w14:textId="77777777" w:rsidR="00DD0C64" w:rsidRPr="00827B42" w:rsidRDefault="00000000" w:rsidP="00827B42">
      <w:pPr>
        <w:pStyle w:val="References"/>
        <w:jc w:val="both"/>
      </w:pPr>
      <w:r w:rsidRPr="00827B42">
        <w:rPr>
          <w:highlight w:val="yellow"/>
        </w:rPr>
        <w:t xml:space="preserve">Xia, Y., Gao, X., Li, J., Zare, R. N., Chen, B., &amp; Zhang, X. (2025). Droplet-on-demand mass spectrometry reveals curvature-dependent interfacial reactivity in aqueous microdroplets. </w:t>
      </w:r>
      <w:r w:rsidRPr="00827B42">
        <w:rPr>
          <w:i/>
          <w:highlight w:val="yellow"/>
        </w:rPr>
        <w:t>Proceedings of the National Academy of Sciences of the United States of America, 122</w:t>
      </w:r>
      <w:r w:rsidRPr="00827B42">
        <w:rPr>
          <w:highlight w:val="yellow"/>
        </w:rPr>
        <w:t xml:space="preserve">(50), e2519491122. </w:t>
      </w:r>
      <w:r w:rsidRPr="00827B42">
        <w:rPr>
          <w:highlight w:val="yellow"/>
          <w:u w:val="single"/>
        </w:rPr>
        <w:t>https://doi.org/10.1073/pnas.2519491122</w:t>
      </w:r>
    </w:p>
    <w:p w14:paraId="6B0369CC" w14:textId="77777777" w:rsidR="00E25F3E" w:rsidRPr="00827B42" w:rsidRDefault="00000000" w:rsidP="00827B42">
      <w:pPr>
        <w:pStyle w:val="References"/>
        <w:jc w:val="both"/>
      </w:pPr>
      <w:r w:rsidRPr="00827B42">
        <w:t xml:space="preserve">Xiong, H., Lee, J. K., Zare, R. N., &amp; Min, W. (2020). Strong electric field observed at the interface of aqueous microdroplets. </w:t>
      </w:r>
      <w:r w:rsidRPr="00827B42">
        <w:rPr>
          <w:i/>
        </w:rPr>
        <w:t>The Journal of Physical Chemistry Letters, 11</w:t>
      </w:r>
      <w:r w:rsidRPr="00827B42">
        <w:t xml:space="preserve">(17), 7423-7428. </w:t>
      </w:r>
      <w:r w:rsidRPr="00827B42">
        <w:rPr>
          <w:color w:val="0563C1"/>
          <w:u w:val="single"/>
        </w:rPr>
        <w:t>https://doi.org/10.1021/acs.jpclett.0c02061</w:t>
      </w:r>
    </w:p>
    <w:p w14:paraId="7CFE9B49" w14:textId="77777777" w:rsidR="00E25F3E" w:rsidRPr="00827B42" w:rsidRDefault="00000000" w:rsidP="00827B42">
      <w:pPr>
        <w:pStyle w:val="References"/>
        <w:jc w:val="both"/>
      </w:pPr>
      <w:r w:rsidRPr="00827B42">
        <w:t xml:space="preserve">Yan, X., Bain, R. M., &amp; Cooks, R. G. (2016). Organic reactions in microdroplets: Reaction acceleration revealed by mass spectrometry. </w:t>
      </w:r>
      <w:r w:rsidRPr="00827B42">
        <w:rPr>
          <w:i/>
        </w:rPr>
        <w:t>Angewandte Chemie International Edition, 55</w:t>
      </w:r>
      <w:r w:rsidRPr="00827B42">
        <w:t xml:space="preserve">(42), 12960-12972. </w:t>
      </w:r>
      <w:r w:rsidRPr="00827B42">
        <w:rPr>
          <w:color w:val="0563C1"/>
          <w:u w:val="single"/>
        </w:rPr>
        <w:t>https://doi.org/10.1002/anie.201602270</w:t>
      </w:r>
    </w:p>
    <w:sectPr w:rsidR="00E25F3E" w:rsidRPr="00827B42" w:rsidSect="00034616">
      <w:headerReference w:type="even" r:id="rId8"/>
      <w:headerReference w:type="default" r:id="rId9"/>
      <w:footerReference w:type="even" r:id="rId10"/>
      <w:footerReference w:type="default" r:id="rId11"/>
      <w:headerReference w:type="first" r:id="rId12"/>
      <w:footerReference w:type="first" r:id="rId13"/>
      <w:pgSz w:w="12240" w:h="15840"/>
      <w:pgMar w:top="1037" w:right="1037" w:bottom="1037" w:left="1037"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2AE42" w14:textId="77777777" w:rsidR="002A23C1" w:rsidRDefault="002A23C1">
      <w:pPr>
        <w:spacing w:after="0" w:line="240" w:lineRule="auto"/>
      </w:pPr>
      <w:r>
        <w:separator/>
      </w:r>
    </w:p>
  </w:endnote>
  <w:endnote w:type="continuationSeparator" w:id="0">
    <w:p w14:paraId="0716BC81" w14:textId="77777777" w:rsidR="002A23C1" w:rsidRDefault="002A2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FE274" w14:textId="77777777" w:rsidR="00175102" w:rsidRDefault="001751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3489D" w14:textId="77777777" w:rsidR="00E25F3E" w:rsidRDefault="00000000">
    <w:pPr>
      <w:pStyle w:val="Footer"/>
      <w:jc w:val="center"/>
    </w:pPr>
    <w:r>
      <w:rPr>
        <w:sz w:val="17"/>
      </w:rPr>
      <w:fldChar w:fldCharType="begin"/>
    </w:r>
    <w:r>
      <w:rPr>
        <w:sz w:val="17"/>
      </w:rPr>
      <w:instrText xml:space="preserve"> PAGE </w:instrText>
    </w:r>
    <w:r>
      <w:rPr>
        <w:sz w:val="17"/>
      </w:rPr>
      <w:fldChar w:fldCharType="separate"/>
    </w:r>
    <w:r w:rsidR="0001640A">
      <w:rPr>
        <w:noProof/>
        <w:sz w:val="17"/>
      </w:rPr>
      <w:t>1</w:t>
    </w:r>
    <w:r>
      <w:rPr>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258B" w14:textId="77777777" w:rsidR="00175102" w:rsidRDefault="001751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D328B" w14:textId="77777777" w:rsidR="002A23C1" w:rsidRDefault="002A23C1">
      <w:pPr>
        <w:spacing w:after="0" w:line="240" w:lineRule="auto"/>
      </w:pPr>
      <w:r>
        <w:separator/>
      </w:r>
    </w:p>
  </w:footnote>
  <w:footnote w:type="continuationSeparator" w:id="0">
    <w:p w14:paraId="0057E894" w14:textId="77777777" w:rsidR="002A23C1" w:rsidRDefault="002A23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3C35C" w14:textId="77777777" w:rsidR="00175102" w:rsidRDefault="00000000">
    <w:pPr>
      <w:pStyle w:val="Header"/>
    </w:pPr>
    <w:r>
      <w:rPr>
        <w:noProof/>
      </w:rPr>
      <w:pict w14:anchorId="093DF3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604172" o:spid="_x0000_s1026" type="#_x0000_t136" style="position:absolute;margin-left:0;margin-top:0;width:603.45pt;height:113.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E0C13" w14:textId="77777777" w:rsidR="00175102" w:rsidRDefault="00000000">
    <w:pPr>
      <w:pStyle w:val="Header"/>
    </w:pPr>
    <w:r>
      <w:rPr>
        <w:noProof/>
      </w:rPr>
      <w:pict w14:anchorId="6FDD7B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604173" o:spid="_x0000_s1027" type="#_x0000_t136" style="position:absolute;margin-left:0;margin-top:0;width:603.45pt;height:113.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E4C9A" w14:textId="77777777" w:rsidR="00175102" w:rsidRDefault="00000000">
    <w:pPr>
      <w:pStyle w:val="Header"/>
    </w:pPr>
    <w:r>
      <w:rPr>
        <w:noProof/>
      </w:rPr>
      <w:pict w14:anchorId="709B27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604171" o:spid="_x0000_s1025" type="#_x0000_t136" style="position:absolute;margin-left:0;margin-top:0;width:603.45pt;height:113.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2092832">
    <w:abstractNumId w:val="8"/>
  </w:num>
  <w:num w:numId="2" w16cid:durableId="1063480722">
    <w:abstractNumId w:val="6"/>
  </w:num>
  <w:num w:numId="3" w16cid:durableId="25641283">
    <w:abstractNumId w:val="5"/>
  </w:num>
  <w:num w:numId="4" w16cid:durableId="1441297010">
    <w:abstractNumId w:val="4"/>
  </w:num>
  <w:num w:numId="5" w16cid:durableId="1230114549">
    <w:abstractNumId w:val="7"/>
  </w:num>
  <w:num w:numId="6" w16cid:durableId="1436680634">
    <w:abstractNumId w:val="3"/>
  </w:num>
  <w:num w:numId="7" w16cid:durableId="1789545806">
    <w:abstractNumId w:val="2"/>
  </w:num>
  <w:num w:numId="8" w16cid:durableId="284384976">
    <w:abstractNumId w:val="1"/>
  </w:num>
  <w:num w:numId="9" w16cid:durableId="213467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wtDQyNDYytDAyNDNX0lEKTi0uzszPAykwrAUA+BsPQCwAAAA="/>
  </w:docVars>
  <w:rsids>
    <w:rsidRoot w:val="00B47730"/>
    <w:rsid w:val="0001640A"/>
    <w:rsid w:val="00034616"/>
    <w:rsid w:val="0006063C"/>
    <w:rsid w:val="001345C2"/>
    <w:rsid w:val="0015074B"/>
    <w:rsid w:val="00175102"/>
    <w:rsid w:val="0029639D"/>
    <w:rsid w:val="002A23C1"/>
    <w:rsid w:val="00301604"/>
    <w:rsid w:val="00326F90"/>
    <w:rsid w:val="00443CE3"/>
    <w:rsid w:val="004B32E1"/>
    <w:rsid w:val="00574BEE"/>
    <w:rsid w:val="007F42CE"/>
    <w:rsid w:val="00827B42"/>
    <w:rsid w:val="00AA1D8D"/>
    <w:rsid w:val="00B47730"/>
    <w:rsid w:val="00C73090"/>
    <w:rsid w:val="00CB0664"/>
    <w:rsid w:val="00DD0C64"/>
    <w:rsid w:val="00E25F3E"/>
    <w:rsid w:val="00EA40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C7F47E"/>
  <w14:defaultImageDpi w14:val="300"/>
  <w15:docId w15:val="{7E391387-C906-4019-B3A5-8949226BF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2F5597"/>
      <w:sz w:val="22"/>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3F3F3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TextCustom">
    <w:name w:val="Body Text Custom"/>
    <w:pPr>
      <w:spacing w:after="120" w:line="269" w:lineRule="auto"/>
      <w:ind w:firstLine="259"/>
      <w:jc w:val="both"/>
    </w:pPr>
    <w:rPr>
      <w:rFonts w:ascii="Aptos" w:hAnsi="Aptos"/>
      <w:sz w:val="20"/>
    </w:rPr>
  </w:style>
  <w:style w:type="paragraph" w:customStyle="1" w:styleId="AbstractCustom">
    <w:name w:val="Abstract Custom"/>
    <w:pPr>
      <w:spacing w:after="140" w:line="259" w:lineRule="auto"/>
      <w:jc w:val="both"/>
    </w:pPr>
    <w:rPr>
      <w:rFonts w:ascii="Aptos" w:hAnsi="Aptos"/>
      <w:sz w:val="20"/>
    </w:rPr>
  </w:style>
  <w:style w:type="paragraph" w:customStyle="1" w:styleId="TableCaptionCustom">
    <w:name w:val="Table Caption Custom"/>
    <w:pPr>
      <w:keepNext/>
      <w:spacing w:before="140" w:after="60"/>
    </w:pPr>
    <w:rPr>
      <w:rFonts w:ascii="Aptos" w:hAnsi="Aptos"/>
      <w:b/>
      <w:sz w:val="18"/>
    </w:rPr>
  </w:style>
  <w:style w:type="paragraph" w:customStyle="1" w:styleId="TableNoteCustom">
    <w:name w:val="Table Note Custom"/>
    <w:pPr>
      <w:spacing w:before="40" w:after="140" w:line="240" w:lineRule="auto"/>
    </w:pPr>
    <w:rPr>
      <w:rFonts w:ascii="Aptos" w:hAnsi="Aptos"/>
      <w:i/>
      <w:sz w:val="15"/>
    </w:rPr>
  </w:style>
  <w:style w:type="paragraph" w:customStyle="1" w:styleId="References">
    <w:name w:val="References"/>
    <w:pPr>
      <w:spacing w:after="80" w:line="245" w:lineRule="auto"/>
      <w:ind w:left="403" w:hanging="403"/>
    </w:pPr>
    <w:rPr>
      <w:rFonts w:ascii="Aptos" w:hAnsi="Apto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13605</Words>
  <Characters>77551</Characters>
  <Application>Microsoft Office Word</Application>
  <DocSecurity>0</DocSecurity>
  <Lines>646</Lines>
  <Paragraphs>181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90975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Microdroplet Microreactors: From Passive Ion Carriers to Active Chemical Vessels</dc:title>
  <dc:subject>Critical narrative review of microdroplet microreactors</dc:subject>
  <dc:creator/>
  <cp:keywords>microdroplets, microreactors, electrospray, interfacial chemistry, reaction acceleration</cp:keywords>
  <dc:description>generated by python-docx</dc:description>
  <cp:lastModifiedBy>SDI PC New 16</cp:lastModifiedBy>
  <cp:revision>5</cp:revision>
  <dcterms:created xsi:type="dcterms:W3CDTF">2013-12-23T23:15:00Z</dcterms:created>
  <dcterms:modified xsi:type="dcterms:W3CDTF">2026-08-24T04:27:00Z</dcterms:modified>
  <cp:category/>
</cp:coreProperties>
</file>