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10DA8" w14:textId="77777777" w:rsidR="00754C9A" w:rsidRDefault="00754C9A" w:rsidP="00441B6F">
      <w:pPr>
        <w:pStyle w:val="Title"/>
        <w:spacing w:after="0"/>
        <w:jc w:val="both"/>
        <w:rPr>
          <w:rFonts w:ascii="Arial" w:hAnsi="Arial" w:cs="Arial"/>
        </w:rPr>
      </w:pPr>
    </w:p>
    <w:p w14:paraId="0E25E856" w14:textId="77777777" w:rsidR="003F2193" w:rsidRDefault="003F2193" w:rsidP="00441B6F">
      <w:pPr>
        <w:pStyle w:val="Author"/>
        <w:spacing w:line="240" w:lineRule="auto"/>
        <w:rPr>
          <w:rFonts w:ascii="Arial" w:hAnsi="Arial" w:cs="Arial"/>
          <w:bCs/>
          <w:iCs/>
          <w:kern w:val="28"/>
          <w:sz w:val="36"/>
        </w:rPr>
      </w:pPr>
      <w:r w:rsidRPr="006D641C">
        <w:rPr>
          <w:rFonts w:ascii="Arial" w:hAnsi="Arial" w:cs="Arial"/>
          <w:bCs/>
          <w:i/>
          <w:iCs/>
          <w:kern w:val="28"/>
          <w:sz w:val="36"/>
          <w:u w:val="single"/>
        </w:rPr>
        <w:t xml:space="preserve">Original Research </w:t>
      </w:r>
      <w:r>
        <w:rPr>
          <w:rFonts w:ascii="Arial" w:hAnsi="Arial" w:cs="Arial"/>
          <w:bCs/>
          <w:i/>
          <w:iCs/>
          <w:kern w:val="28"/>
          <w:sz w:val="36"/>
          <w:u w:val="single"/>
        </w:rPr>
        <w:t>Article</w:t>
      </w:r>
      <w:r w:rsidRPr="0029726B">
        <w:rPr>
          <w:rFonts w:ascii="Arial" w:hAnsi="Arial" w:cs="Arial"/>
          <w:bCs/>
          <w:iCs/>
          <w:kern w:val="28"/>
          <w:sz w:val="36"/>
        </w:rPr>
        <w:t xml:space="preserve"> </w:t>
      </w:r>
    </w:p>
    <w:p w14:paraId="5F4ED9D9" w14:textId="77777777" w:rsidR="00163BC4" w:rsidRPr="00163BC4" w:rsidRDefault="0029726B" w:rsidP="00441B6F">
      <w:pPr>
        <w:pStyle w:val="Author"/>
        <w:spacing w:line="240" w:lineRule="auto"/>
        <w:rPr>
          <w:rFonts w:ascii="Arial" w:hAnsi="Arial" w:cs="Arial"/>
          <w:bCs/>
          <w:iCs/>
          <w:kern w:val="28"/>
          <w:sz w:val="36"/>
        </w:rPr>
      </w:pPr>
      <w:r w:rsidRPr="0029726B">
        <w:rPr>
          <w:rFonts w:ascii="Arial" w:hAnsi="Arial" w:cs="Arial"/>
          <w:bCs/>
          <w:iCs/>
          <w:kern w:val="28"/>
          <w:sz w:val="36"/>
        </w:rPr>
        <w:t xml:space="preserve">ROS-Induced Lipid Peroxidation and Upregulated Antioxidant activity in </w:t>
      </w:r>
      <w:r w:rsidRPr="00135BED">
        <w:rPr>
          <w:rFonts w:ascii="Arial" w:hAnsi="Arial" w:cs="Arial"/>
          <w:bCs/>
          <w:i/>
          <w:iCs/>
          <w:kern w:val="28"/>
          <w:sz w:val="36"/>
        </w:rPr>
        <w:t>Lemna minor</w:t>
      </w:r>
      <w:r w:rsidRPr="0029726B">
        <w:rPr>
          <w:rFonts w:ascii="Arial" w:hAnsi="Arial" w:cs="Arial"/>
          <w:bCs/>
          <w:iCs/>
          <w:kern w:val="28"/>
          <w:sz w:val="36"/>
        </w:rPr>
        <w:t xml:space="preserve"> under Heavy Metal and Herbicide Stress</w:t>
      </w:r>
    </w:p>
    <w:p w14:paraId="6F0832EB" w14:textId="77777777" w:rsidR="00A258C3" w:rsidRPr="00790ADA" w:rsidRDefault="00A258C3" w:rsidP="00441B6F">
      <w:pPr>
        <w:pStyle w:val="Author"/>
        <w:spacing w:line="240" w:lineRule="auto"/>
        <w:jc w:val="both"/>
        <w:rPr>
          <w:rFonts w:ascii="Arial" w:hAnsi="Arial" w:cs="Arial"/>
          <w:sz w:val="36"/>
        </w:rPr>
      </w:pPr>
    </w:p>
    <w:p w14:paraId="28966074" w14:textId="77777777" w:rsidR="00DE1B75" w:rsidRDefault="00DE1B75" w:rsidP="003D0516">
      <w:pPr>
        <w:pStyle w:val="Affiliation"/>
        <w:spacing w:after="0" w:line="240" w:lineRule="auto"/>
        <w:jc w:val="both"/>
        <w:rPr>
          <w:rFonts w:ascii="Arial" w:hAnsi="Arial" w:cs="Arial"/>
        </w:rPr>
      </w:pPr>
    </w:p>
    <w:p w14:paraId="2BFEF804" w14:textId="77777777" w:rsidR="002C57D2" w:rsidRPr="00FB3A86" w:rsidRDefault="002C57D2" w:rsidP="00441B6F">
      <w:pPr>
        <w:pStyle w:val="Affiliation"/>
        <w:spacing w:after="0" w:line="240" w:lineRule="auto"/>
        <w:jc w:val="both"/>
        <w:rPr>
          <w:rFonts w:ascii="Arial" w:hAnsi="Arial" w:cs="Arial"/>
        </w:rPr>
      </w:pPr>
    </w:p>
    <w:p w14:paraId="6F7D7BEE" w14:textId="77777777" w:rsidR="00B01FCD" w:rsidRPr="00FB3A86" w:rsidRDefault="006658A9" w:rsidP="00441B6F">
      <w:pPr>
        <w:pStyle w:val="Copyright"/>
        <w:spacing w:after="0" w:line="240" w:lineRule="auto"/>
        <w:jc w:val="both"/>
        <w:rPr>
          <w:rFonts w:ascii="Arial" w:hAnsi="Arial" w:cs="Arial"/>
        </w:rPr>
        <w:sectPr w:rsidR="00B01FCD" w:rsidRPr="00FB3A86" w:rsidSect="00B45506">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424427EC" wp14:editId="4BBC4F64">
                <wp:extent cx="5303520" cy="635"/>
                <wp:effectExtent l="13335" t="15875" r="17145" b="12700"/>
                <wp:docPr id="4"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043F355F" id="_x0000_t32" coordsize="21600,21600" o:spt="32" o:oned="t" path="m,l21600,21600e" filled="f">
                <v:path arrowok="t" fillok="f" o:connecttype="none"/>
                <o:lock v:ext="edit" shapetype="t"/>
              </v:shapetype>
              <v:shape id="AutoShape 5"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" strokeweight="1.5pt">
                <w10:anchorlock/>
              </v:shape>
            </w:pict>
          </mc:Fallback>
        </mc:AlternateContent>
      </w:r>
      <w:r w:rsidR="00FB3A86">
        <w:rPr>
          <w:rFonts w:ascii="Arial" w:hAnsi="Arial" w:cs="Arial"/>
        </w:rPr>
        <w:t>.</w:t>
      </w:r>
    </w:p>
    <w:p w14:paraId="3C08486E" w14:textId="77777777" w:rsidR="00790ADA" w:rsidRPr="00FB3A86" w:rsidRDefault="00B01FCD" w:rsidP="00441B6F">
      <w:pPr>
        <w:pStyle w:val="AbstHead"/>
        <w:spacing w:after="0"/>
        <w:jc w:val="both"/>
        <w:rPr>
          <w:rFonts w:ascii="Arial" w:hAnsi="Arial" w:cs="Arial"/>
        </w:rPr>
      </w:pPr>
      <w:r w:rsidRPr="00FB3A86">
        <w:rPr>
          <w:rFonts w:ascii="Arial" w:hAnsi="Arial" w:cs="Arial"/>
        </w:rPr>
        <w:t>ABSTRACT</w:t>
      </w:r>
      <w:r w:rsidR="0066510A">
        <w:rPr>
          <w:rFonts w:ascii="Arial" w:hAnsi="Arial" w:cs="Arial"/>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198"/>
      </w:tblGrid>
      <w:tr w:rsidR="00296529" w:rsidRPr="001E44FE" w14:paraId="472B325E" w14:textId="77777777" w:rsidTr="001E44FE">
        <w:tc>
          <w:tcPr>
            <w:tcW w:w="9576" w:type="dxa"/>
            <w:shd w:val="clear" w:color="auto" w:fill="F2F2F2"/>
          </w:tcPr>
          <w:p w14:paraId="24CF7E40" w14:textId="77777777" w:rsidR="00505F06" w:rsidRPr="00BA1B01" w:rsidRDefault="00F844B3" w:rsidP="00441B6F">
            <w:pPr>
              <w:pStyle w:val="Body"/>
              <w:spacing w:after="0"/>
              <w:rPr>
                <w:rFonts w:ascii="Arial" w:eastAsia="Calibri" w:hAnsi="Arial" w:cs="Arial"/>
                <w:szCs w:val="22"/>
              </w:rPr>
            </w:pPr>
            <w:r>
              <w:rPr>
                <w:rFonts w:ascii="Arial" w:eastAsia="Calibri" w:hAnsi="Arial" w:cs="Arial"/>
                <w:szCs w:val="22"/>
                <w:highlight w:val="yellow"/>
              </w:rPr>
              <w:t>An increase</w:t>
            </w:r>
            <w:r>
              <w:rPr>
                <w:rFonts w:ascii="Arial" w:eastAsia="Calibri" w:hAnsi="Arial" w:cs="Arial"/>
                <w:szCs w:val="22"/>
              </w:rPr>
              <w:t xml:space="preserve"> in the concentration of contaminants such as heavy metals and herbicides in aquatic systems through runoff </w:t>
            </w:r>
            <w:r>
              <w:rPr>
                <w:rFonts w:ascii="Arial" w:eastAsia="Calibri" w:hAnsi="Arial" w:cs="Arial"/>
                <w:szCs w:val="22"/>
                <w:highlight w:val="yellow"/>
              </w:rPr>
              <w:t>disturbs</w:t>
            </w:r>
            <w:r>
              <w:rPr>
                <w:rFonts w:ascii="Arial" w:eastAsia="Calibri" w:hAnsi="Arial" w:cs="Arial"/>
                <w:szCs w:val="22"/>
              </w:rPr>
              <w:t xml:space="preserve"> aquatic </w:t>
            </w:r>
            <w:r>
              <w:rPr>
                <w:rFonts w:ascii="Arial" w:eastAsia="Calibri" w:hAnsi="Arial" w:cs="Arial"/>
                <w:szCs w:val="22"/>
                <w:highlight w:val="yellow"/>
              </w:rPr>
              <w:t>ecosystems</w:t>
            </w:r>
            <w:r>
              <w:rPr>
                <w:rFonts w:ascii="Arial" w:eastAsia="Calibri" w:hAnsi="Arial" w:cs="Arial"/>
                <w:szCs w:val="22"/>
              </w:rPr>
              <w:t xml:space="preserve">. The present in vitro study investigates oxidative stress and antioxidant responses in </w:t>
            </w:r>
            <w:r>
              <w:rPr>
                <w:rFonts w:ascii="Arial" w:eastAsia="Calibri" w:hAnsi="Arial" w:cs="Arial"/>
                <w:i/>
                <w:szCs w:val="22"/>
              </w:rPr>
              <w:t>Lemna minor</w:t>
            </w:r>
            <w:r>
              <w:rPr>
                <w:rFonts w:ascii="Arial" w:eastAsia="Calibri" w:hAnsi="Arial" w:cs="Arial"/>
                <w:szCs w:val="22"/>
              </w:rPr>
              <w:t xml:space="preserve"> after 96 h</w:t>
            </w:r>
            <w:r>
              <w:rPr>
                <w:rFonts w:ascii="Arial" w:eastAsia="Calibri" w:hAnsi="Arial" w:cs="Arial"/>
                <w:szCs w:val="22"/>
                <w:highlight w:val="yellow"/>
              </w:rPr>
              <w:t xml:space="preserve"> of</w:t>
            </w:r>
            <w:r>
              <w:rPr>
                <w:rFonts w:ascii="Arial" w:eastAsia="Calibri" w:hAnsi="Arial" w:cs="Arial"/>
                <w:szCs w:val="22"/>
              </w:rPr>
              <w:t xml:space="preserve"> exposure to graded concentrations of cadmium (Cd) (0, 0.1, 0.5, 1, 1.5 and 2 mg/L) and paraquat dichloride (0, 0.5, 1, 1.5, 2 and 2.5 mg/L). Lipid peroxidation, expressed as malondialdehyde (MDA) equivalents, increased </w:t>
            </w:r>
            <w:r>
              <w:rPr>
                <w:rFonts w:ascii="Arial" w:eastAsia="Calibri" w:hAnsi="Arial" w:cs="Arial"/>
                <w:szCs w:val="22"/>
                <w:highlight w:val="yellow"/>
              </w:rPr>
              <w:t>under</w:t>
            </w:r>
            <w:r>
              <w:rPr>
                <w:rFonts w:ascii="Arial" w:eastAsia="Calibri" w:hAnsi="Arial" w:cs="Arial"/>
                <w:szCs w:val="22"/>
              </w:rPr>
              <w:t xml:space="preserve"> both stressors in a dose-dependent manner (cadmium: +42% to +121%; paraquat: +28% to +200%), indicating increased production of reactive oxygen species (ROS). Activities of major antioxidant enzymes</w:t>
            </w:r>
            <w:r>
              <w:rPr>
                <w:rFonts w:ascii="Arial" w:eastAsia="Calibri" w:hAnsi="Arial" w:cs="Arial"/>
                <w:szCs w:val="22"/>
                <w:highlight w:val="yellow"/>
              </w:rPr>
              <w:t>,</w:t>
            </w:r>
            <w:r>
              <w:rPr>
                <w:rFonts w:ascii="Arial" w:eastAsia="Calibri" w:hAnsi="Arial" w:cs="Arial"/>
                <w:szCs w:val="22"/>
              </w:rPr>
              <w:t xml:space="preserve"> </w:t>
            </w:r>
            <w:r>
              <w:rPr>
                <w:rFonts w:ascii="Arial" w:eastAsia="Calibri" w:hAnsi="Arial" w:cs="Arial"/>
                <w:szCs w:val="22"/>
                <w:highlight w:val="yellow"/>
              </w:rPr>
              <w:t>including</w:t>
            </w:r>
            <w:r>
              <w:rPr>
                <w:rFonts w:ascii="Arial" w:eastAsia="Calibri" w:hAnsi="Arial" w:cs="Arial"/>
                <w:szCs w:val="22"/>
              </w:rPr>
              <w:t xml:space="preserve"> superoxide dismutase (SOD), peroxidase (POD), ascorbate peroxidase (APX) and glutathione reductase (GR)</w:t>
            </w:r>
            <w:r>
              <w:rPr>
                <w:rFonts w:ascii="Arial" w:eastAsia="Calibri" w:hAnsi="Arial" w:cs="Arial"/>
                <w:szCs w:val="22"/>
                <w:highlight w:val="yellow"/>
              </w:rPr>
              <w:t>,</w:t>
            </w:r>
            <w:r>
              <w:rPr>
                <w:rFonts w:ascii="Arial" w:eastAsia="Calibri" w:hAnsi="Arial" w:cs="Arial"/>
                <w:szCs w:val="22"/>
              </w:rPr>
              <w:t xml:space="preserve"> generally increased with pollutant concentration</w:t>
            </w:r>
            <w:r>
              <w:rPr>
                <w:rFonts w:ascii="Arial" w:eastAsia="Calibri" w:hAnsi="Arial" w:cs="Arial"/>
                <w:szCs w:val="22"/>
                <w:highlight w:val="yellow"/>
              </w:rPr>
              <w:t>,</w:t>
            </w:r>
            <w:r>
              <w:rPr>
                <w:rFonts w:ascii="Arial" w:eastAsia="Calibri" w:hAnsi="Arial" w:cs="Arial"/>
                <w:szCs w:val="22"/>
              </w:rPr>
              <w:t xml:space="preserve"> indicating</w:t>
            </w:r>
            <w:r>
              <w:rPr>
                <w:rFonts w:ascii="Arial" w:eastAsia="Calibri" w:hAnsi="Arial" w:cs="Arial"/>
                <w:szCs w:val="22"/>
                <w:highlight w:val="yellow"/>
              </w:rPr>
              <w:t xml:space="preserve"> an</w:t>
            </w:r>
            <w:r>
              <w:rPr>
                <w:rFonts w:ascii="Arial" w:eastAsia="Calibri" w:hAnsi="Arial" w:cs="Arial"/>
                <w:szCs w:val="22"/>
              </w:rPr>
              <w:t xml:space="preserve"> induced enzymatic </w:t>
            </w:r>
            <w:r>
              <w:rPr>
                <w:rFonts w:ascii="Arial" w:eastAsia="Calibri" w:hAnsi="Arial" w:cs="Arial"/>
                <w:szCs w:val="22"/>
                <w:highlight w:val="yellow"/>
              </w:rPr>
              <w:t>defence response</w:t>
            </w:r>
            <w:r>
              <w:rPr>
                <w:rFonts w:ascii="Arial" w:eastAsia="Calibri" w:hAnsi="Arial" w:cs="Arial"/>
                <w:szCs w:val="22"/>
              </w:rPr>
              <w:t xml:space="preserve">. SOD </w:t>
            </w:r>
            <w:r>
              <w:rPr>
                <w:rFonts w:ascii="Arial" w:eastAsia="Calibri" w:hAnsi="Arial" w:cs="Arial"/>
                <w:szCs w:val="22"/>
                <w:highlight w:val="yellow"/>
              </w:rPr>
              <w:t>activity</w:t>
            </w:r>
            <w:r>
              <w:rPr>
                <w:rFonts w:ascii="Arial" w:eastAsia="Calibri" w:hAnsi="Arial" w:cs="Arial"/>
                <w:szCs w:val="22"/>
              </w:rPr>
              <w:t xml:space="preserve"> </w:t>
            </w:r>
            <w:r>
              <w:rPr>
                <w:rFonts w:ascii="Arial" w:eastAsia="Calibri" w:hAnsi="Arial" w:cs="Arial"/>
                <w:szCs w:val="22"/>
                <w:highlight w:val="yellow"/>
              </w:rPr>
              <w:t>was</w:t>
            </w:r>
            <w:r>
              <w:rPr>
                <w:rFonts w:ascii="Arial" w:eastAsia="Calibri" w:hAnsi="Arial" w:cs="Arial"/>
                <w:szCs w:val="22"/>
              </w:rPr>
              <w:t xml:space="preserve"> elevated </w:t>
            </w:r>
            <w:r>
              <w:rPr>
                <w:rFonts w:ascii="Arial" w:eastAsia="Calibri" w:hAnsi="Arial" w:cs="Arial"/>
                <w:szCs w:val="22"/>
                <w:highlight w:val="yellow"/>
              </w:rPr>
              <w:t>under</w:t>
            </w:r>
            <w:r>
              <w:rPr>
                <w:rFonts w:ascii="Arial" w:eastAsia="Calibri" w:hAnsi="Arial" w:cs="Arial"/>
                <w:szCs w:val="22"/>
              </w:rPr>
              <w:t xml:space="preserve"> both cadmium and paraquat </w:t>
            </w:r>
            <w:r>
              <w:rPr>
                <w:rFonts w:ascii="Arial" w:eastAsia="Calibri" w:hAnsi="Arial" w:cs="Arial"/>
                <w:szCs w:val="22"/>
                <w:highlight w:val="yellow"/>
              </w:rPr>
              <w:t xml:space="preserve">exposure, </w:t>
            </w:r>
            <w:r>
              <w:rPr>
                <w:rFonts w:ascii="Arial" w:eastAsia="Calibri" w:hAnsi="Arial" w:cs="Arial"/>
                <w:szCs w:val="22"/>
              </w:rPr>
              <w:t xml:space="preserve">while APX and GR </w:t>
            </w:r>
            <w:r>
              <w:rPr>
                <w:rFonts w:ascii="Arial" w:eastAsia="Calibri" w:hAnsi="Arial" w:cs="Arial"/>
                <w:szCs w:val="22"/>
                <w:highlight w:val="yellow"/>
              </w:rPr>
              <w:t xml:space="preserve">activities </w:t>
            </w:r>
            <w:r>
              <w:rPr>
                <w:rFonts w:ascii="Arial" w:eastAsia="Calibri" w:hAnsi="Arial" w:cs="Arial"/>
                <w:szCs w:val="22"/>
              </w:rPr>
              <w:t xml:space="preserve">gradually </w:t>
            </w:r>
            <w:r>
              <w:rPr>
                <w:rFonts w:ascii="Arial" w:eastAsia="Calibri" w:hAnsi="Arial" w:cs="Arial"/>
                <w:szCs w:val="22"/>
                <w:highlight w:val="yellow"/>
              </w:rPr>
              <w:t>increased</w:t>
            </w:r>
            <w:r>
              <w:rPr>
                <w:rFonts w:ascii="Arial" w:eastAsia="Calibri" w:hAnsi="Arial" w:cs="Arial"/>
                <w:szCs w:val="22"/>
              </w:rPr>
              <w:t xml:space="preserve"> during treatment. CAT activity </w:t>
            </w:r>
            <w:r>
              <w:rPr>
                <w:rFonts w:ascii="Arial" w:eastAsia="Calibri" w:hAnsi="Arial" w:cs="Arial"/>
                <w:szCs w:val="22"/>
                <w:highlight w:val="yellow"/>
              </w:rPr>
              <w:t>increased</w:t>
            </w:r>
            <w:r>
              <w:rPr>
                <w:rFonts w:ascii="Arial" w:eastAsia="Calibri" w:hAnsi="Arial" w:cs="Arial"/>
                <w:szCs w:val="22"/>
              </w:rPr>
              <w:t xml:space="preserve"> at low to moderate cadmium concentrations and </w:t>
            </w:r>
            <w:r>
              <w:rPr>
                <w:rFonts w:ascii="Arial" w:eastAsia="Calibri" w:hAnsi="Arial" w:cs="Arial"/>
                <w:szCs w:val="22"/>
                <w:highlight w:val="yellow"/>
              </w:rPr>
              <w:t>decreased</w:t>
            </w:r>
            <w:r>
              <w:rPr>
                <w:rFonts w:ascii="Arial" w:eastAsia="Calibri" w:hAnsi="Arial" w:cs="Arial"/>
                <w:szCs w:val="22"/>
              </w:rPr>
              <w:t xml:space="preserve"> at the highest cadmium concentration (2 mg/L)</w:t>
            </w:r>
            <w:r>
              <w:rPr>
                <w:rFonts w:ascii="Arial" w:eastAsia="Calibri" w:hAnsi="Arial" w:cs="Arial"/>
                <w:szCs w:val="22"/>
                <w:highlight w:val="yellow"/>
              </w:rPr>
              <w:t>,</w:t>
            </w:r>
            <w:r>
              <w:rPr>
                <w:rFonts w:ascii="Arial" w:eastAsia="Calibri" w:hAnsi="Arial" w:cs="Arial"/>
                <w:szCs w:val="22"/>
              </w:rPr>
              <w:t xml:space="preserve"> which may indicate </w:t>
            </w:r>
            <w:r>
              <w:rPr>
                <w:rFonts w:ascii="Arial" w:eastAsia="Calibri" w:hAnsi="Arial" w:cs="Arial"/>
                <w:szCs w:val="22"/>
                <w:highlight w:val="yellow"/>
              </w:rPr>
              <w:t>enzyme</w:t>
            </w:r>
            <w:r>
              <w:rPr>
                <w:rFonts w:ascii="Arial" w:eastAsia="Calibri" w:hAnsi="Arial" w:cs="Arial"/>
                <w:szCs w:val="22"/>
              </w:rPr>
              <w:t xml:space="preserve"> inhibition or </w:t>
            </w:r>
            <w:r>
              <w:rPr>
                <w:rFonts w:ascii="Arial" w:eastAsia="Calibri" w:hAnsi="Arial" w:cs="Arial"/>
                <w:szCs w:val="22"/>
                <w:highlight w:val="yellow"/>
              </w:rPr>
              <w:t>an</w:t>
            </w:r>
            <w:r>
              <w:rPr>
                <w:rFonts w:ascii="Arial" w:eastAsia="Calibri" w:hAnsi="Arial" w:cs="Arial"/>
                <w:szCs w:val="22"/>
              </w:rPr>
              <w:t xml:space="preserve"> </w:t>
            </w:r>
            <w:r>
              <w:rPr>
                <w:rFonts w:ascii="Arial" w:eastAsia="Calibri" w:hAnsi="Arial" w:cs="Arial"/>
                <w:szCs w:val="22"/>
                <w:highlight w:val="yellow"/>
              </w:rPr>
              <w:t>overloaded</w:t>
            </w:r>
            <w:r>
              <w:rPr>
                <w:rFonts w:ascii="Arial" w:eastAsia="Calibri" w:hAnsi="Arial" w:cs="Arial"/>
                <w:szCs w:val="22"/>
              </w:rPr>
              <w:t xml:space="preserve"> scavenging capacity under severe metal stress. Paraquat caused a </w:t>
            </w:r>
            <w:r>
              <w:rPr>
                <w:rFonts w:ascii="Arial" w:eastAsia="Calibri" w:hAnsi="Arial" w:cs="Arial"/>
                <w:szCs w:val="22"/>
                <w:highlight w:val="yellow"/>
              </w:rPr>
              <w:t>consistent increase in</w:t>
            </w:r>
            <w:r>
              <w:rPr>
                <w:rFonts w:ascii="Arial" w:eastAsia="Calibri" w:hAnsi="Arial" w:cs="Arial"/>
                <w:szCs w:val="22"/>
              </w:rPr>
              <w:t xml:space="preserve"> CAT </w:t>
            </w:r>
            <w:r>
              <w:rPr>
                <w:rFonts w:ascii="Arial" w:eastAsia="Calibri" w:hAnsi="Arial" w:cs="Arial"/>
                <w:szCs w:val="22"/>
                <w:highlight w:val="yellow"/>
              </w:rPr>
              <w:t>activity</w:t>
            </w:r>
            <w:r>
              <w:rPr>
                <w:rFonts w:ascii="Arial" w:eastAsia="Calibri" w:hAnsi="Arial" w:cs="Arial"/>
                <w:szCs w:val="22"/>
              </w:rPr>
              <w:t xml:space="preserve">. </w:t>
            </w:r>
            <w:r>
              <w:rPr>
                <w:rFonts w:ascii="Arial" w:eastAsia="Calibri" w:hAnsi="Arial" w:cs="Arial"/>
                <w:szCs w:val="22"/>
                <w:highlight w:val="yellow"/>
              </w:rPr>
              <w:t>Overall,</w:t>
            </w:r>
            <w:r>
              <w:rPr>
                <w:rFonts w:ascii="Arial" w:eastAsia="Calibri" w:hAnsi="Arial" w:cs="Arial"/>
                <w:szCs w:val="22"/>
              </w:rPr>
              <w:t xml:space="preserve"> </w:t>
            </w:r>
            <w:r>
              <w:rPr>
                <w:rFonts w:ascii="Arial" w:eastAsia="Calibri" w:hAnsi="Arial" w:cs="Arial"/>
                <w:szCs w:val="22"/>
                <w:highlight w:val="yellow"/>
              </w:rPr>
              <w:t>the results</w:t>
            </w:r>
            <w:r>
              <w:rPr>
                <w:rFonts w:ascii="Arial" w:eastAsia="Calibri" w:hAnsi="Arial" w:cs="Arial"/>
                <w:szCs w:val="22"/>
              </w:rPr>
              <w:t xml:space="preserve"> show that </w:t>
            </w:r>
            <w:r>
              <w:rPr>
                <w:rFonts w:ascii="Arial" w:eastAsia="Calibri" w:hAnsi="Arial" w:cs="Arial"/>
                <w:i/>
                <w:szCs w:val="22"/>
              </w:rPr>
              <w:t>L. minor</w:t>
            </w:r>
            <w:r>
              <w:rPr>
                <w:rFonts w:ascii="Arial" w:eastAsia="Calibri" w:hAnsi="Arial" w:cs="Arial"/>
                <w:szCs w:val="22"/>
              </w:rPr>
              <w:t xml:space="preserve"> initiates a coordinated antioxidant response to diminish ROS generated by cadmium and paraquat exposure</w:t>
            </w:r>
            <w:r>
              <w:rPr>
                <w:rFonts w:ascii="Arial" w:eastAsia="Calibri" w:hAnsi="Arial" w:cs="Arial"/>
                <w:szCs w:val="22"/>
                <w:highlight w:val="yellow"/>
              </w:rPr>
              <w:t>,</w:t>
            </w:r>
            <w:r>
              <w:rPr>
                <w:rFonts w:ascii="Arial" w:eastAsia="Calibri" w:hAnsi="Arial" w:cs="Arial"/>
                <w:szCs w:val="22"/>
              </w:rPr>
              <w:t xml:space="preserve"> but very high metal stress may impair specific </w:t>
            </w:r>
            <w:r>
              <w:rPr>
                <w:rFonts w:ascii="Arial" w:eastAsia="Calibri" w:hAnsi="Arial" w:cs="Arial"/>
                <w:szCs w:val="22"/>
                <w:highlight w:val="yellow"/>
              </w:rPr>
              <w:t>defences</w:t>
            </w:r>
            <w:r>
              <w:rPr>
                <w:rFonts w:ascii="Arial" w:eastAsia="Calibri" w:hAnsi="Arial" w:cs="Arial"/>
                <w:szCs w:val="22"/>
              </w:rPr>
              <w:t xml:space="preserve">. These results suggest the potential of </w:t>
            </w:r>
            <w:r>
              <w:rPr>
                <w:rFonts w:ascii="Arial" w:eastAsia="Calibri" w:hAnsi="Arial" w:cs="Arial"/>
                <w:i/>
                <w:szCs w:val="22"/>
              </w:rPr>
              <w:t>L. minor</w:t>
            </w:r>
            <w:r>
              <w:rPr>
                <w:rFonts w:ascii="Arial" w:eastAsia="Calibri" w:hAnsi="Arial" w:cs="Arial"/>
                <w:szCs w:val="22"/>
              </w:rPr>
              <w:t xml:space="preserve"> as a bioindicator of </w:t>
            </w:r>
            <w:r>
              <w:rPr>
                <w:rFonts w:ascii="Arial" w:eastAsia="Calibri" w:hAnsi="Arial" w:cs="Arial"/>
                <w:szCs w:val="22"/>
                <w:highlight w:val="yellow"/>
              </w:rPr>
              <w:t xml:space="preserve">pollutant-induced </w:t>
            </w:r>
            <w:r>
              <w:rPr>
                <w:rFonts w:ascii="Arial" w:eastAsia="Calibri" w:hAnsi="Arial" w:cs="Arial"/>
                <w:szCs w:val="22"/>
              </w:rPr>
              <w:t xml:space="preserve">oxidative stress. Furthermore, the antioxidant responses </w:t>
            </w:r>
            <w:r>
              <w:rPr>
                <w:rFonts w:ascii="Arial" w:eastAsia="Calibri" w:hAnsi="Arial" w:cs="Arial"/>
                <w:szCs w:val="22"/>
                <w:highlight w:val="yellow"/>
              </w:rPr>
              <w:t>to</w:t>
            </w:r>
            <w:r>
              <w:rPr>
                <w:rFonts w:ascii="Arial" w:eastAsia="Calibri" w:hAnsi="Arial" w:cs="Arial"/>
                <w:szCs w:val="22"/>
              </w:rPr>
              <w:t xml:space="preserve"> Cd and paraquat dichloride may </w:t>
            </w:r>
            <w:r>
              <w:rPr>
                <w:rFonts w:ascii="Arial" w:eastAsia="Calibri" w:hAnsi="Arial" w:cs="Arial"/>
                <w:szCs w:val="22"/>
                <w:highlight w:val="yellow"/>
              </w:rPr>
              <w:t>inform</w:t>
            </w:r>
            <w:r>
              <w:rPr>
                <w:rFonts w:ascii="Arial" w:eastAsia="Calibri" w:hAnsi="Arial" w:cs="Arial"/>
                <w:szCs w:val="22"/>
              </w:rPr>
              <w:t xml:space="preserve"> its use in phytoremediation studies.</w:t>
            </w:r>
          </w:p>
        </w:tc>
      </w:tr>
    </w:tbl>
    <w:p w14:paraId="5F38272C" w14:textId="77777777" w:rsidR="00636EB2" w:rsidRDefault="00636EB2" w:rsidP="00441B6F">
      <w:pPr>
        <w:pStyle w:val="Body"/>
        <w:spacing w:after="0"/>
        <w:rPr>
          <w:rFonts w:ascii="Arial" w:hAnsi="Arial" w:cs="Arial"/>
          <w:i/>
        </w:rPr>
      </w:pPr>
    </w:p>
    <w:p w14:paraId="0843B9D3" w14:textId="77777777" w:rsidR="0024282C" w:rsidRDefault="00A24E7E" w:rsidP="00441B6F">
      <w:pPr>
        <w:pStyle w:val="Body"/>
        <w:spacing w:after="0"/>
        <w:rPr>
          <w:rFonts w:ascii="Arial" w:hAnsi="Arial" w:cs="Arial"/>
          <w:i/>
          <w:sz w:val="18"/>
        </w:rPr>
      </w:pPr>
      <w:r>
        <w:rPr>
          <w:rFonts w:ascii="Arial" w:hAnsi="Arial" w:cs="Arial"/>
          <w:i/>
        </w:rPr>
        <w:t xml:space="preserve">Keywords: </w:t>
      </w:r>
      <w:r w:rsidR="00F844B3" w:rsidRPr="00F844B3">
        <w:rPr>
          <w:rFonts w:ascii="Arial" w:hAnsi="Arial" w:cs="Arial"/>
          <w:i/>
        </w:rPr>
        <w:t>Lemna minor, Cadmium, Paraquat dichloride, Oxidative stress, Antioxidant enzymes, Bioindicator.</w:t>
      </w:r>
      <w:r w:rsidR="00A62FEC">
        <w:rPr>
          <w:rFonts w:ascii="Arial" w:hAnsi="Arial" w:cs="Arial"/>
          <w:i/>
          <w:sz w:val="18"/>
        </w:rPr>
        <w:t xml:space="preserve"> </w:t>
      </w:r>
    </w:p>
    <w:p w14:paraId="293C8A47" w14:textId="77777777" w:rsidR="00505F06" w:rsidRPr="00A24E7E" w:rsidRDefault="00505F06" w:rsidP="00441B6F">
      <w:pPr>
        <w:pStyle w:val="Body"/>
        <w:spacing w:after="0"/>
        <w:rPr>
          <w:rFonts w:ascii="Arial" w:hAnsi="Arial" w:cs="Arial"/>
          <w:i/>
        </w:rPr>
      </w:pPr>
    </w:p>
    <w:p w14:paraId="1291893B" w14:textId="77777777" w:rsidR="00790ADA" w:rsidRPr="00FB3A86" w:rsidRDefault="00902823" w:rsidP="00441B6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r w:rsidR="007F7B32">
        <w:rPr>
          <w:rFonts w:ascii="Arial" w:hAnsi="Arial" w:cs="Arial"/>
        </w:rPr>
        <w:t xml:space="preserve"> </w:t>
      </w:r>
    </w:p>
    <w:p w14:paraId="744A6230" w14:textId="77777777" w:rsidR="00790ADA" w:rsidRPr="00FB3A86" w:rsidRDefault="00F844B3" w:rsidP="00441B6F">
      <w:pPr>
        <w:pStyle w:val="Body"/>
        <w:spacing w:after="0"/>
        <w:rPr>
          <w:rFonts w:ascii="Arial" w:hAnsi="Arial" w:cs="Arial"/>
        </w:rPr>
      </w:pPr>
      <w:r>
        <w:rPr>
          <w:rFonts w:ascii="Arial" w:hAnsi="Arial" w:cs="Arial"/>
        </w:rPr>
        <w:t xml:space="preserve">Water is crucial for agriculture, industry and human </w:t>
      </w:r>
      <w:r>
        <w:rPr>
          <w:rFonts w:ascii="Arial" w:hAnsi="Arial" w:cs="Arial"/>
          <w:highlight w:val="yellow"/>
        </w:rPr>
        <w:t>well-being</w:t>
      </w:r>
      <w:r>
        <w:rPr>
          <w:rFonts w:ascii="Arial" w:hAnsi="Arial" w:cs="Arial"/>
        </w:rPr>
        <w:t xml:space="preserve">. </w:t>
      </w:r>
      <w:r>
        <w:rPr>
          <w:rFonts w:ascii="Arial" w:hAnsi="Arial" w:cs="Arial"/>
          <w:highlight w:val="yellow"/>
        </w:rPr>
        <w:t>However,</w:t>
      </w:r>
      <w:r>
        <w:rPr>
          <w:rFonts w:ascii="Arial" w:hAnsi="Arial" w:cs="Arial"/>
        </w:rPr>
        <w:t xml:space="preserve"> over the last few decades, </w:t>
      </w:r>
      <w:r>
        <w:rPr>
          <w:rFonts w:ascii="Arial" w:hAnsi="Arial" w:cs="Arial"/>
          <w:highlight w:val="yellow"/>
        </w:rPr>
        <w:t>industrialisation</w:t>
      </w:r>
      <w:r>
        <w:rPr>
          <w:rFonts w:ascii="Arial" w:hAnsi="Arial" w:cs="Arial"/>
        </w:rPr>
        <w:t xml:space="preserve">, </w:t>
      </w:r>
      <w:r>
        <w:rPr>
          <w:rFonts w:ascii="Arial" w:hAnsi="Arial" w:cs="Arial"/>
          <w:highlight w:val="yellow"/>
        </w:rPr>
        <w:t xml:space="preserve">urbanisation, wastewater </w:t>
      </w:r>
      <w:r>
        <w:rPr>
          <w:rFonts w:ascii="Arial" w:hAnsi="Arial" w:cs="Arial"/>
        </w:rPr>
        <w:t xml:space="preserve">discharge and unchecked </w:t>
      </w:r>
      <w:r>
        <w:rPr>
          <w:rFonts w:ascii="Arial" w:hAnsi="Arial" w:cs="Arial"/>
          <w:highlight w:val="yellow"/>
        </w:rPr>
        <w:t>agricultural activities</w:t>
      </w:r>
      <w:r>
        <w:rPr>
          <w:rFonts w:ascii="Arial" w:hAnsi="Arial" w:cs="Arial"/>
        </w:rPr>
        <w:t xml:space="preserve"> have led to </w:t>
      </w:r>
      <w:r>
        <w:rPr>
          <w:rFonts w:ascii="Arial" w:hAnsi="Arial" w:cs="Arial"/>
          <w:highlight w:val="yellow"/>
        </w:rPr>
        <w:t>overexploitation</w:t>
      </w:r>
      <w:r>
        <w:rPr>
          <w:rFonts w:ascii="Arial" w:hAnsi="Arial" w:cs="Arial"/>
        </w:rPr>
        <w:t xml:space="preserve"> of natural resources </w:t>
      </w:r>
      <w:r>
        <w:rPr>
          <w:rFonts w:ascii="Arial" w:hAnsi="Arial" w:cs="Arial"/>
          <w:highlight w:val="yellow"/>
        </w:rPr>
        <w:t>and</w:t>
      </w:r>
      <w:r>
        <w:rPr>
          <w:rFonts w:ascii="Arial" w:hAnsi="Arial" w:cs="Arial"/>
        </w:rPr>
        <w:t xml:space="preserve"> serious water pollution. </w:t>
      </w:r>
      <w:r>
        <w:rPr>
          <w:rFonts w:ascii="Arial" w:hAnsi="Arial" w:cs="Arial"/>
          <w:highlight w:val="yellow"/>
        </w:rPr>
        <w:t>Human activities continuously introduce heavy</w:t>
      </w:r>
      <w:r>
        <w:rPr>
          <w:rFonts w:ascii="Arial" w:hAnsi="Arial" w:cs="Arial"/>
        </w:rPr>
        <w:t xml:space="preserve"> metals and pesticides </w:t>
      </w:r>
      <w:r>
        <w:rPr>
          <w:rFonts w:ascii="Arial" w:hAnsi="Arial" w:cs="Arial"/>
          <w:highlight w:val="yellow"/>
        </w:rPr>
        <w:t xml:space="preserve">at levels that </w:t>
      </w:r>
      <w:r>
        <w:rPr>
          <w:rFonts w:ascii="Arial" w:hAnsi="Arial" w:cs="Arial"/>
        </w:rPr>
        <w:t>are harmful to human health (Zhang et al.</w:t>
      </w:r>
      <w:r>
        <w:rPr>
          <w:rFonts w:ascii="Arial" w:hAnsi="Arial" w:cs="Arial"/>
          <w:highlight w:val="yellow"/>
        </w:rPr>
        <w:t>,</w:t>
      </w:r>
      <w:r>
        <w:rPr>
          <w:rFonts w:ascii="Arial" w:hAnsi="Arial" w:cs="Arial"/>
        </w:rPr>
        <w:t xml:space="preserve"> 2009; Ishaq </w:t>
      </w:r>
      <w:r>
        <w:rPr>
          <w:rFonts w:ascii="Arial" w:hAnsi="Arial" w:cs="Arial"/>
          <w:highlight w:val="yellow"/>
        </w:rPr>
        <w:t>&amp;</w:t>
      </w:r>
      <w:r>
        <w:rPr>
          <w:rFonts w:ascii="Arial" w:hAnsi="Arial" w:cs="Arial"/>
        </w:rPr>
        <w:t xml:space="preserve"> Khan</w:t>
      </w:r>
      <w:r>
        <w:rPr>
          <w:rFonts w:ascii="Arial" w:hAnsi="Arial" w:cs="Arial"/>
          <w:highlight w:val="yellow"/>
        </w:rPr>
        <w:t>,</w:t>
      </w:r>
      <w:r>
        <w:rPr>
          <w:rFonts w:ascii="Arial" w:hAnsi="Arial" w:cs="Arial"/>
        </w:rPr>
        <w:t xml:space="preserve"> 2013; Arora et al.</w:t>
      </w:r>
      <w:r>
        <w:rPr>
          <w:rFonts w:ascii="Arial" w:hAnsi="Arial" w:cs="Arial"/>
          <w:highlight w:val="yellow"/>
        </w:rPr>
        <w:t>,</w:t>
      </w:r>
      <w:r>
        <w:rPr>
          <w:rFonts w:ascii="Arial" w:hAnsi="Arial" w:cs="Arial"/>
        </w:rPr>
        <w:t xml:space="preserve"> 2018). </w:t>
      </w:r>
      <w:r>
        <w:rPr>
          <w:rFonts w:ascii="Arial" w:hAnsi="Arial" w:cs="Arial"/>
          <w:highlight w:val="yellow"/>
        </w:rPr>
        <w:t>Point-source</w:t>
      </w:r>
      <w:r>
        <w:rPr>
          <w:rFonts w:ascii="Arial" w:hAnsi="Arial" w:cs="Arial"/>
        </w:rPr>
        <w:t xml:space="preserve"> contaminants are generated by industrial </w:t>
      </w:r>
      <w:r>
        <w:rPr>
          <w:rFonts w:ascii="Arial" w:hAnsi="Arial" w:cs="Arial"/>
          <w:highlight w:val="yellow"/>
        </w:rPr>
        <w:t>activities</w:t>
      </w:r>
      <w:r>
        <w:rPr>
          <w:rFonts w:ascii="Arial" w:hAnsi="Arial" w:cs="Arial"/>
        </w:rPr>
        <w:t xml:space="preserve">, such as metal smelting and mining, </w:t>
      </w:r>
      <w:r>
        <w:rPr>
          <w:rFonts w:ascii="Arial" w:hAnsi="Arial" w:cs="Arial"/>
          <w:highlight w:val="yellow"/>
        </w:rPr>
        <w:t>whereas</w:t>
      </w:r>
      <w:r>
        <w:rPr>
          <w:rFonts w:ascii="Arial" w:hAnsi="Arial" w:cs="Arial"/>
        </w:rPr>
        <w:t xml:space="preserve"> </w:t>
      </w:r>
      <w:r>
        <w:rPr>
          <w:rFonts w:ascii="Arial" w:hAnsi="Arial" w:cs="Arial"/>
          <w:highlight w:val="yellow"/>
        </w:rPr>
        <w:t>non-point-source</w:t>
      </w:r>
      <w:r>
        <w:rPr>
          <w:rFonts w:ascii="Arial" w:hAnsi="Arial" w:cs="Arial"/>
        </w:rPr>
        <w:t xml:space="preserve"> pollutants are derived from agricultural runoff, including </w:t>
      </w:r>
      <w:r>
        <w:rPr>
          <w:rFonts w:ascii="Arial" w:hAnsi="Arial" w:cs="Arial"/>
          <w:highlight w:val="yellow"/>
        </w:rPr>
        <w:t>fertilisers</w:t>
      </w:r>
      <w:r>
        <w:rPr>
          <w:rFonts w:ascii="Arial" w:hAnsi="Arial" w:cs="Arial"/>
        </w:rPr>
        <w:t xml:space="preserve"> and pesticides (</w:t>
      </w:r>
      <w:r>
        <w:rPr>
          <w:rFonts w:ascii="Arial" w:hAnsi="Arial" w:cs="Arial"/>
          <w:highlight w:val="yellow"/>
        </w:rPr>
        <w:t xml:space="preserve">D. </w:t>
      </w:r>
      <w:r>
        <w:rPr>
          <w:rFonts w:ascii="Arial" w:hAnsi="Arial" w:cs="Arial"/>
        </w:rPr>
        <w:t>Kumar et al.</w:t>
      </w:r>
      <w:r>
        <w:rPr>
          <w:rFonts w:ascii="Arial" w:hAnsi="Arial" w:cs="Arial"/>
          <w:highlight w:val="yellow"/>
        </w:rPr>
        <w:t>,</w:t>
      </w:r>
      <w:r>
        <w:rPr>
          <w:rFonts w:ascii="Arial" w:hAnsi="Arial" w:cs="Arial"/>
        </w:rPr>
        <w:t xml:space="preserve"> </w:t>
      </w:r>
      <w:r>
        <w:rPr>
          <w:rFonts w:ascii="Arial" w:hAnsi="Arial" w:cs="Arial"/>
          <w:highlight w:val="yellow"/>
        </w:rPr>
        <w:t>2018</w:t>
      </w:r>
      <w:r>
        <w:rPr>
          <w:rFonts w:ascii="Arial" w:hAnsi="Arial" w:cs="Arial"/>
        </w:rPr>
        <w:t xml:space="preserve">). Each pollutant </w:t>
      </w:r>
      <w:r>
        <w:rPr>
          <w:rFonts w:ascii="Arial" w:hAnsi="Arial" w:cs="Arial"/>
          <w:highlight w:val="yellow"/>
        </w:rPr>
        <w:t>affects</w:t>
      </w:r>
      <w:r>
        <w:rPr>
          <w:rFonts w:ascii="Arial" w:hAnsi="Arial" w:cs="Arial"/>
        </w:rPr>
        <w:t xml:space="preserve"> plants and animals in </w:t>
      </w:r>
      <w:r>
        <w:rPr>
          <w:rFonts w:ascii="Arial" w:hAnsi="Arial" w:cs="Arial"/>
          <w:highlight w:val="yellow"/>
        </w:rPr>
        <w:t>different</w:t>
      </w:r>
      <w:r>
        <w:rPr>
          <w:rFonts w:ascii="Arial" w:hAnsi="Arial" w:cs="Arial"/>
        </w:rPr>
        <w:t xml:space="preserve"> </w:t>
      </w:r>
      <w:r>
        <w:rPr>
          <w:rFonts w:ascii="Arial" w:hAnsi="Arial" w:cs="Arial"/>
          <w:highlight w:val="yellow"/>
        </w:rPr>
        <w:t>ways</w:t>
      </w:r>
      <w:r>
        <w:rPr>
          <w:rFonts w:ascii="Arial" w:hAnsi="Arial" w:cs="Arial"/>
        </w:rPr>
        <w:t xml:space="preserve">, but the </w:t>
      </w:r>
      <w:r>
        <w:rPr>
          <w:rFonts w:ascii="Arial" w:hAnsi="Arial" w:cs="Arial"/>
          <w:highlight w:val="yellow"/>
        </w:rPr>
        <w:t>entry</w:t>
      </w:r>
      <w:r>
        <w:rPr>
          <w:rFonts w:ascii="Arial" w:hAnsi="Arial" w:cs="Arial"/>
        </w:rPr>
        <w:t xml:space="preserve"> of heavy metals and pesticides </w:t>
      </w:r>
      <w:r>
        <w:rPr>
          <w:rFonts w:ascii="Arial" w:hAnsi="Arial" w:cs="Arial"/>
          <w:highlight w:val="yellow"/>
        </w:rPr>
        <w:t>into</w:t>
      </w:r>
      <w:r>
        <w:rPr>
          <w:rFonts w:ascii="Arial" w:hAnsi="Arial" w:cs="Arial"/>
        </w:rPr>
        <w:t xml:space="preserve"> </w:t>
      </w:r>
      <w:r>
        <w:rPr>
          <w:rFonts w:ascii="Arial" w:hAnsi="Arial" w:cs="Arial"/>
          <w:highlight w:val="yellow"/>
        </w:rPr>
        <w:t>aquatic</w:t>
      </w:r>
      <w:r>
        <w:rPr>
          <w:rFonts w:ascii="Arial" w:hAnsi="Arial" w:cs="Arial"/>
        </w:rPr>
        <w:t xml:space="preserve"> ecosystems is </w:t>
      </w:r>
      <w:r>
        <w:rPr>
          <w:rFonts w:ascii="Arial" w:hAnsi="Arial" w:cs="Arial"/>
          <w:highlight w:val="yellow"/>
        </w:rPr>
        <w:t xml:space="preserve">an </w:t>
      </w:r>
      <w:r>
        <w:rPr>
          <w:rFonts w:ascii="Arial" w:hAnsi="Arial" w:cs="Arial"/>
        </w:rPr>
        <w:t>increasing</w:t>
      </w:r>
      <w:r>
        <w:rPr>
          <w:rFonts w:ascii="Arial" w:hAnsi="Arial" w:cs="Arial"/>
          <w:highlight w:val="yellow"/>
        </w:rPr>
        <w:t xml:space="preserve"> problem</w:t>
      </w:r>
      <w:r>
        <w:rPr>
          <w:rFonts w:ascii="Arial" w:hAnsi="Arial" w:cs="Arial"/>
        </w:rPr>
        <w:t>. Flora and fauna assimilate highly toxic heavy metals</w:t>
      </w:r>
      <w:r>
        <w:rPr>
          <w:rFonts w:ascii="Arial" w:hAnsi="Arial" w:cs="Arial"/>
          <w:highlight w:val="yellow"/>
        </w:rPr>
        <w:t xml:space="preserve"> such</w:t>
      </w:r>
      <w:r>
        <w:rPr>
          <w:rFonts w:ascii="Arial" w:hAnsi="Arial" w:cs="Arial"/>
        </w:rPr>
        <w:t xml:space="preserve"> as lead (Pb), mercury (Hg), arsenic (As), copper (Cu), zinc (Zn) and cadmium (Cd). Heavy metals in </w:t>
      </w:r>
      <w:r>
        <w:rPr>
          <w:rFonts w:ascii="Arial" w:hAnsi="Arial" w:cs="Arial"/>
          <w:highlight w:val="yellow"/>
        </w:rPr>
        <w:t>soils</w:t>
      </w:r>
      <w:r>
        <w:rPr>
          <w:rFonts w:ascii="Arial" w:hAnsi="Arial" w:cs="Arial"/>
        </w:rPr>
        <w:t xml:space="preserve">, aquatic </w:t>
      </w:r>
      <w:r>
        <w:rPr>
          <w:rFonts w:ascii="Arial" w:hAnsi="Arial" w:cs="Arial"/>
          <w:highlight w:val="yellow"/>
        </w:rPr>
        <w:t>systems</w:t>
      </w:r>
      <w:r>
        <w:rPr>
          <w:rFonts w:ascii="Arial" w:hAnsi="Arial" w:cs="Arial"/>
        </w:rPr>
        <w:t xml:space="preserve"> and biota are naturally derived </w:t>
      </w:r>
      <w:r>
        <w:rPr>
          <w:rFonts w:ascii="Arial" w:hAnsi="Arial" w:cs="Arial"/>
          <w:highlight w:val="yellow"/>
        </w:rPr>
        <w:t>through</w:t>
      </w:r>
      <w:r>
        <w:rPr>
          <w:rFonts w:ascii="Arial" w:hAnsi="Arial" w:cs="Arial"/>
        </w:rPr>
        <w:t xml:space="preserve"> rock degradation, volcanic activity, wildfire, biological processes and marine salts from the oceans (Shahzad et al., 2024; Zaynab et al., </w:t>
      </w:r>
      <w:r>
        <w:rPr>
          <w:rFonts w:ascii="Arial" w:hAnsi="Arial" w:cs="Arial"/>
        </w:rPr>
        <w:lastRenderedPageBreak/>
        <w:t xml:space="preserve">2022). However, anthropogenic activities such as mining, industrial processes, agriculture, waste disposal, biosolid addition, pesticide application, </w:t>
      </w:r>
      <w:r>
        <w:rPr>
          <w:rFonts w:ascii="Arial" w:hAnsi="Arial" w:cs="Arial"/>
          <w:highlight w:val="yellow"/>
        </w:rPr>
        <w:t>coal-burning</w:t>
      </w:r>
      <w:r>
        <w:rPr>
          <w:rFonts w:ascii="Arial" w:hAnsi="Arial" w:cs="Arial"/>
        </w:rPr>
        <w:t xml:space="preserve"> residues and petrochemical compounds have increased the levels of these metals</w:t>
      </w:r>
      <w:r>
        <w:rPr>
          <w:rFonts w:ascii="Arial" w:hAnsi="Arial" w:cs="Arial"/>
          <w:highlight w:val="yellow"/>
        </w:rPr>
        <w:t>,</w:t>
      </w:r>
      <w:r>
        <w:rPr>
          <w:rFonts w:ascii="Arial" w:hAnsi="Arial" w:cs="Arial"/>
        </w:rPr>
        <w:t xml:space="preserve"> causing </w:t>
      </w:r>
      <w:r>
        <w:rPr>
          <w:rFonts w:ascii="Arial" w:hAnsi="Arial" w:cs="Arial"/>
          <w:highlight w:val="yellow"/>
        </w:rPr>
        <w:t>considerable</w:t>
      </w:r>
      <w:r>
        <w:rPr>
          <w:rFonts w:ascii="Arial" w:hAnsi="Arial" w:cs="Arial"/>
        </w:rPr>
        <w:t xml:space="preserve"> worldwide concern (Wuana </w:t>
      </w:r>
      <w:r>
        <w:rPr>
          <w:rFonts w:ascii="Arial" w:hAnsi="Arial" w:cs="Arial"/>
          <w:highlight w:val="yellow"/>
        </w:rPr>
        <w:t>&amp;</w:t>
      </w:r>
      <w:r>
        <w:rPr>
          <w:rFonts w:ascii="Arial" w:hAnsi="Arial" w:cs="Arial"/>
        </w:rPr>
        <w:t xml:space="preserve"> Okieimen, 2011). The </w:t>
      </w:r>
      <w:r>
        <w:rPr>
          <w:rFonts w:ascii="Arial" w:hAnsi="Arial" w:cs="Arial"/>
          <w:highlight w:val="yellow"/>
        </w:rPr>
        <w:t>amounts</w:t>
      </w:r>
      <w:r>
        <w:rPr>
          <w:rFonts w:ascii="Arial" w:hAnsi="Arial" w:cs="Arial"/>
        </w:rPr>
        <w:t xml:space="preserve"> of heavy metals in volcanic rocks or ash </w:t>
      </w:r>
      <w:r>
        <w:rPr>
          <w:rFonts w:ascii="Arial" w:hAnsi="Arial" w:cs="Arial"/>
          <w:highlight w:val="yellow"/>
        </w:rPr>
        <w:t>vary</w:t>
      </w:r>
      <w:r>
        <w:rPr>
          <w:rFonts w:ascii="Arial" w:hAnsi="Arial" w:cs="Arial"/>
        </w:rPr>
        <w:t xml:space="preserve">. Copper, lead and zinc are generally found at </w:t>
      </w:r>
      <w:r>
        <w:rPr>
          <w:rFonts w:ascii="Arial" w:hAnsi="Arial" w:cs="Arial"/>
          <w:highlight w:val="yellow"/>
        </w:rPr>
        <w:t>concentrations</w:t>
      </w:r>
      <w:r>
        <w:rPr>
          <w:rFonts w:ascii="Arial" w:hAnsi="Arial" w:cs="Arial"/>
        </w:rPr>
        <w:t xml:space="preserve"> of 1.2–47.8 μg g</w:t>
      </w:r>
      <w:r>
        <w:rPr>
          <w:rFonts w:ascii="Arial" w:hAnsi="Arial" w:cs="Arial"/>
          <w:vertAlign w:val="superscript"/>
        </w:rPr>
        <w:t>−1</w:t>
      </w:r>
      <w:r>
        <w:rPr>
          <w:rFonts w:ascii="Arial" w:hAnsi="Arial" w:cs="Arial"/>
        </w:rPr>
        <w:t>, 8.4–36 mg kg</w:t>
      </w:r>
      <w:r>
        <w:rPr>
          <w:rFonts w:ascii="Arial" w:hAnsi="Arial" w:cs="Arial"/>
          <w:vertAlign w:val="superscript"/>
        </w:rPr>
        <w:t>−1</w:t>
      </w:r>
      <w:r>
        <w:rPr>
          <w:rFonts w:ascii="Arial" w:hAnsi="Arial" w:cs="Arial"/>
        </w:rPr>
        <w:t xml:space="preserve"> and 15–73 mg kg</w:t>
      </w:r>
      <w:r>
        <w:rPr>
          <w:rFonts w:ascii="Arial" w:hAnsi="Arial" w:cs="Arial"/>
          <w:vertAlign w:val="superscript"/>
        </w:rPr>
        <w:t>−1</w:t>
      </w:r>
      <w:r>
        <w:rPr>
          <w:rFonts w:ascii="Arial" w:hAnsi="Arial" w:cs="Arial"/>
        </w:rPr>
        <w:t>, respectively. Cadmium concentrations in volcanic rocks are in the range of 0.1-0.5 ppm</w:t>
      </w:r>
      <w:r>
        <w:rPr>
          <w:rFonts w:ascii="Arial" w:hAnsi="Arial" w:cs="Arial"/>
          <w:highlight w:val="yellow"/>
        </w:rPr>
        <w:t>, while those</w:t>
      </w:r>
      <w:r>
        <w:rPr>
          <w:rFonts w:ascii="Arial" w:hAnsi="Arial" w:cs="Arial"/>
        </w:rPr>
        <w:t xml:space="preserve"> in oceanic waters </w:t>
      </w:r>
      <w:r>
        <w:rPr>
          <w:rFonts w:ascii="Arial" w:hAnsi="Arial" w:cs="Arial"/>
          <w:highlight w:val="yellow"/>
        </w:rPr>
        <w:t>span</w:t>
      </w:r>
      <w:r>
        <w:rPr>
          <w:rFonts w:ascii="Arial" w:hAnsi="Arial" w:cs="Arial"/>
        </w:rPr>
        <w:t xml:space="preserve"> from &lt;5 to 110 ng L</w:t>
      </w:r>
      <w:r>
        <w:rPr>
          <w:rFonts w:ascii="Arial" w:hAnsi="Arial" w:cs="Arial"/>
          <w:vertAlign w:val="superscript"/>
        </w:rPr>
        <w:t>−1</w:t>
      </w:r>
      <w:r>
        <w:rPr>
          <w:rFonts w:ascii="Arial" w:hAnsi="Arial" w:cs="Arial"/>
          <w:highlight w:val="yellow"/>
        </w:rPr>
        <w:t xml:space="preserve"> (Novoselov et al., 2022; Torres et al., 2023)</w:t>
      </w:r>
      <w:r>
        <w:rPr>
          <w:rFonts w:ascii="Arial" w:hAnsi="Arial" w:cs="Arial"/>
        </w:rPr>
        <w:t xml:space="preserve">. Anthropogenic sources release higher concentrations of heavy metals </w:t>
      </w:r>
      <w:r>
        <w:rPr>
          <w:rFonts w:ascii="Arial" w:hAnsi="Arial" w:cs="Arial"/>
          <w:highlight w:val="yellow"/>
        </w:rPr>
        <w:t>because</w:t>
      </w:r>
      <w:r>
        <w:rPr>
          <w:rFonts w:ascii="Arial" w:hAnsi="Arial" w:cs="Arial"/>
        </w:rPr>
        <w:t xml:space="preserve"> they emit large volumes of these pollutants in more dangerous and mobile forms. This is especially </w:t>
      </w:r>
      <w:r>
        <w:rPr>
          <w:rFonts w:ascii="Arial" w:hAnsi="Arial" w:cs="Arial"/>
          <w:highlight w:val="yellow"/>
        </w:rPr>
        <w:t>relevant</w:t>
      </w:r>
      <w:r>
        <w:rPr>
          <w:rFonts w:ascii="Arial" w:hAnsi="Arial" w:cs="Arial"/>
        </w:rPr>
        <w:t xml:space="preserve"> in aquatic ecosystems</w:t>
      </w:r>
      <w:r>
        <w:rPr>
          <w:rFonts w:ascii="Arial" w:hAnsi="Arial" w:cs="Arial"/>
          <w:highlight w:val="yellow"/>
        </w:rPr>
        <w:t>,</w:t>
      </w:r>
      <w:r>
        <w:rPr>
          <w:rFonts w:ascii="Arial" w:hAnsi="Arial" w:cs="Arial"/>
        </w:rPr>
        <w:t xml:space="preserve"> where heavy metals can remain for long periods in suspended matter, sediment layers, aquatic vegetation and fish (Kolarova </w:t>
      </w:r>
      <w:r>
        <w:rPr>
          <w:rFonts w:ascii="Arial" w:hAnsi="Arial" w:cs="Arial"/>
          <w:highlight w:val="yellow"/>
        </w:rPr>
        <w:t>&amp;</w:t>
      </w:r>
      <w:r>
        <w:rPr>
          <w:rFonts w:ascii="Arial" w:hAnsi="Arial" w:cs="Arial"/>
        </w:rPr>
        <w:t xml:space="preserve"> Napiórkowski, 2021). Most metals introduced into an aquatic system are adsorbed </w:t>
      </w:r>
      <w:r>
        <w:rPr>
          <w:rFonts w:ascii="Arial" w:hAnsi="Arial" w:cs="Arial"/>
          <w:highlight w:val="yellow"/>
        </w:rPr>
        <w:t>onto</w:t>
      </w:r>
      <w:r>
        <w:rPr>
          <w:rFonts w:ascii="Arial" w:hAnsi="Arial" w:cs="Arial"/>
        </w:rPr>
        <w:t xml:space="preserve"> suspended particles and precipitated </w:t>
      </w:r>
      <w:r>
        <w:rPr>
          <w:rFonts w:ascii="Arial" w:hAnsi="Arial" w:cs="Arial"/>
          <w:highlight w:val="yellow"/>
        </w:rPr>
        <w:t>into</w:t>
      </w:r>
      <w:r>
        <w:rPr>
          <w:rFonts w:ascii="Arial" w:hAnsi="Arial" w:cs="Arial"/>
        </w:rPr>
        <w:t xml:space="preserve"> sediments. Cadmium is </w:t>
      </w:r>
      <w:r>
        <w:rPr>
          <w:rFonts w:ascii="Arial" w:hAnsi="Arial" w:cs="Arial"/>
          <w:highlight w:val="yellow"/>
        </w:rPr>
        <w:t>ranked</w:t>
      </w:r>
      <w:r>
        <w:rPr>
          <w:rFonts w:ascii="Arial" w:hAnsi="Arial" w:cs="Arial"/>
        </w:rPr>
        <w:t xml:space="preserve"> </w:t>
      </w:r>
      <w:r>
        <w:rPr>
          <w:rFonts w:ascii="Arial" w:hAnsi="Arial" w:cs="Arial"/>
          <w:highlight w:val="yellow"/>
        </w:rPr>
        <w:t>third</w:t>
      </w:r>
      <w:r>
        <w:rPr>
          <w:rFonts w:ascii="Arial" w:hAnsi="Arial" w:cs="Arial"/>
        </w:rPr>
        <w:t xml:space="preserve"> on the </w:t>
      </w:r>
      <w:r>
        <w:rPr>
          <w:rFonts w:ascii="Arial" w:hAnsi="Arial" w:cs="Arial"/>
          <w:highlight w:val="yellow"/>
        </w:rPr>
        <w:t xml:space="preserve">2025 </w:t>
      </w:r>
      <w:r>
        <w:rPr>
          <w:rFonts w:ascii="Arial" w:hAnsi="Arial" w:cs="Arial"/>
        </w:rPr>
        <w:t>ATSDR</w:t>
      </w:r>
      <w:r>
        <w:rPr>
          <w:rFonts w:ascii="Arial" w:hAnsi="Arial" w:cs="Arial"/>
          <w:highlight w:val="yellow"/>
        </w:rPr>
        <w:t xml:space="preserve"> Substance Priority List (Agency for Toxic Substances</w:t>
      </w:r>
      <w:r>
        <w:rPr>
          <w:rFonts w:ascii="Arial" w:hAnsi="Arial" w:cs="Arial"/>
        </w:rPr>
        <w:t xml:space="preserve"> and </w:t>
      </w:r>
      <w:r>
        <w:rPr>
          <w:rFonts w:ascii="Arial" w:hAnsi="Arial" w:cs="Arial"/>
          <w:highlight w:val="yellow"/>
        </w:rPr>
        <w:t>Disease</w:t>
      </w:r>
      <w:r>
        <w:rPr>
          <w:rFonts w:ascii="Arial" w:hAnsi="Arial" w:cs="Arial"/>
        </w:rPr>
        <w:t xml:space="preserve"> </w:t>
      </w:r>
      <w:r>
        <w:rPr>
          <w:rFonts w:ascii="Arial" w:hAnsi="Arial" w:cs="Arial"/>
          <w:highlight w:val="yellow"/>
        </w:rPr>
        <w:t>Registry</w:t>
      </w:r>
      <w:r>
        <w:rPr>
          <w:rFonts w:ascii="Arial" w:hAnsi="Arial" w:cs="Arial"/>
        </w:rPr>
        <w:t xml:space="preserve"> </w:t>
      </w:r>
      <w:r>
        <w:rPr>
          <w:rFonts w:ascii="Arial" w:hAnsi="Arial" w:cs="Arial"/>
          <w:highlight w:val="yellow"/>
        </w:rPr>
        <w:t>[ATSDR]</w:t>
      </w:r>
      <w:r>
        <w:rPr>
          <w:rFonts w:ascii="Arial" w:hAnsi="Arial" w:cs="Arial"/>
        </w:rPr>
        <w:t xml:space="preserve">, </w:t>
      </w:r>
      <w:r>
        <w:rPr>
          <w:rFonts w:ascii="Arial" w:hAnsi="Arial" w:cs="Arial"/>
          <w:highlight w:val="yellow"/>
        </w:rPr>
        <w:t>2026</w:t>
      </w:r>
      <w:r>
        <w:rPr>
          <w:rFonts w:ascii="Arial" w:hAnsi="Arial" w:cs="Arial"/>
        </w:rPr>
        <w:t xml:space="preserve">). Bioremediation is </w:t>
      </w:r>
      <w:r>
        <w:rPr>
          <w:rFonts w:ascii="Arial" w:hAnsi="Arial" w:cs="Arial"/>
          <w:highlight w:val="yellow"/>
        </w:rPr>
        <w:t>an</w:t>
      </w:r>
      <w:r>
        <w:rPr>
          <w:rFonts w:ascii="Arial" w:hAnsi="Arial" w:cs="Arial"/>
        </w:rPr>
        <w:t xml:space="preserve"> eco-friendly decontamination method </w:t>
      </w:r>
      <w:r>
        <w:rPr>
          <w:rFonts w:ascii="Arial" w:hAnsi="Arial" w:cs="Arial"/>
          <w:highlight w:val="yellow"/>
        </w:rPr>
        <w:t>that uses</w:t>
      </w:r>
      <w:r>
        <w:rPr>
          <w:rFonts w:ascii="Arial" w:hAnsi="Arial" w:cs="Arial"/>
        </w:rPr>
        <w:t xml:space="preserve"> microorganisms (Andreazza et al.</w:t>
      </w:r>
      <w:r>
        <w:rPr>
          <w:rFonts w:ascii="Arial" w:hAnsi="Arial" w:cs="Arial"/>
          <w:highlight w:val="yellow"/>
        </w:rPr>
        <w:t>,</w:t>
      </w:r>
      <w:r>
        <w:rPr>
          <w:rFonts w:ascii="Arial" w:hAnsi="Arial" w:cs="Arial"/>
        </w:rPr>
        <w:t xml:space="preserve"> 2011)</w:t>
      </w:r>
      <w:r>
        <w:rPr>
          <w:rFonts w:ascii="Arial" w:hAnsi="Arial" w:cs="Arial"/>
          <w:highlight w:val="yellow"/>
        </w:rPr>
        <w:t>,</w:t>
      </w:r>
      <w:r>
        <w:rPr>
          <w:rFonts w:ascii="Arial" w:hAnsi="Arial" w:cs="Arial"/>
        </w:rPr>
        <w:t xml:space="preserve"> mainly plants (phytoremediation) (Afonso et al.</w:t>
      </w:r>
      <w:r>
        <w:rPr>
          <w:rFonts w:ascii="Arial" w:hAnsi="Arial" w:cs="Arial"/>
          <w:highlight w:val="yellow"/>
        </w:rPr>
        <w:t>,</w:t>
      </w:r>
      <w:r>
        <w:rPr>
          <w:rFonts w:ascii="Arial" w:hAnsi="Arial" w:cs="Arial"/>
        </w:rPr>
        <w:t xml:space="preserve"> 2019; Xin et al.</w:t>
      </w:r>
      <w:r>
        <w:rPr>
          <w:rFonts w:ascii="Arial" w:hAnsi="Arial" w:cs="Arial"/>
          <w:highlight w:val="yellow"/>
        </w:rPr>
        <w:t>,</w:t>
      </w:r>
      <w:r>
        <w:rPr>
          <w:rFonts w:ascii="Arial" w:hAnsi="Arial" w:cs="Arial"/>
        </w:rPr>
        <w:t xml:space="preserve"> 2020)</w:t>
      </w:r>
      <w:r>
        <w:rPr>
          <w:rFonts w:ascii="Arial" w:hAnsi="Arial" w:cs="Arial"/>
          <w:highlight w:val="yellow"/>
        </w:rPr>
        <w:t>,</w:t>
      </w:r>
      <w:r>
        <w:rPr>
          <w:rFonts w:ascii="Arial" w:hAnsi="Arial" w:cs="Arial"/>
        </w:rPr>
        <w:t xml:space="preserve"> or a combination of both methods (Islam et al.</w:t>
      </w:r>
      <w:r>
        <w:rPr>
          <w:rFonts w:ascii="Arial" w:hAnsi="Arial" w:cs="Arial"/>
          <w:highlight w:val="yellow"/>
        </w:rPr>
        <w:t>,</w:t>
      </w:r>
      <w:r>
        <w:rPr>
          <w:rFonts w:ascii="Arial" w:hAnsi="Arial" w:cs="Arial"/>
        </w:rPr>
        <w:t xml:space="preserve"> 2014) to remove metals from soil and water. Aquatic plants such as </w:t>
      </w:r>
      <w:r>
        <w:rPr>
          <w:rFonts w:ascii="Arial" w:hAnsi="Arial" w:cs="Arial"/>
          <w:i/>
        </w:rPr>
        <w:t>Lemna minor</w:t>
      </w:r>
      <w:r>
        <w:rPr>
          <w:rFonts w:ascii="Arial" w:hAnsi="Arial" w:cs="Arial"/>
        </w:rPr>
        <w:t xml:space="preserve"> (Jayasri </w:t>
      </w:r>
      <w:r>
        <w:rPr>
          <w:rFonts w:ascii="Arial" w:hAnsi="Arial" w:cs="Arial"/>
          <w:highlight w:val="yellow"/>
        </w:rPr>
        <w:t>&amp;</w:t>
      </w:r>
      <w:r>
        <w:rPr>
          <w:rFonts w:ascii="Arial" w:hAnsi="Arial" w:cs="Arial"/>
        </w:rPr>
        <w:t xml:space="preserve"> Suthindhiran, 2017) and </w:t>
      </w:r>
      <w:r>
        <w:rPr>
          <w:rFonts w:ascii="Arial" w:hAnsi="Arial" w:cs="Arial"/>
          <w:i/>
        </w:rPr>
        <w:t>Hydrocotyle ranunculoides</w:t>
      </w:r>
      <w:r>
        <w:rPr>
          <w:rFonts w:ascii="Arial" w:hAnsi="Arial" w:cs="Arial"/>
        </w:rPr>
        <w:t xml:space="preserve"> (Demarco et al., 2023) are suitable species for phytoremediation. </w:t>
      </w:r>
      <w:r w:rsidRPr="0098373C">
        <w:rPr>
          <w:rFonts w:ascii="Arial" w:hAnsi="Arial" w:cs="Arial"/>
          <w:highlight w:val="yellow"/>
        </w:rPr>
        <w:t>Recent work with aquatic macrophytes has likewise demonstrated cadmium removal and accumulation from contaminated water, supporting their use in metal phytoremediation (Maurya et al., 2025).</w:t>
      </w:r>
      <w:r>
        <w:rPr>
          <w:rFonts w:ascii="Arial" w:hAnsi="Arial" w:cs="Arial"/>
          <w:b/>
          <w:bCs/>
          <w:highlight w:val="yellow"/>
        </w:rPr>
        <w:t xml:space="preserve"> </w:t>
      </w:r>
      <w:r>
        <w:rPr>
          <w:rFonts w:ascii="Arial" w:hAnsi="Arial" w:cs="Arial"/>
        </w:rPr>
        <w:t xml:space="preserve">Under ideal conditions, </w:t>
      </w:r>
      <w:r>
        <w:rPr>
          <w:rFonts w:ascii="Arial" w:hAnsi="Arial" w:cs="Arial"/>
          <w:i/>
        </w:rPr>
        <w:t>Lemna minor</w:t>
      </w:r>
      <w:r>
        <w:rPr>
          <w:rFonts w:ascii="Arial" w:hAnsi="Arial" w:cs="Arial"/>
        </w:rPr>
        <w:t xml:space="preserve"> can double its biomass </w:t>
      </w:r>
      <w:r>
        <w:rPr>
          <w:rFonts w:ascii="Arial" w:hAnsi="Arial" w:cs="Arial"/>
          <w:highlight w:val="yellow"/>
        </w:rPr>
        <w:t>within</w:t>
      </w:r>
      <w:r>
        <w:rPr>
          <w:rFonts w:ascii="Arial" w:hAnsi="Arial" w:cs="Arial"/>
        </w:rPr>
        <w:t xml:space="preserve"> a few days, </w:t>
      </w:r>
      <w:r>
        <w:rPr>
          <w:rFonts w:ascii="Arial" w:hAnsi="Arial" w:cs="Arial"/>
          <w:highlight w:val="yellow"/>
        </w:rPr>
        <w:t>is</w:t>
      </w:r>
      <w:r>
        <w:rPr>
          <w:rFonts w:ascii="Arial" w:hAnsi="Arial" w:cs="Arial"/>
        </w:rPr>
        <w:t xml:space="preserve"> highly adaptable to a wide pH range and </w:t>
      </w:r>
      <w:r>
        <w:rPr>
          <w:rFonts w:ascii="Arial" w:hAnsi="Arial" w:cs="Arial"/>
          <w:highlight w:val="yellow"/>
        </w:rPr>
        <w:t>shows</w:t>
      </w:r>
      <w:r>
        <w:rPr>
          <w:rFonts w:ascii="Arial" w:hAnsi="Arial" w:cs="Arial"/>
        </w:rPr>
        <w:t xml:space="preserve"> </w:t>
      </w:r>
      <w:r>
        <w:rPr>
          <w:rFonts w:ascii="Arial" w:hAnsi="Arial" w:cs="Arial"/>
          <w:highlight w:val="yellow"/>
        </w:rPr>
        <w:t>considerable</w:t>
      </w:r>
      <w:r>
        <w:rPr>
          <w:rFonts w:ascii="Arial" w:hAnsi="Arial" w:cs="Arial"/>
        </w:rPr>
        <w:t xml:space="preserve"> tolerance to abiotic factors</w:t>
      </w:r>
      <w:r>
        <w:rPr>
          <w:rFonts w:ascii="Arial" w:hAnsi="Arial" w:cs="Arial"/>
          <w:highlight w:val="yellow"/>
        </w:rPr>
        <w:t xml:space="preserve"> </w:t>
      </w:r>
      <w:r>
        <w:rPr>
          <w:rFonts w:ascii="Arial" w:hAnsi="Arial" w:cs="Arial"/>
        </w:rPr>
        <w:t>(Sosa et al.</w:t>
      </w:r>
      <w:r>
        <w:rPr>
          <w:rFonts w:ascii="Arial" w:hAnsi="Arial" w:cs="Arial"/>
          <w:highlight w:val="yellow"/>
        </w:rPr>
        <w:t>,</w:t>
      </w:r>
      <w:r>
        <w:rPr>
          <w:rFonts w:ascii="Arial" w:hAnsi="Arial" w:cs="Arial"/>
        </w:rPr>
        <w:t xml:space="preserve"> 2024).</w:t>
      </w:r>
      <w:r>
        <w:rPr>
          <w:rFonts w:ascii="Arial" w:hAnsi="Arial" w:cs="Arial"/>
          <w:highlight w:val="yellow"/>
        </w:rPr>
        <w:t xml:space="preserve"> </w:t>
      </w:r>
      <w:r>
        <w:rPr>
          <w:rFonts w:ascii="Arial" w:hAnsi="Arial" w:cs="Arial"/>
          <w:i/>
        </w:rPr>
        <w:t>Lemna minor</w:t>
      </w:r>
      <w:r>
        <w:rPr>
          <w:rFonts w:ascii="Arial" w:hAnsi="Arial" w:cs="Arial"/>
        </w:rPr>
        <w:t xml:space="preserve"> </w:t>
      </w:r>
      <w:r>
        <w:rPr>
          <w:rFonts w:ascii="Arial" w:hAnsi="Arial" w:cs="Arial"/>
          <w:highlight w:val="yellow"/>
        </w:rPr>
        <w:t>has</w:t>
      </w:r>
      <w:r>
        <w:rPr>
          <w:rFonts w:ascii="Arial" w:hAnsi="Arial" w:cs="Arial"/>
        </w:rPr>
        <w:t xml:space="preserve"> </w:t>
      </w:r>
      <w:r>
        <w:rPr>
          <w:rFonts w:ascii="Arial" w:hAnsi="Arial" w:cs="Arial"/>
          <w:highlight w:val="yellow"/>
        </w:rPr>
        <w:t>demonstrated</w:t>
      </w:r>
      <w:r>
        <w:rPr>
          <w:rFonts w:ascii="Arial" w:hAnsi="Arial" w:cs="Arial"/>
        </w:rPr>
        <w:t xml:space="preserve"> </w:t>
      </w:r>
      <w:r>
        <w:rPr>
          <w:rFonts w:ascii="Arial" w:hAnsi="Arial" w:cs="Arial"/>
          <w:highlight w:val="yellow"/>
        </w:rPr>
        <w:t>potential</w:t>
      </w:r>
      <w:r>
        <w:rPr>
          <w:rFonts w:ascii="Arial" w:hAnsi="Arial" w:cs="Arial"/>
        </w:rPr>
        <w:t xml:space="preserve"> </w:t>
      </w:r>
      <w:r>
        <w:rPr>
          <w:rFonts w:ascii="Arial" w:hAnsi="Arial" w:cs="Arial"/>
          <w:highlight w:val="yellow"/>
        </w:rPr>
        <w:t>for</w:t>
      </w:r>
      <w:r>
        <w:rPr>
          <w:rFonts w:ascii="Arial" w:hAnsi="Arial" w:cs="Arial"/>
        </w:rPr>
        <w:t xml:space="preserve"> </w:t>
      </w:r>
      <w:r>
        <w:rPr>
          <w:rFonts w:ascii="Arial" w:hAnsi="Arial" w:cs="Arial"/>
          <w:highlight w:val="yellow"/>
        </w:rPr>
        <w:t>removing</w:t>
      </w:r>
      <w:r>
        <w:rPr>
          <w:rFonts w:ascii="Arial" w:hAnsi="Arial" w:cs="Arial"/>
        </w:rPr>
        <w:t xml:space="preserve"> heavy metals from liquids, </w:t>
      </w:r>
      <w:r>
        <w:rPr>
          <w:rFonts w:ascii="Arial" w:hAnsi="Arial" w:cs="Arial"/>
          <w:highlight w:val="yellow"/>
        </w:rPr>
        <w:t xml:space="preserve">producing </w:t>
      </w:r>
      <w:r>
        <w:rPr>
          <w:rFonts w:ascii="Arial" w:hAnsi="Arial" w:cs="Arial"/>
        </w:rPr>
        <w:t xml:space="preserve">bioethanol and </w:t>
      </w:r>
      <w:r>
        <w:rPr>
          <w:rFonts w:ascii="Arial" w:hAnsi="Arial" w:cs="Arial"/>
          <w:highlight w:val="yellow"/>
        </w:rPr>
        <w:t>contributing</w:t>
      </w:r>
      <w:r>
        <w:rPr>
          <w:rFonts w:ascii="Arial" w:hAnsi="Arial" w:cs="Arial"/>
        </w:rPr>
        <w:t xml:space="preserve"> to </w:t>
      </w:r>
      <w:r>
        <w:rPr>
          <w:rFonts w:ascii="Arial" w:hAnsi="Arial" w:cs="Arial"/>
          <w:highlight w:val="yellow"/>
        </w:rPr>
        <w:t>a</w:t>
      </w:r>
      <w:r>
        <w:rPr>
          <w:rFonts w:ascii="Arial" w:hAnsi="Arial" w:cs="Arial"/>
        </w:rPr>
        <w:t xml:space="preserve"> circular economy (Shafiq et al., 2026; Obando et al., 2026).</w:t>
      </w:r>
      <w:r>
        <w:t xml:space="preserve"> </w:t>
      </w:r>
      <w:r>
        <w:rPr>
          <w:rFonts w:ascii="Arial" w:hAnsi="Arial" w:cs="Arial"/>
        </w:rPr>
        <w:t>Additionally, it thrives in nutrient-rich waters and plays a major role in regulating the pH of aquatic systems (Sharba et al.</w:t>
      </w:r>
      <w:r>
        <w:rPr>
          <w:rFonts w:ascii="Arial" w:hAnsi="Arial" w:cs="Arial"/>
          <w:highlight w:val="yellow"/>
        </w:rPr>
        <w:t xml:space="preserve">, </w:t>
      </w:r>
      <w:r>
        <w:rPr>
          <w:rFonts w:ascii="Arial" w:hAnsi="Arial" w:cs="Arial"/>
        </w:rPr>
        <w:t>2024). Pesticides</w:t>
      </w:r>
      <w:r>
        <w:rPr>
          <w:rFonts w:ascii="Arial" w:hAnsi="Arial" w:cs="Arial"/>
          <w:highlight w:val="yellow"/>
        </w:rPr>
        <w:t>,</w:t>
      </w:r>
      <w:r>
        <w:rPr>
          <w:rFonts w:ascii="Arial" w:hAnsi="Arial" w:cs="Arial"/>
        </w:rPr>
        <w:t xml:space="preserve"> including endosulfan, dichlorodiphenyltrichloroethane (DDT), mevinphos, ethion and copper sulfate</w:t>
      </w:r>
      <w:r>
        <w:rPr>
          <w:rFonts w:ascii="Arial" w:hAnsi="Arial" w:cs="Arial"/>
          <w:highlight w:val="yellow"/>
        </w:rPr>
        <w:t>,</w:t>
      </w:r>
      <w:r>
        <w:rPr>
          <w:rFonts w:ascii="Arial" w:hAnsi="Arial" w:cs="Arial"/>
        </w:rPr>
        <w:t xml:space="preserve"> are </w:t>
      </w:r>
      <w:r>
        <w:rPr>
          <w:rFonts w:ascii="Arial" w:hAnsi="Arial" w:cs="Arial"/>
          <w:highlight w:val="yellow"/>
        </w:rPr>
        <w:t>highly</w:t>
      </w:r>
      <w:r>
        <w:rPr>
          <w:rFonts w:ascii="Arial" w:hAnsi="Arial" w:cs="Arial"/>
        </w:rPr>
        <w:t xml:space="preserve"> harmful </w:t>
      </w:r>
      <w:r>
        <w:rPr>
          <w:rFonts w:ascii="Arial" w:hAnsi="Arial" w:cs="Arial"/>
          <w:highlight w:val="yellow"/>
        </w:rPr>
        <w:t>to</w:t>
      </w:r>
      <w:r>
        <w:rPr>
          <w:rFonts w:ascii="Arial" w:hAnsi="Arial" w:cs="Arial"/>
        </w:rPr>
        <w:t xml:space="preserve"> flora and fauna (</w:t>
      </w:r>
      <w:r>
        <w:rPr>
          <w:rFonts w:ascii="Arial" w:hAnsi="Arial" w:cs="Arial"/>
          <w:highlight w:val="yellow"/>
        </w:rPr>
        <w:t xml:space="preserve">D. </w:t>
      </w:r>
      <w:r>
        <w:rPr>
          <w:rFonts w:ascii="Arial" w:hAnsi="Arial" w:cs="Arial"/>
        </w:rPr>
        <w:t>Kumar et al.</w:t>
      </w:r>
      <w:r>
        <w:rPr>
          <w:rFonts w:ascii="Arial" w:hAnsi="Arial" w:cs="Arial"/>
          <w:highlight w:val="yellow"/>
        </w:rPr>
        <w:t>,</w:t>
      </w:r>
      <w:r>
        <w:rPr>
          <w:rFonts w:ascii="Arial" w:hAnsi="Arial" w:cs="Arial"/>
        </w:rPr>
        <w:t xml:space="preserve"> 2016</w:t>
      </w:r>
      <w:r>
        <w:rPr>
          <w:rFonts w:ascii="Arial" w:hAnsi="Arial" w:cs="Arial"/>
          <w:highlight w:val="yellow"/>
        </w:rPr>
        <w:t>; N. Kumar et al.</w:t>
      </w:r>
      <w:r>
        <w:rPr>
          <w:rFonts w:ascii="Arial" w:hAnsi="Arial" w:cs="Arial"/>
        </w:rPr>
        <w:t xml:space="preserve">, </w:t>
      </w:r>
      <w:r>
        <w:rPr>
          <w:rFonts w:ascii="Arial" w:hAnsi="Arial" w:cs="Arial"/>
          <w:highlight w:val="yellow"/>
        </w:rPr>
        <w:t>2018</w:t>
      </w:r>
      <w:r>
        <w:rPr>
          <w:rFonts w:ascii="Arial" w:hAnsi="Arial" w:cs="Arial"/>
        </w:rPr>
        <w:t xml:space="preserve">). Duckweeds can help </w:t>
      </w:r>
      <w:r>
        <w:rPr>
          <w:rFonts w:ascii="Arial" w:hAnsi="Arial" w:cs="Arial"/>
          <w:highlight w:val="yellow"/>
        </w:rPr>
        <w:t>address</w:t>
      </w:r>
      <w:r>
        <w:rPr>
          <w:rFonts w:ascii="Arial" w:hAnsi="Arial" w:cs="Arial"/>
        </w:rPr>
        <w:t xml:space="preserve"> a </w:t>
      </w:r>
      <w:r>
        <w:rPr>
          <w:rFonts w:ascii="Arial" w:hAnsi="Arial" w:cs="Arial"/>
          <w:highlight w:val="yellow"/>
        </w:rPr>
        <w:t>major</w:t>
      </w:r>
      <w:r>
        <w:rPr>
          <w:rFonts w:ascii="Arial" w:hAnsi="Arial" w:cs="Arial"/>
        </w:rPr>
        <w:t xml:space="preserve"> modern environmental problem, namely contamination of the hydrosphere with harmful substances (Ziegler et al.</w:t>
      </w:r>
      <w:r>
        <w:rPr>
          <w:rFonts w:ascii="Arial" w:hAnsi="Arial" w:cs="Arial"/>
          <w:highlight w:val="yellow"/>
        </w:rPr>
        <w:t>,</w:t>
      </w:r>
      <w:r>
        <w:rPr>
          <w:rFonts w:ascii="Arial" w:hAnsi="Arial" w:cs="Arial"/>
        </w:rPr>
        <w:t xml:space="preserve"> 2016). Duckweeds are macrophytes </w:t>
      </w:r>
      <w:r>
        <w:rPr>
          <w:rFonts w:ascii="Arial" w:hAnsi="Arial" w:cs="Arial"/>
          <w:highlight w:val="yellow"/>
        </w:rPr>
        <w:t>that</w:t>
      </w:r>
      <w:r>
        <w:rPr>
          <w:rFonts w:ascii="Arial" w:hAnsi="Arial" w:cs="Arial"/>
        </w:rPr>
        <w:t xml:space="preserve"> can </w:t>
      </w:r>
      <w:r>
        <w:rPr>
          <w:rFonts w:ascii="Arial" w:hAnsi="Arial" w:cs="Arial"/>
          <w:highlight w:val="yellow"/>
        </w:rPr>
        <w:t>take up</w:t>
      </w:r>
      <w:r>
        <w:rPr>
          <w:rFonts w:ascii="Arial" w:hAnsi="Arial" w:cs="Arial"/>
        </w:rPr>
        <w:t xml:space="preserve"> heavy metals from water </w:t>
      </w:r>
      <w:r>
        <w:rPr>
          <w:rFonts w:ascii="Arial" w:hAnsi="Arial" w:cs="Arial"/>
          <w:highlight w:val="yellow"/>
        </w:rPr>
        <w:t>and</w:t>
      </w:r>
      <w:r>
        <w:rPr>
          <w:rFonts w:ascii="Arial" w:hAnsi="Arial" w:cs="Arial"/>
        </w:rPr>
        <w:t xml:space="preserve"> are used </w:t>
      </w:r>
      <w:r>
        <w:rPr>
          <w:rFonts w:ascii="Arial" w:hAnsi="Arial" w:cs="Arial"/>
          <w:highlight w:val="yellow"/>
        </w:rPr>
        <w:t>to</w:t>
      </w:r>
      <w:r>
        <w:rPr>
          <w:rFonts w:ascii="Arial" w:hAnsi="Arial" w:cs="Arial"/>
        </w:rPr>
        <w:t xml:space="preserve"> </w:t>
      </w:r>
      <w:r>
        <w:rPr>
          <w:rFonts w:ascii="Arial" w:hAnsi="Arial" w:cs="Arial"/>
          <w:highlight w:val="yellow"/>
        </w:rPr>
        <w:t>remove</w:t>
      </w:r>
      <w:r>
        <w:rPr>
          <w:rFonts w:ascii="Arial" w:hAnsi="Arial" w:cs="Arial"/>
        </w:rPr>
        <w:t xml:space="preserve"> heavy metals from aquatic </w:t>
      </w:r>
      <w:r>
        <w:rPr>
          <w:rFonts w:ascii="Arial" w:hAnsi="Arial" w:cs="Arial"/>
          <w:highlight w:val="yellow"/>
        </w:rPr>
        <w:t>environments</w:t>
      </w:r>
      <w:r>
        <w:rPr>
          <w:rFonts w:ascii="Arial" w:hAnsi="Arial" w:cs="Arial"/>
        </w:rPr>
        <w:t xml:space="preserve"> (Rai</w:t>
      </w:r>
      <w:r>
        <w:rPr>
          <w:rFonts w:ascii="Arial" w:hAnsi="Arial" w:cs="Arial"/>
          <w:highlight w:val="yellow"/>
        </w:rPr>
        <w:t>,</w:t>
      </w:r>
      <w:r>
        <w:rPr>
          <w:rFonts w:ascii="Arial" w:hAnsi="Arial" w:cs="Arial"/>
        </w:rPr>
        <w:t xml:space="preserve"> 2009). Cadmium (Cd) pollution is a major global environmental problem </w:t>
      </w:r>
      <w:r>
        <w:rPr>
          <w:rFonts w:ascii="Arial" w:hAnsi="Arial" w:cs="Arial"/>
          <w:highlight w:val="yellow"/>
        </w:rPr>
        <w:t>because</w:t>
      </w:r>
      <w:r>
        <w:rPr>
          <w:rFonts w:ascii="Arial" w:hAnsi="Arial" w:cs="Arial"/>
        </w:rPr>
        <w:t xml:space="preserve"> </w:t>
      </w:r>
      <w:r>
        <w:rPr>
          <w:rFonts w:ascii="Arial" w:hAnsi="Arial" w:cs="Arial"/>
          <w:highlight w:val="yellow"/>
        </w:rPr>
        <w:t>of</w:t>
      </w:r>
      <w:r>
        <w:rPr>
          <w:rFonts w:ascii="Arial" w:hAnsi="Arial" w:cs="Arial"/>
        </w:rPr>
        <w:t xml:space="preserve"> rapid industrial development and the extensive use of chemical </w:t>
      </w:r>
      <w:r>
        <w:rPr>
          <w:rFonts w:ascii="Arial" w:hAnsi="Arial" w:cs="Arial"/>
          <w:highlight w:val="yellow"/>
        </w:rPr>
        <w:t>fertilisers</w:t>
      </w:r>
      <w:r>
        <w:rPr>
          <w:rFonts w:ascii="Arial" w:hAnsi="Arial" w:cs="Arial"/>
        </w:rPr>
        <w:t>, pesticides and herbicides in agriculture (Folgar et al.</w:t>
      </w:r>
      <w:r>
        <w:rPr>
          <w:rFonts w:ascii="Arial" w:hAnsi="Arial" w:cs="Arial"/>
          <w:highlight w:val="yellow"/>
        </w:rPr>
        <w:t>,</w:t>
      </w:r>
      <w:r>
        <w:rPr>
          <w:rFonts w:ascii="Arial" w:hAnsi="Arial" w:cs="Arial"/>
        </w:rPr>
        <w:t xml:space="preserve"> 2009). The contaminants indicated above could </w:t>
      </w:r>
      <w:r>
        <w:rPr>
          <w:rFonts w:ascii="Arial" w:hAnsi="Arial" w:cs="Arial"/>
          <w:highlight w:val="yellow"/>
        </w:rPr>
        <w:t>biomagnify</w:t>
      </w:r>
      <w:r>
        <w:rPr>
          <w:rFonts w:ascii="Arial" w:hAnsi="Arial" w:cs="Arial"/>
        </w:rPr>
        <w:t xml:space="preserve"> in food and </w:t>
      </w:r>
      <w:r>
        <w:rPr>
          <w:rFonts w:ascii="Arial" w:hAnsi="Arial" w:cs="Arial"/>
          <w:highlight w:val="yellow"/>
        </w:rPr>
        <w:t>may</w:t>
      </w:r>
      <w:r>
        <w:rPr>
          <w:rFonts w:ascii="Arial" w:hAnsi="Arial" w:cs="Arial"/>
        </w:rPr>
        <w:t xml:space="preserve"> be harmful to human health (Miretzky et al.</w:t>
      </w:r>
      <w:r>
        <w:rPr>
          <w:rFonts w:ascii="Arial" w:hAnsi="Arial" w:cs="Arial"/>
          <w:highlight w:val="yellow"/>
        </w:rPr>
        <w:t>,</w:t>
      </w:r>
      <w:r>
        <w:rPr>
          <w:rFonts w:ascii="Arial" w:hAnsi="Arial" w:cs="Arial"/>
        </w:rPr>
        <w:t xml:space="preserve"> 2004). Metals such as lead (Pb), mercury (Hg) and cadmium (Cd) are </w:t>
      </w:r>
      <w:r>
        <w:rPr>
          <w:rFonts w:ascii="Arial" w:hAnsi="Arial" w:cs="Arial"/>
          <w:highlight w:val="yellow"/>
        </w:rPr>
        <w:t>non-essential</w:t>
      </w:r>
      <w:r>
        <w:rPr>
          <w:rFonts w:ascii="Arial" w:hAnsi="Arial" w:cs="Arial"/>
        </w:rPr>
        <w:t xml:space="preserve"> and highly toxic even </w:t>
      </w:r>
      <w:r>
        <w:rPr>
          <w:rFonts w:ascii="Arial" w:hAnsi="Arial" w:cs="Arial"/>
          <w:highlight w:val="yellow"/>
        </w:rPr>
        <w:t>at</w:t>
      </w:r>
      <w:r>
        <w:rPr>
          <w:rFonts w:ascii="Arial" w:hAnsi="Arial" w:cs="Arial"/>
        </w:rPr>
        <w:t xml:space="preserve"> </w:t>
      </w:r>
      <w:r>
        <w:rPr>
          <w:rFonts w:ascii="Arial" w:hAnsi="Arial" w:cs="Arial"/>
          <w:highlight w:val="yellow"/>
        </w:rPr>
        <w:t>low</w:t>
      </w:r>
      <w:r>
        <w:rPr>
          <w:rFonts w:ascii="Arial" w:hAnsi="Arial" w:cs="Arial"/>
        </w:rPr>
        <w:t xml:space="preserve"> </w:t>
      </w:r>
      <w:r>
        <w:rPr>
          <w:rFonts w:ascii="Arial" w:hAnsi="Arial" w:cs="Arial"/>
          <w:highlight w:val="yellow"/>
        </w:rPr>
        <w:t>concentrations</w:t>
      </w:r>
      <w:r>
        <w:rPr>
          <w:rFonts w:ascii="Arial" w:hAnsi="Arial" w:cs="Arial"/>
        </w:rPr>
        <w:t xml:space="preserve"> (Nagajyoti et al</w:t>
      </w:r>
      <w:r>
        <w:rPr>
          <w:rFonts w:ascii="Arial" w:hAnsi="Arial" w:cs="Arial"/>
          <w:highlight w:val="yellow"/>
        </w:rPr>
        <w:t>.,</w:t>
      </w:r>
      <w:r>
        <w:rPr>
          <w:rFonts w:ascii="Arial" w:hAnsi="Arial" w:cs="Arial"/>
        </w:rPr>
        <w:t xml:space="preserve"> 2010; Prasad</w:t>
      </w:r>
      <w:r>
        <w:rPr>
          <w:rFonts w:ascii="Arial" w:hAnsi="Arial" w:cs="Arial"/>
          <w:highlight w:val="yellow"/>
        </w:rPr>
        <w:t>,</w:t>
      </w:r>
      <w:r>
        <w:rPr>
          <w:rFonts w:ascii="Arial" w:hAnsi="Arial" w:cs="Arial"/>
        </w:rPr>
        <w:t xml:space="preserve"> 2011; Chibuike </w:t>
      </w:r>
      <w:r>
        <w:rPr>
          <w:rFonts w:ascii="Arial" w:hAnsi="Arial" w:cs="Arial"/>
          <w:highlight w:val="yellow"/>
        </w:rPr>
        <w:t>&amp;</w:t>
      </w:r>
      <w:r>
        <w:rPr>
          <w:rFonts w:ascii="Arial" w:hAnsi="Arial" w:cs="Arial"/>
        </w:rPr>
        <w:t xml:space="preserve"> Obiora</w:t>
      </w:r>
      <w:r>
        <w:rPr>
          <w:rFonts w:ascii="Arial" w:hAnsi="Arial" w:cs="Arial"/>
          <w:highlight w:val="yellow"/>
        </w:rPr>
        <w:t>,</w:t>
      </w:r>
      <w:r>
        <w:rPr>
          <w:rFonts w:ascii="Arial" w:hAnsi="Arial" w:cs="Arial"/>
        </w:rPr>
        <w:t xml:space="preserve"> 2014; Rezania et al</w:t>
      </w:r>
      <w:r>
        <w:rPr>
          <w:rFonts w:ascii="Arial" w:hAnsi="Arial" w:cs="Arial"/>
          <w:highlight w:val="yellow"/>
        </w:rPr>
        <w:t>.,</w:t>
      </w:r>
      <w:r>
        <w:rPr>
          <w:rFonts w:ascii="Arial" w:hAnsi="Arial" w:cs="Arial"/>
        </w:rPr>
        <w:t xml:space="preserve"> 2016). Cadmium toxicity leads to oxidative stress, which </w:t>
      </w:r>
      <w:r>
        <w:rPr>
          <w:rFonts w:ascii="Arial" w:hAnsi="Arial" w:cs="Arial"/>
          <w:highlight w:val="yellow"/>
        </w:rPr>
        <w:t>damages</w:t>
      </w:r>
      <w:r>
        <w:rPr>
          <w:rFonts w:ascii="Arial" w:hAnsi="Arial" w:cs="Arial"/>
        </w:rPr>
        <w:t xml:space="preserve"> cell membranes and electron transport, disrupts enzyme activity, and interferes with nucleic acids and photosynthesis, ultimately </w:t>
      </w:r>
      <w:r>
        <w:rPr>
          <w:rFonts w:ascii="Arial" w:hAnsi="Arial" w:cs="Arial"/>
          <w:highlight w:val="yellow"/>
        </w:rPr>
        <w:t>reducing</w:t>
      </w:r>
      <w:r>
        <w:rPr>
          <w:rFonts w:ascii="Arial" w:hAnsi="Arial" w:cs="Arial"/>
        </w:rPr>
        <w:t xml:space="preserve"> development (Sarkar et al.</w:t>
      </w:r>
      <w:r>
        <w:rPr>
          <w:rFonts w:ascii="Arial" w:hAnsi="Arial" w:cs="Arial"/>
          <w:highlight w:val="yellow"/>
        </w:rPr>
        <w:t>,</w:t>
      </w:r>
      <w:r>
        <w:rPr>
          <w:rFonts w:ascii="Arial" w:hAnsi="Arial" w:cs="Arial"/>
        </w:rPr>
        <w:t xml:space="preserve"> 1998; Lu et al.</w:t>
      </w:r>
      <w:r>
        <w:rPr>
          <w:rFonts w:ascii="Arial" w:hAnsi="Arial" w:cs="Arial"/>
          <w:highlight w:val="yellow"/>
        </w:rPr>
        <w:t>,</w:t>
      </w:r>
      <w:r>
        <w:rPr>
          <w:rFonts w:ascii="Arial" w:hAnsi="Arial" w:cs="Arial"/>
        </w:rPr>
        <w:t xml:space="preserve"> 2010). </w:t>
      </w:r>
      <w:r w:rsidRPr="0098373C">
        <w:rPr>
          <w:rFonts w:ascii="Arial" w:hAnsi="Arial" w:cs="Arial"/>
          <w:highlight w:val="yellow"/>
        </w:rPr>
        <w:t xml:space="preserve">Consistent with this response pattern, cadmium-stressed duckweeds have shown increased malondialdehyde and antioxidant enzyme activities together with inhibited growth and reduced chlorophyll content (Cao et al., 2025). Recent work in </w:t>
      </w:r>
      <w:r w:rsidRPr="0098373C">
        <w:rPr>
          <w:rFonts w:ascii="Arial" w:hAnsi="Arial" w:cs="Arial"/>
          <w:i/>
          <w:iCs/>
          <w:highlight w:val="yellow"/>
        </w:rPr>
        <w:t>L. minor</w:t>
      </w:r>
      <w:r w:rsidRPr="0098373C">
        <w:rPr>
          <w:rFonts w:ascii="Arial" w:hAnsi="Arial" w:cs="Arial"/>
          <w:highlight w:val="yellow"/>
        </w:rPr>
        <w:t xml:space="preserve"> under combined contaminant exposure further reported increased ROS markers and antioxidant enzyme activities alongside reduced biomass and photosynthetic pigments (Farid et al., 2026).</w:t>
      </w:r>
      <w:r>
        <w:rPr>
          <w:rFonts w:ascii="Arial" w:hAnsi="Arial" w:cs="Arial"/>
          <w:b/>
          <w:bCs/>
          <w:highlight w:val="yellow"/>
        </w:rPr>
        <w:t xml:space="preserve"> </w:t>
      </w:r>
      <w:r>
        <w:rPr>
          <w:rFonts w:ascii="Arial" w:hAnsi="Arial" w:cs="Arial"/>
        </w:rPr>
        <w:t xml:space="preserve">Oxidative stress is usually </w:t>
      </w:r>
      <w:r>
        <w:rPr>
          <w:rFonts w:ascii="Arial" w:hAnsi="Arial" w:cs="Arial"/>
          <w:highlight w:val="yellow"/>
        </w:rPr>
        <w:t>associated</w:t>
      </w:r>
      <w:r>
        <w:rPr>
          <w:rFonts w:ascii="Arial" w:hAnsi="Arial" w:cs="Arial"/>
        </w:rPr>
        <w:t xml:space="preserve"> </w:t>
      </w:r>
      <w:r>
        <w:rPr>
          <w:rFonts w:ascii="Arial" w:hAnsi="Arial" w:cs="Arial"/>
          <w:highlight w:val="yellow"/>
        </w:rPr>
        <w:t>with</w:t>
      </w:r>
      <w:r>
        <w:rPr>
          <w:rFonts w:ascii="Arial" w:hAnsi="Arial" w:cs="Arial"/>
        </w:rPr>
        <w:t xml:space="preserve"> excessive accumulation of reactive oxygen species such as </w:t>
      </w:r>
      <w:r>
        <w:rPr>
          <w:rFonts w:ascii="Arial" w:hAnsi="Arial" w:cs="Arial"/>
          <w:highlight w:val="yellow"/>
        </w:rPr>
        <w:t xml:space="preserve">the </w:t>
      </w:r>
      <w:r>
        <w:rPr>
          <w:rFonts w:ascii="Arial" w:hAnsi="Arial" w:cs="Arial"/>
        </w:rPr>
        <w:t>superoxide ion (O</w:t>
      </w:r>
      <w:r>
        <w:rPr>
          <w:rFonts w:ascii="Arial" w:hAnsi="Arial" w:cs="Arial"/>
          <w:vertAlign w:val="subscript"/>
        </w:rPr>
        <w:t>2</w:t>
      </w:r>
      <w:r>
        <w:rPr>
          <w:rFonts w:ascii="Arial" w:hAnsi="Arial" w:cs="Arial"/>
          <w:vertAlign w:val="superscript"/>
        </w:rPr>
        <w:t>-</w:t>
      </w:r>
      <w:r>
        <w:rPr>
          <w:rFonts w:ascii="Arial" w:hAnsi="Arial" w:cs="Arial"/>
        </w:rPr>
        <w:t>), hydrogen peroxide (H</w:t>
      </w:r>
      <w:r>
        <w:rPr>
          <w:rFonts w:ascii="Arial" w:hAnsi="Arial" w:cs="Arial"/>
          <w:vertAlign w:val="subscript"/>
        </w:rPr>
        <w:t>2</w:t>
      </w:r>
      <w:r>
        <w:rPr>
          <w:rFonts w:ascii="Arial" w:hAnsi="Arial" w:cs="Arial"/>
        </w:rPr>
        <w:t>O</w:t>
      </w:r>
      <w:r>
        <w:rPr>
          <w:rFonts w:ascii="Arial" w:hAnsi="Arial" w:cs="Arial"/>
          <w:vertAlign w:val="subscript"/>
        </w:rPr>
        <w:t>2</w:t>
      </w:r>
      <w:r>
        <w:rPr>
          <w:rFonts w:ascii="Arial" w:hAnsi="Arial" w:cs="Arial"/>
        </w:rPr>
        <w:t>) and hydroxyl radical (OH</w:t>
      </w:r>
      <w:r>
        <w:rPr>
          <w:rFonts w:ascii="Arial" w:hAnsi="Arial" w:cs="Arial"/>
          <w:vertAlign w:val="superscript"/>
        </w:rPr>
        <w:t>-</w:t>
      </w:r>
      <w:r>
        <w:rPr>
          <w:rFonts w:ascii="Arial" w:hAnsi="Arial" w:cs="Arial"/>
        </w:rPr>
        <w:t>)</w:t>
      </w:r>
      <w:r>
        <w:rPr>
          <w:rFonts w:ascii="Arial" w:hAnsi="Arial" w:cs="Arial"/>
          <w:highlight w:val="yellow"/>
        </w:rPr>
        <w:t>,</w:t>
      </w:r>
      <w:r>
        <w:rPr>
          <w:rFonts w:ascii="Arial" w:hAnsi="Arial" w:cs="Arial"/>
        </w:rPr>
        <w:t xml:space="preserve"> which facilitate the conversion of fatty acids into harmful lipid peroxides and endanger biological membranes (Weckx et al.</w:t>
      </w:r>
      <w:r>
        <w:rPr>
          <w:rFonts w:ascii="Arial" w:hAnsi="Arial" w:cs="Arial"/>
          <w:highlight w:val="yellow"/>
        </w:rPr>
        <w:t>,</w:t>
      </w:r>
      <w:r>
        <w:rPr>
          <w:rFonts w:ascii="Arial" w:hAnsi="Arial" w:cs="Arial"/>
        </w:rPr>
        <w:t xml:space="preserve"> 1996; Martín-Closas et al.</w:t>
      </w:r>
      <w:r>
        <w:rPr>
          <w:rFonts w:ascii="Arial" w:hAnsi="Arial" w:cs="Arial"/>
          <w:highlight w:val="yellow"/>
        </w:rPr>
        <w:t>,</w:t>
      </w:r>
      <w:r>
        <w:rPr>
          <w:rFonts w:ascii="Arial" w:hAnsi="Arial" w:cs="Arial"/>
        </w:rPr>
        <w:t xml:space="preserve"> 2017; Marron, 2015; Rai et al.</w:t>
      </w:r>
      <w:r>
        <w:rPr>
          <w:rFonts w:ascii="Arial" w:hAnsi="Arial" w:cs="Arial"/>
          <w:highlight w:val="yellow"/>
        </w:rPr>
        <w:t>,</w:t>
      </w:r>
      <w:r>
        <w:rPr>
          <w:rFonts w:ascii="Arial" w:hAnsi="Arial" w:cs="Arial"/>
        </w:rPr>
        <w:t xml:space="preserve"> 2016). </w:t>
      </w:r>
      <w:r w:rsidRPr="0098373C">
        <w:rPr>
          <w:rFonts w:ascii="Arial" w:hAnsi="Arial" w:cs="Arial"/>
          <w:highlight w:val="yellow"/>
        </w:rPr>
        <w:t>A recent synthesis also identifies excessive ROS formation relative to antioxidant capacity as a central mechanism of pollutant-associated oxidative stress (Marcel et al., 2025).</w:t>
      </w:r>
      <w:r>
        <w:rPr>
          <w:rFonts w:ascii="Arial" w:hAnsi="Arial" w:cs="Arial"/>
          <w:b/>
          <w:bCs/>
          <w:highlight w:val="yellow"/>
        </w:rPr>
        <w:t xml:space="preserve"> </w:t>
      </w:r>
      <w:r>
        <w:rPr>
          <w:rFonts w:ascii="Arial" w:hAnsi="Arial" w:cs="Arial"/>
          <w:highlight w:val="yellow"/>
        </w:rPr>
        <w:t>In</w:t>
      </w:r>
      <w:r>
        <w:rPr>
          <w:rFonts w:ascii="Arial" w:hAnsi="Arial" w:cs="Arial"/>
        </w:rPr>
        <w:t xml:space="preserve"> </w:t>
      </w:r>
      <w:r>
        <w:rPr>
          <w:rFonts w:ascii="Arial" w:hAnsi="Arial" w:cs="Arial"/>
          <w:highlight w:val="yellow"/>
        </w:rPr>
        <w:t>contrast</w:t>
      </w:r>
      <w:r>
        <w:rPr>
          <w:rFonts w:ascii="Arial" w:hAnsi="Arial" w:cs="Arial"/>
        </w:rPr>
        <w:t>, non-radical reactive oxygen species (ROS)</w:t>
      </w:r>
      <w:r>
        <w:rPr>
          <w:rFonts w:ascii="Arial" w:hAnsi="Arial" w:cs="Arial"/>
          <w:highlight w:val="yellow"/>
        </w:rPr>
        <w:t>,</w:t>
      </w:r>
      <w:r>
        <w:rPr>
          <w:rFonts w:ascii="Arial" w:hAnsi="Arial" w:cs="Arial"/>
        </w:rPr>
        <w:t xml:space="preserve"> such as hypochlorous acid (HOCl), hydrogen peroxide </w:t>
      </w:r>
      <w:r>
        <w:rPr>
          <w:rFonts w:ascii="Arial" w:hAnsi="Arial" w:cs="Arial"/>
        </w:rPr>
        <w:lastRenderedPageBreak/>
        <w:t>(H</w:t>
      </w:r>
      <w:r>
        <w:rPr>
          <w:rFonts w:ascii="Arial" w:hAnsi="Arial" w:cs="Arial"/>
          <w:vertAlign w:val="subscript"/>
        </w:rPr>
        <w:t>2</w:t>
      </w:r>
      <w:r>
        <w:rPr>
          <w:rFonts w:ascii="Arial" w:hAnsi="Arial" w:cs="Arial"/>
        </w:rPr>
        <w:t>O</w:t>
      </w:r>
      <w:r>
        <w:rPr>
          <w:rFonts w:ascii="Arial" w:hAnsi="Arial" w:cs="Arial"/>
          <w:vertAlign w:val="subscript"/>
        </w:rPr>
        <w:t>2</w:t>
      </w:r>
      <w:r>
        <w:rPr>
          <w:rFonts w:ascii="Arial" w:hAnsi="Arial" w:cs="Arial"/>
        </w:rPr>
        <w:t xml:space="preserve">), singlet oxygen </w:t>
      </w:r>
      <w:r>
        <w:rPr>
          <w:rFonts w:ascii="Arial" w:hAnsi="Arial" w:cs="Arial"/>
          <w:vertAlign w:val="superscript"/>
        </w:rPr>
        <w:t>(1</w:t>
      </w:r>
      <w:r>
        <w:rPr>
          <w:rFonts w:ascii="Arial" w:hAnsi="Arial" w:cs="Arial"/>
        </w:rPr>
        <w:t>O</w:t>
      </w:r>
      <w:r>
        <w:rPr>
          <w:rFonts w:ascii="Arial" w:hAnsi="Arial" w:cs="Arial"/>
          <w:vertAlign w:val="subscript"/>
        </w:rPr>
        <w:t>2</w:t>
      </w:r>
      <w:r>
        <w:rPr>
          <w:rFonts w:ascii="Arial" w:hAnsi="Arial" w:cs="Arial"/>
        </w:rPr>
        <w:t>) and peroxynitrite (ONOO</w:t>
      </w:r>
      <w:r>
        <w:rPr>
          <w:rFonts w:ascii="Arial" w:hAnsi="Arial" w:cs="Arial"/>
          <w:vertAlign w:val="superscript"/>
        </w:rPr>
        <w:t>-</w:t>
      </w:r>
      <w:r>
        <w:rPr>
          <w:rFonts w:ascii="Arial" w:hAnsi="Arial" w:cs="Arial"/>
        </w:rPr>
        <w:t>)</w:t>
      </w:r>
      <w:r>
        <w:rPr>
          <w:rFonts w:ascii="Arial" w:hAnsi="Arial" w:cs="Arial"/>
          <w:highlight w:val="yellow"/>
        </w:rPr>
        <w:t>,</w:t>
      </w:r>
      <w:r>
        <w:rPr>
          <w:rFonts w:ascii="Arial" w:hAnsi="Arial" w:cs="Arial"/>
        </w:rPr>
        <w:t xml:space="preserve"> are generally stable and have a long half-life. The most reactive type of oxygen species is the superoxide anion (O</w:t>
      </w:r>
      <w:r>
        <w:rPr>
          <w:rFonts w:ascii="Arial" w:hAnsi="Arial" w:cs="Arial"/>
          <w:vertAlign w:val="subscript"/>
        </w:rPr>
        <w:t>2</w:t>
      </w:r>
      <w:r>
        <w:rPr>
          <w:rFonts w:ascii="Arial" w:hAnsi="Arial" w:cs="Arial"/>
          <w:vertAlign w:val="superscript"/>
        </w:rPr>
        <w:t>-</w:t>
      </w:r>
      <w:r>
        <w:rPr>
          <w:rFonts w:ascii="Arial" w:hAnsi="Arial" w:cs="Arial"/>
        </w:rPr>
        <w:t>). Hydrogen peroxide (H</w:t>
      </w:r>
      <w:r>
        <w:rPr>
          <w:rFonts w:ascii="Arial" w:hAnsi="Arial" w:cs="Arial"/>
          <w:vertAlign w:val="subscript"/>
        </w:rPr>
        <w:t>2</w:t>
      </w:r>
      <w:r>
        <w:rPr>
          <w:rFonts w:ascii="Arial" w:hAnsi="Arial" w:cs="Arial"/>
        </w:rPr>
        <w:t>O</w:t>
      </w:r>
      <w:r>
        <w:rPr>
          <w:rFonts w:ascii="Arial" w:hAnsi="Arial" w:cs="Arial"/>
          <w:vertAlign w:val="subscript"/>
        </w:rPr>
        <w:t>2</w:t>
      </w:r>
      <w:r>
        <w:rPr>
          <w:rFonts w:ascii="Arial" w:hAnsi="Arial" w:cs="Arial"/>
        </w:rPr>
        <w:t xml:space="preserve">) is produced by the rapid one-electron reduction of molecular oxygen, either spontaneously or through the dismutation of </w:t>
      </w:r>
      <w:r>
        <w:rPr>
          <w:rFonts w:ascii="Arial" w:hAnsi="Arial" w:cs="Arial"/>
          <w:highlight w:val="yellow"/>
        </w:rPr>
        <w:t xml:space="preserve">the </w:t>
      </w:r>
      <w:r>
        <w:rPr>
          <w:rFonts w:ascii="Arial" w:hAnsi="Arial" w:cs="Arial"/>
        </w:rPr>
        <w:t xml:space="preserve">superoxide anion </w:t>
      </w:r>
      <w:r>
        <w:rPr>
          <w:rFonts w:ascii="Arial" w:hAnsi="Arial" w:cs="Arial"/>
          <w:highlight w:val="yellow"/>
        </w:rPr>
        <w:t>catalysed</w:t>
      </w:r>
      <w:r>
        <w:rPr>
          <w:rFonts w:ascii="Arial" w:hAnsi="Arial" w:cs="Arial"/>
        </w:rPr>
        <w:t xml:space="preserve"> by superoxide dismutase (SOD) (Balakhnina et al.</w:t>
      </w:r>
      <w:r>
        <w:rPr>
          <w:rFonts w:ascii="Arial" w:hAnsi="Arial" w:cs="Arial"/>
          <w:highlight w:val="yellow"/>
        </w:rPr>
        <w:t>,</w:t>
      </w:r>
      <w:r>
        <w:rPr>
          <w:rFonts w:ascii="Arial" w:hAnsi="Arial" w:cs="Arial"/>
        </w:rPr>
        <w:t xml:space="preserve"> 2005; Zhang et al.</w:t>
      </w:r>
      <w:r>
        <w:rPr>
          <w:rFonts w:ascii="Arial" w:hAnsi="Arial" w:cs="Arial"/>
          <w:highlight w:val="yellow"/>
        </w:rPr>
        <w:t>,</w:t>
      </w:r>
      <w:r>
        <w:rPr>
          <w:rFonts w:ascii="Arial" w:hAnsi="Arial" w:cs="Arial"/>
        </w:rPr>
        <w:t xml:space="preserve"> 2009). Herbicides also increase </w:t>
      </w:r>
      <w:r>
        <w:rPr>
          <w:rFonts w:ascii="Arial" w:hAnsi="Arial" w:cs="Arial"/>
          <w:highlight w:val="yellow"/>
        </w:rPr>
        <w:t>ROS</w:t>
      </w:r>
      <w:r>
        <w:rPr>
          <w:rFonts w:ascii="Arial" w:hAnsi="Arial" w:cs="Arial"/>
        </w:rPr>
        <w:t xml:space="preserve"> levels. Methyl viologen, also known as 1,1′-dimethyl-4,4′-bipyridinium dichloride, is an organic </w:t>
      </w:r>
      <w:r>
        <w:rPr>
          <w:rFonts w:ascii="Arial" w:hAnsi="Arial" w:cs="Arial"/>
          <w:highlight w:val="yellow"/>
        </w:rPr>
        <w:t xml:space="preserve">broad-spectrum </w:t>
      </w:r>
      <w:r>
        <w:rPr>
          <w:rFonts w:ascii="Arial" w:hAnsi="Arial" w:cs="Arial"/>
        </w:rPr>
        <w:t xml:space="preserve">herbicide generally referred to as paraquat (PQ) and used </w:t>
      </w:r>
      <w:r>
        <w:rPr>
          <w:rFonts w:ascii="Arial" w:hAnsi="Arial" w:cs="Arial"/>
          <w:highlight w:val="yellow"/>
        </w:rPr>
        <w:t>to</w:t>
      </w:r>
      <w:r>
        <w:rPr>
          <w:rFonts w:ascii="Arial" w:hAnsi="Arial" w:cs="Arial"/>
        </w:rPr>
        <w:t xml:space="preserve"> </w:t>
      </w:r>
      <w:r>
        <w:rPr>
          <w:rFonts w:ascii="Arial" w:hAnsi="Arial" w:cs="Arial"/>
          <w:highlight w:val="yellow"/>
        </w:rPr>
        <w:t>manage</w:t>
      </w:r>
      <w:r>
        <w:rPr>
          <w:rFonts w:ascii="Arial" w:hAnsi="Arial" w:cs="Arial"/>
        </w:rPr>
        <w:t xml:space="preserve"> weeds and grasses. It </w:t>
      </w:r>
      <w:r>
        <w:rPr>
          <w:rFonts w:ascii="Arial" w:hAnsi="Arial" w:cs="Arial"/>
          <w:highlight w:val="yellow"/>
        </w:rPr>
        <w:t>acts</w:t>
      </w:r>
      <w:r>
        <w:rPr>
          <w:rFonts w:ascii="Arial" w:hAnsi="Arial" w:cs="Arial"/>
        </w:rPr>
        <w:t xml:space="preserve"> </w:t>
      </w:r>
      <w:r>
        <w:rPr>
          <w:rFonts w:ascii="Arial" w:hAnsi="Arial" w:cs="Arial"/>
          <w:highlight w:val="yellow"/>
        </w:rPr>
        <w:t>rapidly</w:t>
      </w:r>
      <w:r>
        <w:rPr>
          <w:rFonts w:ascii="Arial" w:hAnsi="Arial" w:cs="Arial"/>
        </w:rPr>
        <w:t xml:space="preserve"> in </w:t>
      </w:r>
      <w:r>
        <w:rPr>
          <w:rFonts w:ascii="Arial" w:hAnsi="Arial" w:cs="Arial"/>
          <w:highlight w:val="yellow"/>
        </w:rPr>
        <w:t>plants</w:t>
      </w:r>
      <w:r>
        <w:rPr>
          <w:rFonts w:ascii="Arial" w:hAnsi="Arial" w:cs="Arial"/>
        </w:rPr>
        <w:t xml:space="preserve"> but </w:t>
      </w:r>
      <w:r>
        <w:rPr>
          <w:rFonts w:ascii="Arial" w:hAnsi="Arial" w:cs="Arial"/>
          <w:highlight w:val="yellow"/>
        </w:rPr>
        <w:t>is highly</w:t>
      </w:r>
      <w:r>
        <w:rPr>
          <w:rFonts w:ascii="Arial" w:hAnsi="Arial" w:cs="Arial"/>
        </w:rPr>
        <w:t xml:space="preserve"> dangerous to </w:t>
      </w:r>
      <w:r>
        <w:rPr>
          <w:rFonts w:ascii="Arial" w:hAnsi="Arial" w:cs="Arial"/>
          <w:highlight w:val="yellow"/>
        </w:rPr>
        <w:t>humans</w:t>
      </w:r>
      <w:r>
        <w:rPr>
          <w:rFonts w:ascii="Arial" w:hAnsi="Arial" w:cs="Arial"/>
        </w:rPr>
        <w:t xml:space="preserve"> and animals (Peacock</w:t>
      </w:r>
      <w:r>
        <w:rPr>
          <w:rFonts w:ascii="Arial" w:hAnsi="Arial" w:cs="Arial"/>
          <w:highlight w:val="yellow"/>
        </w:rPr>
        <w:t>,</w:t>
      </w:r>
      <w:r>
        <w:rPr>
          <w:rFonts w:ascii="Arial" w:hAnsi="Arial" w:cs="Arial"/>
        </w:rPr>
        <w:t xml:space="preserve"> 1978). PQ is harmful to </w:t>
      </w:r>
      <w:r>
        <w:rPr>
          <w:rFonts w:ascii="Arial" w:hAnsi="Arial" w:cs="Arial"/>
          <w:highlight w:val="yellow"/>
        </w:rPr>
        <w:t>cellular</w:t>
      </w:r>
      <w:r>
        <w:rPr>
          <w:rFonts w:ascii="Arial" w:hAnsi="Arial" w:cs="Arial"/>
        </w:rPr>
        <w:t xml:space="preserve"> health </w:t>
      </w:r>
      <w:r>
        <w:rPr>
          <w:rFonts w:ascii="Arial" w:hAnsi="Arial" w:cs="Arial"/>
          <w:highlight w:val="yellow"/>
        </w:rPr>
        <w:t>because</w:t>
      </w:r>
      <w:r>
        <w:rPr>
          <w:rFonts w:ascii="Arial" w:hAnsi="Arial" w:cs="Arial"/>
        </w:rPr>
        <w:t xml:space="preserve"> it disrupts the redox cycle by accepting and donating electrons (Homer et al.</w:t>
      </w:r>
      <w:r>
        <w:rPr>
          <w:rFonts w:ascii="Arial" w:hAnsi="Arial" w:cs="Arial"/>
          <w:highlight w:val="yellow"/>
        </w:rPr>
        <w:t>,</w:t>
      </w:r>
      <w:r>
        <w:rPr>
          <w:rFonts w:ascii="Arial" w:hAnsi="Arial" w:cs="Arial"/>
        </w:rPr>
        <w:t xml:space="preserve"> 1960). </w:t>
      </w:r>
      <w:r>
        <w:rPr>
          <w:rFonts w:ascii="Arial" w:hAnsi="Arial" w:cs="Arial"/>
          <w:highlight w:val="yellow"/>
        </w:rPr>
        <w:t>Reactive</w:t>
      </w:r>
      <w:r>
        <w:rPr>
          <w:rFonts w:ascii="Arial" w:hAnsi="Arial" w:cs="Arial"/>
        </w:rPr>
        <w:t xml:space="preserve"> oxygen species (ROS) </w:t>
      </w:r>
      <w:r>
        <w:rPr>
          <w:rFonts w:ascii="Arial" w:hAnsi="Arial" w:cs="Arial"/>
          <w:highlight w:val="yellow"/>
        </w:rPr>
        <w:t>accumulate in chloroplasts and</w:t>
      </w:r>
      <w:r>
        <w:rPr>
          <w:rFonts w:ascii="Arial" w:hAnsi="Arial" w:cs="Arial"/>
        </w:rPr>
        <w:t xml:space="preserve"> damage proteins, enzymes and lipid membranes. PQ also limits the availability of NADPH, an essential </w:t>
      </w:r>
      <w:r>
        <w:rPr>
          <w:rFonts w:ascii="Arial" w:hAnsi="Arial" w:cs="Arial"/>
          <w:highlight w:val="yellow"/>
        </w:rPr>
        <w:t>component</w:t>
      </w:r>
      <w:r>
        <w:rPr>
          <w:rFonts w:ascii="Arial" w:hAnsi="Arial" w:cs="Arial"/>
        </w:rPr>
        <w:t xml:space="preserve"> </w:t>
      </w:r>
      <w:r>
        <w:rPr>
          <w:rFonts w:ascii="Arial" w:hAnsi="Arial" w:cs="Arial"/>
          <w:highlight w:val="yellow"/>
        </w:rPr>
        <w:t>of</w:t>
      </w:r>
      <w:r>
        <w:rPr>
          <w:rFonts w:ascii="Arial" w:hAnsi="Arial" w:cs="Arial"/>
        </w:rPr>
        <w:t xml:space="preserve"> the Calvin Cycle in </w:t>
      </w:r>
      <w:r>
        <w:rPr>
          <w:rFonts w:ascii="Arial" w:hAnsi="Arial" w:cs="Arial"/>
          <w:highlight w:val="yellow"/>
        </w:rPr>
        <w:t>plants</w:t>
      </w:r>
      <w:r>
        <w:rPr>
          <w:rFonts w:ascii="Arial" w:hAnsi="Arial" w:cs="Arial"/>
        </w:rPr>
        <w:t xml:space="preserve"> (Perales-Vela et al.</w:t>
      </w:r>
      <w:r>
        <w:rPr>
          <w:rFonts w:ascii="Arial" w:hAnsi="Arial" w:cs="Arial"/>
          <w:highlight w:val="yellow"/>
        </w:rPr>
        <w:t>,</w:t>
      </w:r>
      <w:r>
        <w:rPr>
          <w:rFonts w:ascii="Arial" w:hAnsi="Arial" w:cs="Arial"/>
        </w:rPr>
        <w:t xml:space="preserve"> 2021). PQ </w:t>
      </w:r>
      <w:r>
        <w:rPr>
          <w:rFonts w:ascii="Arial" w:hAnsi="Arial" w:cs="Arial"/>
          <w:highlight w:val="yellow"/>
        </w:rPr>
        <w:t>inhibits</w:t>
      </w:r>
      <w:r>
        <w:rPr>
          <w:rFonts w:ascii="Arial" w:hAnsi="Arial" w:cs="Arial"/>
        </w:rPr>
        <w:t xml:space="preserve"> photosynthesis, creates severe oxidative stress in cells, alters the enzymatic framework, causes cell death and </w:t>
      </w:r>
      <w:r>
        <w:rPr>
          <w:rFonts w:ascii="Arial" w:hAnsi="Arial" w:cs="Arial"/>
          <w:highlight w:val="yellow"/>
        </w:rPr>
        <w:t>ultimately</w:t>
      </w:r>
      <w:r>
        <w:rPr>
          <w:rFonts w:ascii="Arial" w:hAnsi="Arial" w:cs="Arial"/>
        </w:rPr>
        <w:t xml:space="preserve"> </w:t>
      </w:r>
      <w:r>
        <w:rPr>
          <w:rFonts w:ascii="Arial" w:hAnsi="Arial" w:cs="Arial"/>
          <w:highlight w:val="yellow"/>
        </w:rPr>
        <w:t>causes</w:t>
      </w:r>
      <w:r>
        <w:rPr>
          <w:rFonts w:ascii="Arial" w:hAnsi="Arial" w:cs="Arial"/>
        </w:rPr>
        <w:t xml:space="preserve"> plant death. </w:t>
      </w:r>
      <w:r w:rsidRPr="0098373C">
        <w:rPr>
          <w:rFonts w:ascii="Arial" w:hAnsi="Arial" w:cs="Arial"/>
          <w:highlight w:val="yellow"/>
        </w:rPr>
        <w:t xml:space="preserve">A specific gap addressed in this study is the limited comparative characterisation, within a common short-term experimental framework, of lipid peroxidation and SOD, POD, CAT, APX and GR responses in </w:t>
      </w:r>
      <w:r w:rsidRPr="0098373C">
        <w:rPr>
          <w:rFonts w:ascii="Arial" w:hAnsi="Arial" w:cs="Arial"/>
          <w:i/>
          <w:iCs/>
          <w:highlight w:val="yellow"/>
        </w:rPr>
        <w:t>L. minor</w:t>
      </w:r>
      <w:r w:rsidRPr="0098373C">
        <w:rPr>
          <w:rFonts w:ascii="Arial" w:hAnsi="Arial" w:cs="Arial"/>
          <w:highlight w:val="yellow"/>
        </w:rPr>
        <w:t xml:space="preserve"> exposed to graded cadmium and paraquat dichloride</w:t>
      </w:r>
      <w:r>
        <w:rPr>
          <w:rFonts w:ascii="Arial" w:hAnsi="Arial" w:cs="Arial"/>
          <w:b/>
          <w:bCs/>
          <w:highlight w:val="yellow"/>
        </w:rPr>
        <w:t xml:space="preserve">. </w:t>
      </w:r>
      <w:r>
        <w:rPr>
          <w:rFonts w:ascii="Arial" w:hAnsi="Arial" w:cs="Arial"/>
        </w:rPr>
        <w:t xml:space="preserve">In the present study, we investigated changes in </w:t>
      </w:r>
      <w:r>
        <w:rPr>
          <w:rFonts w:ascii="Arial" w:hAnsi="Arial" w:cs="Arial"/>
          <w:highlight w:val="yellow"/>
        </w:rPr>
        <w:t>antioxidant enzyme</w:t>
      </w:r>
      <w:r>
        <w:rPr>
          <w:rFonts w:ascii="Arial" w:hAnsi="Arial" w:cs="Arial"/>
        </w:rPr>
        <w:t xml:space="preserve"> activity and oxidative stress generated by cadmium and paraquat dichloride in the duckweed species </w:t>
      </w:r>
      <w:r>
        <w:rPr>
          <w:rFonts w:ascii="Arial" w:hAnsi="Arial" w:cs="Arial"/>
          <w:i/>
        </w:rPr>
        <w:t>Lemna minor</w:t>
      </w:r>
      <w:r>
        <w:rPr>
          <w:rFonts w:ascii="Arial" w:hAnsi="Arial" w:cs="Arial"/>
        </w:rPr>
        <w:t>, a plant used in the phytoremediation of polluted surface waters.</w:t>
      </w:r>
    </w:p>
    <w:p w14:paraId="64A5CFC2" w14:textId="77777777" w:rsidR="00044FF0" w:rsidRDefault="00044FF0" w:rsidP="00441B6F">
      <w:pPr>
        <w:pStyle w:val="AbstHead"/>
        <w:spacing w:after="0"/>
        <w:jc w:val="both"/>
        <w:rPr>
          <w:rFonts w:ascii="Arial" w:hAnsi="Arial" w:cs="Arial"/>
        </w:rPr>
      </w:pPr>
    </w:p>
    <w:p w14:paraId="48203D49" w14:textId="77777777" w:rsidR="00790ADA" w:rsidRPr="00FB3A86" w:rsidRDefault="00902823" w:rsidP="00441B6F">
      <w:pPr>
        <w:pStyle w:val="AbstHead"/>
        <w:spacing w:after="0"/>
        <w:jc w:val="both"/>
        <w:rPr>
          <w:rFonts w:ascii="Arial" w:hAnsi="Arial" w:cs="Arial"/>
        </w:rPr>
      </w:pPr>
      <w:r>
        <w:rPr>
          <w:rFonts w:ascii="Arial" w:hAnsi="Arial" w:cs="Arial"/>
        </w:rPr>
        <w:t xml:space="preserve">2. </w:t>
      </w:r>
      <w:r>
        <w:rPr>
          <w:rFonts w:ascii="Arial" w:hAnsi="Arial" w:cs="Arial"/>
          <w:highlight w:val="yellow"/>
        </w:rPr>
        <w:t>Material</w:t>
      </w:r>
      <w:r>
        <w:rPr>
          <w:rFonts w:ascii="Arial" w:hAnsi="Arial" w:cs="Arial"/>
        </w:rPr>
        <w:t xml:space="preserve"> and methods</w:t>
      </w:r>
    </w:p>
    <w:p w14:paraId="17DC045F" w14:textId="77777777" w:rsidR="004E7D15" w:rsidRPr="004E7D15" w:rsidRDefault="004E7D15" w:rsidP="004E7D15">
      <w:pPr>
        <w:pStyle w:val="Body"/>
        <w:rPr>
          <w:rFonts w:ascii="Arial" w:hAnsi="Arial" w:cs="Arial"/>
          <w:b/>
        </w:rPr>
      </w:pPr>
      <w:r w:rsidRPr="004E7D15">
        <w:rPr>
          <w:rFonts w:ascii="Arial" w:hAnsi="Arial" w:cs="Arial"/>
          <w:b/>
        </w:rPr>
        <w:t xml:space="preserve">2.1. Plant material </w:t>
      </w:r>
    </w:p>
    <w:p w14:paraId="6EA064BC" w14:textId="77777777" w:rsidR="00870930" w:rsidRPr="00870930" w:rsidRDefault="00870930" w:rsidP="00870930">
      <w:pPr>
        <w:pStyle w:val="Body"/>
        <w:rPr>
          <w:rFonts w:ascii="Arial" w:hAnsi="Arial" w:cs="Arial"/>
        </w:rPr>
      </w:pPr>
      <w:r>
        <w:rPr>
          <w:rFonts w:ascii="Arial" w:hAnsi="Arial" w:cs="Arial"/>
        </w:rPr>
        <w:t xml:space="preserve">Samples of </w:t>
      </w:r>
      <w:r>
        <w:rPr>
          <w:rFonts w:ascii="Arial" w:hAnsi="Arial" w:cs="Arial"/>
          <w:i/>
        </w:rPr>
        <w:t>Lemna minor</w:t>
      </w:r>
      <w:r>
        <w:rPr>
          <w:rFonts w:ascii="Arial" w:hAnsi="Arial" w:cs="Arial"/>
        </w:rPr>
        <w:t xml:space="preserve"> were collected from the surface water of a pond </w:t>
      </w:r>
      <w:r>
        <w:rPr>
          <w:rFonts w:ascii="Arial" w:hAnsi="Arial" w:cs="Arial"/>
          <w:highlight w:val="yellow"/>
        </w:rPr>
        <w:t>at</w:t>
      </w:r>
      <w:r>
        <w:rPr>
          <w:rFonts w:ascii="Arial" w:hAnsi="Arial" w:cs="Arial"/>
        </w:rPr>
        <w:t xml:space="preserve"> Roxburgh Botanical Garden, Department of Botany, University of Allahabad, Prayagraj, Uttar Pradesh</w:t>
      </w:r>
      <w:r>
        <w:rPr>
          <w:rFonts w:ascii="Arial" w:hAnsi="Arial" w:cs="Arial"/>
          <w:highlight w:val="yellow"/>
        </w:rPr>
        <w:t>,</w:t>
      </w:r>
      <w:r>
        <w:rPr>
          <w:rFonts w:ascii="Arial" w:hAnsi="Arial" w:cs="Arial"/>
        </w:rPr>
        <w:t xml:space="preserve"> India (25° 27’ 42.2352” N, 81°5’ 7.278” E). The plant samples were authenticated by </w:t>
      </w:r>
      <w:r>
        <w:rPr>
          <w:rFonts w:ascii="Arial" w:hAnsi="Arial" w:cs="Arial"/>
          <w:highlight w:val="yellow"/>
        </w:rPr>
        <w:t xml:space="preserve">the </w:t>
      </w:r>
      <w:r>
        <w:rPr>
          <w:rFonts w:ascii="Arial" w:hAnsi="Arial" w:cs="Arial"/>
        </w:rPr>
        <w:t>Botanical Survey of India, Central Regional Center, Prayagraj, Uttar Pradesh, India.</w:t>
      </w:r>
    </w:p>
    <w:p w14:paraId="1A45714B" w14:textId="77777777" w:rsidR="004E7D15" w:rsidRPr="004E7D15" w:rsidRDefault="00870930" w:rsidP="004E7D15">
      <w:pPr>
        <w:pStyle w:val="Body"/>
        <w:rPr>
          <w:rFonts w:ascii="Arial" w:hAnsi="Arial" w:cs="Arial"/>
        </w:rPr>
      </w:pPr>
      <w:r>
        <w:rPr>
          <w:rFonts w:ascii="Arial" w:hAnsi="Arial" w:cs="Arial"/>
        </w:rPr>
        <w:t xml:space="preserve">The plants were then washed several times to </w:t>
      </w:r>
      <w:r>
        <w:rPr>
          <w:rFonts w:ascii="Arial" w:hAnsi="Arial" w:cs="Arial"/>
          <w:highlight w:val="yellow"/>
        </w:rPr>
        <w:t>ensure</w:t>
      </w:r>
      <w:r>
        <w:rPr>
          <w:rFonts w:ascii="Arial" w:hAnsi="Arial" w:cs="Arial"/>
        </w:rPr>
        <w:t xml:space="preserve"> </w:t>
      </w:r>
      <w:r>
        <w:rPr>
          <w:rFonts w:ascii="Arial" w:hAnsi="Arial" w:cs="Arial"/>
          <w:highlight w:val="yellow"/>
        </w:rPr>
        <w:t>thorough</w:t>
      </w:r>
      <w:r>
        <w:rPr>
          <w:rFonts w:ascii="Arial" w:hAnsi="Arial" w:cs="Arial"/>
        </w:rPr>
        <w:t xml:space="preserve"> </w:t>
      </w:r>
      <w:r>
        <w:rPr>
          <w:rFonts w:ascii="Arial" w:hAnsi="Arial" w:cs="Arial"/>
          <w:highlight w:val="yellow"/>
        </w:rPr>
        <w:t>cleaning</w:t>
      </w:r>
      <w:r>
        <w:rPr>
          <w:rFonts w:ascii="Arial" w:hAnsi="Arial" w:cs="Arial"/>
        </w:rPr>
        <w:t xml:space="preserve"> </w:t>
      </w:r>
      <w:r>
        <w:rPr>
          <w:rFonts w:ascii="Arial" w:hAnsi="Arial" w:cs="Arial"/>
          <w:highlight w:val="yellow"/>
        </w:rPr>
        <w:t>before</w:t>
      </w:r>
      <w:r>
        <w:rPr>
          <w:rFonts w:ascii="Arial" w:hAnsi="Arial" w:cs="Arial"/>
        </w:rPr>
        <w:t xml:space="preserve"> the roots and fronds</w:t>
      </w:r>
      <w:r>
        <w:rPr>
          <w:rFonts w:ascii="Arial" w:hAnsi="Arial" w:cs="Arial"/>
          <w:highlight w:val="yellow"/>
        </w:rPr>
        <w:t xml:space="preserve"> were transferred</w:t>
      </w:r>
      <w:r>
        <w:rPr>
          <w:rFonts w:ascii="Arial" w:hAnsi="Arial" w:cs="Arial"/>
        </w:rPr>
        <w:t xml:space="preserve"> into 250 ml flasks containing half-strength Hutner's medium</w:t>
      </w:r>
      <w:r>
        <w:t xml:space="preserve"> (Brain &amp; Solomon,</w:t>
      </w:r>
      <w:r>
        <w:rPr>
          <w:rFonts w:ascii="Arial" w:hAnsi="Arial" w:cs="Arial"/>
          <w:highlight w:val="yellow"/>
        </w:rPr>
        <w:t xml:space="preserve"> </w:t>
      </w:r>
      <w:r>
        <w:t>2007)</w:t>
      </w:r>
      <w:r>
        <w:rPr>
          <w:rFonts w:ascii="Arial" w:hAnsi="Arial" w:cs="Arial"/>
          <w:highlight w:val="yellow"/>
        </w:rPr>
        <w:t>.</w:t>
      </w:r>
      <w:r>
        <w:rPr>
          <w:rFonts w:ascii="Arial" w:hAnsi="Arial" w:cs="Arial"/>
        </w:rPr>
        <w:t xml:space="preserve"> </w:t>
      </w:r>
      <w:r>
        <w:rPr>
          <w:rFonts w:ascii="Arial" w:hAnsi="Arial" w:cs="Arial"/>
          <w:highlight w:val="yellow"/>
        </w:rPr>
        <w:t>The</w:t>
      </w:r>
      <w:r>
        <w:rPr>
          <w:rFonts w:ascii="Arial" w:hAnsi="Arial" w:cs="Arial"/>
        </w:rPr>
        <w:t xml:space="preserve"> pH was adjusted to [ 6.5 ± 0.1] using KOH/HCl before sterilization and use in the experiment with 10 g of sucrose. Cultures were incubated in the growth chamber at 25°C under cold fluorescent light (constant light intensity 6,800 lux</w:t>
      </w:r>
      <w:r>
        <w:rPr>
          <w:rFonts w:ascii="Arial" w:hAnsi="Arial" w:cs="Arial"/>
          <w:highlight w:val="yellow"/>
        </w:rPr>
        <w:t>;</w:t>
      </w:r>
      <w:r>
        <w:rPr>
          <w:rFonts w:ascii="Arial" w:hAnsi="Arial" w:cs="Arial"/>
        </w:rPr>
        <w:t xml:space="preserve"> </w:t>
      </w:r>
      <w:r>
        <w:rPr>
          <w:rFonts w:ascii="Arial" w:hAnsi="Arial" w:cs="Arial"/>
          <w:highlight w:val="yellow"/>
        </w:rPr>
        <w:t>ASTM International</w:t>
      </w:r>
      <w:r>
        <w:rPr>
          <w:rFonts w:ascii="Arial" w:hAnsi="Arial" w:cs="Arial"/>
        </w:rPr>
        <w:t xml:space="preserve">, 1998) for 24–48 h. </w:t>
      </w:r>
      <w:r>
        <w:rPr>
          <w:rFonts w:ascii="Arial" w:hAnsi="Arial" w:cs="Arial"/>
          <w:highlight w:val="yellow"/>
        </w:rPr>
        <w:t>A</w:t>
      </w:r>
      <w:r>
        <w:rPr>
          <w:rFonts w:ascii="Arial" w:hAnsi="Arial" w:cs="Arial"/>
        </w:rPr>
        <w:t xml:space="preserve"> stock solution of 1000 ppm cadmium</w:t>
      </w:r>
      <w:r>
        <w:rPr>
          <w:rFonts w:ascii="Arial" w:hAnsi="Arial" w:cs="Arial"/>
          <w:highlight w:val="yellow"/>
        </w:rPr>
        <w:t xml:space="preserve"> was prepared</w:t>
      </w:r>
      <w:r>
        <w:rPr>
          <w:rFonts w:ascii="Arial" w:hAnsi="Arial" w:cs="Arial"/>
        </w:rPr>
        <w:t xml:space="preserve"> as CdCl</w:t>
      </w:r>
      <w:r>
        <w:rPr>
          <w:rFonts w:ascii="Arial" w:hAnsi="Arial" w:cs="Arial"/>
          <w:vertAlign w:val="subscript"/>
        </w:rPr>
        <w:t>2</w:t>
      </w:r>
      <w:r>
        <w:rPr>
          <w:rFonts w:ascii="Arial" w:hAnsi="Arial" w:cs="Arial"/>
        </w:rPr>
        <w:t xml:space="preserve"> (MW=183.32 g mol</w:t>
      </w:r>
      <w:r>
        <w:rPr>
          <w:rFonts w:ascii="Arial" w:hAnsi="Arial" w:cs="Arial"/>
          <w:vertAlign w:val="superscript"/>
        </w:rPr>
        <w:t>-1</w:t>
      </w:r>
      <w:r>
        <w:rPr>
          <w:rFonts w:ascii="Arial" w:hAnsi="Arial" w:cs="Arial"/>
        </w:rPr>
        <w:t>; purity=99%; Sigma Aldrich). Paraquat dichloride (24% SL) was purchased as All Clear (chemical fertilizer) from HPM Chemicals &amp; Fertilizers Ltd, Pitampura, New Delhi. From this stock solution</w:t>
      </w:r>
      <w:r>
        <w:rPr>
          <w:rFonts w:ascii="Arial" w:hAnsi="Arial" w:cs="Arial"/>
          <w:highlight w:val="yellow"/>
        </w:rPr>
        <w:t>,</w:t>
      </w:r>
      <w:r>
        <w:rPr>
          <w:rFonts w:ascii="Arial" w:hAnsi="Arial" w:cs="Arial"/>
        </w:rPr>
        <w:t xml:space="preserve"> aliquots of different concentrations of cadmium (0.1, 0.5, 1.0, 1.5 and 2.0 mg/L) and paraquat dichloride (0.5, 1.0, 1.5, 2.0 and 2.</w:t>
      </w:r>
      <w:r>
        <w:rPr>
          <w:rFonts w:ascii="Arial" w:hAnsi="Arial" w:cs="Arial"/>
          <w:highlight w:val="yellow"/>
        </w:rPr>
        <w:t>5 mg</w:t>
      </w:r>
      <w:r>
        <w:rPr>
          <w:rFonts w:ascii="Arial" w:hAnsi="Arial" w:cs="Arial"/>
        </w:rPr>
        <w:t xml:space="preserve">/L) were prepared in </w:t>
      </w:r>
      <w:r>
        <w:rPr>
          <w:rFonts w:ascii="Arial" w:hAnsi="Arial" w:cs="Arial"/>
          <w:highlight w:val="yellow"/>
        </w:rPr>
        <w:t>100 ml</w:t>
      </w:r>
      <w:r>
        <w:rPr>
          <w:rFonts w:ascii="Arial" w:hAnsi="Arial" w:cs="Arial"/>
        </w:rPr>
        <w:t xml:space="preserve"> flasks containing nutrient medium. </w:t>
      </w:r>
      <w:r>
        <w:rPr>
          <w:rFonts w:ascii="Arial" w:hAnsi="Arial" w:cs="Arial"/>
          <w:highlight w:val="yellow"/>
        </w:rPr>
        <w:t>The</w:t>
      </w:r>
      <w:r>
        <w:rPr>
          <w:rFonts w:ascii="Arial" w:hAnsi="Arial" w:cs="Arial"/>
        </w:rPr>
        <w:t xml:space="preserve"> flasks </w:t>
      </w:r>
      <w:r>
        <w:rPr>
          <w:rFonts w:ascii="Arial" w:hAnsi="Arial" w:cs="Arial"/>
          <w:highlight w:val="yellow"/>
        </w:rPr>
        <w:t>containing</w:t>
      </w:r>
      <w:r>
        <w:rPr>
          <w:rFonts w:ascii="Arial" w:hAnsi="Arial" w:cs="Arial"/>
        </w:rPr>
        <w:t xml:space="preserve"> the plants were</w:t>
      </w:r>
      <w:r>
        <w:rPr>
          <w:rFonts w:ascii="Arial" w:hAnsi="Arial" w:cs="Arial"/>
          <w:highlight w:val="yellow"/>
        </w:rPr>
        <w:t xml:space="preserve"> then</w:t>
      </w:r>
      <w:r>
        <w:rPr>
          <w:rFonts w:ascii="Arial" w:hAnsi="Arial" w:cs="Arial"/>
        </w:rPr>
        <w:t xml:space="preserve"> incubated in a plant growth chamber for 4 days.</w:t>
      </w:r>
      <w:r>
        <w:rPr>
          <w:rFonts w:ascii="Arial" w:hAnsi="Arial" w:cs="Arial"/>
          <w:highlight w:val="yellow"/>
        </w:rPr>
        <w:t xml:space="preserve"> </w:t>
      </w:r>
      <w:r>
        <w:rPr>
          <w:rFonts w:ascii="Arial" w:hAnsi="Arial" w:cs="Arial"/>
        </w:rPr>
        <w:t>After 4 days,</w:t>
      </w:r>
      <w:r>
        <w:rPr>
          <w:rFonts w:ascii="Arial" w:hAnsi="Arial" w:cs="Arial"/>
          <w:highlight w:val="yellow"/>
        </w:rPr>
        <w:t xml:space="preserve"> the</w:t>
      </w:r>
      <w:r>
        <w:rPr>
          <w:rFonts w:ascii="Arial" w:hAnsi="Arial" w:cs="Arial"/>
        </w:rPr>
        <w:t xml:space="preserve"> plants were screened for </w:t>
      </w:r>
      <w:r>
        <w:rPr>
          <w:rFonts w:ascii="Arial" w:hAnsi="Arial" w:cs="Arial"/>
          <w:highlight w:val="yellow"/>
        </w:rPr>
        <w:t xml:space="preserve">changes in </w:t>
      </w:r>
      <w:r>
        <w:rPr>
          <w:rFonts w:ascii="Arial" w:hAnsi="Arial" w:cs="Arial"/>
        </w:rPr>
        <w:t>metabolic activity</w:t>
      </w:r>
      <w:r>
        <w:rPr>
          <w:rFonts w:ascii="Arial" w:hAnsi="Arial" w:cs="Arial"/>
          <w:highlight w:val="yellow"/>
        </w:rPr>
        <w:t>,</w:t>
      </w:r>
      <w:r>
        <w:rPr>
          <w:rFonts w:ascii="Arial" w:hAnsi="Arial" w:cs="Arial"/>
        </w:rPr>
        <w:t xml:space="preserve"> including oxidative stress and antioxidant</w:t>
      </w:r>
      <w:r>
        <w:rPr>
          <w:rFonts w:ascii="Arial" w:hAnsi="Arial" w:cs="Arial"/>
          <w:highlight w:val="yellow"/>
        </w:rPr>
        <w:t xml:space="preserve"> activity</w:t>
      </w:r>
      <w:r>
        <w:rPr>
          <w:rFonts w:ascii="Arial" w:hAnsi="Arial" w:cs="Arial"/>
        </w:rPr>
        <w:t>.</w:t>
      </w:r>
    </w:p>
    <w:p w14:paraId="7517FA6C" w14:textId="77777777" w:rsidR="004E7D15" w:rsidRPr="004E7D15" w:rsidRDefault="004E7D15" w:rsidP="004E7D15">
      <w:pPr>
        <w:pStyle w:val="Body"/>
        <w:rPr>
          <w:rFonts w:ascii="Arial" w:hAnsi="Arial" w:cs="Arial"/>
          <w:b/>
        </w:rPr>
      </w:pPr>
      <w:r w:rsidRPr="004E7D15">
        <w:rPr>
          <w:rFonts w:ascii="Arial" w:hAnsi="Arial" w:cs="Arial"/>
          <w:b/>
        </w:rPr>
        <w:t xml:space="preserve">2.2. Oxidative stress </w:t>
      </w:r>
    </w:p>
    <w:p w14:paraId="33EEF992" w14:textId="77777777" w:rsidR="004E7D15" w:rsidRPr="004E7D15" w:rsidRDefault="004E7D15" w:rsidP="004E7D15">
      <w:pPr>
        <w:pStyle w:val="Body"/>
        <w:rPr>
          <w:rFonts w:ascii="Arial" w:hAnsi="Arial" w:cs="Arial"/>
          <w:b/>
        </w:rPr>
      </w:pPr>
      <w:r w:rsidRPr="004E7D15">
        <w:rPr>
          <w:rFonts w:ascii="Arial" w:hAnsi="Arial" w:cs="Arial"/>
          <w:b/>
        </w:rPr>
        <w:t>2.2.1. Lipid peroxidation assay</w:t>
      </w:r>
    </w:p>
    <w:p w14:paraId="71E92516" w14:textId="77777777" w:rsidR="004E7D15" w:rsidRPr="004E7D15" w:rsidRDefault="004E7D15" w:rsidP="004E7D15">
      <w:pPr>
        <w:pStyle w:val="Body"/>
        <w:rPr>
          <w:rFonts w:ascii="Arial" w:hAnsi="Arial" w:cs="Arial"/>
        </w:rPr>
      </w:pPr>
      <w:r>
        <w:rPr>
          <w:rFonts w:ascii="Arial" w:hAnsi="Arial" w:cs="Arial"/>
        </w:rPr>
        <w:t>Lipid peroxidation was evaluated as malondialdehyde (MDA) equivalents according to the method of Heath and Packer (1968). One hundred milligrams of plant material were ground into</w:t>
      </w:r>
      <w:r>
        <w:rPr>
          <w:rFonts w:ascii="Arial" w:hAnsi="Arial" w:cs="Arial"/>
          <w:highlight w:val="yellow"/>
        </w:rPr>
        <w:t xml:space="preserve"> a</w:t>
      </w:r>
      <w:r>
        <w:rPr>
          <w:rFonts w:ascii="Arial" w:hAnsi="Arial" w:cs="Arial"/>
        </w:rPr>
        <w:t xml:space="preserve"> fine powder and extracted in 1 mL of 0.1% trichloroacetic acid (TCA). The extract was centrifuged in an Eppendorf centrifuge 5920 R for 15 min at 10,000 × g at 4 °C. The supernatant was then mixed with 0.5% TBA and 20% TCA. The mixture was heated at 95°C for 30 min and then </w:t>
      </w:r>
      <w:r>
        <w:rPr>
          <w:rFonts w:ascii="Arial" w:hAnsi="Arial" w:cs="Arial"/>
          <w:highlight w:val="yellow"/>
        </w:rPr>
        <w:t>rapidly</w:t>
      </w:r>
      <w:r>
        <w:rPr>
          <w:rFonts w:ascii="Arial" w:hAnsi="Arial" w:cs="Arial"/>
        </w:rPr>
        <w:t xml:space="preserve"> cooled on ice. Absorbance at 532 and </w:t>
      </w:r>
      <w:r>
        <w:rPr>
          <w:rFonts w:ascii="Arial" w:hAnsi="Arial" w:cs="Arial"/>
          <w:highlight w:val="yellow"/>
        </w:rPr>
        <w:t>600 nm</w:t>
      </w:r>
      <w:r>
        <w:rPr>
          <w:rFonts w:ascii="Arial" w:hAnsi="Arial" w:cs="Arial"/>
        </w:rPr>
        <w:t xml:space="preserve"> was measured </w:t>
      </w:r>
      <w:r>
        <w:rPr>
          <w:rFonts w:ascii="Arial" w:hAnsi="Arial" w:cs="Arial"/>
        </w:rPr>
        <w:lastRenderedPageBreak/>
        <w:t>using</w:t>
      </w:r>
      <w:r>
        <w:rPr>
          <w:rFonts w:ascii="Arial" w:hAnsi="Arial" w:cs="Arial"/>
          <w:highlight w:val="yellow"/>
        </w:rPr>
        <w:t xml:space="preserve"> a</w:t>
      </w:r>
      <w:r>
        <w:rPr>
          <w:rFonts w:ascii="Arial" w:hAnsi="Arial" w:cs="Arial"/>
        </w:rPr>
        <w:t xml:space="preserve"> UV-VIS spectrophotometer (Schimadzu, Japan). </w:t>
      </w:r>
      <w:r>
        <w:rPr>
          <w:rFonts w:ascii="Arial" w:hAnsi="Arial" w:cs="Arial"/>
          <w:highlight w:val="yellow"/>
        </w:rPr>
        <w:t>The concentration</w:t>
      </w:r>
      <w:r>
        <w:rPr>
          <w:rFonts w:ascii="Arial" w:hAnsi="Arial" w:cs="Arial"/>
        </w:rPr>
        <w:t xml:space="preserve"> of MDA equivalents was calculated using an extinction coefficient of 155 mM</w:t>
      </w:r>
      <w:r>
        <w:rPr>
          <w:rFonts w:ascii="Arial" w:hAnsi="Arial" w:cs="Arial"/>
          <w:vertAlign w:val="superscript"/>
        </w:rPr>
        <w:t>-1</w:t>
      </w:r>
      <w:r>
        <w:rPr>
          <w:rFonts w:ascii="Arial" w:hAnsi="Arial" w:cs="Arial"/>
        </w:rPr>
        <w:t xml:space="preserve"> cm</w:t>
      </w:r>
      <w:r>
        <w:rPr>
          <w:rFonts w:ascii="Arial" w:hAnsi="Arial" w:cs="Arial"/>
          <w:vertAlign w:val="superscript"/>
        </w:rPr>
        <w:t>-1</w:t>
      </w:r>
      <w:r>
        <w:rPr>
          <w:rFonts w:ascii="Arial" w:hAnsi="Arial" w:cs="Arial"/>
        </w:rPr>
        <w:t xml:space="preserve"> and expressed as nmol g</w:t>
      </w:r>
      <w:r>
        <w:rPr>
          <w:rFonts w:ascii="Arial" w:hAnsi="Arial" w:cs="Arial"/>
          <w:vertAlign w:val="superscript"/>
        </w:rPr>
        <w:t>-1</w:t>
      </w:r>
      <w:r>
        <w:rPr>
          <w:rFonts w:ascii="Arial" w:hAnsi="Arial" w:cs="Arial"/>
        </w:rPr>
        <w:t xml:space="preserve"> FW.</w:t>
      </w:r>
    </w:p>
    <w:p w14:paraId="1840AF09" w14:textId="77777777" w:rsidR="002F728F" w:rsidRDefault="004E7D15" w:rsidP="004E7D15">
      <w:pPr>
        <w:pStyle w:val="Body"/>
        <w:rPr>
          <w:rFonts w:ascii="Arial" w:hAnsi="Arial" w:cs="Arial"/>
          <w:b/>
        </w:rPr>
      </w:pPr>
      <w:r w:rsidRPr="004E7D15">
        <w:rPr>
          <w:rFonts w:ascii="Arial" w:hAnsi="Arial" w:cs="Arial"/>
          <w:b/>
        </w:rPr>
        <w:t>2.3. Antioxidant enzyme activity</w:t>
      </w:r>
    </w:p>
    <w:p w14:paraId="0487B16F" w14:textId="77777777" w:rsidR="004E7D15" w:rsidRPr="004E7D15" w:rsidRDefault="009F4E91" w:rsidP="004E7D15">
      <w:pPr>
        <w:pStyle w:val="Body"/>
        <w:rPr>
          <w:rFonts w:ascii="Arial" w:hAnsi="Arial" w:cs="Arial"/>
          <w:b/>
        </w:rPr>
      </w:pPr>
      <w:r>
        <w:rPr>
          <w:rFonts w:ascii="Arial" w:hAnsi="Arial" w:cs="Arial"/>
          <w:b/>
        </w:rPr>
        <w:t xml:space="preserve">2.3.1. Superoxide dismutase (SOD) </w:t>
      </w:r>
      <w:r>
        <w:rPr>
          <w:rFonts w:ascii="Arial" w:hAnsi="Arial" w:cs="Arial"/>
          <w:b/>
          <w:highlight w:val="yellow"/>
        </w:rPr>
        <w:t>activity</w:t>
      </w:r>
    </w:p>
    <w:p w14:paraId="64AE9589" w14:textId="77777777" w:rsidR="002F728F" w:rsidRDefault="003939D7" w:rsidP="004E7D15">
      <w:pPr>
        <w:pStyle w:val="Body"/>
        <w:spacing w:after="0"/>
        <w:rPr>
          <w:rFonts w:ascii="Arial" w:hAnsi="Arial" w:cs="Arial"/>
        </w:rPr>
      </w:pPr>
      <w:r>
        <w:rPr>
          <w:rFonts w:ascii="Arial" w:hAnsi="Arial" w:cs="Arial"/>
        </w:rPr>
        <w:t xml:space="preserve">The activity of superoxide dismutase (SOD; EC 1.15.1.1) was estimated by measuring the inhibition of nitro blue tetrazolium-chloride (NBT) </w:t>
      </w:r>
      <w:r>
        <w:rPr>
          <w:rFonts w:ascii="Arial" w:hAnsi="Arial" w:cs="Arial"/>
          <w:highlight w:val="yellow"/>
        </w:rPr>
        <w:t>reduction using</w:t>
      </w:r>
      <w:r>
        <w:rPr>
          <w:rFonts w:ascii="Arial" w:hAnsi="Arial" w:cs="Arial"/>
        </w:rPr>
        <w:t xml:space="preserve"> the method described by Giannopolitis and Ries (1977). Each sample (100 mg of plant material) was </w:t>
      </w:r>
      <w:r>
        <w:rPr>
          <w:rFonts w:ascii="Arial" w:hAnsi="Arial" w:cs="Arial"/>
          <w:highlight w:val="yellow"/>
        </w:rPr>
        <w:t>homogenised</w:t>
      </w:r>
      <w:r>
        <w:rPr>
          <w:rFonts w:ascii="Arial" w:hAnsi="Arial" w:cs="Arial"/>
        </w:rPr>
        <w:t xml:space="preserve"> with 100 mM EDTA—phosphate buffer (pH 7.8) </w:t>
      </w:r>
      <w:r>
        <w:rPr>
          <w:rFonts w:ascii="Arial" w:hAnsi="Arial" w:cs="Arial"/>
          <w:highlight w:val="yellow"/>
        </w:rPr>
        <w:t>under</w:t>
      </w:r>
      <w:r>
        <w:rPr>
          <w:rFonts w:ascii="Arial" w:hAnsi="Arial" w:cs="Arial"/>
        </w:rPr>
        <w:t xml:space="preserve"> </w:t>
      </w:r>
      <w:r>
        <w:rPr>
          <w:rFonts w:ascii="Arial" w:hAnsi="Arial" w:cs="Arial"/>
          <w:highlight w:val="yellow"/>
        </w:rPr>
        <w:t>ice-cold</w:t>
      </w:r>
      <w:r>
        <w:rPr>
          <w:rFonts w:ascii="Arial" w:hAnsi="Arial" w:cs="Arial"/>
        </w:rPr>
        <w:t xml:space="preserve"> </w:t>
      </w:r>
      <w:r>
        <w:rPr>
          <w:rFonts w:ascii="Arial" w:hAnsi="Arial" w:cs="Arial"/>
          <w:highlight w:val="yellow"/>
        </w:rPr>
        <w:t>conditions</w:t>
      </w:r>
      <w:r>
        <w:rPr>
          <w:rFonts w:ascii="Arial" w:hAnsi="Arial" w:cs="Arial"/>
        </w:rPr>
        <w:t xml:space="preserve"> for the extraction and assay of</w:t>
      </w:r>
      <w:r>
        <w:rPr>
          <w:rFonts w:ascii="Arial" w:hAnsi="Arial" w:cs="Arial"/>
          <w:highlight w:val="yellow"/>
        </w:rPr>
        <w:t xml:space="preserve"> the</w:t>
      </w:r>
      <w:r>
        <w:rPr>
          <w:rFonts w:ascii="Arial" w:hAnsi="Arial" w:cs="Arial"/>
        </w:rPr>
        <w:t xml:space="preserve"> SOD enzyme. The homogenate was centrifuged at 10,000 g for 20 min</w:t>
      </w:r>
      <w:r>
        <w:rPr>
          <w:rFonts w:ascii="Arial" w:hAnsi="Arial" w:cs="Arial"/>
          <w:highlight w:val="yellow"/>
        </w:rPr>
        <w:t>,</w:t>
      </w:r>
      <w:r>
        <w:rPr>
          <w:rFonts w:ascii="Arial" w:hAnsi="Arial" w:cs="Arial"/>
        </w:rPr>
        <w:t xml:space="preserve"> and the supernatant </w:t>
      </w:r>
      <w:r>
        <w:rPr>
          <w:rFonts w:ascii="Arial" w:hAnsi="Arial" w:cs="Arial"/>
          <w:highlight w:val="yellow"/>
        </w:rPr>
        <w:t xml:space="preserve">was </w:t>
      </w:r>
      <w:r>
        <w:rPr>
          <w:rFonts w:ascii="Arial" w:hAnsi="Arial" w:cs="Arial"/>
        </w:rPr>
        <w:t xml:space="preserve">used for </w:t>
      </w:r>
      <w:r>
        <w:rPr>
          <w:rFonts w:ascii="Arial" w:hAnsi="Arial" w:cs="Arial"/>
          <w:highlight w:val="yellow"/>
        </w:rPr>
        <w:t>the</w:t>
      </w:r>
      <w:r>
        <w:rPr>
          <w:rFonts w:ascii="Arial" w:hAnsi="Arial" w:cs="Arial"/>
        </w:rPr>
        <w:t xml:space="preserve"> enzyme </w:t>
      </w:r>
      <w:r>
        <w:rPr>
          <w:rFonts w:ascii="Arial" w:hAnsi="Arial" w:cs="Arial"/>
          <w:highlight w:val="yellow"/>
        </w:rPr>
        <w:t>assay</w:t>
      </w:r>
      <w:r>
        <w:rPr>
          <w:rFonts w:ascii="Arial" w:hAnsi="Arial" w:cs="Arial"/>
        </w:rPr>
        <w:t xml:space="preserve">. The </w:t>
      </w:r>
      <w:r>
        <w:rPr>
          <w:rFonts w:ascii="Arial" w:hAnsi="Arial" w:cs="Arial"/>
          <w:highlight w:val="yellow"/>
        </w:rPr>
        <w:t>assay</w:t>
      </w:r>
      <w:r>
        <w:rPr>
          <w:rFonts w:ascii="Arial" w:hAnsi="Arial" w:cs="Arial"/>
        </w:rPr>
        <w:t xml:space="preserve"> was carried out in a total volume of 3 ml containing 1.3 mM riboflavin, 13 mM L-methionine, 0.05 M Na</w:t>
      </w:r>
      <w:r>
        <w:rPr>
          <w:rFonts w:ascii="Arial" w:hAnsi="Arial" w:cs="Arial"/>
          <w:vertAlign w:val="subscript"/>
        </w:rPr>
        <w:t>2</w:t>
      </w:r>
      <w:r>
        <w:rPr>
          <w:rFonts w:ascii="Arial" w:hAnsi="Arial" w:cs="Arial"/>
        </w:rPr>
        <w:t>CO</w:t>
      </w:r>
      <w:r>
        <w:rPr>
          <w:rFonts w:ascii="Arial" w:hAnsi="Arial" w:cs="Arial"/>
          <w:vertAlign w:val="subscript"/>
        </w:rPr>
        <w:t>3</w:t>
      </w:r>
      <w:r>
        <w:rPr>
          <w:rFonts w:ascii="Arial" w:hAnsi="Arial" w:cs="Arial"/>
        </w:rPr>
        <w:t xml:space="preserve"> (pH 10.2), 63 µM NBT and 0.1 ml crude extract. Test tubes containing </w:t>
      </w:r>
      <w:r>
        <w:rPr>
          <w:rFonts w:ascii="Arial" w:hAnsi="Arial" w:cs="Arial"/>
          <w:highlight w:val="yellow"/>
        </w:rPr>
        <w:t xml:space="preserve">a </w:t>
      </w:r>
      <w:r>
        <w:rPr>
          <w:rFonts w:ascii="Arial" w:hAnsi="Arial" w:cs="Arial"/>
        </w:rPr>
        <w:t>similar reaction mixture were irradiated (100 mol photon m</w:t>
      </w:r>
      <w:r>
        <w:rPr>
          <w:rFonts w:ascii="Arial" w:hAnsi="Arial" w:cs="Arial"/>
          <w:vertAlign w:val="superscript"/>
        </w:rPr>
        <w:t>-2</w:t>
      </w:r>
      <w:r>
        <w:rPr>
          <w:rFonts w:ascii="Arial" w:hAnsi="Arial" w:cs="Arial"/>
        </w:rPr>
        <w:t xml:space="preserve"> s</w:t>
      </w:r>
      <w:r>
        <w:rPr>
          <w:rFonts w:ascii="Arial" w:hAnsi="Arial" w:cs="Arial"/>
          <w:vertAlign w:val="superscript"/>
        </w:rPr>
        <w:t>-1</w:t>
      </w:r>
      <w:r>
        <w:rPr>
          <w:rFonts w:ascii="Arial" w:hAnsi="Arial" w:cs="Arial"/>
        </w:rPr>
        <w:t>) for 20 min</w:t>
      </w:r>
      <w:r>
        <w:rPr>
          <w:rFonts w:ascii="Arial" w:hAnsi="Arial" w:cs="Arial"/>
          <w:highlight w:val="yellow"/>
        </w:rPr>
        <w:t>,</w:t>
      </w:r>
      <w:r>
        <w:rPr>
          <w:rFonts w:ascii="Arial" w:hAnsi="Arial" w:cs="Arial"/>
        </w:rPr>
        <w:t xml:space="preserve"> and absorbance was recorded at 560 nm.</w:t>
      </w:r>
    </w:p>
    <w:p w14:paraId="18AB9B0A" w14:textId="77777777" w:rsidR="009F4E91" w:rsidRDefault="009F4E91" w:rsidP="004E7D15">
      <w:pPr>
        <w:pStyle w:val="Body"/>
        <w:spacing w:after="0"/>
        <w:rPr>
          <w:rFonts w:ascii="Arial" w:hAnsi="Arial" w:cs="Arial"/>
          <w:b/>
        </w:rPr>
      </w:pPr>
    </w:p>
    <w:p w14:paraId="0A678230" w14:textId="77777777" w:rsidR="002F728F" w:rsidRPr="00B27A67" w:rsidRDefault="009F4E91" w:rsidP="004E7D15">
      <w:pPr>
        <w:pStyle w:val="Body"/>
        <w:spacing w:after="0"/>
        <w:rPr>
          <w:rFonts w:ascii="Arial" w:hAnsi="Arial" w:cs="Arial"/>
          <w:b/>
        </w:rPr>
      </w:pPr>
      <w:r>
        <w:rPr>
          <w:rFonts w:ascii="Arial" w:hAnsi="Arial" w:cs="Arial"/>
          <w:b/>
        </w:rPr>
        <w:t xml:space="preserve">2.3.2. Catalase (CAT) </w:t>
      </w:r>
      <w:r>
        <w:rPr>
          <w:rFonts w:ascii="Arial" w:hAnsi="Arial" w:cs="Arial"/>
          <w:b/>
          <w:highlight w:val="yellow"/>
        </w:rPr>
        <w:t>activity</w:t>
      </w:r>
    </w:p>
    <w:p w14:paraId="3FFA1DB7" w14:textId="77777777" w:rsidR="002F728F" w:rsidRDefault="002F728F" w:rsidP="004E7D15">
      <w:pPr>
        <w:pStyle w:val="Body"/>
        <w:spacing w:after="0"/>
        <w:rPr>
          <w:rFonts w:ascii="Arial" w:hAnsi="Arial" w:cs="Arial"/>
        </w:rPr>
      </w:pPr>
    </w:p>
    <w:p w14:paraId="7952CABF" w14:textId="77777777" w:rsidR="002F728F" w:rsidRDefault="003939D7" w:rsidP="004E7D15">
      <w:pPr>
        <w:pStyle w:val="Body"/>
        <w:spacing w:after="0"/>
        <w:rPr>
          <w:rFonts w:ascii="Arial" w:hAnsi="Arial" w:cs="Arial"/>
        </w:rPr>
      </w:pPr>
      <w:r>
        <w:rPr>
          <w:rFonts w:ascii="Arial" w:hAnsi="Arial" w:cs="Arial"/>
        </w:rPr>
        <w:t xml:space="preserve">The plant material </w:t>
      </w:r>
      <w:r>
        <w:rPr>
          <w:rFonts w:ascii="Arial" w:hAnsi="Arial" w:cs="Arial"/>
          <w:highlight w:val="yellow"/>
        </w:rPr>
        <w:t xml:space="preserve">(100 mg) </w:t>
      </w:r>
      <w:r>
        <w:rPr>
          <w:rFonts w:ascii="Arial" w:hAnsi="Arial" w:cs="Arial"/>
        </w:rPr>
        <w:t xml:space="preserve">was </w:t>
      </w:r>
      <w:r>
        <w:rPr>
          <w:rFonts w:ascii="Arial" w:hAnsi="Arial" w:cs="Arial"/>
          <w:highlight w:val="yellow"/>
        </w:rPr>
        <w:t>homogenised</w:t>
      </w:r>
      <w:r>
        <w:rPr>
          <w:rFonts w:ascii="Arial" w:hAnsi="Arial" w:cs="Arial"/>
        </w:rPr>
        <w:t xml:space="preserve"> in 1 ml of 50 mM PPB + 1 mM EDTA (pH 7.0). The supernatant was collected and used for</w:t>
      </w:r>
      <w:r>
        <w:rPr>
          <w:rFonts w:ascii="Arial" w:hAnsi="Arial" w:cs="Arial"/>
          <w:highlight w:val="yellow"/>
        </w:rPr>
        <w:t xml:space="preserve"> the</w:t>
      </w:r>
      <w:r>
        <w:rPr>
          <w:rFonts w:ascii="Arial" w:hAnsi="Arial" w:cs="Arial"/>
        </w:rPr>
        <w:t xml:space="preserve"> catalase activity assay after centrifugation at 10,000 g for 15 min. The reaction mixture consisted of 0.5 ml 40 mM H</w:t>
      </w:r>
      <w:r>
        <w:rPr>
          <w:rFonts w:ascii="Arial" w:hAnsi="Arial" w:cs="Arial"/>
          <w:vertAlign w:val="subscript"/>
        </w:rPr>
        <w:t>2</w:t>
      </w:r>
      <w:r>
        <w:rPr>
          <w:rFonts w:ascii="Arial" w:hAnsi="Arial" w:cs="Arial"/>
        </w:rPr>
        <w:t>O</w:t>
      </w:r>
      <w:r>
        <w:rPr>
          <w:rFonts w:ascii="Arial" w:hAnsi="Arial" w:cs="Arial"/>
          <w:vertAlign w:val="subscript"/>
        </w:rPr>
        <w:t>2</w:t>
      </w:r>
      <w:r>
        <w:rPr>
          <w:rFonts w:ascii="Arial" w:hAnsi="Arial" w:cs="Arial"/>
        </w:rPr>
        <w:t xml:space="preserve"> and 1.3 ml 50 mM potassium phosphate buffer (pH 7.0)</w:t>
      </w:r>
      <w:r>
        <w:rPr>
          <w:rFonts w:ascii="Arial" w:hAnsi="Arial" w:cs="Arial"/>
          <w:highlight w:val="yellow"/>
        </w:rPr>
        <w:t xml:space="preserve"> containing</w:t>
      </w:r>
      <w:r>
        <w:rPr>
          <w:rFonts w:ascii="Arial" w:hAnsi="Arial" w:cs="Arial"/>
        </w:rPr>
        <w:t xml:space="preserve"> 1 mM EDTA. The reaction was started by adding 0.2 ml crude extract. The absorbance of the solution was measured at 240 nm after one minute at room temperature. The amount of H</w:t>
      </w:r>
      <w:r>
        <w:rPr>
          <w:rFonts w:ascii="Arial" w:hAnsi="Arial" w:cs="Arial"/>
          <w:vertAlign w:val="subscript"/>
        </w:rPr>
        <w:t>2</w:t>
      </w:r>
      <w:r>
        <w:rPr>
          <w:rFonts w:ascii="Arial" w:hAnsi="Arial" w:cs="Arial"/>
        </w:rPr>
        <w:t>O</w:t>
      </w:r>
      <w:r>
        <w:rPr>
          <w:rFonts w:ascii="Arial" w:hAnsi="Arial" w:cs="Arial"/>
          <w:vertAlign w:val="subscript"/>
        </w:rPr>
        <w:t>2</w:t>
      </w:r>
      <w:r>
        <w:rPr>
          <w:rFonts w:ascii="Arial" w:hAnsi="Arial" w:cs="Arial"/>
        </w:rPr>
        <w:t xml:space="preserve"> consumed was determined using the extinction coefficient (ε=39.4 mM</w:t>
      </w:r>
      <w:r>
        <w:rPr>
          <w:rFonts w:ascii="Arial" w:hAnsi="Arial" w:cs="Arial"/>
          <w:vertAlign w:val="superscript"/>
        </w:rPr>
        <w:t>-1</w:t>
      </w:r>
      <w:r>
        <w:rPr>
          <w:rFonts w:ascii="Arial" w:hAnsi="Arial" w:cs="Arial"/>
        </w:rPr>
        <w:t xml:space="preserve"> cm</w:t>
      </w:r>
      <w:r>
        <w:rPr>
          <w:rFonts w:ascii="Arial" w:hAnsi="Arial" w:cs="Arial"/>
          <w:vertAlign w:val="superscript"/>
        </w:rPr>
        <w:t>-1</w:t>
      </w:r>
      <w:r>
        <w:rPr>
          <w:rFonts w:ascii="Arial" w:hAnsi="Arial" w:cs="Arial"/>
        </w:rPr>
        <w:t>). One unit of CAT activity is defined as the amount of enzyme decomposing 1 nmol H</w:t>
      </w:r>
      <w:r>
        <w:rPr>
          <w:rFonts w:ascii="Arial" w:hAnsi="Arial" w:cs="Arial"/>
          <w:vertAlign w:val="subscript"/>
        </w:rPr>
        <w:t>2</w:t>
      </w:r>
      <w:r>
        <w:rPr>
          <w:rFonts w:ascii="Arial" w:hAnsi="Arial" w:cs="Arial"/>
        </w:rPr>
        <w:t>O</w:t>
      </w:r>
      <w:r>
        <w:rPr>
          <w:rFonts w:ascii="Arial" w:hAnsi="Arial" w:cs="Arial"/>
          <w:vertAlign w:val="subscript"/>
        </w:rPr>
        <w:t>2</w:t>
      </w:r>
      <w:r>
        <w:rPr>
          <w:rFonts w:ascii="Arial" w:hAnsi="Arial" w:cs="Arial"/>
        </w:rPr>
        <w:t xml:space="preserve"> min</w:t>
      </w:r>
      <w:r>
        <w:rPr>
          <w:rFonts w:ascii="Arial" w:hAnsi="Arial" w:cs="Arial"/>
          <w:vertAlign w:val="superscript"/>
        </w:rPr>
        <w:t>-1</w:t>
      </w:r>
      <w:r>
        <w:rPr>
          <w:rFonts w:ascii="Arial" w:hAnsi="Arial" w:cs="Arial"/>
        </w:rPr>
        <w:t xml:space="preserve"> (Aebi</w:t>
      </w:r>
      <w:r>
        <w:rPr>
          <w:rFonts w:ascii="Arial" w:hAnsi="Arial" w:cs="Arial"/>
          <w:highlight w:val="yellow"/>
        </w:rPr>
        <w:t>,</w:t>
      </w:r>
      <w:r>
        <w:rPr>
          <w:rFonts w:ascii="Arial" w:hAnsi="Arial" w:cs="Arial"/>
        </w:rPr>
        <w:t xml:space="preserve"> 1984).</w:t>
      </w:r>
    </w:p>
    <w:p w14:paraId="7838F659" w14:textId="77777777" w:rsidR="002F728F" w:rsidRDefault="002F728F" w:rsidP="004E7D15">
      <w:pPr>
        <w:pStyle w:val="Body"/>
        <w:spacing w:after="0"/>
        <w:rPr>
          <w:rFonts w:ascii="Arial" w:hAnsi="Arial" w:cs="Arial"/>
          <w:b/>
        </w:rPr>
      </w:pPr>
    </w:p>
    <w:p w14:paraId="3C4FA300" w14:textId="77777777" w:rsidR="002F728F" w:rsidRPr="00B27A67" w:rsidRDefault="009F4E91" w:rsidP="004E7D15">
      <w:pPr>
        <w:pStyle w:val="Body"/>
        <w:spacing w:after="0"/>
        <w:rPr>
          <w:rFonts w:ascii="Arial" w:hAnsi="Arial" w:cs="Arial"/>
          <w:b/>
        </w:rPr>
      </w:pPr>
      <w:r>
        <w:rPr>
          <w:rFonts w:ascii="Arial" w:hAnsi="Arial" w:cs="Arial"/>
          <w:b/>
        </w:rPr>
        <w:t xml:space="preserve">2.3.3. Peroxidase (POD) </w:t>
      </w:r>
      <w:r>
        <w:rPr>
          <w:rFonts w:ascii="Arial" w:hAnsi="Arial" w:cs="Arial"/>
          <w:b/>
          <w:highlight w:val="yellow"/>
        </w:rPr>
        <w:t>activity</w:t>
      </w:r>
    </w:p>
    <w:p w14:paraId="562D1BC7" w14:textId="77777777" w:rsidR="002F728F" w:rsidRDefault="002F728F" w:rsidP="004E7D15">
      <w:pPr>
        <w:pStyle w:val="Body"/>
        <w:spacing w:after="0"/>
        <w:rPr>
          <w:rFonts w:ascii="Arial" w:hAnsi="Arial" w:cs="Arial"/>
        </w:rPr>
      </w:pPr>
    </w:p>
    <w:p w14:paraId="1B8F86E6" w14:textId="77777777" w:rsidR="002F728F" w:rsidRDefault="003939D7" w:rsidP="004E7D15">
      <w:pPr>
        <w:pStyle w:val="Body"/>
        <w:spacing w:after="0"/>
        <w:rPr>
          <w:rFonts w:ascii="Arial" w:hAnsi="Arial" w:cs="Arial"/>
        </w:rPr>
      </w:pPr>
      <w:r>
        <w:rPr>
          <w:rFonts w:ascii="Arial" w:hAnsi="Arial" w:cs="Arial"/>
          <w:highlight w:val="yellow"/>
        </w:rPr>
        <w:t>One</w:t>
      </w:r>
      <w:r>
        <w:rPr>
          <w:rFonts w:ascii="Arial" w:hAnsi="Arial" w:cs="Arial"/>
        </w:rPr>
        <w:t xml:space="preserve"> </w:t>
      </w:r>
      <w:r>
        <w:rPr>
          <w:rFonts w:ascii="Arial" w:hAnsi="Arial" w:cs="Arial"/>
          <w:highlight w:val="yellow"/>
        </w:rPr>
        <w:t>hundred milligrams</w:t>
      </w:r>
      <w:r>
        <w:rPr>
          <w:rFonts w:ascii="Arial" w:hAnsi="Arial" w:cs="Arial"/>
        </w:rPr>
        <w:t xml:space="preserve"> of fresh plant material was </w:t>
      </w:r>
      <w:r>
        <w:rPr>
          <w:rFonts w:ascii="Arial" w:hAnsi="Arial" w:cs="Arial"/>
          <w:highlight w:val="yellow"/>
        </w:rPr>
        <w:t>homogenised</w:t>
      </w:r>
      <w:r>
        <w:rPr>
          <w:rFonts w:ascii="Arial" w:hAnsi="Arial" w:cs="Arial"/>
        </w:rPr>
        <w:t xml:space="preserve"> in 2 ml of 50 mM PPB, pH 6.1. The crude enzyme extract was obtained from the supernatant after centrifugation of the homogenate at 10,000 g. </w:t>
      </w:r>
      <w:r>
        <w:rPr>
          <w:rFonts w:ascii="Arial" w:hAnsi="Arial" w:cs="Arial"/>
          <w:highlight w:val="yellow"/>
        </w:rPr>
        <w:t>Peroxidase</w:t>
      </w:r>
      <w:r>
        <w:rPr>
          <w:rFonts w:ascii="Arial" w:hAnsi="Arial" w:cs="Arial"/>
        </w:rPr>
        <w:t xml:space="preserve"> activity was measured using guaiacol as </w:t>
      </w:r>
      <w:r>
        <w:rPr>
          <w:rFonts w:ascii="Arial" w:hAnsi="Arial" w:cs="Arial"/>
          <w:highlight w:val="yellow"/>
        </w:rPr>
        <w:t xml:space="preserve">the </w:t>
      </w:r>
      <w:r>
        <w:rPr>
          <w:rFonts w:ascii="Arial" w:hAnsi="Arial" w:cs="Arial"/>
        </w:rPr>
        <w:t xml:space="preserve">substrate in a total volume of </w:t>
      </w:r>
      <w:r>
        <w:rPr>
          <w:rFonts w:ascii="Arial" w:hAnsi="Arial" w:cs="Arial"/>
          <w:highlight w:val="yellow"/>
        </w:rPr>
        <w:t>3 ml</w:t>
      </w:r>
      <w:r>
        <w:rPr>
          <w:rFonts w:ascii="Arial" w:hAnsi="Arial" w:cs="Arial"/>
        </w:rPr>
        <w:t xml:space="preserve">. </w:t>
      </w:r>
      <w:r>
        <w:rPr>
          <w:rFonts w:ascii="Arial" w:hAnsi="Arial" w:cs="Arial"/>
          <w:highlight w:val="yellow"/>
        </w:rPr>
        <w:t>The reaction</w:t>
      </w:r>
      <w:r>
        <w:rPr>
          <w:rFonts w:ascii="Arial" w:hAnsi="Arial" w:cs="Arial"/>
        </w:rPr>
        <w:t xml:space="preserve"> mixture contained 50 mM PPB (pH 6.1), 1% guaiacol, 0.4% H</w:t>
      </w:r>
      <w:r>
        <w:rPr>
          <w:rFonts w:ascii="Arial" w:hAnsi="Arial" w:cs="Arial"/>
          <w:vertAlign w:val="subscript"/>
        </w:rPr>
        <w:t>2</w:t>
      </w:r>
      <w:r>
        <w:rPr>
          <w:rFonts w:ascii="Arial" w:hAnsi="Arial" w:cs="Arial"/>
        </w:rPr>
        <w:t>O</w:t>
      </w:r>
      <w:r>
        <w:rPr>
          <w:rFonts w:ascii="Arial" w:hAnsi="Arial" w:cs="Arial"/>
          <w:vertAlign w:val="subscript"/>
        </w:rPr>
        <w:t>2</w:t>
      </w:r>
      <w:r>
        <w:rPr>
          <w:rFonts w:ascii="Arial" w:hAnsi="Arial" w:cs="Arial"/>
        </w:rPr>
        <w:t xml:space="preserve"> and enzyme extract. The increase in absorbance at 470 nm </w:t>
      </w:r>
      <w:r>
        <w:rPr>
          <w:rFonts w:ascii="Arial" w:hAnsi="Arial" w:cs="Arial"/>
          <w:highlight w:val="yellow"/>
        </w:rPr>
        <w:t>was</w:t>
      </w:r>
      <w:r>
        <w:rPr>
          <w:rFonts w:ascii="Arial" w:hAnsi="Arial" w:cs="Arial"/>
        </w:rPr>
        <w:t xml:space="preserve"> due to</w:t>
      </w:r>
      <w:r>
        <w:rPr>
          <w:rFonts w:ascii="Arial" w:hAnsi="Arial" w:cs="Arial"/>
          <w:highlight w:val="yellow"/>
        </w:rPr>
        <w:t xml:space="preserve"> the</w:t>
      </w:r>
      <w:r>
        <w:rPr>
          <w:rFonts w:ascii="Arial" w:hAnsi="Arial" w:cs="Arial"/>
        </w:rPr>
        <w:t xml:space="preserve"> oxidation of guaiacol (ε=25.5 mM</w:t>
      </w:r>
      <w:r>
        <w:rPr>
          <w:rFonts w:ascii="Arial" w:hAnsi="Arial" w:cs="Arial"/>
          <w:vertAlign w:val="superscript"/>
        </w:rPr>
        <w:t>-1</w:t>
      </w:r>
      <w:r>
        <w:rPr>
          <w:rFonts w:ascii="Arial" w:hAnsi="Arial" w:cs="Arial"/>
        </w:rPr>
        <w:t xml:space="preserve"> cm</w:t>
      </w:r>
      <w:r>
        <w:rPr>
          <w:rFonts w:ascii="Arial" w:hAnsi="Arial" w:cs="Arial"/>
          <w:vertAlign w:val="superscript"/>
        </w:rPr>
        <w:t>-1</w:t>
      </w:r>
      <w:r>
        <w:rPr>
          <w:rFonts w:ascii="Arial" w:hAnsi="Arial" w:cs="Arial"/>
        </w:rPr>
        <w:t>). One unit of POD activity corresponds to the amount of enzyme needed to oxidise 1 nmol of guaiacol min</w:t>
      </w:r>
      <w:r>
        <w:rPr>
          <w:rFonts w:ascii="Arial" w:hAnsi="Arial" w:cs="Arial"/>
          <w:vertAlign w:val="superscript"/>
        </w:rPr>
        <w:t>-1</w:t>
      </w:r>
      <w:r>
        <w:rPr>
          <w:rFonts w:ascii="Arial" w:hAnsi="Arial" w:cs="Arial"/>
        </w:rPr>
        <w:t xml:space="preserve"> (Zhang</w:t>
      </w:r>
      <w:r>
        <w:rPr>
          <w:rFonts w:ascii="Arial" w:hAnsi="Arial" w:cs="Arial"/>
          <w:highlight w:val="yellow"/>
        </w:rPr>
        <w:t>,</w:t>
      </w:r>
      <w:r>
        <w:rPr>
          <w:rFonts w:ascii="Arial" w:hAnsi="Arial" w:cs="Arial"/>
        </w:rPr>
        <w:t xml:space="preserve"> 1992).</w:t>
      </w:r>
    </w:p>
    <w:p w14:paraId="6C36E4B8" w14:textId="77777777" w:rsidR="002F728F" w:rsidRDefault="002F728F" w:rsidP="004E7D15">
      <w:pPr>
        <w:pStyle w:val="Body"/>
        <w:spacing w:after="0"/>
        <w:rPr>
          <w:rFonts w:ascii="Arial" w:hAnsi="Arial" w:cs="Arial"/>
          <w:b/>
        </w:rPr>
      </w:pPr>
    </w:p>
    <w:p w14:paraId="10F14568" w14:textId="77777777" w:rsidR="002F728F" w:rsidRDefault="009F4E91" w:rsidP="004E7D15">
      <w:pPr>
        <w:pStyle w:val="Body"/>
        <w:spacing w:after="0"/>
        <w:rPr>
          <w:rFonts w:ascii="Arial" w:hAnsi="Arial" w:cs="Arial"/>
          <w:b/>
        </w:rPr>
      </w:pPr>
      <w:r>
        <w:rPr>
          <w:rFonts w:ascii="Arial" w:hAnsi="Arial" w:cs="Arial"/>
          <w:b/>
        </w:rPr>
        <w:t xml:space="preserve">2.3.4. Ascorbate peroxidase (APX) </w:t>
      </w:r>
      <w:r>
        <w:rPr>
          <w:rFonts w:ascii="Arial" w:hAnsi="Arial" w:cs="Arial"/>
          <w:b/>
          <w:highlight w:val="yellow"/>
        </w:rPr>
        <w:t>activity</w:t>
      </w:r>
    </w:p>
    <w:p w14:paraId="13006340" w14:textId="77777777" w:rsidR="002F728F" w:rsidRPr="00B27A67" w:rsidRDefault="002F728F" w:rsidP="004E7D15">
      <w:pPr>
        <w:pStyle w:val="Body"/>
        <w:spacing w:after="0"/>
        <w:rPr>
          <w:rFonts w:ascii="Arial" w:hAnsi="Arial" w:cs="Arial"/>
          <w:b/>
        </w:rPr>
      </w:pPr>
    </w:p>
    <w:p w14:paraId="10EC5822" w14:textId="77777777" w:rsidR="002F728F" w:rsidRPr="00B27A67" w:rsidRDefault="00BF06AD" w:rsidP="004E7D15">
      <w:pPr>
        <w:pStyle w:val="Body"/>
        <w:spacing w:after="0"/>
        <w:rPr>
          <w:rFonts w:ascii="Arial" w:hAnsi="Arial" w:cs="Arial"/>
          <w:b/>
        </w:rPr>
      </w:pPr>
      <w:r>
        <w:rPr>
          <w:rFonts w:ascii="Arial" w:hAnsi="Arial" w:cs="Arial"/>
        </w:rPr>
        <w:t xml:space="preserve">Plant material (100 mg) was </w:t>
      </w:r>
      <w:r>
        <w:rPr>
          <w:rFonts w:ascii="Arial" w:hAnsi="Arial" w:cs="Arial"/>
          <w:highlight w:val="yellow"/>
        </w:rPr>
        <w:t>homogenised</w:t>
      </w:r>
      <w:r>
        <w:rPr>
          <w:rFonts w:ascii="Arial" w:hAnsi="Arial" w:cs="Arial"/>
        </w:rPr>
        <w:t xml:space="preserve"> in </w:t>
      </w:r>
      <w:r>
        <w:rPr>
          <w:rFonts w:ascii="Arial" w:hAnsi="Arial" w:cs="Arial"/>
          <w:highlight w:val="yellow"/>
        </w:rPr>
        <w:t>1 ml</w:t>
      </w:r>
      <w:r>
        <w:rPr>
          <w:rFonts w:ascii="Arial" w:hAnsi="Arial" w:cs="Arial"/>
        </w:rPr>
        <w:t xml:space="preserve"> of ice</w:t>
      </w:r>
      <w:r>
        <w:rPr>
          <w:rFonts w:ascii="Cambria Math" w:hAnsi="Cambria Math" w:cs="Cambria Math"/>
        </w:rPr>
        <w:t>‐</w:t>
      </w:r>
      <w:r>
        <w:rPr>
          <w:rFonts w:ascii="Arial" w:hAnsi="Arial" w:cs="Arial"/>
        </w:rPr>
        <w:t xml:space="preserve">cold 50 mM potassium phosphate buffer (pH 7.0) containing 1 mM EDTA and 1 mM ascorbate. The mixture was centrifuged for 15 min at 10,000 g. The </w:t>
      </w:r>
      <w:r>
        <w:rPr>
          <w:rFonts w:ascii="Arial" w:hAnsi="Arial" w:cs="Arial"/>
          <w:highlight w:val="yellow"/>
        </w:rPr>
        <w:t xml:space="preserve">resulting </w:t>
      </w:r>
      <w:r>
        <w:rPr>
          <w:rFonts w:ascii="Arial" w:hAnsi="Arial" w:cs="Arial"/>
        </w:rPr>
        <w:t xml:space="preserve">supernatant was stored in potassium phosphate buffer and used </w:t>
      </w:r>
      <w:r>
        <w:rPr>
          <w:rFonts w:ascii="Arial" w:hAnsi="Arial" w:cs="Arial"/>
          <w:highlight w:val="yellow"/>
        </w:rPr>
        <w:t>to</w:t>
      </w:r>
      <w:r>
        <w:rPr>
          <w:rFonts w:ascii="Arial" w:hAnsi="Arial" w:cs="Arial"/>
        </w:rPr>
        <w:t xml:space="preserve"> </w:t>
      </w:r>
      <w:r>
        <w:rPr>
          <w:rFonts w:ascii="Arial" w:hAnsi="Arial" w:cs="Arial"/>
          <w:highlight w:val="yellow"/>
        </w:rPr>
        <w:t>estimate</w:t>
      </w:r>
      <w:r>
        <w:rPr>
          <w:rFonts w:ascii="Arial" w:hAnsi="Arial" w:cs="Arial"/>
        </w:rPr>
        <w:t xml:space="preserve"> ascorbate peroxidase activity. The reaction mixture consisted of 0.5 ml 0.4 mM H</w:t>
      </w:r>
      <w:r>
        <w:rPr>
          <w:rFonts w:ascii="Arial" w:hAnsi="Arial" w:cs="Arial"/>
          <w:vertAlign w:val="subscript"/>
        </w:rPr>
        <w:t>2</w:t>
      </w:r>
      <w:r>
        <w:rPr>
          <w:rFonts w:ascii="Arial" w:hAnsi="Arial" w:cs="Arial"/>
        </w:rPr>
        <w:t>O</w:t>
      </w:r>
      <w:r>
        <w:rPr>
          <w:rFonts w:ascii="Arial" w:hAnsi="Arial" w:cs="Arial"/>
          <w:vertAlign w:val="subscript"/>
        </w:rPr>
        <w:t>2</w:t>
      </w:r>
      <w:r>
        <w:rPr>
          <w:rFonts w:ascii="Arial" w:hAnsi="Arial" w:cs="Arial"/>
        </w:rPr>
        <w:t>, 0.5 ml 2 mM ascorbate, 0.8 ml 50 mM potassium phosphate buffer, pH 7.0 and 0.</w:t>
      </w:r>
      <w:r>
        <w:rPr>
          <w:rFonts w:ascii="Arial" w:hAnsi="Arial" w:cs="Arial"/>
          <w:highlight w:val="yellow"/>
        </w:rPr>
        <w:t>2 ml</w:t>
      </w:r>
      <w:r>
        <w:rPr>
          <w:rFonts w:ascii="Arial" w:hAnsi="Arial" w:cs="Arial"/>
        </w:rPr>
        <w:t xml:space="preserve"> crude extract. The reaction was initiated by adding the enzyme extract. The absorbance of the solution was recorded at 290 nm for one minute at 25°C using a UV—VIS spectrophotometer (Schimadzu, Japan). </w:t>
      </w:r>
      <w:r>
        <w:rPr>
          <w:rFonts w:ascii="Arial" w:hAnsi="Arial" w:cs="Arial"/>
          <w:highlight w:val="yellow"/>
        </w:rPr>
        <w:t>Ascorbate</w:t>
      </w:r>
      <w:r>
        <w:rPr>
          <w:rFonts w:ascii="Arial" w:hAnsi="Arial" w:cs="Arial"/>
        </w:rPr>
        <w:t xml:space="preserve"> peroxidase activity was quantified using the extinction coefficient (ε=2.8 mM</w:t>
      </w:r>
      <w:r>
        <w:rPr>
          <w:rFonts w:ascii="Arial" w:hAnsi="Arial" w:cs="Arial"/>
          <w:vertAlign w:val="superscript"/>
        </w:rPr>
        <w:t>-1</w:t>
      </w:r>
      <w:r>
        <w:rPr>
          <w:rFonts w:ascii="Arial" w:hAnsi="Arial" w:cs="Arial"/>
        </w:rPr>
        <w:t xml:space="preserve"> cm</w:t>
      </w:r>
      <w:r>
        <w:rPr>
          <w:rFonts w:ascii="Arial" w:hAnsi="Arial" w:cs="Arial"/>
          <w:vertAlign w:val="superscript"/>
        </w:rPr>
        <w:t>-1</w:t>
      </w:r>
      <w:r>
        <w:rPr>
          <w:rFonts w:ascii="Arial" w:hAnsi="Arial" w:cs="Arial"/>
        </w:rPr>
        <w:t xml:space="preserve">). One unit of APX activity was defined as the amount of enzyme that </w:t>
      </w:r>
      <w:r>
        <w:rPr>
          <w:rFonts w:ascii="Arial" w:hAnsi="Arial" w:cs="Arial"/>
          <w:highlight w:val="yellow"/>
        </w:rPr>
        <w:t>oxidises</w:t>
      </w:r>
      <w:r>
        <w:rPr>
          <w:rFonts w:ascii="Arial" w:hAnsi="Arial" w:cs="Arial"/>
        </w:rPr>
        <w:t xml:space="preserve"> 1 nmol of ascorbate min</w:t>
      </w:r>
      <w:r>
        <w:rPr>
          <w:rFonts w:ascii="Arial" w:hAnsi="Arial" w:cs="Arial"/>
          <w:vertAlign w:val="superscript"/>
        </w:rPr>
        <w:t>-1</w:t>
      </w:r>
      <w:r>
        <w:rPr>
          <w:rFonts w:ascii="Arial" w:hAnsi="Arial" w:cs="Arial"/>
        </w:rPr>
        <w:t xml:space="preserve"> (Nakano </w:t>
      </w:r>
      <w:r>
        <w:rPr>
          <w:rFonts w:ascii="Arial" w:hAnsi="Arial" w:cs="Arial"/>
          <w:highlight w:val="yellow"/>
        </w:rPr>
        <w:t>&amp;</w:t>
      </w:r>
      <w:r>
        <w:rPr>
          <w:rFonts w:ascii="Arial" w:hAnsi="Arial" w:cs="Arial"/>
        </w:rPr>
        <w:t xml:space="preserve"> Asada, 1981).</w:t>
      </w:r>
    </w:p>
    <w:p w14:paraId="55FDC793" w14:textId="77777777" w:rsidR="00BF06AD" w:rsidRDefault="00BF06AD" w:rsidP="004E7D15">
      <w:pPr>
        <w:pStyle w:val="Body"/>
        <w:spacing w:after="0"/>
        <w:rPr>
          <w:rFonts w:ascii="Arial" w:hAnsi="Arial" w:cs="Arial"/>
          <w:b/>
        </w:rPr>
      </w:pPr>
    </w:p>
    <w:p w14:paraId="03DE273A" w14:textId="77777777" w:rsidR="002F728F" w:rsidRDefault="009F4E91" w:rsidP="004E7D15">
      <w:pPr>
        <w:pStyle w:val="Body"/>
        <w:spacing w:after="0"/>
        <w:rPr>
          <w:rFonts w:ascii="Arial" w:hAnsi="Arial" w:cs="Arial"/>
        </w:rPr>
      </w:pPr>
      <w:r>
        <w:rPr>
          <w:rFonts w:ascii="Arial" w:hAnsi="Arial" w:cs="Arial"/>
          <w:b/>
        </w:rPr>
        <w:t xml:space="preserve">2.3.5. Glutathione reductase (GR) </w:t>
      </w:r>
      <w:r>
        <w:rPr>
          <w:rFonts w:ascii="Arial" w:hAnsi="Arial" w:cs="Arial"/>
          <w:b/>
          <w:highlight w:val="yellow"/>
        </w:rPr>
        <w:t>activity</w:t>
      </w:r>
    </w:p>
    <w:p w14:paraId="7C9380DB" w14:textId="77777777" w:rsidR="002F728F" w:rsidRDefault="002F728F" w:rsidP="004E7D15">
      <w:pPr>
        <w:pStyle w:val="Body"/>
        <w:spacing w:after="0"/>
        <w:rPr>
          <w:rFonts w:ascii="Arial" w:hAnsi="Arial" w:cs="Arial"/>
        </w:rPr>
      </w:pPr>
    </w:p>
    <w:p w14:paraId="41C358E1" w14:textId="77777777" w:rsidR="002F728F" w:rsidRDefault="00BF06AD" w:rsidP="004E7D15">
      <w:pPr>
        <w:pStyle w:val="Body"/>
        <w:spacing w:after="0"/>
        <w:rPr>
          <w:rFonts w:ascii="Arial" w:hAnsi="Arial" w:cs="Arial"/>
        </w:rPr>
      </w:pPr>
      <w:r>
        <w:rPr>
          <w:rFonts w:ascii="Arial" w:hAnsi="Arial" w:cs="Arial"/>
        </w:rPr>
        <w:t xml:space="preserve">The activity of glutathione reductase (GR; EC 1.6.4.2) was determined as described by Schaedle and Bassham (1977). </w:t>
      </w:r>
      <w:r>
        <w:rPr>
          <w:rFonts w:ascii="Arial" w:hAnsi="Arial" w:cs="Arial"/>
          <w:highlight w:val="yellow"/>
        </w:rPr>
        <w:t>Homogenised</w:t>
      </w:r>
      <w:r>
        <w:rPr>
          <w:rFonts w:ascii="Arial" w:hAnsi="Arial" w:cs="Arial"/>
        </w:rPr>
        <w:t xml:space="preserve"> leaves (100 mg)</w:t>
      </w:r>
      <w:r>
        <w:rPr>
          <w:rFonts w:ascii="Arial" w:hAnsi="Arial" w:cs="Arial"/>
          <w:highlight w:val="yellow"/>
        </w:rPr>
        <w:t>,</w:t>
      </w:r>
      <w:r>
        <w:rPr>
          <w:rFonts w:ascii="Arial" w:hAnsi="Arial" w:cs="Arial"/>
        </w:rPr>
        <w:t xml:space="preserve"> treated and untreated</w:t>
      </w:r>
      <w:r>
        <w:rPr>
          <w:rFonts w:ascii="Arial" w:hAnsi="Arial" w:cs="Arial"/>
          <w:highlight w:val="yellow"/>
        </w:rPr>
        <w:t>,</w:t>
      </w:r>
      <w:r>
        <w:rPr>
          <w:rFonts w:ascii="Arial" w:hAnsi="Arial" w:cs="Arial"/>
        </w:rPr>
        <w:t xml:space="preserve"> were kept at 4 °C with 1 ml of cooled potassium phosphate buffer (2 mM EDTA, pH 7.8)</w:t>
      </w:r>
      <w:r>
        <w:rPr>
          <w:rFonts w:ascii="Arial" w:hAnsi="Arial" w:cs="Arial"/>
          <w:highlight w:val="yellow"/>
        </w:rPr>
        <w:t>,</w:t>
      </w:r>
      <w:r>
        <w:rPr>
          <w:rFonts w:ascii="Arial" w:hAnsi="Arial" w:cs="Arial"/>
        </w:rPr>
        <w:t xml:space="preserve"> and the leaves were centrifuged for 15 min at 10,000 g. The </w:t>
      </w:r>
      <w:r>
        <w:rPr>
          <w:rFonts w:ascii="Arial" w:hAnsi="Arial" w:cs="Arial"/>
          <w:highlight w:val="yellow"/>
        </w:rPr>
        <w:t xml:space="preserve">resulting </w:t>
      </w:r>
      <w:r>
        <w:rPr>
          <w:rFonts w:ascii="Arial" w:hAnsi="Arial" w:cs="Arial"/>
        </w:rPr>
        <w:t xml:space="preserve">supernatant was used for the assay of glutathione reductase activity. The reaction mixture contained 0.8 ml of 50 mM potassium phosphate buffer (pH 7.8) containing 2 mM EDTA, 0.5 ml of 2 mM GSSG, 0.2 ml of crude extract and 0.5 ml of 0.6 mM NADPH. The reaction began with the addition of NADPH. The decrease in absorbance was followed at 340 mM for 1 min at 25 </w:t>
      </w:r>
      <w:r>
        <w:rPr>
          <w:rFonts w:ascii="Arial" w:hAnsi="Arial" w:cs="Arial"/>
          <w:vertAlign w:val="superscript"/>
        </w:rPr>
        <w:t>o</w:t>
      </w:r>
      <w:r>
        <w:rPr>
          <w:rFonts w:ascii="Arial" w:hAnsi="Arial" w:cs="Arial"/>
        </w:rPr>
        <w:t xml:space="preserve">C </w:t>
      </w:r>
      <w:r>
        <w:rPr>
          <w:rFonts w:ascii="Arial" w:hAnsi="Arial" w:cs="Arial"/>
          <w:highlight w:val="yellow"/>
        </w:rPr>
        <w:t>using</w:t>
      </w:r>
      <w:r>
        <w:rPr>
          <w:rFonts w:ascii="Arial" w:hAnsi="Arial" w:cs="Arial"/>
        </w:rPr>
        <w:t xml:space="preserve"> a UV-VIS spectrophotometer (Schimadzu, Japan). GR activity was calculated using the extinction coefficient of 6.2 mM-1 cm</w:t>
      </w:r>
      <w:r>
        <w:rPr>
          <w:rFonts w:ascii="Arial" w:hAnsi="Arial" w:cs="Arial"/>
          <w:vertAlign w:val="superscript"/>
        </w:rPr>
        <w:t>-1</w:t>
      </w:r>
      <w:r>
        <w:rPr>
          <w:rFonts w:ascii="Arial" w:hAnsi="Arial" w:cs="Arial"/>
        </w:rPr>
        <w:t xml:space="preserve">. One unit of GR activity is </w:t>
      </w:r>
      <w:r>
        <w:rPr>
          <w:rFonts w:ascii="Arial" w:hAnsi="Arial" w:cs="Arial"/>
          <w:highlight w:val="yellow"/>
        </w:rPr>
        <w:t>the</w:t>
      </w:r>
      <w:r>
        <w:rPr>
          <w:rFonts w:ascii="Arial" w:hAnsi="Arial" w:cs="Arial"/>
        </w:rPr>
        <w:t xml:space="preserve"> amount of enzyme required to oxidise one nmol of NADPH per minute.</w:t>
      </w:r>
    </w:p>
    <w:p w14:paraId="7E358B5F" w14:textId="77777777" w:rsidR="009F4E91" w:rsidRDefault="009F4E91" w:rsidP="004E7D15">
      <w:pPr>
        <w:pStyle w:val="Body"/>
        <w:spacing w:after="0"/>
        <w:rPr>
          <w:rFonts w:ascii="Arial" w:hAnsi="Arial" w:cs="Arial"/>
        </w:rPr>
      </w:pPr>
    </w:p>
    <w:p w14:paraId="6730C155" w14:textId="77777777" w:rsidR="009F4E91" w:rsidRPr="00B27A67" w:rsidRDefault="009F4E91" w:rsidP="009F4E91">
      <w:pPr>
        <w:pStyle w:val="Body"/>
        <w:rPr>
          <w:rFonts w:ascii="Arial" w:hAnsi="Arial" w:cs="Arial"/>
          <w:b/>
        </w:rPr>
      </w:pPr>
      <w:r w:rsidRPr="00B27A67">
        <w:rPr>
          <w:rFonts w:ascii="Arial" w:hAnsi="Arial" w:cs="Arial"/>
          <w:b/>
        </w:rPr>
        <w:t>2.4. Statistical analysis</w:t>
      </w:r>
    </w:p>
    <w:p w14:paraId="5475C39A" w14:textId="77777777" w:rsidR="009F4E91" w:rsidRPr="00FB3A86" w:rsidRDefault="00F3101E" w:rsidP="009F4E91">
      <w:pPr>
        <w:pStyle w:val="Body"/>
        <w:spacing w:after="0"/>
        <w:rPr>
          <w:rFonts w:ascii="Arial" w:hAnsi="Arial" w:cs="Arial"/>
        </w:rPr>
      </w:pPr>
      <w:r>
        <w:rPr>
          <w:rFonts w:eastAsia="MS Mincho"/>
          <w:bCs/>
          <w:lang w:val="en-GB"/>
        </w:rPr>
        <w:t xml:space="preserve">The </w:t>
      </w:r>
      <w:r>
        <w:rPr>
          <w:rFonts w:eastAsia="MS Mincho"/>
          <w:bCs/>
          <w:highlight w:val="yellow"/>
          <w:lang w:val="en-GB"/>
        </w:rPr>
        <w:t>significance</w:t>
      </w:r>
      <w:r>
        <w:rPr>
          <w:rFonts w:eastAsia="MS Mincho"/>
          <w:bCs/>
          <w:lang w:val="en-GB"/>
        </w:rPr>
        <w:t xml:space="preserve"> of </w:t>
      </w:r>
      <w:r>
        <w:rPr>
          <w:rFonts w:eastAsia="MS Mincho"/>
          <w:bCs/>
          <w:highlight w:val="yellow"/>
          <w:lang w:val="en-GB"/>
        </w:rPr>
        <w:t>differences</w:t>
      </w:r>
      <w:r>
        <w:rPr>
          <w:rFonts w:eastAsia="MS Mincho"/>
          <w:bCs/>
          <w:lang w:val="en-GB"/>
        </w:rPr>
        <w:t xml:space="preserve"> </w:t>
      </w:r>
      <w:r>
        <w:rPr>
          <w:rFonts w:eastAsia="MS Mincho"/>
          <w:bCs/>
          <w:highlight w:val="yellow"/>
          <w:lang w:val="en-GB"/>
        </w:rPr>
        <w:t>between</w:t>
      </w:r>
      <w:r>
        <w:rPr>
          <w:rFonts w:eastAsia="MS Mincho"/>
          <w:bCs/>
          <w:lang w:val="en-GB"/>
        </w:rPr>
        <w:t xml:space="preserve"> the control and </w:t>
      </w:r>
      <w:r>
        <w:rPr>
          <w:rFonts w:eastAsia="MS Mincho"/>
          <w:bCs/>
          <w:highlight w:val="yellow"/>
          <w:lang w:val="en-GB"/>
        </w:rPr>
        <w:t>treatment means</w:t>
      </w:r>
      <w:r>
        <w:rPr>
          <w:rFonts w:eastAsia="MS Mincho"/>
          <w:bCs/>
          <w:lang w:val="en-GB"/>
        </w:rPr>
        <w:t xml:space="preserve"> was analysed using one-way ANOVA </w:t>
      </w:r>
      <w:r>
        <w:rPr>
          <w:rFonts w:eastAsia="MS Mincho"/>
          <w:bCs/>
          <w:highlight w:val="yellow"/>
          <w:lang w:val="en-GB"/>
        </w:rPr>
        <w:t>followed by</w:t>
      </w:r>
      <w:r>
        <w:rPr>
          <w:rFonts w:eastAsia="MS Mincho"/>
          <w:bCs/>
          <w:lang w:val="en-GB"/>
        </w:rPr>
        <w:t xml:space="preserve"> Tukey’s post hoc analysis </w:t>
      </w:r>
      <w:r>
        <w:rPr>
          <w:rFonts w:eastAsia="MS Mincho"/>
          <w:bCs/>
          <w:highlight w:val="yellow"/>
          <w:lang w:val="en-GB"/>
        </w:rPr>
        <w:t>in</w:t>
      </w:r>
      <w:r>
        <w:rPr>
          <w:rFonts w:eastAsia="MS Mincho"/>
          <w:bCs/>
          <w:lang w:val="en-GB"/>
        </w:rPr>
        <w:t xml:space="preserve"> SPSS version 16 (SPSS Inc., 2007)</w:t>
      </w:r>
      <w:r>
        <w:rPr>
          <w:rFonts w:eastAsia="MS Mincho"/>
          <w:bCs/>
          <w:highlight w:val="yellow"/>
          <w:lang w:val="en-GB"/>
        </w:rPr>
        <w:t>,</w:t>
      </w:r>
      <w:r>
        <w:rPr>
          <w:rFonts w:eastAsia="MS Mincho"/>
          <w:bCs/>
          <w:lang w:val="en-GB"/>
        </w:rPr>
        <w:t xml:space="preserve"> and </w:t>
      </w:r>
      <w:r>
        <w:rPr>
          <w:rFonts w:eastAsia="MS Mincho"/>
          <w:bCs/>
          <w:highlight w:val="yellow"/>
          <w:lang w:val="en-GB"/>
        </w:rPr>
        <w:t>graphs</w:t>
      </w:r>
      <w:r>
        <w:rPr>
          <w:rFonts w:eastAsia="MS Mincho"/>
          <w:bCs/>
          <w:lang w:val="en-GB"/>
        </w:rPr>
        <w:t xml:space="preserve"> were </w:t>
      </w:r>
      <w:r>
        <w:rPr>
          <w:rFonts w:eastAsia="MS Mincho"/>
          <w:bCs/>
          <w:highlight w:val="yellow"/>
          <w:lang w:val="en-GB"/>
        </w:rPr>
        <w:t>prepared</w:t>
      </w:r>
      <w:r>
        <w:rPr>
          <w:rFonts w:eastAsia="MS Mincho"/>
          <w:bCs/>
          <w:lang w:val="en-GB"/>
        </w:rPr>
        <w:t xml:space="preserve"> using </w:t>
      </w:r>
      <w:r>
        <w:rPr>
          <w:rFonts w:eastAsia="MS Mincho"/>
          <w:bCs/>
          <w:highlight w:val="yellow"/>
          <w:lang w:val="en-GB"/>
        </w:rPr>
        <w:t>SigmaPlot</w:t>
      </w:r>
      <w:r>
        <w:rPr>
          <w:rFonts w:eastAsia="MS Mincho"/>
          <w:bCs/>
          <w:lang w:val="en-GB"/>
        </w:rPr>
        <w:t xml:space="preserve"> version 10 (Systat </w:t>
      </w:r>
      <w:r>
        <w:rPr>
          <w:rFonts w:eastAsia="MS Mincho"/>
          <w:bCs/>
          <w:highlight w:val="yellow"/>
          <w:lang w:val="en-GB"/>
        </w:rPr>
        <w:t>Software</w:t>
      </w:r>
      <w:r>
        <w:rPr>
          <w:rFonts w:eastAsia="MS Mincho"/>
          <w:bCs/>
          <w:lang w:val="en-GB"/>
        </w:rPr>
        <w:t>, Inc., 2006).</w:t>
      </w:r>
    </w:p>
    <w:p w14:paraId="44DDD019" w14:textId="77777777" w:rsidR="00C84A9C" w:rsidRDefault="00C84A9C" w:rsidP="00441B6F">
      <w:pPr>
        <w:pStyle w:val="Head1"/>
        <w:spacing w:after="0"/>
        <w:jc w:val="both"/>
        <w:rPr>
          <w:rFonts w:ascii="Arial" w:hAnsi="Arial" w:cs="Arial"/>
        </w:rPr>
      </w:pPr>
    </w:p>
    <w:p w14:paraId="0C85312B" w14:textId="77777777" w:rsidR="00902823" w:rsidRDefault="00000F8F" w:rsidP="00441B6F">
      <w:pPr>
        <w:pStyle w:val="Head1"/>
        <w:spacing w:after="0"/>
        <w:jc w:val="both"/>
        <w:rPr>
          <w:rFonts w:ascii="Arial" w:hAnsi="Arial" w:cs="Arial"/>
        </w:rPr>
      </w:pPr>
      <w:r>
        <w:rPr>
          <w:rFonts w:ascii="Arial" w:hAnsi="Arial" w:cs="Arial"/>
        </w:rPr>
        <w:t xml:space="preserve">3. </w:t>
      </w:r>
      <w:r>
        <w:rPr>
          <w:rFonts w:ascii="Arial" w:hAnsi="Arial" w:cs="Arial"/>
          <w:highlight w:val="yellow"/>
        </w:rPr>
        <w:t>Results</w:t>
      </w:r>
      <w:r>
        <w:rPr>
          <w:rFonts w:ascii="Arial" w:hAnsi="Arial" w:cs="Arial"/>
        </w:rPr>
        <w:t xml:space="preserve"> and discussion</w:t>
      </w:r>
    </w:p>
    <w:p w14:paraId="6CBBE92E" w14:textId="77777777" w:rsidR="00C84A9C" w:rsidRDefault="00C84A9C" w:rsidP="004E7D15">
      <w:pPr>
        <w:tabs>
          <w:tab w:val="left" w:pos="90"/>
        </w:tabs>
        <w:spacing w:line="276" w:lineRule="auto"/>
        <w:jc w:val="both"/>
        <w:rPr>
          <w:rFonts w:ascii="Arial" w:hAnsi="Arial" w:cs="Arial"/>
          <w:b/>
        </w:rPr>
      </w:pPr>
    </w:p>
    <w:p w14:paraId="7FED6A24" w14:textId="77777777" w:rsidR="004E7D15" w:rsidRPr="005E7EFF" w:rsidRDefault="004E7D15" w:rsidP="004E7D15">
      <w:pPr>
        <w:tabs>
          <w:tab w:val="left" w:pos="90"/>
        </w:tabs>
        <w:spacing w:line="276" w:lineRule="auto"/>
        <w:jc w:val="both"/>
        <w:rPr>
          <w:rFonts w:ascii="Arial" w:hAnsi="Arial" w:cs="Arial"/>
          <w:b/>
        </w:rPr>
      </w:pPr>
      <w:r>
        <w:rPr>
          <w:rFonts w:ascii="Arial" w:hAnsi="Arial" w:cs="Arial"/>
          <w:b/>
        </w:rPr>
        <w:t xml:space="preserve">3. </w:t>
      </w:r>
      <w:r>
        <w:rPr>
          <w:rFonts w:ascii="Arial" w:hAnsi="Arial" w:cs="Arial"/>
          <w:b/>
          <w:highlight w:val="yellow"/>
        </w:rPr>
        <w:t>Results</w:t>
      </w:r>
    </w:p>
    <w:p w14:paraId="520DDE97" w14:textId="77777777" w:rsidR="004E7D15" w:rsidRPr="005E7EFF" w:rsidRDefault="004E7D15" w:rsidP="004E7D15">
      <w:pPr>
        <w:tabs>
          <w:tab w:val="left" w:pos="90"/>
        </w:tabs>
        <w:spacing w:line="276" w:lineRule="auto"/>
        <w:jc w:val="both"/>
        <w:rPr>
          <w:rFonts w:ascii="Arial" w:hAnsi="Arial" w:cs="Arial"/>
          <w:b/>
        </w:rPr>
      </w:pPr>
      <w:r w:rsidRPr="005E7EFF">
        <w:rPr>
          <w:rFonts w:ascii="Arial" w:hAnsi="Arial" w:cs="Arial"/>
          <w:b/>
        </w:rPr>
        <w:t xml:space="preserve">3.1. Oxidative stress </w:t>
      </w:r>
    </w:p>
    <w:p w14:paraId="792115E7" w14:textId="77777777" w:rsidR="004E7D15" w:rsidRPr="005E7EFF" w:rsidRDefault="004E7D15" w:rsidP="004E7D15">
      <w:pPr>
        <w:tabs>
          <w:tab w:val="left" w:pos="90"/>
        </w:tabs>
        <w:spacing w:line="276" w:lineRule="auto"/>
        <w:jc w:val="both"/>
        <w:rPr>
          <w:rFonts w:ascii="Arial" w:hAnsi="Arial" w:cs="Arial"/>
          <w:b/>
        </w:rPr>
      </w:pPr>
      <w:r w:rsidRPr="005E7EFF">
        <w:rPr>
          <w:rFonts w:ascii="Arial" w:hAnsi="Arial" w:cs="Arial"/>
          <w:b/>
        </w:rPr>
        <w:t>3.1.1. Lipid peroxidation</w:t>
      </w:r>
    </w:p>
    <w:p w14:paraId="055230F6" w14:textId="77777777" w:rsidR="004E7D15" w:rsidRDefault="004E7D15" w:rsidP="004E7D15">
      <w:pPr>
        <w:spacing w:line="276" w:lineRule="auto"/>
        <w:jc w:val="both"/>
        <w:rPr>
          <w:rFonts w:ascii="Arial" w:hAnsi="Arial" w:cs="Arial"/>
        </w:rPr>
      </w:pPr>
      <w:r>
        <w:rPr>
          <w:rFonts w:ascii="Arial" w:hAnsi="Arial" w:cs="Arial"/>
        </w:rPr>
        <w:t xml:space="preserve">We measured the malondialdehyde (MDA) equivalents in the duckweed species </w:t>
      </w:r>
      <w:r>
        <w:rPr>
          <w:rFonts w:ascii="Arial" w:hAnsi="Arial" w:cs="Arial"/>
          <w:i/>
        </w:rPr>
        <w:t xml:space="preserve">Lemna minor </w:t>
      </w:r>
      <w:r>
        <w:rPr>
          <w:rFonts w:ascii="Arial" w:hAnsi="Arial" w:cs="Arial"/>
        </w:rPr>
        <w:t xml:space="preserve">to determine the </w:t>
      </w:r>
      <w:r>
        <w:rPr>
          <w:rFonts w:ascii="Arial" w:hAnsi="Arial" w:cs="Arial"/>
          <w:highlight w:val="yellow"/>
        </w:rPr>
        <w:t>extent</w:t>
      </w:r>
      <w:r>
        <w:rPr>
          <w:rFonts w:ascii="Arial" w:hAnsi="Arial" w:cs="Arial"/>
        </w:rPr>
        <w:t xml:space="preserve"> of </w:t>
      </w:r>
      <w:r>
        <w:rPr>
          <w:rFonts w:ascii="Arial" w:hAnsi="Arial" w:cs="Arial"/>
          <w:highlight w:val="yellow"/>
        </w:rPr>
        <w:t>ROS-induced</w:t>
      </w:r>
      <w:r>
        <w:rPr>
          <w:rFonts w:ascii="Arial" w:hAnsi="Arial" w:cs="Arial"/>
        </w:rPr>
        <w:t xml:space="preserve"> lipid peroxidation. Duckweed was exposed to various concentrations of cadmium for 96 h (Figure (1A)). After 96 h </w:t>
      </w:r>
      <w:r>
        <w:rPr>
          <w:rFonts w:ascii="Arial" w:hAnsi="Arial" w:cs="Arial"/>
          <w:highlight w:val="yellow"/>
        </w:rPr>
        <w:t xml:space="preserve">of </w:t>
      </w:r>
      <w:r>
        <w:rPr>
          <w:rFonts w:ascii="Arial" w:hAnsi="Arial" w:cs="Arial"/>
        </w:rPr>
        <w:t xml:space="preserve">treatment, the MDA equivalent content in </w:t>
      </w:r>
      <w:r>
        <w:rPr>
          <w:rFonts w:ascii="Arial" w:hAnsi="Arial" w:cs="Arial"/>
          <w:i/>
        </w:rPr>
        <w:t>Lemna minor</w:t>
      </w:r>
      <w:r>
        <w:rPr>
          <w:rFonts w:ascii="Arial" w:hAnsi="Arial" w:cs="Arial"/>
        </w:rPr>
        <w:t xml:space="preserve"> increased with increasing cadmium </w:t>
      </w:r>
      <w:r>
        <w:rPr>
          <w:rFonts w:ascii="Arial" w:hAnsi="Arial" w:cs="Arial"/>
          <w:highlight w:val="yellow"/>
        </w:rPr>
        <w:t>concentration</w:t>
      </w:r>
      <w:r>
        <w:rPr>
          <w:rFonts w:ascii="Arial" w:hAnsi="Arial" w:cs="Arial"/>
        </w:rPr>
        <w:t xml:space="preserve">. </w:t>
      </w:r>
      <w:r>
        <w:rPr>
          <w:rFonts w:ascii="Arial" w:hAnsi="Arial" w:cs="Arial"/>
          <w:highlight w:val="yellow"/>
        </w:rPr>
        <w:t>The</w:t>
      </w:r>
      <w:r>
        <w:rPr>
          <w:rFonts w:ascii="Arial" w:hAnsi="Arial" w:cs="Arial"/>
        </w:rPr>
        <w:t xml:space="preserve"> MDA </w:t>
      </w:r>
      <w:r>
        <w:rPr>
          <w:rFonts w:ascii="Arial" w:hAnsi="Arial" w:cs="Arial"/>
          <w:highlight w:val="yellow"/>
        </w:rPr>
        <w:t>equivalent content</w:t>
      </w:r>
      <w:r>
        <w:rPr>
          <w:rFonts w:ascii="Arial" w:hAnsi="Arial" w:cs="Arial"/>
        </w:rPr>
        <w:t xml:space="preserve"> of </w:t>
      </w:r>
      <w:r>
        <w:rPr>
          <w:rFonts w:ascii="Arial" w:hAnsi="Arial" w:cs="Arial"/>
          <w:i/>
        </w:rPr>
        <w:t xml:space="preserve">Lemna minor </w:t>
      </w:r>
      <w:r>
        <w:rPr>
          <w:rFonts w:ascii="Arial" w:hAnsi="Arial" w:cs="Arial"/>
        </w:rPr>
        <w:t xml:space="preserve">increased by 42%, 67%, 79.17%, 100% and 121% in the presence of cadmium </w:t>
      </w:r>
      <w:r>
        <w:rPr>
          <w:rFonts w:ascii="Arial" w:hAnsi="Arial" w:cs="Arial"/>
          <w:highlight w:val="yellow"/>
        </w:rPr>
        <w:t>concentrations</w:t>
      </w:r>
      <w:r>
        <w:rPr>
          <w:rFonts w:ascii="Arial" w:hAnsi="Arial" w:cs="Arial"/>
        </w:rPr>
        <w:t xml:space="preserve"> of 0.1, 0.5, 1.0, 1.5 and 2 mg/L</w:t>
      </w:r>
      <w:r>
        <w:rPr>
          <w:rFonts w:ascii="Arial" w:hAnsi="Arial" w:cs="Arial"/>
          <w:highlight w:val="yellow"/>
        </w:rPr>
        <w:t>,</w:t>
      </w:r>
      <w:r>
        <w:rPr>
          <w:rFonts w:ascii="Arial" w:hAnsi="Arial" w:cs="Arial"/>
        </w:rPr>
        <w:t xml:space="preserve"> respectively. Figure</w:t>
      </w:r>
      <w:r>
        <w:rPr>
          <w:rFonts w:ascii="Arial" w:hAnsi="Arial" w:cs="Arial"/>
          <w:highlight w:val="yellow"/>
        </w:rPr>
        <w:t xml:space="preserve"> </w:t>
      </w:r>
      <w:r>
        <w:rPr>
          <w:rFonts w:ascii="Arial" w:hAnsi="Arial" w:cs="Arial"/>
        </w:rPr>
        <w:t xml:space="preserve">(1B) showed </w:t>
      </w:r>
      <w:r>
        <w:rPr>
          <w:rFonts w:ascii="Arial" w:hAnsi="Arial" w:cs="Arial"/>
          <w:highlight w:val="yellow"/>
        </w:rPr>
        <w:t>an</w:t>
      </w:r>
      <w:r>
        <w:rPr>
          <w:rFonts w:ascii="Arial" w:hAnsi="Arial" w:cs="Arial"/>
        </w:rPr>
        <w:t xml:space="preserve"> </w:t>
      </w:r>
      <w:r>
        <w:rPr>
          <w:rFonts w:ascii="Arial" w:hAnsi="Arial" w:cs="Arial"/>
          <w:highlight w:val="yellow"/>
        </w:rPr>
        <w:t>increase</w:t>
      </w:r>
      <w:r>
        <w:rPr>
          <w:rFonts w:ascii="Arial" w:hAnsi="Arial" w:cs="Arial"/>
        </w:rPr>
        <w:t xml:space="preserve"> in MDA equivalent content in </w:t>
      </w:r>
      <w:r>
        <w:rPr>
          <w:rFonts w:ascii="Arial" w:hAnsi="Arial" w:cs="Arial"/>
          <w:i/>
        </w:rPr>
        <w:t>Lemna minor</w:t>
      </w:r>
      <w:r>
        <w:rPr>
          <w:rFonts w:ascii="Arial" w:hAnsi="Arial" w:cs="Arial"/>
        </w:rPr>
        <w:t xml:space="preserve"> after 96 hours </w:t>
      </w:r>
      <w:r>
        <w:rPr>
          <w:rFonts w:ascii="Arial" w:hAnsi="Arial" w:cs="Arial"/>
          <w:highlight w:val="yellow"/>
        </w:rPr>
        <w:t xml:space="preserve">of </w:t>
      </w:r>
      <w:r>
        <w:rPr>
          <w:rFonts w:ascii="Arial" w:hAnsi="Arial" w:cs="Arial"/>
        </w:rPr>
        <w:t xml:space="preserve">exposure to the herbicide </w:t>
      </w:r>
      <w:r>
        <w:rPr>
          <w:rFonts w:ascii="Arial" w:hAnsi="Arial" w:cs="Arial"/>
          <w:highlight w:val="yellow"/>
        </w:rPr>
        <w:t>paraquat</w:t>
      </w:r>
      <w:r>
        <w:rPr>
          <w:rFonts w:ascii="Arial" w:hAnsi="Arial" w:cs="Arial"/>
        </w:rPr>
        <w:t xml:space="preserve"> dichloride (0 mg/L to 2.5 mg/L). The MDA </w:t>
      </w:r>
      <w:r>
        <w:rPr>
          <w:rFonts w:ascii="Arial" w:hAnsi="Arial" w:cs="Arial"/>
          <w:highlight w:val="yellow"/>
        </w:rPr>
        <w:t>equivalent content</w:t>
      </w:r>
      <w:r>
        <w:rPr>
          <w:rFonts w:ascii="Arial" w:hAnsi="Arial" w:cs="Arial"/>
        </w:rPr>
        <w:t xml:space="preserve"> in </w:t>
      </w:r>
      <w:r>
        <w:rPr>
          <w:rFonts w:ascii="Arial" w:hAnsi="Arial" w:cs="Arial"/>
          <w:i/>
        </w:rPr>
        <w:t>Lemna minor</w:t>
      </w:r>
      <w:r>
        <w:rPr>
          <w:rFonts w:ascii="Arial" w:hAnsi="Arial" w:cs="Arial"/>
        </w:rPr>
        <w:t xml:space="preserve"> increased by 28%, 96%, 175%, 196% and 200% at </w:t>
      </w:r>
      <w:r>
        <w:rPr>
          <w:rFonts w:ascii="Arial" w:hAnsi="Arial" w:cs="Arial"/>
          <w:highlight w:val="yellow"/>
        </w:rPr>
        <w:t>paraquat dichloride</w:t>
      </w:r>
      <w:r>
        <w:rPr>
          <w:rFonts w:ascii="Arial" w:hAnsi="Arial" w:cs="Arial"/>
        </w:rPr>
        <w:t xml:space="preserve"> concentrations of 0.</w:t>
      </w:r>
      <w:r>
        <w:rPr>
          <w:rFonts w:ascii="Arial" w:hAnsi="Arial" w:cs="Arial"/>
          <w:highlight w:val="yellow"/>
        </w:rPr>
        <w:t>5 mg</w:t>
      </w:r>
      <w:r>
        <w:rPr>
          <w:rFonts w:ascii="Arial" w:hAnsi="Arial" w:cs="Arial"/>
        </w:rPr>
        <w:t xml:space="preserve">/L, </w:t>
      </w:r>
      <w:r>
        <w:rPr>
          <w:rFonts w:ascii="Arial" w:hAnsi="Arial" w:cs="Arial"/>
          <w:highlight w:val="yellow"/>
        </w:rPr>
        <w:t>1 mg</w:t>
      </w:r>
      <w:r>
        <w:rPr>
          <w:rFonts w:ascii="Arial" w:hAnsi="Arial" w:cs="Arial"/>
        </w:rPr>
        <w:t>/L, 1.</w:t>
      </w:r>
      <w:r>
        <w:rPr>
          <w:rFonts w:ascii="Arial" w:hAnsi="Arial" w:cs="Arial"/>
          <w:highlight w:val="yellow"/>
        </w:rPr>
        <w:t>5 mg</w:t>
      </w:r>
      <w:r>
        <w:rPr>
          <w:rFonts w:ascii="Arial" w:hAnsi="Arial" w:cs="Arial"/>
        </w:rPr>
        <w:t>/L, 2 mg/</w:t>
      </w:r>
      <w:r>
        <w:rPr>
          <w:rFonts w:ascii="Arial" w:hAnsi="Arial" w:cs="Arial"/>
          <w:highlight w:val="yellow"/>
        </w:rPr>
        <w:t>L</w:t>
      </w:r>
      <w:r>
        <w:rPr>
          <w:rFonts w:ascii="Arial" w:hAnsi="Arial" w:cs="Arial"/>
        </w:rPr>
        <w:t xml:space="preserve"> and 2.5 mg/</w:t>
      </w:r>
      <w:r>
        <w:rPr>
          <w:rFonts w:ascii="Arial" w:hAnsi="Arial" w:cs="Arial"/>
          <w:highlight w:val="yellow"/>
        </w:rPr>
        <w:t>L</w:t>
      </w:r>
      <w:r>
        <w:rPr>
          <w:rFonts w:ascii="Arial" w:hAnsi="Arial" w:cs="Arial"/>
        </w:rPr>
        <w:t>, respectively.</w:t>
      </w:r>
    </w:p>
    <w:p w14:paraId="3D2D1287" w14:textId="77777777" w:rsidR="00B56E22" w:rsidRDefault="00B56E22" w:rsidP="004E7D15">
      <w:pPr>
        <w:spacing w:line="276" w:lineRule="auto"/>
        <w:jc w:val="both"/>
        <w:rPr>
          <w:rFonts w:ascii="Arial" w:hAnsi="Arial" w:cs="Arial"/>
        </w:rPr>
      </w:pPr>
    </w:p>
    <w:p w14:paraId="052C91A0" w14:textId="77777777" w:rsidR="00AF7765" w:rsidRDefault="00B56E22" w:rsidP="004E7D15">
      <w:pPr>
        <w:spacing w:line="276" w:lineRule="auto"/>
        <w:jc w:val="both"/>
        <w:rPr>
          <w:rFonts w:ascii="Arial" w:hAnsi="Arial" w:cs="Arial"/>
          <w:b/>
        </w:rPr>
      </w:pPr>
      <w:r w:rsidRPr="005E7EFF">
        <w:rPr>
          <w:rFonts w:ascii="Arial" w:hAnsi="Arial" w:cs="Arial"/>
          <w:noProof/>
          <w:sz w:val="24"/>
          <w:szCs w:val="24"/>
        </w:rPr>
        <w:drawing>
          <wp:anchor distT="0" distB="0" distL="114300" distR="114300" simplePos="0" relativeHeight="251660800" behindDoc="1" locked="0" layoutInCell="1" allowOverlap="1" wp14:anchorId="67333455" wp14:editId="003C0F86">
            <wp:simplePos x="0" y="0"/>
            <wp:positionH relativeFrom="column">
              <wp:posOffset>-25858</wp:posOffset>
            </wp:positionH>
            <wp:positionV relativeFrom="paragraph">
              <wp:posOffset>152400</wp:posOffset>
            </wp:positionV>
            <wp:extent cx="5119370" cy="1948815"/>
            <wp:effectExtent l="0" t="0" r="5080" b="0"/>
            <wp:wrapTight wrapText="bothSides">
              <wp:wrapPolygon edited="0">
                <wp:start x="0" y="0"/>
                <wp:lineTo x="0" y="21326"/>
                <wp:lineTo x="21541" y="21326"/>
                <wp:lineTo x="2154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5119370" cy="1948815"/>
                    </a:xfrm>
                    <a:prstGeom prst="rect">
                      <a:avLst/>
                    </a:prstGeom>
                    <a:noFill/>
                  </pic:spPr>
                </pic:pic>
              </a:graphicData>
            </a:graphic>
            <wp14:sizeRelH relativeFrom="margin">
              <wp14:pctWidth>0</wp14:pctWidth>
            </wp14:sizeRelH>
          </wp:anchor>
        </w:drawing>
      </w:r>
    </w:p>
    <w:p w14:paraId="19DB4CAB" w14:textId="77777777" w:rsidR="004E7D15" w:rsidRPr="005E7EFF" w:rsidRDefault="006658A9" w:rsidP="004E7D15">
      <w:pPr>
        <w:spacing w:line="276" w:lineRule="auto"/>
        <w:jc w:val="both"/>
        <w:rPr>
          <w:rFonts w:ascii="Arial" w:hAnsi="Arial" w:cs="Arial"/>
        </w:rPr>
      </w:pPr>
      <w:r>
        <w:rPr>
          <w:rFonts w:ascii="Arial" w:hAnsi="Arial" w:cs="Arial"/>
          <w:b/>
          <w:noProof/>
          <w:lang w:val="en-IN"/>
        </w:rPr>
        <w:lastRenderedPageBreak/>
        <mc:AlternateContent>
          <mc:Choice Requires="wps">
            <w:drawing>
              <wp:anchor distT="0" distB="0" distL="114300" distR="114300" simplePos="0" relativeHeight="251657728" behindDoc="0" locked="0" layoutInCell="1" allowOverlap="1" wp14:anchorId="05C79549" wp14:editId="09558588">
                <wp:simplePos x="0" y="0"/>
                <wp:positionH relativeFrom="column">
                  <wp:posOffset>3270250</wp:posOffset>
                </wp:positionH>
                <wp:positionV relativeFrom="paragraph">
                  <wp:posOffset>2999740</wp:posOffset>
                </wp:positionV>
                <wp:extent cx="260350" cy="260350"/>
                <wp:effectExtent l="0" t="0" r="0" b="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0350" cy="260350"/>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59B1B925" w14:textId="77777777" w:rsidR="002A3990" w:rsidRPr="00517CD0" w:rsidRDefault="002A3990" w:rsidP="004E7D15">
                            <w:pPr>
                              <w:jc w:val="cente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5C79549" id="Rectangle 16" o:spid="_x0000_s1026" style="position:absolute;left:0;text-align:left;margin-left:257.5pt;margin-top:236.2pt;width:20.5pt;height:2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" filled="f" stroked="f" strokeweight="2pt">
                <v:textbox>
                  <w:txbxContent>
                    <w:p w14:paraId="59B1B925" w14:textId="77777777" w:rsidR="002A3990" w:rsidRPr="00517CD0" w:rsidRDefault="002A3990" w:rsidP="004E7D15">
                      <w:pPr>
                        <w:jc w:val="center"/>
                        <w:rPr>
                          <w:b/>
                        </w:rPr>
                      </w:pPr>
                    </w:p>
                  </w:txbxContent>
                </v:textbox>
              </v:rect>
            </w:pict>
          </mc:Fallback>
        </mc:AlternateContent>
      </w:r>
      <w:r w:rsidR="004E7D15" w:rsidRPr="005E7EFF">
        <w:rPr>
          <w:rFonts w:ascii="Arial" w:hAnsi="Arial" w:cs="Arial"/>
          <w:b/>
        </w:rPr>
        <w:t xml:space="preserve">Figure. 1 </w:t>
      </w:r>
      <w:r w:rsidR="004E7D15" w:rsidRPr="005E7EFF">
        <w:rPr>
          <w:rFonts w:ascii="Arial" w:hAnsi="Arial" w:cs="Arial"/>
        </w:rPr>
        <w:t>Malondialdehyde (MDA) Activity</w:t>
      </w:r>
      <w:r w:rsidR="003244F3">
        <w:rPr>
          <w:rFonts w:ascii="Arial" w:hAnsi="Arial" w:cs="Arial"/>
        </w:rPr>
        <w:t xml:space="preserve"> (</w:t>
      </w:r>
      <w:r w:rsidR="003244F3" w:rsidRPr="005E7EFF">
        <w:rPr>
          <w:rFonts w:ascii="Arial" w:hAnsi="Arial" w:cs="Arial"/>
          <w:bCs/>
        </w:rPr>
        <w:t>nmol/gm FW (Fresh weight) after 4</w:t>
      </w:r>
      <w:r w:rsidR="003244F3" w:rsidRPr="005E7EFF">
        <w:rPr>
          <w:rFonts w:ascii="Arial" w:hAnsi="Arial" w:cs="Arial"/>
          <w:bCs/>
          <w:vertAlign w:val="superscript"/>
        </w:rPr>
        <w:t>th</w:t>
      </w:r>
      <w:r w:rsidR="003244F3" w:rsidRPr="005E7EFF">
        <w:rPr>
          <w:rFonts w:ascii="Arial" w:hAnsi="Arial" w:cs="Arial"/>
          <w:bCs/>
        </w:rPr>
        <w:t xml:space="preserve"> day of treatment</w:t>
      </w:r>
      <w:r w:rsidR="003244F3">
        <w:rPr>
          <w:rFonts w:ascii="Arial" w:hAnsi="Arial" w:cs="Arial"/>
          <w:bCs/>
        </w:rPr>
        <w:t>)</w:t>
      </w:r>
      <w:r w:rsidR="004E7D15" w:rsidRPr="005E7EFF">
        <w:rPr>
          <w:rFonts w:ascii="Arial" w:hAnsi="Arial" w:cs="Arial"/>
        </w:rPr>
        <w:t xml:space="preserve"> in </w:t>
      </w:r>
      <w:r w:rsidR="004E7D15" w:rsidRPr="005E7EFF">
        <w:rPr>
          <w:rFonts w:ascii="Arial" w:hAnsi="Arial" w:cs="Arial"/>
          <w:i/>
        </w:rPr>
        <w:t>Lemna minor</w:t>
      </w:r>
      <w:r w:rsidR="004E7D15" w:rsidRPr="005E7EFF">
        <w:rPr>
          <w:rFonts w:ascii="Arial" w:hAnsi="Arial" w:cs="Arial"/>
        </w:rPr>
        <w:t xml:space="preserve"> </w:t>
      </w:r>
      <w:r w:rsidR="00AF7765">
        <w:rPr>
          <w:rFonts w:ascii="Arial" w:hAnsi="Arial" w:cs="Arial"/>
        </w:rPr>
        <w:t>(A)</w:t>
      </w:r>
      <w:r w:rsidR="00AF7765" w:rsidRPr="005E7EFF">
        <w:rPr>
          <w:rFonts w:ascii="Arial" w:hAnsi="Arial" w:cs="Arial"/>
        </w:rPr>
        <w:t xml:space="preserve"> </w:t>
      </w:r>
      <w:r w:rsidR="004E7D15" w:rsidRPr="005E7EFF">
        <w:rPr>
          <w:rFonts w:ascii="Arial" w:hAnsi="Arial" w:cs="Arial"/>
        </w:rPr>
        <w:t xml:space="preserve">cadmium </w:t>
      </w:r>
      <w:r w:rsidR="003244F3">
        <w:rPr>
          <w:rFonts w:ascii="Arial" w:hAnsi="Arial" w:cs="Arial"/>
        </w:rPr>
        <w:t>(</w:t>
      </w:r>
      <w:r w:rsidR="00002CE4">
        <w:rPr>
          <w:rFonts w:ascii="Arial" w:hAnsi="Arial" w:cs="Arial"/>
        </w:rPr>
        <w:t xml:space="preserve">Tukey HSD </w:t>
      </w:r>
      <w:r w:rsidR="00AF7765">
        <w:rPr>
          <w:rFonts w:ascii="Arial" w:hAnsi="Arial" w:cs="Arial"/>
        </w:rPr>
        <w:t>p value for</w:t>
      </w:r>
      <w:r w:rsidR="00192CE6">
        <w:rPr>
          <w:rFonts w:ascii="Arial" w:hAnsi="Arial" w:cs="Arial"/>
        </w:rPr>
        <w:t xml:space="preserve"> </w:t>
      </w:r>
      <w:r w:rsidR="000D1C38">
        <w:rPr>
          <w:rFonts w:ascii="Arial" w:hAnsi="Arial" w:cs="Arial"/>
        </w:rPr>
        <w:t>non-</w:t>
      </w:r>
      <w:r w:rsidR="00192CE6">
        <w:rPr>
          <w:rFonts w:ascii="Arial" w:hAnsi="Arial" w:cs="Arial"/>
        </w:rPr>
        <w:t>homogenous group</w:t>
      </w:r>
      <w:r w:rsidR="00AF7765">
        <w:rPr>
          <w:rFonts w:ascii="Arial" w:hAnsi="Arial" w:cs="Arial"/>
        </w:rPr>
        <w:t xml:space="preserve"> </w:t>
      </w:r>
      <w:r w:rsidR="003244F3">
        <w:rPr>
          <w:rFonts w:ascii="Arial" w:hAnsi="Arial" w:cs="Arial"/>
        </w:rPr>
        <w:t>a = 0.138, b = 0.238, c = 0.589, and d = 0.056</w:t>
      </w:r>
      <w:r w:rsidR="00192CE6">
        <w:rPr>
          <w:rFonts w:ascii="Arial" w:hAnsi="Arial" w:cs="Arial"/>
        </w:rPr>
        <w:t xml:space="preserve"> whereas e</w:t>
      </w:r>
      <w:r w:rsidR="000D1C38">
        <w:rPr>
          <w:rFonts w:ascii="Arial" w:hAnsi="Arial" w:cs="Arial"/>
        </w:rPr>
        <w:t xml:space="preserve"> &lt; 0.05 represent homogenous group</w:t>
      </w:r>
      <w:r w:rsidR="003244F3">
        <w:rPr>
          <w:rFonts w:ascii="Arial" w:hAnsi="Arial" w:cs="Arial"/>
        </w:rPr>
        <w:t>) (B)</w:t>
      </w:r>
      <w:r w:rsidR="004E7D15" w:rsidRPr="005E7EFF">
        <w:rPr>
          <w:rFonts w:ascii="Arial" w:hAnsi="Arial" w:cs="Arial"/>
          <w:bCs/>
        </w:rPr>
        <w:t xml:space="preserve"> </w:t>
      </w:r>
      <w:r w:rsidR="004E7D15" w:rsidRPr="005E7EFF">
        <w:rPr>
          <w:rFonts w:ascii="Arial" w:hAnsi="Arial" w:cs="Arial"/>
        </w:rPr>
        <w:t xml:space="preserve">paraquat dichloride </w:t>
      </w:r>
      <w:r w:rsidR="003244F3">
        <w:rPr>
          <w:rFonts w:ascii="Arial" w:hAnsi="Arial" w:cs="Arial"/>
        </w:rPr>
        <w:t>(</w:t>
      </w:r>
      <w:r w:rsidR="00002CE4">
        <w:rPr>
          <w:rFonts w:ascii="Arial" w:hAnsi="Arial" w:cs="Arial"/>
        </w:rPr>
        <w:t xml:space="preserve">Tukey HSD </w:t>
      </w:r>
      <w:r w:rsidR="003244F3">
        <w:rPr>
          <w:rFonts w:ascii="Arial" w:hAnsi="Arial" w:cs="Arial"/>
        </w:rPr>
        <w:t>p value for</w:t>
      </w:r>
      <w:r w:rsidR="000D1C38">
        <w:rPr>
          <w:rFonts w:ascii="Arial" w:hAnsi="Arial" w:cs="Arial"/>
        </w:rPr>
        <w:t xml:space="preserve"> non-homogenous group</w:t>
      </w:r>
      <w:r w:rsidR="003244F3">
        <w:rPr>
          <w:rFonts w:ascii="Arial" w:hAnsi="Arial" w:cs="Arial"/>
        </w:rPr>
        <w:t xml:space="preserve"> a = 0.679, and c = 0.538</w:t>
      </w:r>
      <w:r w:rsidR="000D1C38">
        <w:rPr>
          <w:rFonts w:ascii="Arial" w:hAnsi="Arial" w:cs="Arial"/>
        </w:rPr>
        <w:t xml:space="preserve"> whereas b &lt; 0.05 represent homogenous group</w:t>
      </w:r>
      <w:r w:rsidR="003244F3">
        <w:rPr>
          <w:rFonts w:ascii="Arial" w:hAnsi="Arial" w:cs="Arial"/>
        </w:rPr>
        <w:t>).</w:t>
      </w:r>
      <w:r w:rsidR="00F3101E" w:rsidRPr="00F3101E">
        <w:t xml:space="preserve"> </w:t>
      </w:r>
      <w:r w:rsidR="00F3101E" w:rsidRPr="00F3101E">
        <w:rPr>
          <w:rFonts w:ascii="Arial" w:hAnsi="Arial" w:cs="Arial"/>
          <w:bCs/>
        </w:rPr>
        <w:t>Data are means ± SE.</w:t>
      </w:r>
    </w:p>
    <w:p w14:paraId="0D18EFAD" w14:textId="77777777" w:rsidR="004E7D15" w:rsidRPr="005E7EFF" w:rsidRDefault="004E7D15" w:rsidP="004E7D15">
      <w:pPr>
        <w:spacing w:line="276" w:lineRule="auto"/>
        <w:jc w:val="both"/>
        <w:rPr>
          <w:rFonts w:ascii="Arial" w:hAnsi="Arial" w:cs="Arial"/>
        </w:rPr>
      </w:pPr>
    </w:p>
    <w:p w14:paraId="10AF7221" w14:textId="77777777" w:rsidR="004E7D15" w:rsidRPr="005E7EFF" w:rsidRDefault="004E7D15" w:rsidP="004E7D15">
      <w:pPr>
        <w:spacing w:line="276" w:lineRule="auto"/>
        <w:jc w:val="both"/>
        <w:rPr>
          <w:rFonts w:ascii="Arial" w:hAnsi="Arial" w:cs="Arial"/>
          <w:b/>
        </w:rPr>
      </w:pPr>
      <w:r w:rsidRPr="005E7EFF">
        <w:rPr>
          <w:rFonts w:ascii="Arial" w:hAnsi="Arial" w:cs="Arial"/>
          <w:b/>
        </w:rPr>
        <w:t>3.2.</w:t>
      </w:r>
      <w:r>
        <w:rPr>
          <w:rFonts w:ascii="Arial" w:hAnsi="Arial" w:cs="Arial"/>
          <w:b/>
        </w:rPr>
        <w:t xml:space="preserve"> </w:t>
      </w:r>
      <w:r w:rsidRPr="005E7EFF">
        <w:rPr>
          <w:rFonts w:ascii="Arial" w:hAnsi="Arial" w:cs="Arial"/>
          <w:b/>
        </w:rPr>
        <w:t xml:space="preserve">Antioxidant activity </w:t>
      </w:r>
    </w:p>
    <w:p w14:paraId="35BA0AE5" w14:textId="77777777" w:rsidR="004E7D15" w:rsidRPr="005E7EFF" w:rsidRDefault="004E7D15" w:rsidP="004E7D15">
      <w:pPr>
        <w:spacing w:line="276" w:lineRule="auto"/>
        <w:jc w:val="both"/>
        <w:rPr>
          <w:rFonts w:ascii="Arial" w:hAnsi="Arial" w:cs="Arial"/>
          <w:b/>
        </w:rPr>
      </w:pPr>
    </w:p>
    <w:p w14:paraId="3D40C1CB" w14:textId="77777777" w:rsidR="004E7D15" w:rsidRPr="005E7EFF" w:rsidRDefault="004E7D15" w:rsidP="004E7D15">
      <w:pPr>
        <w:spacing w:line="276" w:lineRule="auto"/>
        <w:jc w:val="both"/>
        <w:rPr>
          <w:rFonts w:ascii="Arial" w:hAnsi="Arial" w:cs="Arial"/>
        </w:rPr>
      </w:pPr>
      <w:r w:rsidRPr="005E7EFF">
        <w:rPr>
          <w:rFonts w:ascii="Arial" w:hAnsi="Arial" w:cs="Arial"/>
          <w:b/>
        </w:rPr>
        <w:t>3.2.1.</w:t>
      </w:r>
      <w:r>
        <w:rPr>
          <w:rFonts w:ascii="Arial" w:hAnsi="Arial" w:cs="Arial"/>
          <w:b/>
        </w:rPr>
        <w:t xml:space="preserve"> </w:t>
      </w:r>
      <w:r w:rsidRPr="005E7EFF">
        <w:rPr>
          <w:rFonts w:ascii="Arial" w:hAnsi="Arial" w:cs="Arial"/>
          <w:b/>
        </w:rPr>
        <w:t>Superoxide dismutase (SOD) activity</w:t>
      </w:r>
    </w:p>
    <w:p w14:paraId="785750F9" w14:textId="77777777" w:rsidR="004E7D15" w:rsidRPr="005E7EFF" w:rsidRDefault="004E7D15" w:rsidP="004E7D15">
      <w:pPr>
        <w:spacing w:line="276" w:lineRule="auto"/>
        <w:jc w:val="both"/>
        <w:rPr>
          <w:rFonts w:ascii="Arial" w:hAnsi="Arial" w:cs="Arial"/>
          <w:sz w:val="24"/>
          <w:szCs w:val="24"/>
        </w:rPr>
      </w:pPr>
      <w:r>
        <w:rPr>
          <w:rFonts w:ascii="Arial" w:hAnsi="Arial" w:cs="Arial"/>
        </w:rPr>
        <w:t xml:space="preserve">Figure (2A) shows the results of the SOD activity </w:t>
      </w:r>
      <w:r>
        <w:rPr>
          <w:rFonts w:ascii="Arial" w:hAnsi="Arial" w:cs="Arial"/>
          <w:highlight w:val="yellow"/>
        </w:rPr>
        <w:t>assay</w:t>
      </w:r>
      <w:r>
        <w:rPr>
          <w:rFonts w:ascii="Arial" w:hAnsi="Arial" w:cs="Arial"/>
        </w:rPr>
        <w:t xml:space="preserve"> </w:t>
      </w:r>
      <w:r>
        <w:rPr>
          <w:rFonts w:ascii="Arial" w:hAnsi="Arial" w:cs="Arial"/>
          <w:highlight w:val="yellow"/>
        </w:rPr>
        <w:t>in</w:t>
      </w:r>
      <w:r>
        <w:rPr>
          <w:rFonts w:ascii="Arial" w:hAnsi="Arial" w:cs="Arial"/>
        </w:rPr>
        <w:t xml:space="preserve"> the duckweed species </w:t>
      </w:r>
      <w:r>
        <w:rPr>
          <w:rFonts w:ascii="Arial" w:hAnsi="Arial" w:cs="Arial"/>
          <w:i/>
        </w:rPr>
        <w:t>Lemna minor</w:t>
      </w:r>
      <w:r>
        <w:rPr>
          <w:rFonts w:ascii="Arial" w:hAnsi="Arial" w:cs="Arial"/>
        </w:rPr>
        <w:t xml:space="preserve"> after 96 hours of exposure to different </w:t>
      </w:r>
      <w:r>
        <w:rPr>
          <w:rFonts w:ascii="Arial" w:hAnsi="Arial" w:cs="Arial"/>
          <w:highlight w:val="yellow"/>
        </w:rPr>
        <w:t>cadmium</w:t>
      </w:r>
      <w:r>
        <w:rPr>
          <w:rFonts w:ascii="Arial" w:hAnsi="Arial" w:cs="Arial"/>
        </w:rPr>
        <w:t xml:space="preserve"> </w:t>
      </w:r>
      <w:r>
        <w:rPr>
          <w:rFonts w:ascii="Arial" w:hAnsi="Arial" w:cs="Arial"/>
          <w:highlight w:val="yellow"/>
        </w:rPr>
        <w:t>concentrations</w:t>
      </w:r>
      <w:r>
        <w:rPr>
          <w:rFonts w:ascii="Arial" w:hAnsi="Arial" w:cs="Arial"/>
        </w:rPr>
        <w:t xml:space="preserve">. SOD activity in </w:t>
      </w:r>
      <w:r>
        <w:rPr>
          <w:rFonts w:ascii="Arial" w:hAnsi="Arial" w:cs="Arial"/>
          <w:i/>
        </w:rPr>
        <w:t>Lemna minor</w:t>
      </w:r>
      <w:r>
        <w:rPr>
          <w:rFonts w:ascii="Arial" w:hAnsi="Arial" w:cs="Arial"/>
        </w:rPr>
        <w:t xml:space="preserve"> </w:t>
      </w:r>
      <w:r>
        <w:rPr>
          <w:rFonts w:ascii="Arial" w:hAnsi="Arial" w:cs="Arial"/>
          <w:highlight w:val="yellow"/>
        </w:rPr>
        <w:t>increased</w:t>
      </w:r>
      <w:r>
        <w:rPr>
          <w:rFonts w:ascii="Arial" w:hAnsi="Arial" w:cs="Arial"/>
        </w:rPr>
        <w:t xml:space="preserve"> by 45%, 53%, 60%, 68% and 80% at cadmium (Cd) </w:t>
      </w:r>
      <w:r>
        <w:rPr>
          <w:rFonts w:ascii="Arial" w:hAnsi="Arial" w:cs="Arial"/>
          <w:highlight w:val="yellow"/>
        </w:rPr>
        <w:t>concentrations</w:t>
      </w:r>
      <w:r>
        <w:rPr>
          <w:rFonts w:ascii="Arial" w:hAnsi="Arial" w:cs="Arial"/>
        </w:rPr>
        <w:t xml:space="preserve"> of 0.1, 0.5, 1, 1.5 and 2 mg/L, respectively, within the 0 to 2 mg/L range. After 96 hours of treatment with different </w:t>
      </w:r>
      <w:r>
        <w:rPr>
          <w:rFonts w:ascii="Arial" w:hAnsi="Arial" w:cs="Arial"/>
          <w:highlight w:val="yellow"/>
        </w:rPr>
        <w:t>concentrations</w:t>
      </w:r>
      <w:r>
        <w:rPr>
          <w:rFonts w:ascii="Arial" w:hAnsi="Arial" w:cs="Arial"/>
        </w:rPr>
        <w:t xml:space="preserve"> of the herbicide </w:t>
      </w:r>
      <w:r>
        <w:rPr>
          <w:rFonts w:ascii="Arial" w:hAnsi="Arial" w:cs="Arial"/>
          <w:highlight w:val="yellow"/>
        </w:rPr>
        <w:t>paraquat</w:t>
      </w:r>
      <w:r>
        <w:rPr>
          <w:rFonts w:ascii="Arial" w:hAnsi="Arial" w:cs="Arial"/>
        </w:rPr>
        <w:t xml:space="preserve"> dichloride, </w:t>
      </w:r>
      <w:r>
        <w:rPr>
          <w:rFonts w:ascii="Arial" w:hAnsi="Arial" w:cs="Arial"/>
          <w:i/>
        </w:rPr>
        <w:t>Lemna minor</w:t>
      </w:r>
      <w:r>
        <w:rPr>
          <w:rFonts w:ascii="Arial" w:hAnsi="Arial" w:cs="Arial"/>
        </w:rPr>
        <w:t xml:space="preserve"> </w:t>
      </w:r>
      <w:r>
        <w:rPr>
          <w:rFonts w:ascii="Arial" w:hAnsi="Arial" w:cs="Arial"/>
          <w:highlight w:val="yellow"/>
        </w:rPr>
        <w:t>showed</w:t>
      </w:r>
      <w:r>
        <w:rPr>
          <w:rFonts w:ascii="Arial" w:hAnsi="Arial" w:cs="Arial"/>
        </w:rPr>
        <w:t xml:space="preserve"> higher SOD activity, as shown in Figure (2B). At </w:t>
      </w:r>
      <w:r>
        <w:rPr>
          <w:rFonts w:ascii="Arial" w:hAnsi="Arial" w:cs="Arial"/>
          <w:highlight w:val="yellow"/>
        </w:rPr>
        <w:t>paraquat</w:t>
      </w:r>
      <w:r>
        <w:rPr>
          <w:rFonts w:ascii="Arial" w:hAnsi="Arial" w:cs="Arial"/>
        </w:rPr>
        <w:t xml:space="preserve"> dichloride concentrations of 0.5, 1, 1.5, 2 and 2.5 mg/L, SOD activity in </w:t>
      </w:r>
      <w:r>
        <w:rPr>
          <w:rFonts w:ascii="Arial" w:hAnsi="Arial" w:cs="Arial"/>
          <w:i/>
        </w:rPr>
        <w:t>Lemna minor</w:t>
      </w:r>
      <w:r>
        <w:rPr>
          <w:rFonts w:ascii="Arial" w:hAnsi="Arial" w:cs="Arial"/>
        </w:rPr>
        <w:t xml:space="preserve"> </w:t>
      </w:r>
      <w:r>
        <w:rPr>
          <w:rFonts w:ascii="Arial" w:hAnsi="Arial" w:cs="Arial"/>
          <w:highlight w:val="yellow"/>
        </w:rPr>
        <w:t>increased</w:t>
      </w:r>
      <w:r>
        <w:rPr>
          <w:rFonts w:ascii="Arial" w:hAnsi="Arial" w:cs="Arial"/>
        </w:rPr>
        <w:t xml:space="preserve"> by 4%, 8%, 35%, 31.25% and 47%, respectively</w:t>
      </w:r>
      <w:r>
        <w:rPr>
          <w:rFonts w:ascii="Arial" w:hAnsi="Arial" w:cs="Arial"/>
          <w:sz w:val="24"/>
          <w:szCs w:val="24"/>
        </w:rPr>
        <w:t>.</w:t>
      </w:r>
    </w:p>
    <w:p w14:paraId="48CA648E" w14:textId="77777777" w:rsidR="004E7D15" w:rsidRPr="005E7EFF" w:rsidRDefault="004E7D15" w:rsidP="004E7D15">
      <w:pPr>
        <w:tabs>
          <w:tab w:val="left" w:pos="90"/>
        </w:tabs>
        <w:spacing w:line="276" w:lineRule="auto"/>
        <w:jc w:val="both"/>
        <w:rPr>
          <w:rFonts w:ascii="Arial" w:hAnsi="Arial" w:cs="Arial"/>
          <w:b/>
          <w:sz w:val="24"/>
          <w:szCs w:val="24"/>
        </w:rPr>
      </w:pPr>
    </w:p>
    <w:p w14:paraId="17807E6B" w14:textId="77777777" w:rsidR="004E7D15" w:rsidRPr="005E7EFF" w:rsidRDefault="004E7D15" w:rsidP="004E7D15">
      <w:pPr>
        <w:tabs>
          <w:tab w:val="left" w:pos="90"/>
        </w:tabs>
        <w:spacing w:line="276" w:lineRule="auto"/>
        <w:jc w:val="both"/>
        <w:rPr>
          <w:rFonts w:ascii="Arial" w:hAnsi="Arial" w:cs="Arial"/>
          <w:b/>
          <w:sz w:val="24"/>
          <w:szCs w:val="24"/>
        </w:rPr>
      </w:pPr>
    </w:p>
    <w:p w14:paraId="377E98C0" w14:textId="77777777" w:rsidR="004E7D15" w:rsidRPr="00D779CE" w:rsidRDefault="004E7D15" w:rsidP="00D779CE">
      <w:pPr>
        <w:tabs>
          <w:tab w:val="left" w:pos="90"/>
        </w:tabs>
        <w:spacing w:line="276" w:lineRule="auto"/>
        <w:jc w:val="both"/>
        <w:rPr>
          <w:rFonts w:ascii="Arial" w:hAnsi="Arial" w:cs="Arial"/>
          <w:b/>
          <w:sz w:val="24"/>
          <w:szCs w:val="24"/>
        </w:rPr>
      </w:pPr>
    </w:p>
    <w:p w14:paraId="0EB6DB57" w14:textId="77777777" w:rsidR="004E7D15" w:rsidRPr="005E7EFF" w:rsidRDefault="000D1C38" w:rsidP="004E7D15">
      <w:pPr>
        <w:tabs>
          <w:tab w:val="left" w:pos="90"/>
        </w:tabs>
        <w:spacing w:line="276" w:lineRule="auto"/>
        <w:jc w:val="both"/>
        <w:rPr>
          <w:rFonts w:ascii="Arial" w:hAnsi="Arial" w:cs="Arial"/>
          <w:b/>
          <w:sz w:val="24"/>
          <w:szCs w:val="24"/>
        </w:rPr>
      </w:pPr>
      <w:r w:rsidRPr="005E7EFF">
        <w:rPr>
          <w:rFonts w:ascii="Arial" w:hAnsi="Arial" w:cs="Arial"/>
          <w:b/>
          <w:noProof/>
          <w:sz w:val="24"/>
          <w:szCs w:val="24"/>
        </w:rPr>
        <w:drawing>
          <wp:anchor distT="0" distB="0" distL="114300" distR="114300" simplePos="0" relativeHeight="251659776" behindDoc="1" locked="0" layoutInCell="1" allowOverlap="1" wp14:anchorId="6201C2FC" wp14:editId="68A627A4">
            <wp:simplePos x="0" y="0"/>
            <wp:positionH relativeFrom="column">
              <wp:posOffset>-86360</wp:posOffset>
            </wp:positionH>
            <wp:positionV relativeFrom="paragraph">
              <wp:posOffset>0</wp:posOffset>
            </wp:positionV>
            <wp:extent cx="5468620" cy="2086610"/>
            <wp:effectExtent l="0" t="0" r="0" b="8890"/>
            <wp:wrapTight wrapText="bothSides">
              <wp:wrapPolygon edited="0">
                <wp:start x="0" y="0"/>
                <wp:lineTo x="0" y="21495"/>
                <wp:lineTo x="21520" y="21495"/>
                <wp:lineTo x="2152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5468620" cy="2086610"/>
                    </a:xfrm>
                    <a:prstGeom prst="rect">
                      <a:avLst/>
                    </a:prstGeom>
                    <a:noFill/>
                  </pic:spPr>
                </pic:pic>
              </a:graphicData>
            </a:graphic>
            <wp14:sizeRelV relativeFrom="margin">
              <wp14:pctHeight>0</wp14:pctHeight>
            </wp14:sizeRelV>
          </wp:anchor>
        </w:drawing>
      </w:r>
    </w:p>
    <w:p w14:paraId="18094710" w14:textId="77777777" w:rsidR="000D1C38" w:rsidRDefault="000D1C38" w:rsidP="004E7D15">
      <w:pPr>
        <w:tabs>
          <w:tab w:val="left" w:pos="90"/>
        </w:tabs>
        <w:spacing w:line="276" w:lineRule="auto"/>
        <w:jc w:val="both"/>
        <w:rPr>
          <w:rFonts w:ascii="Arial" w:hAnsi="Arial" w:cs="Arial"/>
          <w:bCs/>
        </w:rPr>
      </w:pPr>
      <w:r w:rsidRPr="005E7EFF">
        <w:rPr>
          <w:rFonts w:ascii="Arial" w:hAnsi="Arial" w:cs="Arial"/>
          <w:b/>
        </w:rPr>
        <w:t>Figure. 2</w:t>
      </w:r>
      <w:r w:rsidRPr="005E7EFF">
        <w:rPr>
          <w:rFonts w:ascii="Arial" w:hAnsi="Arial" w:cs="Arial"/>
        </w:rPr>
        <w:t xml:space="preserve"> Superoxide dismutase (SOD) Activity</w:t>
      </w:r>
      <w:r>
        <w:rPr>
          <w:rFonts w:ascii="Arial" w:hAnsi="Arial" w:cs="Arial"/>
        </w:rPr>
        <w:t xml:space="preserve"> (</w:t>
      </w:r>
      <w:r w:rsidRPr="005E7EFF">
        <w:rPr>
          <w:rFonts w:ascii="Arial" w:hAnsi="Arial" w:cs="Arial"/>
          <w:bCs/>
        </w:rPr>
        <w:t xml:space="preserve">units/mg FW (fresh weight </w:t>
      </w:r>
      <w:r w:rsidRPr="005E7EFF">
        <w:rPr>
          <w:rFonts w:ascii="Arial" w:hAnsi="Arial" w:cs="Arial"/>
        </w:rPr>
        <w:t>after 4</w:t>
      </w:r>
      <w:r w:rsidRPr="005E7EFF">
        <w:rPr>
          <w:rFonts w:ascii="Arial" w:hAnsi="Arial" w:cs="Arial"/>
          <w:vertAlign w:val="superscript"/>
        </w:rPr>
        <w:t>th</w:t>
      </w:r>
      <w:r w:rsidRPr="005E7EFF">
        <w:rPr>
          <w:rFonts w:ascii="Arial" w:hAnsi="Arial" w:cs="Arial"/>
        </w:rPr>
        <w:t xml:space="preserve"> day of treatment</w:t>
      </w:r>
      <w:r>
        <w:rPr>
          <w:rFonts w:ascii="Arial" w:hAnsi="Arial" w:cs="Arial"/>
        </w:rPr>
        <w:t>)</w:t>
      </w:r>
      <w:r w:rsidRPr="005E7EFF">
        <w:rPr>
          <w:rFonts w:ascii="Arial" w:hAnsi="Arial" w:cs="Arial"/>
        </w:rPr>
        <w:t xml:space="preserve"> in </w:t>
      </w:r>
      <w:r w:rsidRPr="005E7EFF">
        <w:rPr>
          <w:rFonts w:ascii="Arial" w:hAnsi="Arial" w:cs="Arial"/>
          <w:i/>
        </w:rPr>
        <w:t>Lemna minor</w:t>
      </w:r>
      <w:r w:rsidRPr="005E7EFF">
        <w:rPr>
          <w:rFonts w:ascii="Arial" w:hAnsi="Arial" w:cs="Arial"/>
        </w:rPr>
        <w:t xml:space="preserve"> </w:t>
      </w:r>
      <w:r>
        <w:rPr>
          <w:rFonts w:ascii="Arial" w:hAnsi="Arial" w:cs="Arial"/>
        </w:rPr>
        <w:t>(A)</w:t>
      </w:r>
      <w:r w:rsidRPr="005E7EFF">
        <w:rPr>
          <w:rFonts w:ascii="Arial" w:hAnsi="Arial" w:cs="Arial"/>
        </w:rPr>
        <w:t xml:space="preserve"> cadmium </w:t>
      </w:r>
      <w:r>
        <w:rPr>
          <w:rFonts w:ascii="Arial" w:hAnsi="Arial" w:cs="Arial"/>
        </w:rPr>
        <w:t>(Tukey HSD p value for non-homogenous group b = 0.266, c = 0.143, and d = 0.141 whereas a and e = &lt;0.05 represent homogenous group</w:t>
      </w:r>
      <w:r w:rsidR="00A443A5">
        <w:rPr>
          <w:rFonts w:ascii="Arial" w:hAnsi="Arial" w:cs="Arial"/>
        </w:rPr>
        <w:t>s</w:t>
      </w:r>
      <w:r>
        <w:rPr>
          <w:rFonts w:ascii="Arial" w:hAnsi="Arial" w:cs="Arial"/>
        </w:rPr>
        <w:t>) (B)</w:t>
      </w:r>
      <w:r w:rsidRPr="005E7EFF">
        <w:rPr>
          <w:rFonts w:ascii="Arial" w:hAnsi="Arial" w:cs="Arial"/>
          <w:bCs/>
        </w:rPr>
        <w:t xml:space="preserve"> </w:t>
      </w:r>
      <w:r w:rsidRPr="005E7EFF">
        <w:rPr>
          <w:rFonts w:ascii="Arial" w:hAnsi="Arial" w:cs="Arial"/>
        </w:rPr>
        <w:t xml:space="preserve">paraquat dichloride </w:t>
      </w:r>
      <w:r>
        <w:rPr>
          <w:rFonts w:ascii="Arial" w:hAnsi="Arial" w:cs="Arial"/>
        </w:rPr>
        <w:t>(Tukey HSD p value for non-homogenous group a = 0.091, and b = 0.088).</w:t>
      </w:r>
      <w:r w:rsidRPr="00F3101E">
        <w:t xml:space="preserve"> </w:t>
      </w:r>
      <w:r w:rsidRPr="00F3101E">
        <w:rPr>
          <w:rFonts w:ascii="Arial" w:hAnsi="Arial" w:cs="Arial"/>
          <w:bCs/>
        </w:rPr>
        <w:t>Data are means ± SE.</w:t>
      </w:r>
    </w:p>
    <w:p w14:paraId="36F7FBF7" w14:textId="77777777" w:rsidR="000D1C38" w:rsidRDefault="000D1C38" w:rsidP="004E7D15">
      <w:pPr>
        <w:tabs>
          <w:tab w:val="left" w:pos="90"/>
        </w:tabs>
        <w:spacing w:line="276" w:lineRule="auto"/>
        <w:jc w:val="both"/>
        <w:rPr>
          <w:rFonts w:ascii="Arial" w:hAnsi="Arial" w:cs="Arial"/>
          <w:b/>
        </w:rPr>
      </w:pPr>
    </w:p>
    <w:p w14:paraId="628A13B0" w14:textId="77777777" w:rsidR="004E7D15" w:rsidRPr="005E7EFF" w:rsidRDefault="004E7D15" w:rsidP="004E7D15">
      <w:pPr>
        <w:tabs>
          <w:tab w:val="left" w:pos="90"/>
        </w:tabs>
        <w:spacing w:line="276" w:lineRule="auto"/>
        <w:jc w:val="both"/>
        <w:rPr>
          <w:rFonts w:ascii="Arial" w:hAnsi="Arial" w:cs="Arial"/>
          <w:b/>
        </w:rPr>
      </w:pPr>
      <w:r w:rsidRPr="005E7EFF">
        <w:rPr>
          <w:rFonts w:ascii="Arial" w:hAnsi="Arial" w:cs="Arial"/>
          <w:b/>
        </w:rPr>
        <w:t>3.2.2.</w:t>
      </w:r>
      <w:r>
        <w:rPr>
          <w:rFonts w:ascii="Arial" w:hAnsi="Arial" w:cs="Arial"/>
          <w:b/>
        </w:rPr>
        <w:t xml:space="preserve"> </w:t>
      </w:r>
      <w:r w:rsidRPr="005E7EFF">
        <w:rPr>
          <w:rFonts w:ascii="Arial" w:hAnsi="Arial" w:cs="Arial"/>
          <w:b/>
        </w:rPr>
        <w:t>Peroxidase (POD) activity</w:t>
      </w:r>
    </w:p>
    <w:p w14:paraId="6622226C" w14:textId="77777777" w:rsidR="004E7D15" w:rsidRPr="005E7EFF" w:rsidRDefault="004E7D15" w:rsidP="004E7D15">
      <w:pPr>
        <w:spacing w:line="276" w:lineRule="auto"/>
        <w:jc w:val="both"/>
        <w:rPr>
          <w:rFonts w:ascii="Arial" w:hAnsi="Arial" w:cs="Arial"/>
        </w:rPr>
      </w:pPr>
      <w:r>
        <w:rPr>
          <w:rFonts w:ascii="Arial" w:hAnsi="Arial" w:cs="Arial"/>
        </w:rPr>
        <w:t xml:space="preserve">Figure (3A) shows the data </w:t>
      </w:r>
      <w:r>
        <w:rPr>
          <w:rFonts w:ascii="Arial" w:hAnsi="Arial" w:cs="Arial"/>
          <w:highlight w:val="yellow"/>
        </w:rPr>
        <w:t>for</w:t>
      </w:r>
      <w:r>
        <w:rPr>
          <w:rFonts w:ascii="Arial" w:hAnsi="Arial" w:cs="Arial"/>
        </w:rPr>
        <w:t xml:space="preserve"> POD activity. </w:t>
      </w:r>
      <w:r>
        <w:rPr>
          <w:rFonts w:ascii="Arial" w:hAnsi="Arial" w:cs="Arial"/>
          <w:highlight w:val="yellow"/>
        </w:rPr>
        <w:t>Different</w:t>
      </w:r>
      <w:r>
        <w:rPr>
          <w:rFonts w:ascii="Arial" w:hAnsi="Arial" w:cs="Arial"/>
        </w:rPr>
        <w:t xml:space="preserve"> cadmium</w:t>
      </w:r>
      <w:r>
        <w:rPr>
          <w:rFonts w:ascii="Arial" w:hAnsi="Arial" w:cs="Arial"/>
          <w:highlight w:val="yellow"/>
        </w:rPr>
        <w:t xml:space="preserve"> concentrations</w:t>
      </w:r>
      <w:r>
        <w:rPr>
          <w:rFonts w:ascii="Arial" w:hAnsi="Arial" w:cs="Arial"/>
        </w:rPr>
        <w:t xml:space="preserve"> in the duckweed species </w:t>
      </w:r>
      <w:r>
        <w:rPr>
          <w:rFonts w:ascii="Arial" w:hAnsi="Arial" w:cs="Arial"/>
          <w:i/>
        </w:rPr>
        <w:t>Lemna minor</w:t>
      </w:r>
      <w:r>
        <w:rPr>
          <w:rFonts w:ascii="Arial" w:hAnsi="Arial" w:cs="Arial"/>
        </w:rPr>
        <w:t xml:space="preserve"> after 96 hours of treatment led to a </w:t>
      </w:r>
      <w:r>
        <w:rPr>
          <w:rFonts w:ascii="Arial" w:hAnsi="Arial" w:cs="Arial"/>
          <w:highlight w:val="yellow"/>
        </w:rPr>
        <w:t>marked</w:t>
      </w:r>
      <w:r>
        <w:rPr>
          <w:rFonts w:ascii="Arial" w:hAnsi="Arial" w:cs="Arial"/>
        </w:rPr>
        <w:t xml:space="preserve"> </w:t>
      </w:r>
      <w:r>
        <w:rPr>
          <w:rFonts w:ascii="Arial" w:hAnsi="Arial" w:cs="Arial"/>
          <w:highlight w:val="yellow"/>
        </w:rPr>
        <w:t>increase</w:t>
      </w:r>
      <w:r>
        <w:rPr>
          <w:rFonts w:ascii="Arial" w:hAnsi="Arial" w:cs="Arial"/>
        </w:rPr>
        <w:t xml:space="preserve"> in POD activity. </w:t>
      </w:r>
      <w:r>
        <w:rPr>
          <w:rFonts w:ascii="Arial" w:hAnsi="Arial" w:cs="Arial"/>
          <w:highlight w:val="yellow"/>
        </w:rPr>
        <w:t xml:space="preserve">POD activity in </w:t>
      </w:r>
      <w:r>
        <w:rPr>
          <w:rFonts w:ascii="Arial" w:hAnsi="Arial" w:cs="Arial"/>
          <w:i/>
        </w:rPr>
        <w:t>Lemna minor</w:t>
      </w:r>
      <w:r>
        <w:rPr>
          <w:rFonts w:ascii="Arial" w:hAnsi="Arial" w:cs="Arial"/>
        </w:rPr>
        <w:t xml:space="preserve"> </w:t>
      </w:r>
      <w:r>
        <w:rPr>
          <w:rFonts w:ascii="Arial" w:hAnsi="Arial" w:cs="Arial"/>
          <w:highlight w:val="yellow"/>
        </w:rPr>
        <w:t>increased</w:t>
      </w:r>
      <w:r>
        <w:rPr>
          <w:rFonts w:ascii="Arial" w:hAnsi="Arial" w:cs="Arial"/>
        </w:rPr>
        <w:t xml:space="preserve"> </w:t>
      </w:r>
      <w:r>
        <w:rPr>
          <w:rFonts w:ascii="Arial" w:hAnsi="Arial" w:cs="Arial"/>
          <w:highlight w:val="yellow"/>
        </w:rPr>
        <w:t>by</w:t>
      </w:r>
      <w:r>
        <w:rPr>
          <w:rFonts w:ascii="Arial" w:hAnsi="Arial" w:cs="Arial"/>
        </w:rPr>
        <w:t xml:space="preserve"> 0.17%, 57.49%, 75%, 92.30% and 97.56% at</w:t>
      </w:r>
      <w:r>
        <w:rPr>
          <w:rFonts w:ascii="Arial" w:hAnsi="Arial" w:cs="Arial"/>
          <w:highlight w:val="yellow"/>
        </w:rPr>
        <w:t xml:space="preserve"> cadmium</w:t>
      </w:r>
      <w:r>
        <w:rPr>
          <w:rFonts w:ascii="Arial" w:hAnsi="Arial" w:cs="Arial"/>
        </w:rPr>
        <w:t xml:space="preserve"> concentrations of 0.1, 0.5, 1, 1.5 and 2 mg/L, respectively</w:t>
      </w:r>
      <w:r>
        <w:rPr>
          <w:rFonts w:ascii="Arial" w:hAnsi="Arial" w:cs="Arial"/>
          <w:highlight w:val="yellow"/>
        </w:rPr>
        <w:t>, over the 0 to 2 mg/L range</w:t>
      </w:r>
      <w:r>
        <w:rPr>
          <w:rFonts w:ascii="Arial" w:hAnsi="Arial" w:cs="Arial"/>
        </w:rPr>
        <w:t xml:space="preserve">. Figure (3B) shows that different </w:t>
      </w:r>
      <w:r>
        <w:rPr>
          <w:rFonts w:ascii="Arial" w:hAnsi="Arial" w:cs="Arial"/>
          <w:highlight w:val="yellow"/>
        </w:rPr>
        <w:t>concentrations</w:t>
      </w:r>
      <w:r>
        <w:rPr>
          <w:rFonts w:ascii="Arial" w:hAnsi="Arial" w:cs="Arial"/>
        </w:rPr>
        <w:t xml:space="preserve"> of the herbicide paraquat dichloride in </w:t>
      </w:r>
      <w:r>
        <w:rPr>
          <w:rFonts w:ascii="Arial" w:hAnsi="Arial" w:cs="Arial"/>
        </w:rPr>
        <w:lastRenderedPageBreak/>
        <w:t xml:space="preserve">the duckweed species </w:t>
      </w:r>
      <w:r>
        <w:rPr>
          <w:rFonts w:ascii="Arial" w:hAnsi="Arial" w:cs="Arial"/>
          <w:i/>
        </w:rPr>
        <w:t>Lemna minor</w:t>
      </w:r>
      <w:r>
        <w:rPr>
          <w:rFonts w:ascii="Arial" w:hAnsi="Arial" w:cs="Arial"/>
        </w:rPr>
        <w:t xml:space="preserve"> after 96 hours of treatment led to higher POD activity. At higher concentrations</w:t>
      </w:r>
      <w:r>
        <w:rPr>
          <w:rFonts w:ascii="Arial" w:hAnsi="Arial" w:cs="Arial"/>
          <w:highlight w:val="yellow"/>
        </w:rPr>
        <w:t>,</w:t>
      </w:r>
      <w:r>
        <w:rPr>
          <w:rFonts w:ascii="Arial" w:hAnsi="Arial" w:cs="Arial"/>
        </w:rPr>
        <w:t xml:space="preserve"> i.e., 2 and 2.5 mg/L, POD activity </w:t>
      </w:r>
      <w:r>
        <w:rPr>
          <w:rFonts w:ascii="Arial" w:hAnsi="Arial" w:cs="Arial"/>
          <w:highlight w:val="yellow"/>
        </w:rPr>
        <w:t>increased</w:t>
      </w:r>
      <w:r>
        <w:rPr>
          <w:rFonts w:ascii="Arial" w:hAnsi="Arial" w:cs="Arial"/>
        </w:rPr>
        <w:t xml:space="preserve"> significantly in </w:t>
      </w:r>
      <w:r>
        <w:rPr>
          <w:rFonts w:ascii="Arial" w:hAnsi="Arial" w:cs="Arial"/>
          <w:i/>
        </w:rPr>
        <w:t>Lemna minor</w:t>
      </w:r>
      <w:r>
        <w:rPr>
          <w:rFonts w:ascii="Arial" w:hAnsi="Arial" w:cs="Arial"/>
        </w:rPr>
        <w:t>.</w:t>
      </w:r>
      <w:r>
        <w:rPr>
          <w:rFonts w:ascii="Arial" w:hAnsi="Arial" w:cs="Arial"/>
          <w:highlight w:val="yellow"/>
        </w:rPr>
        <w:t xml:space="preserve"> </w:t>
      </w:r>
      <w:r>
        <w:rPr>
          <w:rFonts w:ascii="Arial" w:hAnsi="Arial" w:cs="Arial"/>
        </w:rPr>
        <w:t xml:space="preserve">POD activity in </w:t>
      </w:r>
      <w:r>
        <w:rPr>
          <w:rFonts w:ascii="Arial" w:hAnsi="Arial" w:cs="Arial"/>
          <w:i/>
        </w:rPr>
        <w:t>Lemna minor</w:t>
      </w:r>
      <w:r>
        <w:rPr>
          <w:rFonts w:ascii="Arial" w:hAnsi="Arial" w:cs="Arial"/>
        </w:rPr>
        <w:t xml:space="preserve"> increased by 3%,</w:t>
      </w:r>
      <w:r>
        <w:rPr>
          <w:rFonts w:ascii="Arial" w:hAnsi="Arial" w:cs="Arial"/>
          <w:highlight w:val="yellow"/>
        </w:rPr>
        <w:t xml:space="preserve"> </w:t>
      </w:r>
      <w:r>
        <w:rPr>
          <w:rFonts w:ascii="Arial" w:hAnsi="Arial" w:cs="Arial"/>
        </w:rPr>
        <w:t xml:space="preserve">4.01%, 8.40%, 27% and 41.44% at paraquat dichloride </w:t>
      </w:r>
      <w:r>
        <w:rPr>
          <w:rFonts w:ascii="Arial" w:hAnsi="Arial" w:cs="Arial"/>
          <w:highlight w:val="yellow"/>
        </w:rPr>
        <w:t>concentrations of</w:t>
      </w:r>
      <w:r>
        <w:rPr>
          <w:rFonts w:ascii="Arial" w:hAnsi="Arial" w:cs="Arial"/>
        </w:rPr>
        <w:t xml:space="preserve"> 0.</w:t>
      </w:r>
      <w:r>
        <w:rPr>
          <w:rFonts w:ascii="Arial" w:hAnsi="Arial" w:cs="Arial"/>
          <w:highlight w:val="yellow"/>
        </w:rPr>
        <w:t>5 mg</w:t>
      </w:r>
      <w:r>
        <w:rPr>
          <w:rFonts w:ascii="Arial" w:hAnsi="Arial" w:cs="Arial"/>
        </w:rPr>
        <w:t>/L,</w:t>
      </w:r>
      <w:r>
        <w:rPr>
          <w:rFonts w:ascii="Arial" w:hAnsi="Arial" w:cs="Arial"/>
          <w:highlight w:val="yellow"/>
        </w:rPr>
        <w:t xml:space="preserve"> 1 mg</w:t>
      </w:r>
      <w:r>
        <w:rPr>
          <w:rFonts w:ascii="Arial" w:hAnsi="Arial" w:cs="Arial"/>
        </w:rPr>
        <w:t>/L, 1.</w:t>
      </w:r>
      <w:r>
        <w:rPr>
          <w:rFonts w:ascii="Arial" w:hAnsi="Arial" w:cs="Arial"/>
          <w:highlight w:val="yellow"/>
        </w:rPr>
        <w:t>5 mg</w:t>
      </w:r>
      <w:r>
        <w:rPr>
          <w:rFonts w:ascii="Arial" w:hAnsi="Arial" w:cs="Arial"/>
        </w:rPr>
        <w:t>/L</w:t>
      </w:r>
      <w:r>
        <w:rPr>
          <w:rFonts w:ascii="Arial" w:hAnsi="Arial" w:cs="Arial"/>
          <w:highlight w:val="yellow"/>
        </w:rPr>
        <w:t>,</w:t>
      </w:r>
      <w:r>
        <w:rPr>
          <w:rFonts w:ascii="Arial" w:hAnsi="Arial" w:cs="Arial"/>
        </w:rPr>
        <w:t xml:space="preserve"> 2 mg/L and 2.5 mg/L, respectively.</w:t>
      </w:r>
    </w:p>
    <w:p w14:paraId="468F811F" w14:textId="77777777" w:rsidR="004E7D15" w:rsidRPr="005E7EFF" w:rsidRDefault="004E7D15" w:rsidP="004E7D15">
      <w:pPr>
        <w:spacing w:line="276" w:lineRule="auto"/>
        <w:jc w:val="both"/>
        <w:rPr>
          <w:rFonts w:ascii="Arial" w:hAnsi="Arial" w:cs="Arial"/>
          <w:b/>
        </w:rPr>
      </w:pPr>
      <w:r w:rsidRPr="005E7EFF">
        <w:rPr>
          <w:rFonts w:ascii="Arial" w:hAnsi="Arial" w:cs="Arial"/>
          <w:noProof/>
        </w:rPr>
        <w:drawing>
          <wp:anchor distT="0" distB="0" distL="114300" distR="114300" simplePos="0" relativeHeight="251658752" behindDoc="1" locked="0" layoutInCell="1" allowOverlap="1" wp14:anchorId="01D1AFD1" wp14:editId="751DD266">
            <wp:simplePos x="0" y="0"/>
            <wp:positionH relativeFrom="column">
              <wp:posOffset>246380</wp:posOffset>
            </wp:positionH>
            <wp:positionV relativeFrom="paragraph">
              <wp:posOffset>195580</wp:posOffset>
            </wp:positionV>
            <wp:extent cx="4759960" cy="1812290"/>
            <wp:effectExtent l="0" t="0" r="2540" b="0"/>
            <wp:wrapTight wrapText="bothSides">
              <wp:wrapPolygon edited="0">
                <wp:start x="0" y="0"/>
                <wp:lineTo x="0" y="21343"/>
                <wp:lineTo x="21525" y="21343"/>
                <wp:lineTo x="21525"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4759960" cy="1812290"/>
                    </a:xfrm>
                    <a:prstGeom prst="rect">
                      <a:avLst/>
                    </a:prstGeom>
                    <a:noFill/>
                    <a:ln>
                      <a:noFill/>
                    </a:ln>
                  </pic:spPr>
                </pic:pic>
              </a:graphicData>
            </a:graphic>
            <wp14:sizeRelH relativeFrom="margin">
              <wp14:pctWidth>0</wp14:pctWidth>
            </wp14:sizeRelH>
          </wp:anchor>
        </w:drawing>
      </w:r>
    </w:p>
    <w:p w14:paraId="0A594DB8" w14:textId="77777777" w:rsidR="004E7D15" w:rsidRPr="005E7EFF" w:rsidRDefault="004E7D15" w:rsidP="004E7D15">
      <w:pPr>
        <w:spacing w:line="276" w:lineRule="auto"/>
        <w:jc w:val="both"/>
        <w:rPr>
          <w:rFonts w:ascii="Arial" w:hAnsi="Arial" w:cs="Arial"/>
          <w:b/>
        </w:rPr>
      </w:pPr>
      <w:r w:rsidRPr="005E7EFF">
        <w:rPr>
          <w:rFonts w:ascii="Arial" w:hAnsi="Arial" w:cs="Arial"/>
          <w:b/>
        </w:rPr>
        <w:t xml:space="preserve">Figure. 3 </w:t>
      </w:r>
      <w:r w:rsidRPr="005E7EFF">
        <w:rPr>
          <w:rFonts w:ascii="Arial" w:hAnsi="Arial" w:cs="Arial"/>
        </w:rPr>
        <w:t>POD (Peroxidase) Activity</w:t>
      </w:r>
      <w:r w:rsidR="00293318">
        <w:rPr>
          <w:rFonts w:ascii="Arial" w:hAnsi="Arial" w:cs="Arial"/>
        </w:rPr>
        <w:t xml:space="preserve"> (</w:t>
      </w:r>
      <w:r w:rsidR="00293318" w:rsidRPr="005E7EFF">
        <w:rPr>
          <w:rFonts w:ascii="Arial" w:hAnsi="Arial" w:cs="Arial"/>
          <w:bCs/>
        </w:rPr>
        <w:t>units/gm FW (fresh weight) after 4</w:t>
      </w:r>
      <w:r w:rsidR="00293318" w:rsidRPr="005E7EFF">
        <w:rPr>
          <w:rFonts w:ascii="Arial" w:hAnsi="Arial" w:cs="Arial"/>
          <w:bCs/>
          <w:vertAlign w:val="superscript"/>
        </w:rPr>
        <w:t>th</w:t>
      </w:r>
      <w:r w:rsidR="00293318" w:rsidRPr="005E7EFF">
        <w:rPr>
          <w:rFonts w:ascii="Arial" w:hAnsi="Arial" w:cs="Arial"/>
          <w:bCs/>
        </w:rPr>
        <w:t xml:space="preserve"> day</w:t>
      </w:r>
      <w:r w:rsidR="00293318">
        <w:rPr>
          <w:rFonts w:ascii="Arial" w:hAnsi="Arial" w:cs="Arial"/>
          <w:bCs/>
        </w:rPr>
        <w:t>)</w:t>
      </w:r>
      <w:r w:rsidRPr="005E7EFF">
        <w:rPr>
          <w:rFonts w:ascii="Arial" w:hAnsi="Arial" w:cs="Arial"/>
        </w:rPr>
        <w:t xml:space="preserve"> in </w:t>
      </w:r>
      <w:r w:rsidRPr="005E7EFF">
        <w:rPr>
          <w:rFonts w:ascii="Arial" w:hAnsi="Arial" w:cs="Arial"/>
          <w:i/>
        </w:rPr>
        <w:t>Lemna minor</w:t>
      </w:r>
      <w:r w:rsidRPr="005E7EFF">
        <w:rPr>
          <w:rFonts w:ascii="Arial" w:hAnsi="Arial" w:cs="Arial"/>
        </w:rPr>
        <w:t xml:space="preserve"> </w:t>
      </w:r>
      <w:r w:rsidR="00002CE4">
        <w:rPr>
          <w:rFonts w:ascii="Arial" w:hAnsi="Arial" w:cs="Arial"/>
        </w:rPr>
        <w:t>(A)</w:t>
      </w:r>
      <w:r w:rsidR="00002CE4" w:rsidRPr="005E7EFF">
        <w:rPr>
          <w:rFonts w:ascii="Arial" w:hAnsi="Arial" w:cs="Arial"/>
        </w:rPr>
        <w:t xml:space="preserve"> cadmium </w:t>
      </w:r>
      <w:r w:rsidR="00002CE4">
        <w:rPr>
          <w:rFonts w:ascii="Arial" w:hAnsi="Arial" w:cs="Arial"/>
        </w:rPr>
        <w:t>(Tukey HSD p value for</w:t>
      </w:r>
      <w:r w:rsidR="00897FEB">
        <w:rPr>
          <w:rFonts w:ascii="Arial" w:hAnsi="Arial" w:cs="Arial"/>
        </w:rPr>
        <w:t xml:space="preserve"> non-homogenous group</w:t>
      </w:r>
      <w:r w:rsidR="00002CE4">
        <w:rPr>
          <w:rFonts w:ascii="Arial" w:hAnsi="Arial" w:cs="Arial"/>
        </w:rPr>
        <w:t xml:space="preserve"> e</w:t>
      </w:r>
      <w:r w:rsidR="00897FEB">
        <w:rPr>
          <w:rFonts w:ascii="Arial" w:hAnsi="Arial" w:cs="Arial"/>
        </w:rPr>
        <w:t xml:space="preserve"> </w:t>
      </w:r>
      <w:r w:rsidR="00002CE4">
        <w:rPr>
          <w:rFonts w:ascii="Arial" w:hAnsi="Arial" w:cs="Arial"/>
        </w:rPr>
        <w:t>= 0.997</w:t>
      </w:r>
      <w:r w:rsidR="00897FEB">
        <w:rPr>
          <w:rFonts w:ascii="Arial" w:hAnsi="Arial" w:cs="Arial"/>
        </w:rPr>
        <w:t xml:space="preserve"> whereas a, b, c, and d &lt; 0.05 represent homogenous group</w:t>
      </w:r>
      <w:r w:rsidR="00A443A5">
        <w:rPr>
          <w:rFonts w:ascii="Arial" w:hAnsi="Arial" w:cs="Arial"/>
        </w:rPr>
        <w:t>s</w:t>
      </w:r>
      <w:r w:rsidR="00002CE4">
        <w:rPr>
          <w:rFonts w:ascii="Arial" w:hAnsi="Arial" w:cs="Arial"/>
        </w:rPr>
        <w:t>) (B)</w:t>
      </w:r>
      <w:r w:rsidR="00002CE4" w:rsidRPr="005E7EFF">
        <w:rPr>
          <w:rFonts w:ascii="Arial" w:hAnsi="Arial" w:cs="Arial"/>
          <w:bCs/>
        </w:rPr>
        <w:t xml:space="preserve"> </w:t>
      </w:r>
      <w:r w:rsidR="00002CE4" w:rsidRPr="005E7EFF">
        <w:rPr>
          <w:rFonts w:ascii="Arial" w:hAnsi="Arial" w:cs="Arial"/>
        </w:rPr>
        <w:t xml:space="preserve">paraquat dichloride </w:t>
      </w:r>
      <w:r w:rsidR="00002CE4">
        <w:rPr>
          <w:rFonts w:ascii="Arial" w:hAnsi="Arial" w:cs="Arial"/>
        </w:rPr>
        <w:t>(Tukey HSD p value for</w:t>
      </w:r>
      <w:r w:rsidR="000D1C38">
        <w:rPr>
          <w:rFonts w:ascii="Arial" w:hAnsi="Arial" w:cs="Arial"/>
        </w:rPr>
        <w:t xml:space="preserve"> non-homogenous group</w:t>
      </w:r>
      <w:r w:rsidR="00002CE4">
        <w:rPr>
          <w:rFonts w:ascii="Arial" w:hAnsi="Arial" w:cs="Arial"/>
        </w:rPr>
        <w:t xml:space="preserve"> </w:t>
      </w:r>
      <w:r w:rsidR="00897FEB">
        <w:rPr>
          <w:rFonts w:ascii="Arial" w:hAnsi="Arial" w:cs="Arial"/>
        </w:rPr>
        <w:t>c</w:t>
      </w:r>
      <w:r w:rsidR="00002CE4">
        <w:rPr>
          <w:rFonts w:ascii="Arial" w:hAnsi="Arial" w:cs="Arial"/>
        </w:rPr>
        <w:t xml:space="preserve"> = </w:t>
      </w:r>
      <w:r w:rsidR="00192CE6">
        <w:rPr>
          <w:rFonts w:ascii="Arial" w:hAnsi="Arial" w:cs="Arial"/>
        </w:rPr>
        <w:t>0.428</w:t>
      </w:r>
      <w:r w:rsidR="00897FEB">
        <w:rPr>
          <w:rFonts w:ascii="Arial" w:hAnsi="Arial" w:cs="Arial"/>
        </w:rPr>
        <w:t xml:space="preserve"> whereas a and b &lt; 0.05 represent homogenous groups</w:t>
      </w:r>
      <w:r w:rsidR="00002CE4">
        <w:rPr>
          <w:rFonts w:ascii="Arial" w:hAnsi="Arial" w:cs="Arial"/>
        </w:rPr>
        <w:t>).</w:t>
      </w:r>
      <w:r w:rsidR="00002CE4" w:rsidRPr="00F3101E">
        <w:t xml:space="preserve"> </w:t>
      </w:r>
      <w:r w:rsidR="00002CE4" w:rsidRPr="00F3101E">
        <w:rPr>
          <w:rFonts w:ascii="Arial" w:hAnsi="Arial" w:cs="Arial"/>
          <w:bCs/>
        </w:rPr>
        <w:t>Data are means ± SE.</w:t>
      </w:r>
    </w:p>
    <w:p w14:paraId="1F073BF3" w14:textId="77777777" w:rsidR="004E7D15" w:rsidRPr="005E7EFF" w:rsidRDefault="004E7D15" w:rsidP="004E7D15">
      <w:pPr>
        <w:spacing w:line="276" w:lineRule="auto"/>
        <w:jc w:val="both"/>
        <w:rPr>
          <w:rFonts w:ascii="Arial" w:hAnsi="Arial" w:cs="Arial"/>
          <w:b/>
        </w:rPr>
      </w:pPr>
      <w:r w:rsidRPr="005E7EFF">
        <w:rPr>
          <w:rFonts w:ascii="Arial" w:hAnsi="Arial" w:cs="Arial"/>
          <w:b/>
        </w:rPr>
        <w:t xml:space="preserve">3.2.3. Catalase (CAT) activity </w:t>
      </w:r>
    </w:p>
    <w:p w14:paraId="7393A447" w14:textId="77777777" w:rsidR="004E7D15" w:rsidRPr="005E7EFF" w:rsidRDefault="004E7D15" w:rsidP="004E7D15">
      <w:pPr>
        <w:spacing w:line="276" w:lineRule="auto"/>
        <w:jc w:val="both"/>
        <w:rPr>
          <w:rFonts w:ascii="Arial" w:hAnsi="Arial" w:cs="Arial"/>
        </w:rPr>
      </w:pPr>
      <w:r w:rsidRPr="005E7EFF">
        <w:rPr>
          <w:rFonts w:ascii="Arial" w:hAnsi="Arial" w:cs="Arial"/>
          <w:b/>
          <w:noProof/>
        </w:rPr>
        <w:drawing>
          <wp:anchor distT="0" distB="0" distL="114300" distR="114300" simplePos="0" relativeHeight="251655680" behindDoc="1" locked="0" layoutInCell="1" allowOverlap="1" wp14:anchorId="4E600818" wp14:editId="373000D2">
            <wp:simplePos x="0" y="0"/>
            <wp:positionH relativeFrom="column">
              <wp:posOffset>132080</wp:posOffset>
            </wp:positionH>
            <wp:positionV relativeFrom="paragraph">
              <wp:posOffset>1753235</wp:posOffset>
            </wp:positionV>
            <wp:extent cx="5277485" cy="2025650"/>
            <wp:effectExtent l="0" t="0" r="0" b="0"/>
            <wp:wrapTight wrapText="bothSides">
              <wp:wrapPolygon edited="0">
                <wp:start x="0" y="0"/>
                <wp:lineTo x="0" y="21329"/>
                <wp:lineTo x="21519" y="21329"/>
                <wp:lineTo x="21519"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5277485" cy="2025650"/>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hAnsi="Arial" w:cs="Arial"/>
        </w:rPr>
        <w:t xml:space="preserve">Figure (4A) shows the results </w:t>
      </w:r>
      <w:r>
        <w:rPr>
          <w:rFonts w:ascii="Arial" w:hAnsi="Arial" w:cs="Arial"/>
          <w:highlight w:val="yellow"/>
        </w:rPr>
        <w:t>for</w:t>
      </w:r>
      <w:r>
        <w:rPr>
          <w:rFonts w:ascii="Arial" w:hAnsi="Arial" w:cs="Arial"/>
        </w:rPr>
        <w:t xml:space="preserve"> CAT activity in the duckweed species </w:t>
      </w:r>
      <w:r>
        <w:rPr>
          <w:rFonts w:ascii="Arial" w:hAnsi="Arial" w:cs="Arial"/>
          <w:i/>
        </w:rPr>
        <w:t>Lemna minor</w:t>
      </w:r>
      <w:r>
        <w:rPr>
          <w:rFonts w:ascii="Arial" w:hAnsi="Arial" w:cs="Arial"/>
        </w:rPr>
        <w:t xml:space="preserve"> after 96 hours of treatment with different </w:t>
      </w:r>
      <w:r>
        <w:rPr>
          <w:rFonts w:ascii="Arial" w:hAnsi="Arial" w:cs="Arial"/>
          <w:highlight w:val="yellow"/>
        </w:rPr>
        <w:t>cadmium</w:t>
      </w:r>
      <w:r>
        <w:rPr>
          <w:rFonts w:ascii="Arial" w:hAnsi="Arial" w:cs="Arial"/>
        </w:rPr>
        <w:t xml:space="preserve"> </w:t>
      </w:r>
      <w:r>
        <w:rPr>
          <w:rFonts w:ascii="Arial" w:hAnsi="Arial" w:cs="Arial"/>
          <w:highlight w:val="yellow"/>
        </w:rPr>
        <w:t>concentrations</w:t>
      </w:r>
      <w:r>
        <w:rPr>
          <w:rFonts w:ascii="Arial" w:hAnsi="Arial" w:cs="Arial"/>
        </w:rPr>
        <w:t xml:space="preserve">. The results indicated </w:t>
      </w:r>
      <w:r>
        <w:rPr>
          <w:rFonts w:ascii="Arial" w:hAnsi="Arial" w:cs="Arial"/>
          <w:highlight w:val="yellow"/>
        </w:rPr>
        <w:t>increased activity at</w:t>
      </w:r>
      <w:r>
        <w:rPr>
          <w:rFonts w:ascii="Arial" w:hAnsi="Arial" w:cs="Arial"/>
        </w:rPr>
        <w:t xml:space="preserve"> cadmium concentrations of 0.1, 0.5, 1</w:t>
      </w:r>
      <w:r>
        <w:rPr>
          <w:rFonts w:ascii="Arial" w:hAnsi="Arial" w:cs="Arial"/>
          <w:highlight w:val="yellow"/>
        </w:rPr>
        <w:t xml:space="preserve"> and</w:t>
      </w:r>
      <w:r>
        <w:rPr>
          <w:rFonts w:ascii="Arial" w:hAnsi="Arial" w:cs="Arial"/>
        </w:rPr>
        <w:t xml:space="preserve"> 1.5 mg/L in </w:t>
      </w:r>
      <w:r>
        <w:rPr>
          <w:rFonts w:ascii="Arial" w:hAnsi="Arial" w:cs="Arial"/>
          <w:i/>
        </w:rPr>
        <w:t>Lemna minor</w:t>
      </w:r>
      <w:r>
        <w:rPr>
          <w:rFonts w:ascii="Arial" w:hAnsi="Arial" w:cs="Arial"/>
        </w:rPr>
        <w:t xml:space="preserve">; however, </w:t>
      </w:r>
      <w:r>
        <w:rPr>
          <w:rFonts w:ascii="Arial" w:hAnsi="Arial" w:cs="Arial"/>
          <w:highlight w:val="yellow"/>
        </w:rPr>
        <w:t>at</w:t>
      </w:r>
      <w:r>
        <w:rPr>
          <w:rFonts w:ascii="Arial" w:hAnsi="Arial" w:cs="Arial"/>
        </w:rPr>
        <w:t xml:space="preserve"> 2 mg/L</w:t>
      </w:r>
      <w:r>
        <w:rPr>
          <w:rFonts w:ascii="Arial" w:hAnsi="Arial" w:cs="Arial"/>
          <w:highlight w:val="yellow"/>
        </w:rPr>
        <w:t>,</w:t>
      </w:r>
      <w:r>
        <w:rPr>
          <w:rFonts w:ascii="Arial" w:hAnsi="Arial" w:cs="Arial"/>
        </w:rPr>
        <w:t xml:space="preserve"> activity</w:t>
      </w:r>
      <w:r>
        <w:rPr>
          <w:rFonts w:ascii="Arial" w:hAnsi="Arial" w:cs="Arial"/>
          <w:highlight w:val="yellow"/>
        </w:rPr>
        <w:t xml:space="preserve"> declined</w:t>
      </w:r>
      <w:r>
        <w:rPr>
          <w:rFonts w:ascii="Arial" w:hAnsi="Arial" w:cs="Arial"/>
        </w:rPr>
        <w:t xml:space="preserve">. At cadmium concentrations of 0.1, 0.5, 1, 1.5 and 2 mg/L in </w:t>
      </w:r>
      <w:r>
        <w:rPr>
          <w:rFonts w:ascii="Arial" w:hAnsi="Arial" w:cs="Arial"/>
          <w:i/>
        </w:rPr>
        <w:t>Lemna minor,</w:t>
      </w:r>
      <w:r>
        <w:rPr>
          <w:rFonts w:ascii="Arial" w:hAnsi="Arial" w:cs="Arial"/>
        </w:rPr>
        <w:t xml:space="preserve"> activity increased by 12%, 71%, 85% and 86.36%, but then </w:t>
      </w:r>
      <w:r>
        <w:rPr>
          <w:rFonts w:ascii="Arial" w:hAnsi="Arial" w:cs="Arial"/>
          <w:highlight w:val="yellow"/>
        </w:rPr>
        <w:t>decreased</w:t>
      </w:r>
      <w:r>
        <w:rPr>
          <w:rFonts w:ascii="Arial" w:hAnsi="Arial" w:cs="Arial"/>
        </w:rPr>
        <w:t xml:space="preserve"> by 25%. Figure (4B) shows that the duckweed species </w:t>
      </w:r>
      <w:r>
        <w:rPr>
          <w:rFonts w:ascii="Arial" w:hAnsi="Arial" w:cs="Arial"/>
          <w:i/>
        </w:rPr>
        <w:t>Lemna minor</w:t>
      </w:r>
      <w:r>
        <w:rPr>
          <w:rFonts w:ascii="Arial" w:hAnsi="Arial" w:cs="Arial"/>
        </w:rPr>
        <w:t xml:space="preserve"> had higher CAT activity after </w:t>
      </w:r>
      <w:r>
        <w:rPr>
          <w:rFonts w:ascii="Arial" w:hAnsi="Arial" w:cs="Arial"/>
          <w:highlight w:val="yellow"/>
        </w:rPr>
        <w:t>exposure</w:t>
      </w:r>
      <w:r>
        <w:rPr>
          <w:rFonts w:ascii="Arial" w:hAnsi="Arial" w:cs="Arial"/>
        </w:rPr>
        <w:t xml:space="preserve"> to different </w:t>
      </w:r>
      <w:r>
        <w:rPr>
          <w:rFonts w:ascii="Arial" w:hAnsi="Arial" w:cs="Arial"/>
          <w:highlight w:val="yellow"/>
        </w:rPr>
        <w:t>concentrations</w:t>
      </w:r>
      <w:r>
        <w:rPr>
          <w:rFonts w:ascii="Arial" w:hAnsi="Arial" w:cs="Arial"/>
        </w:rPr>
        <w:t xml:space="preserve"> of the herbicide </w:t>
      </w:r>
      <w:r>
        <w:rPr>
          <w:rFonts w:ascii="Arial" w:hAnsi="Arial" w:cs="Arial"/>
          <w:highlight w:val="yellow"/>
        </w:rPr>
        <w:t>paraquat</w:t>
      </w:r>
      <w:r>
        <w:rPr>
          <w:rFonts w:ascii="Arial" w:hAnsi="Arial" w:cs="Arial"/>
        </w:rPr>
        <w:t xml:space="preserve"> dichloride for 96 hours. The findings demonstrate that at </w:t>
      </w:r>
      <w:r>
        <w:rPr>
          <w:rFonts w:ascii="Arial" w:hAnsi="Arial" w:cs="Arial"/>
          <w:highlight w:val="yellow"/>
        </w:rPr>
        <w:t>paraquat</w:t>
      </w:r>
      <w:r>
        <w:rPr>
          <w:rFonts w:ascii="Arial" w:hAnsi="Arial" w:cs="Arial"/>
        </w:rPr>
        <w:t xml:space="preserve"> dichloride concentrations of 0.5 mg/L, 1 mg/L, 1.5 mg/L, 2 mg/L and 2.5 mg/L in </w:t>
      </w:r>
      <w:r>
        <w:rPr>
          <w:rFonts w:ascii="Arial" w:hAnsi="Arial" w:cs="Arial"/>
          <w:i/>
        </w:rPr>
        <w:t>Lemna minor,</w:t>
      </w:r>
      <w:r>
        <w:rPr>
          <w:rFonts w:ascii="Arial" w:hAnsi="Arial" w:cs="Arial"/>
        </w:rPr>
        <w:t xml:space="preserve"> activity </w:t>
      </w:r>
      <w:r>
        <w:rPr>
          <w:rFonts w:ascii="Arial" w:hAnsi="Arial" w:cs="Arial"/>
          <w:highlight w:val="yellow"/>
        </w:rPr>
        <w:t>increased</w:t>
      </w:r>
      <w:r>
        <w:rPr>
          <w:rFonts w:ascii="Arial" w:hAnsi="Arial" w:cs="Arial"/>
        </w:rPr>
        <w:t xml:space="preserve"> by 16.39%, 18%, 52.05%, 80.44% and 85%, respectively.</w:t>
      </w:r>
    </w:p>
    <w:p w14:paraId="0212312E" w14:textId="77777777" w:rsidR="004E7D15" w:rsidRPr="005E7EFF" w:rsidRDefault="004E7D15" w:rsidP="004E7D15">
      <w:pPr>
        <w:spacing w:line="276" w:lineRule="auto"/>
        <w:jc w:val="both"/>
        <w:rPr>
          <w:rFonts w:ascii="Arial" w:hAnsi="Arial" w:cs="Arial"/>
          <w:b/>
        </w:rPr>
      </w:pPr>
      <w:r w:rsidRPr="005E7EFF">
        <w:rPr>
          <w:rFonts w:ascii="Arial" w:hAnsi="Arial" w:cs="Arial"/>
          <w:b/>
        </w:rPr>
        <w:lastRenderedPageBreak/>
        <w:t xml:space="preserve">Figure. 4 </w:t>
      </w:r>
      <w:r w:rsidRPr="005E7EFF">
        <w:rPr>
          <w:rFonts w:ascii="Arial" w:hAnsi="Arial" w:cs="Arial"/>
        </w:rPr>
        <w:t>Catalase (CAT) Activity</w:t>
      </w:r>
      <w:r w:rsidR="00192CE6">
        <w:rPr>
          <w:rFonts w:ascii="Arial" w:hAnsi="Arial" w:cs="Arial"/>
        </w:rPr>
        <w:t xml:space="preserve"> (</w:t>
      </w:r>
      <w:r w:rsidR="00192CE6" w:rsidRPr="005E7EFF">
        <w:rPr>
          <w:rFonts w:ascii="Arial" w:hAnsi="Arial" w:cs="Arial"/>
          <w:bCs/>
        </w:rPr>
        <w:t>units/gm FW (fresh weight) after 4</w:t>
      </w:r>
      <w:r w:rsidR="00192CE6" w:rsidRPr="005E7EFF">
        <w:rPr>
          <w:rFonts w:ascii="Arial" w:hAnsi="Arial" w:cs="Arial"/>
          <w:bCs/>
          <w:vertAlign w:val="superscript"/>
        </w:rPr>
        <w:t>th</w:t>
      </w:r>
      <w:r w:rsidR="00192CE6" w:rsidRPr="005E7EFF">
        <w:rPr>
          <w:rFonts w:ascii="Arial" w:hAnsi="Arial" w:cs="Arial"/>
          <w:bCs/>
        </w:rPr>
        <w:t xml:space="preserve"> day of treatment</w:t>
      </w:r>
      <w:r w:rsidR="00192CE6">
        <w:rPr>
          <w:rFonts w:ascii="Arial" w:hAnsi="Arial" w:cs="Arial"/>
          <w:bCs/>
        </w:rPr>
        <w:t>)</w:t>
      </w:r>
      <w:r w:rsidRPr="005E7EFF">
        <w:rPr>
          <w:rFonts w:ascii="Arial" w:hAnsi="Arial" w:cs="Arial"/>
        </w:rPr>
        <w:t xml:space="preserve"> in </w:t>
      </w:r>
      <w:r w:rsidRPr="005E7EFF">
        <w:rPr>
          <w:rFonts w:ascii="Arial" w:hAnsi="Arial" w:cs="Arial"/>
          <w:i/>
        </w:rPr>
        <w:t>Lemna minor</w:t>
      </w:r>
      <w:r w:rsidRPr="005E7EFF">
        <w:rPr>
          <w:rFonts w:ascii="Arial" w:hAnsi="Arial" w:cs="Arial"/>
        </w:rPr>
        <w:t xml:space="preserve"> </w:t>
      </w:r>
      <w:r w:rsidR="00192CE6">
        <w:rPr>
          <w:rFonts w:ascii="Arial" w:hAnsi="Arial" w:cs="Arial"/>
        </w:rPr>
        <w:t>(A)</w:t>
      </w:r>
      <w:r w:rsidR="00192CE6" w:rsidRPr="005E7EFF">
        <w:rPr>
          <w:rFonts w:ascii="Arial" w:hAnsi="Arial" w:cs="Arial"/>
        </w:rPr>
        <w:t xml:space="preserve"> cadmium </w:t>
      </w:r>
      <w:r w:rsidR="00192CE6">
        <w:rPr>
          <w:rFonts w:ascii="Arial" w:hAnsi="Arial" w:cs="Arial"/>
        </w:rPr>
        <w:t>(Tukey HSD p value for</w:t>
      </w:r>
      <w:r w:rsidR="00897FEB">
        <w:rPr>
          <w:rFonts w:ascii="Arial" w:hAnsi="Arial" w:cs="Arial"/>
        </w:rPr>
        <w:t xml:space="preserve"> non-homogenous group</w:t>
      </w:r>
      <w:r w:rsidR="00192CE6">
        <w:rPr>
          <w:rFonts w:ascii="Arial" w:hAnsi="Arial" w:cs="Arial"/>
        </w:rPr>
        <w:t xml:space="preserve"> b = 0.879</w:t>
      </w:r>
      <w:r w:rsidR="00897FEB">
        <w:rPr>
          <w:rFonts w:ascii="Arial" w:hAnsi="Arial" w:cs="Arial"/>
        </w:rPr>
        <w:t xml:space="preserve"> whereas a, c, d, and e &lt; 0.05 represent homogenous group</w:t>
      </w:r>
      <w:r w:rsidR="00A443A5">
        <w:rPr>
          <w:rFonts w:ascii="Arial" w:hAnsi="Arial" w:cs="Arial"/>
        </w:rPr>
        <w:t>s</w:t>
      </w:r>
      <w:r w:rsidR="00192CE6">
        <w:rPr>
          <w:rFonts w:ascii="Arial" w:hAnsi="Arial" w:cs="Arial"/>
        </w:rPr>
        <w:t>) (B)</w:t>
      </w:r>
      <w:r w:rsidR="00192CE6" w:rsidRPr="005E7EFF">
        <w:rPr>
          <w:rFonts w:ascii="Arial" w:hAnsi="Arial" w:cs="Arial"/>
          <w:bCs/>
        </w:rPr>
        <w:t xml:space="preserve"> </w:t>
      </w:r>
      <w:r w:rsidR="00192CE6" w:rsidRPr="005E7EFF">
        <w:rPr>
          <w:rFonts w:ascii="Arial" w:hAnsi="Arial" w:cs="Arial"/>
        </w:rPr>
        <w:t xml:space="preserve">paraquat dichloride </w:t>
      </w:r>
      <w:r w:rsidR="00192CE6">
        <w:rPr>
          <w:rFonts w:ascii="Arial" w:hAnsi="Arial" w:cs="Arial"/>
        </w:rPr>
        <w:t>(Tukey HSD p value for</w:t>
      </w:r>
      <w:r w:rsidR="00897FEB">
        <w:rPr>
          <w:rFonts w:ascii="Arial" w:hAnsi="Arial" w:cs="Arial"/>
        </w:rPr>
        <w:t xml:space="preserve"> non-homogenous group</w:t>
      </w:r>
      <w:r w:rsidR="00192CE6">
        <w:rPr>
          <w:rFonts w:ascii="Arial" w:hAnsi="Arial" w:cs="Arial"/>
        </w:rPr>
        <w:t xml:space="preserve"> d = 0.498</w:t>
      </w:r>
      <w:r w:rsidR="00897FEB">
        <w:rPr>
          <w:rFonts w:ascii="Arial" w:hAnsi="Arial" w:cs="Arial"/>
        </w:rPr>
        <w:t xml:space="preserve"> whereas a, b, c, and e &lt; 0.05 represent homogenous group</w:t>
      </w:r>
      <w:r w:rsidR="00A443A5">
        <w:rPr>
          <w:rFonts w:ascii="Arial" w:hAnsi="Arial" w:cs="Arial"/>
        </w:rPr>
        <w:t>s]</w:t>
      </w:r>
      <w:r w:rsidR="00192CE6">
        <w:rPr>
          <w:rFonts w:ascii="Arial" w:hAnsi="Arial" w:cs="Arial"/>
        </w:rPr>
        <w:t>).</w:t>
      </w:r>
      <w:r w:rsidR="00192CE6" w:rsidRPr="00F3101E">
        <w:t xml:space="preserve"> </w:t>
      </w:r>
      <w:r w:rsidR="00192CE6" w:rsidRPr="00F3101E">
        <w:rPr>
          <w:rFonts w:ascii="Arial" w:hAnsi="Arial" w:cs="Arial"/>
          <w:bCs/>
        </w:rPr>
        <w:t>Data are means ± SE.</w:t>
      </w:r>
    </w:p>
    <w:p w14:paraId="0EF56F15" w14:textId="77777777" w:rsidR="004E7D15" w:rsidRPr="005E7EFF" w:rsidRDefault="004E7D15" w:rsidP="004E7D15">
      <w:pPr>
        <w:spacing w:line="276" w:lineRule="auto"/>
        <w:jc w:val="both"/>
        <w:rPr>
          <w:rFonts w:ascii="Arial" w:hAnsi="Arial" w:cs="Arial"/>
          <w:b/>
        </w:rPr>
      </w:pPr>
      <w:r w:rsidRPr="005E7EFF">
        <w:rPr>
          <w:rFonts w:ascii="Arial" w:hAnsi="Arial" w:cs="Arial"/>
          <w:b/>
        </w:rPr>
        <w:t xml:space="preserve">3.2.4. Ascorbate peroxidase (APX) activity </w:t>
      </w:r>
    </w:p>
    <w:p w14:paraId="78B3230A" w14:textId="77777777" w:rsidR="004E7D15" w:rsidRPr="005E7EFF" w:rsidRDefault="006658A9" w:rsidP="004E7D15">
      <w:pPr>
        <w:spacing w:line="276" w:lineRule="auto"/>
        <w:jc w:val="both"/>
        <w:rPr>
          <w:rFonts w:ascii="Arial" w:hAnsi="Arial" w:cs="Arial"/>
        </w:rPr>
      </w:pPr>
      <w:r>
        <w:rPr>
          <w:rFonts w:ascii="Arial" w:hAnsi="Arial" w:cs="Arial"/>
        </w:rPr>
        <w:t xml:space="preserve">Figure (5A) shows the results </w:t>
      </w:r>
      <w:r>
        <w:rPr>
          <w:rFonts w:ascii="Arial" w:hAnsi="Arial" w:cs="Arial"/>
          <w:highlight w:val="yellow"/>
        </w:rPr>
        <w:t>for</w:t>
      </w:r>
      <w:r>
        <w:rPr>
          <w:rFonts w:ascii="Arial" w:hAnsi="Arial" w:cs="Arial"/>
        </w:rPr>
        <w:t xml:space="preserve"> APX activity in </w:t>
      </w:r>
      <w:r>
        <w:rPr>
          <w:rFonts w:ascii="Arial" w:hAnsi="Arial" w:cs="Arial"/>
          <w:highlight w:val="yellow"/>
        </w:rPr>
        <w:t xml:space="preserve">the </w:t>
      </w:r>
      <w:r>
        <w:rPr>
          <w:rFonts w:ascii="Arial" w:hAnsi="Arial" w:cs="Arial"/>
        </w:rPr>
        <w:t>duckweed species</w:t>
      </w:r>
      <w:r>
        <w:rPr>
          <w:rFonts w:ascii="Arial" w:hAnsi="Arial" w:cs="Arial"/>
          <w:highlight w:val="yellow"/>
        </w:rPr>
        <w:t xml:space="preserve"> Lemna minor</w:t>
      </w:r>
      <w:r>
        <w:rPr>
          <w:rFonts w:ascii="Arial" w:hAnsi="Arial" w:cs="Arial"/>
        </w:rPr>
        <w:t xml:space="preserve">. Changes in cadmium </w:t>
      </w:r>
      <w:r>
        <w:rPr>
          <w:rFonts w:ascii="Arial" w:hAnsi="Arial" w:cs="Arial"/>
          <w:highlight w:val="yellow"/>
        </w:rPr>
        <w:t>concentration had</w:t>
      </w:r>
      <w:r>
        <w:rPr>
          <w:rFonts w:ascii="Arial" w:hAnsi="Arial" w:cs="Arial"/>
        </w:rPr>
        <w:t xml:space="preserve"> a </w:t>
      </w:r>
      <w:r>
        <w:rPr>
          <w:rFonts w:ascii="Arial" w:hAnsi="Arial" w:cs="Arial"/>
          <w:highlight w:val="yellow"/>
        </w:rPr>
        <w:t>marked</w:t>
      </w:r>
      <w:r>
        <w:rPr>
          <w:rFonts w:ascii="Arial" w:hAnsi="Arial" w:cs="Arial"/>
        </w:rPr>
        <w:t xml:space="preserve"> effect on </w:t>
      </w:r>
      <w:r>
        <w:rPr>
          <w:rFonts w:ascii="Arial" w:hAnsi="Arial" w:cs="Arial"/>
          <w:i/>
        </w:rPr>
        <w:t>Lemna minor</w:t>
      </w:r>
      <w:r>
        <w:rPr>
          <w:rFonts w:ascii="Arial" w:hAnsi="Arial" w:cs="Arial"/>
        </w:rPr>
        <w:t xml:space="preserve">. </w:t>
      </w:r>
      <w:r>
        <w:rPr>
          <w:rFonts w:ascii="Arial" w:hAnsi="Arial" w:cs="Arial"/>
          <w:highlight w:val="yellow"/>
        </w:rPr>
        <w:t>Across the cadmium</w:t>
      </w:r>
      <w:r>
        <w:rPr>
          <w:rFonts w:ascii="Arial" w:hAnsi="Arial" w:cs="Arial"/>
        </w:rPr>
        <w:t xml:space="preserve"> concentration </w:t>
      </w:r>
      <w:r>
        <w:rPr>
          <w:rFonts w:ascii="Arial" w:hAnsi="Arial" w:cs="Arial"/>
          <w:highlight w:val="yellow"/>
        </w:rPr>
        <w:t xml:space="preserve">range </w:t>
      </w:r>
      <w:r>
        <w:rPr>
          <w:rFonts w:ascii="Arial" w:hAnsi="Arial" w:cs="Arial"/>
        </w:rPr>
        <w:t xml:space="preserve">of 0 to 2 mg/L, </w:t>
      </w:r>
      <w:r>
        <w:rPr>
          <w:rFonts w:ascii="Arial" w:hAnsi="Arial" w:cs="Arial"/>
          <w:highlight w:val="yellow"/>
        </w:rPr>
        <w:t>APX</w:t>
      </w:r>
      <w:r>
        <w:rPr>
          <w:rFonts w:ascii="Arial" w:hAnsi="Arial" w:cs="Arial"/>
        </w:rPr>
        <w:t xml:space="preserve"> </w:t>
      </w:r>
      <w:r>
        <w:rPr>
          <w:rFonts w:ascii="Arial" w:hAnsi="Arial" w:cs="Arial"/>
          <w:highlight w:val="yellow"/>
        </w:rPr>
        <w:t>activity</w:t>
      </w:r>
      <w:r>
        <w:rPr>
          <w:rFonts w:ascii="Arial" w:hAnsi="Arial" w:cs="Arial"/>
        </w:rPr>
        <w:t xml:space="preserve"> </w:t>
      </w:r>
      <w:r>
        <w:rPr>
          <w:rFonts w:ascii="Arial" w:hAnsi="Arial" w:cs="Arial"/>
          <w:highlight w:val="yellow"/>
        </w:rPr>
        <w:t>increased</w:t>
      </w:r>
      <w:r>
        <w:rPr>
          <w:rFonts w:ascii="Arial" w:hAnsi="Arial" w:cs="Arial"/>
        </w:rPr>
        <w:t xml:space="preserve"> as cadmium levels </w:t>
      </w:r>
      <w:r>
        <w:rPr>
          <w:rFonts w:ascii="Arial" w:hAnsi="Arial" w:cs="Arial"/>
          <w:highlight w:val="yellow"/>
        </w:rPr>
        <w:t>rose</w:t>
      </w:r>
      <w:r>
        <w:rPr>
          <w:rFonts w:ascii="Arial" w:hAnsi="Arial" w:cs="Arial"/>
        </w:rPr>
        <w:t xml:space="preserve">. After 96 hours of treatment, </w:t>
      </w:r>
      <w:r>
        <w:rPr>
          <w:rFonts w:ascii="Arial" w:hAnsi="Arial" w:cs="Arial"/>
          <w:highlight w:val="yellow"/>
        </w:rPr>
        <w:t>activity</w:t>
      </w:r>
      <w:r>
        <w:rPr>
          <w:rFonts w:ascii="Arial" w:hAnsi="Arial" w:cs="Arial"/>
        </w:rPr>
        <w:t xml:space="preserve"> </w:t>
      </w:r>
      <w:r>
        <w:rPr>
          <w:rFonts w:ascii="Arial" w:hAnsi="Arial" w:cs="Arial"/>
          <w:highlight w:val="yellow"/>
        </w:rPr>
        <w:t>increased</w:t>
      </w:r>
      <w:r>
        <w:rPr>
          <w:rFonts w:ascii="Arial" w:hAnsi="Arial" w:cs="Arial"/>
        </w:rPr>
        <w:t xml:space="preserve"> </w:t>
      </w:r>
      <w:r>
        <w:rPr>
          <w:rFonts w:ascii="Arial" w:hAnsi="Arial" w:cs="Arial"/>
          <w:highlight w:val="yellow"/>
        </w:rPr>
        <w:t>significantly</w:t>
      </w:r>
      <w:r>
        <w:rPr>
          <w:rFonts w:ascii="Arial" w:hAnsi="Arial" w:cs="Arial"/>
        </w:rPr>
        <w:t xml:space="preserve"> </w:t>
      </w:r>
      <w:r>
        <w:rPr>
          <w:rFonts w:ascii="Arial" w:hAnsi="Arial" w:cs="Arial"/>
          <w:highlight w:val="yellow"/>
        </w:rPr>
        <w:t>by</w:t>
      </w:r>
      <w:r>
        <w:rPr>
          <w:rFonts w:ascii="Arial" w:hAnsi="Arial" w:cs="Arial"/>
        </w:rPr>
        <w:t xml:space="preserve"> 4%, 7%, 40.29%, 49.27% and 64.16% at concentrations of 0.1, 0.5, 1, 1.5 and 2 mg/L, respectively. A similar upward trend was observed in </w:t>
      </w:r>
      <w:r>
        <w:rPr>
          <w:rFonts w:ascii="Arial" w:hAnsi="Arial" w:cs="Arial"/>
          <w:i/>
        </w:rPr>
        <w:t>Lemna minor</w:t>
      </w:r>
      <w:r>
        <w:rPr>
          <w:rFonts w:ascii="Arial" w:hAnsi="Arial" w:cs="Arial"/>
        </w:rPr>
        <w:t xml:space="preserve"> exposed to </w:t>
      </w:r>
      <w:r>
        <w:rPr>
          <w:rFonts w:ascii="Arial" w:hAnsi="Arial" w:cs="Arial"/>
          <w:highlight w:val="yellow"/>
        </w:rPr>
        <w:t>paraquat</w:t>
      </w:r>
      <w:r>
        <w:rPr>
          <w:rFonts w:ascii="Arial" w:hAnsi="Arial" w:cs="Arial"/>
        </w:rPr>
        <w:t xml:space="preserve"> dichloride concentrations between 0 and 2.5 mg/L, </w:t>
      </w:r>
      <w:r>
        <w:rPr>
          <w:rFonts w:ascii="Arial" w:hAnsi="Arial" w:cs="Arial"/>
          <w:highlight w:val="yellow"/>
        </w:rPr>
        <w:t>with</w:t>
      </w:r>
      <w:r>
        <w:rPr>
          <w:rFonts w:ascii="Arial" w:hAnsi="Arial" w:cs="Arial"/>
        </w:rPr>
        <w:t xml:space="preserve"> activity </w:t>
      </w:r>
      <w:r>
        <w:rPr>
          <w:rFonts w:ascii="Arial" w:hAnsi="Arial" w:cs="Arial"/>
          <w:highlight w:val="yellow"/>
        </w:rPr>
        <w:t>increasing at</w:t>
      </w:r>
      <w:r>
        <w:rPr>
          <w:rFonts w:ascii="Arial" w:hAnsi="Arial" w:cs="Arial"/>
        </w:rPr>
        <w:t xml:space="preserve"> higher </w:t>
      </w:r>
      <w:r>
        <w:rPr>
          <w:rFonts w:ascii="Arial" w:hAnsi="Arial" w:cs="Arial"/>
          <w:highlight w:val="yellow"/>
        </w:rPr>
        <w:t>paraquat</w:t>
      </w:r>
      <w:r>
        <w:rPr>
          <w:rFonts w:ascii="Arial" w:hAnsi="Arial" w:cs="Arial"/>
        </w:rPr>
        <w:t xml:space="preserve"> dichloride concentrations</w:t>
      </w:r>
      <w:r>
        <w:rPr>
          <w:rFonts w:ascii="Arial" w:hAnsi="Arial" w:cs="Arial"/>
          <w:highlight w:val="yellow"/>
        </w:rPr>
        <w:t>, as</w:t>
      </w:r>
      <w:r>
        <w:rPr>
          <w:rFonts w:ascii="Arial" w:hAnsi="Arial" w:cs="Arial"/>
        </w:rPr>
        <w:t xml:space="preserve"> shown in Figure (5B). After 96 hours of treatment, </w:t>
      </w:r>
      <w:r>
        <w:rPr>
          <w:rFonts w:ascii="Arial" w:hAnsi="Arial" w:cs="Arial"/>
          <w:highlight w:val="yellow"/>
        </w:rPr>
        <w:t>activity</w:t>
      </w:r>
      <w:r>
        <w:rPr>
          <w:rFonts w:ascii="Arial" w:hAnsi="Arial" w:cs="Arial"/>
        </w:rPr>
        <w:t xml:space="preserve"> </w:t>
      </w:r>
      <w:r>
        <w:rPr>
          <w:rFonts w:ascii="Arial" w:hAnsi="Arial" w:cs="Arial"/>
          <w:highlight w:val="yellow"/>
        </w:rPr>
        <w:t>increased</w:t>
      </w:r>
      <w:r>
        <w:rPr>
          <w:rFonts w:ascii="Arial" w:hAnsi="Arial" w:cs="Arial"/>
        </w:rPr>
        <w:t xml:space="preserve"> </w:t>
      </w:r>
      <w:r>
        <w:rPr>
          <w:rFonts w:ascii="Arial" w:hAnsi="Arial" w:cs="Arial"/>
          <w:highlight w:val="yellow"/>
        </w:rPr>
        <w:t>significantly</w:t>
      </w:r>
      <w:r>
        <w:rPr>
          <w:rFonts w:ascii="Arial" w:hAnsi="Arial" w:cs="Arial"/>
        </w:rPr>
        <w:t xml:space="preserve"> </w:t>
      </w:r>
      <w:r>
        <w:rPr>
          <w:rFonts w:ascii="Arial" w:hAnsi="Arial" w:cs="Arial"/>
          <w:highlight w:val="yellow"/>
        </w:rPr>
        <w:t>by</w:t>
      </w:r>
      <w:r>
        <w:rPr>
          <w:rFonts w:ascii="Arial" w:hAnsi="Arial" w:cs="Arial"/>
        </w:rPr>
        <w:t xml:space="preserve"> 5.09%, 40%, 46%, 68% and 99% at concentrations of 0.5, 1, 1.5, 2 and 2.5 mg/L, respectively.</w:t>
      </w:r>
    </w:p>
    <w:p w14:paraId="0B542023" w14:textId="77777777" w:rsidR="00145385" w:rsidRDefault="00000000">
      <w:pPr>
        <w:jc w:val="center"/>
      </w:pPr>
      <w:r>
        <w:rPr>
          <w:noProof/>
        </w:rPr>
        <w:drawing>
          <wp:inline distT="0" distB="0" distL="0" distR="0" wp14:anchorId="5961FCC6" wp14:editId="1F2B13F2">
            <wp:extent cx="5238750" cy="19240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5238750" cy="1924050"/>
                    </a:xfrm>
                    <a:prstGeom prst="rect">
                      <a:avLst/>
                    </a:prstGeom>
                    <a:noFill/>
                  </pic:spPr>
                </pic:pic>
              </a:graphicData>
            </a:graphic>
          </wp:inline>
        </w:drawing>
      </w:r>
    </w:p>
    <w:p w14:paraId="3561889A" w14:textId="77777777" w:rsidR="004E7D15" w:rsidRPr="005E7EFF" w:rsidRDefault="004E7D15" w:rsidP="004E7D15">
      <w:pPr>
        <w:spacing w:line="276" w:lineRule="auto"/>
        <w:jc w:val="both"/>
        <w:rPr>
          <w:rFonts w:ascii="Arial" w:hAnsi="Arial" w:cs="Arial"/>
          <w:b/>
        </w:rPr>
      </w:pPr>
      <w:r w:rsidRPr="005E7EFF">
        <w:rPr>
          <w:rFonts w:ascii="Arial" w:hAnsi="Arial" w:cs="Arial"/>
          <w:b/>
        </w:rPr>
        <w:t>Figure</w:t>
      </w:r>
      <w:r w:rsidR="00204D56">
        <w:rPr>
          <w:rFonts w:ascii="Arial" w:hAnsi="Arial" w:cs="Arial"/>
          <w:b/>
        </w:rPr>
        <w:t>.</w:t>
      </w:r>
      <w:r w:rsidRPr="005E7EFF">
        <w:rPr>
          <w:rFonts w:ascii="Arial" w:hAnsi="Arial" w:cs="Arial"/>
          <w:b/>
        </w:rPr>
        <w:t xml:space="preserve"> 5 </w:t>
      </w:r>
      <w:r w:rsidRPr="005E7EFF">
        <w:rPr>
          <w:rFonts w:ascii="Arial" w:hAnsi="Arial" w:cs="Arial"/>
          <w:bCs/>
        </w:rPr>
        <w:t>Ascorbate peroxidase (APX) Activity</w:t>
      </w:r>
      <w:r w:rsidR="00897FEB">
        <w:rPr>
          <w:rFonts w:ascii="Arial" w:hAnsi="Arial" w:cs="Arial"/>
          <w:bCs/>
        </w:rPr>
        <w:t xml:space="preserve"> (</w:t>
      </w:r>
      <w:r w:rsidR="00897FEB" w:rsidRPr="005E7EFF">
        <w:rPr>
          <w:rFonts w:ascii="Arial" w:hAnsi="Arial" w:cs="Arial"/>
          <w:bCs/>
        </w:rPr>
        <w:t>nmol H</w:t>
      </w:r>
      <w:r w:rsidR="00897FEB" w:rsidRPr="005E7EFF">
        <w:rPr>
          <w:rFonts w:ascii="Arial" w:hAnsi="Arial" w:cs="Arial"/>
          <w:bCs/>
          <w:vertAlign w:val="subscript"/>
        </w:rPr>
        <w:t>2</w:t>
      </w:r>
      <w:r w:rsidR="00897FEB" w:rsidRPr="005E7EFF">
        <w:rPr>
          <w:rFonts w:ascii="Arial" w:hAnsi="Arial" w:cs="Arial"/>
          <w:bCs/>
        </w:rPr>
        <w:t>O</w:t>
      </w:r>
      <w:r w:rsidR="00897FEB" w:rsidRPr="005E7EFF">
        <w:rPr>
          <w:rFonts w:ascii="Arial" w:hAnsi="Arial" w:cs="Arial"/>
          <w:bCs/>
          <w:vertAlign w:val="subscript"/>
        </w:rPr>
        <w:t>2</w:t>
      </w:r>
      <w:r w:rsidR="00897FEB" w:rsidRPr="005E7EFF">
        <w:rPr>
          <w:rFonts w:ascii="Arial" w:hAnsi="Arial" w:cs="Arial"/>
          <w:bCs/>
        </w:rPr>
        <w:t xml:space="preserve"> decomposed/gm (fresh weight) FW/min *10</w:t>
      </w:r>
      <w:r w:rsidR="00897FEB" w:rsidRPr="005E7EFF">
        <w:rPr>
          <w:rFonts w:ascii="Arial" w:hAnsi="Arial" w:cs="Arial"/>
          <w:bCs/>
          <w:vertAlign w:val="superscript"/>
        </w:rPr>
        <w:t>3</w:t>
      </w:r>
      <w:r w:rsidR="00897FEB" w:rsidRPr="005E7EFF">
        <w:rPr>
          <w:rFonts w:ascii="Arial" w:hAnsi="Arial" w:cs="Arial"/>
          <w:bCs/>
        </w:rPr>
        <w:t xml:space="preserve"> after 4</w:t>
      </w:r>
      <w:r w:rsidR="00897FEB" w:rsidRPr="005E7EFF">
        <w:rPr>
          <w:rFonts w:ascii="Arial" w:hAnsi="Arial" w:cs="Arial"/>
          <w:bCs/>
          <w:vertAlign w:val="superscript"/>
        </w:rPr>
        <w:t>th</w:t>
      </w:r>
      <w:r w:rsidR="00897FEB" w:rsidRPr="005E7EFF">
        <w:rPr>
          <w:rFonts w:ascii="Arial" w:hAnsi="Arial" w:cs="Arial"/>
          <w:bCs/>
        </w:rPr>
        <w:t xml:space="preserve"> day of treatment</w:t>
      </w:r>
      <w:r w:rsidR="00897FEB">
        <w:rPr>
          <w:rFonts w:ascii="Arial" w:hAnsi="Arial" w:cs="Arial"/>
          <w:bCs/>
        </w:rPr>
        <w:t>)</w:t>
      </w:r>
      <w:r w:rsidRPr="005E7EFF">
        <w:rPr>
          <w:rFonts w:ascii="Arial" w:hAnsi="Arial" w:cs="Arial"/>
          <w:bCs/>
        </w:rPr>
        <w:t xml:space="preserve"> in </w:t>
      </w:r>
      <w:r w:rsidRPr="005E7EFF">
        <w:rPr>
          <w:rFonts w:ascii="Arial" w:hAnsi="Arial" w:cs="Arial"/>
          <w:bCs/>
          <w:i/>
        </w:rPr>
        <w:t>Lemna minor</w:t>
      </w:r>
      <w:r w:rsidR="00897FEB">
        <w:rPr>
          <w:rFonts w:ascii="Arial" w:hAnsi="Arial" w:cs="Arial"/>
          <w:bCs/>
          <w:i/>
        </w:rPr>
        <w:t xml:space="preserve"> </w:t>
      </w:r>
      <w:r w:rsidR="00897FEB">
        <w:rPr>
          <w:rFonts w:ascii="Arial" w:hAnsi="Arial" w:cs="Arial"/>
        </w:rPr>
        <w:t>(A)</w:t>
      </w:r>
      <w:r w:rsidR="00897FEB" w:rsidRPr="005E7EFF">
        <w:rPr>
          <w:rFonts w:ascii="Arial" w:hAnsi="Arial" w:cs="Arial"/>
        </w:rPr>
        <w:t xml:space="preserve"> cadmium </w:t>
      </w:r>
      <w:r w:rsidR="00897FEB">
        <w:rPr>
          <w:rFonts w:ascii="Arial" w:hAnsi="Arial" w:cs="Arial"/>
        </w:rPr>
        <w:t>(Tukey HSD p value for non-homogenous group d = 0.999 whereas a, b, c, and e &lt; 0.05 represent homogenous groups) (B)</w:t>
      </w:r>
      <w:r w:rsidR="00897FEB" w:rsidRPr="005E7EFF">
        <w:rPr>
          <w:rFonts w:ascii="Arial" w:hAnsi="Arial" w:cs="Arial"/>
          <w:bCs/>
        </w:rPr>
        <w:t xml:space="preserve"> </w:t>
      </w:r>
      <w:r w:rsidR="00897FEB" w:rsidRPr="005E7EFF">
        <w:rPr>
          <w:rFonts w:ascii="Arial" w:hAnsi="Arial" w:cs="Arial"/>
        </w:rPr>
        <w:t xml:space="preserve">paraquat dichloride </w:t>
      </w:r>
      <w:r w:rsidR="00897FEB">
        <w:rPr>
          <w:rFonts w:ascii="Arial" w:hAnsi="Arial" w:cs="Arial"/>
        </w:rPr>
        <w:t>(Tukey HSD p value for a, b, c, d, e, and f &lt; 0.05 represent homogenous groups).</w:t>
      </w:r>
      <w:r w:rsidR="00897FEB" w:rsidRPr="00F3101E">
        <w:t xml:space="preserve"> </w:t>
      </w:r>
      <w:r w:rsidR="00897FEB" w:rsidRPr="00F3101E">
        <w:rPr>
          <w:rFonts w:ascii="Arial" w:hAnsi="Arial" w:cs="Arial"/>
          <w:bCs/>
        </w:rPr>
        <w:t>Data are means ± SE.</w:t>
      </w:r>
    </w:p>
    <w:p w14:paraId="79C24406" w14:textId="77777777" w:rsidR="006658A9" w:rsidRDefault="006658A9" w:rsidP="004E7D15">
      <w:pPr>
        <w:spacing w:line="276" w:lineRule="auto"/>
        <w:jc w:val="both"/>
        <w:rPr>
          <w:rFonts w:ascii="Arial" w:hAnsi="Arial" w:cs="Arial"/>
          <w:b/>
        </w:rPr>
      </w:pPr>
    </w:p>
    <w:p w14:paraId="2CB89058" w14:textId="77777777" w:rsidR="004E7D15" w:rsidRPr="00986523" w:rsidRDefault="004E7D15" w:rsidP="004E7D15">
      <w:pPr>
        <w:spacing w:line="276" w:lineRule="auto"/>
        <w:jc w:val="both"/>
        <w:rPr>
          <w:rFonts w:ascii="Arial" w:hAnsi="Arial" w:cs="Arial"/>
          <w:b/>
        </w:rPr>
      </w:pPr>
      <w:r>
        <w:rPr>
          <w:rFonts w:ascii="Arial" w:hAnsi="Arial" w:cs="Arial"/>
          <w:b/>
        </w:rPr>
        <w:t xml:space="preserve">3.2.5. Glutathione reductase (GR) </w:t>
      </w:r>
      <w:r>
        <w:rPr>
          <w:rFonts w:ascii="Arial" w:hAnsi="Arial" w:cs="Arial"/>
          <w:b/>
          <w:highlight w:val="yellow"/>
        </w:rPr>
        <w:t>activity</w:t>
      </w:r>
    </w:p>
    <w:p w14:paraId="3F8644AE" w14:textId="77777777" w:rsidR="004E7D15" w:rsidRPr="005E7EFF" w:rsidRDefault="004E7D15" w:rsidP="004E7D15">
      <w:pPr>
        <w:spacing w:line="276" w:lineRule="auto"/>
        <w:jc w:val="both"/>
        <w:rPr>
          <w:rFonts w:ascii="Arial" w:hAnsi="Arial" w:cs="Arial"/>
        </w:rPr>
      </w:pPr>
      <w:r>
        <w:rPr>
          <w:rFonts w:ascii="Arial" w:hAnsi="Arial" w:cs="Arial"/>
        </w:rPr>
        <w:t xml:space="preserve">Figure (6A) shows the results </w:t>
      </w:r>
      <w:r>
        <w:rPr>
          <w:rFonts w:ascii="Arial" w:hAnsi="Arial" w:cs="Arial"/>
          <w:highlight w:val="yellow"/>
        </w:rPr>
        <w:t>for</w:t>
      </w:r>
      <w:r>
        <w:rPr>
          <w:rFonts w:ascii="Arial" w:hAnsi="Arial" w:cs="Arial"/>
        </w:rPr>
        <w:t xml:space="preserve"> GR activity in the duckweed species </w:t>
      </w:r>
      <w:r>
        <w:rPr>
          <w:rFonts w:ascii="Arial" w:hAnsi="Arial" w:cs="Arial"/>
          <w:i/>
        </w:rPr>
        <w:t>Lemna minor.</w:t>
      </w:r>
      <w:r>
        <w:rPr>
          <w:rFonts w:ascii="Arial" w:hAnsi="Arial" w:cs="Arial"/>
        </w:rPr>
        <w:t xml:space="preserve"> Different cadmium </w:t>
      </w:r>
      <w:r>
        <w:rPr>
          <w:rFonts w:ascii="Arial" w:hAnsi="Arial" w:cs="Arial"/>
          <w:highlight w:val="yellow"/>
        </w:rPr>
        <w:t>concentrations had</w:t>
      </w:r>
      <w:r>
        <w:rPr>
          <w:rFonts w:ascii="Arial" w:hAnsi="Arial" w:cs="Arial"/>
        </w:rPr>
        <w:t xml:space="preserve"> a </w:t>
      </w:r>
      <w:r>
        <w:rPr>
          <w:rFonts w:ascii="Arial" w:hAnsi="Arial" w:cs="Arial"/>
          <w:highlight w:val="yellow"/>
        </w:rPr>
        <w:t>marked</w:t>
      </w:r>
      <w:r>
        <w:rPr>
          <w:rFonts w:ascii="Arial" w:hAnsi="Arial" w:cs="Arial"/>
        </w:rPr>
        <w:t xml:space="preserve"> effect on </w:t>
      </w:r>
      <w:r>
        <w:rPr>
          <w:rFonts w:ascii="Arial" w:hAnsi="Arial" w:cs="Arial"/>
          <w:i/>
        </w:rPr>
        <w:t>Lemna minor</w:t>
      </w:r>
      <w:r>
        <w:rPr>
          <w:rFonts w:ascii="Arial" w:hAnsi="Arial" w:cs="Arial"/>
        </w:rPr>
        <w:t xml:space="preserve">. </w:t>
      </w:r>
      <w:r>
        <w:rPr>
          <w:rFonts w:ascii="Arial" w:hAnsi="Arial" w:cs="Arial"/>
          <w:highlight w:val="yellow"/>
        </w:rPr>
        <w:t>Across the cadmium</w:t>
      </w:r>
      <w:r>
        <w:rPr>
          <w:rFonts w:ascii="Arial" w:hAnsi="Arial" w:cs="Arial"/>
        </w:rPr>
        <w:t xml:space="preserve"> concentration </w:t>
      </w:r>
      <w:r>
        <w:rPr>
          <w:rFonts w:ascii="Arial" w:hAnsi="Arial" w:cs="Arial"/>
          <w:highlight w:val="yellow"/>
        </w:rPr>
        <w:t xml:space="preserve">range </w:t>
      </w:r>
      <w:r>
        <w:rPr>
          <w:rFonts w:ascii="Arial" w:hAnsi="Arial" w:cs="Arial"/>
        </w:rPr>
        <w:t xml:space="preserve">of 0 to 2 mg/L, </w:t>
      </w:r>
      <w:r>
        <w:rPr>
          <w:rFonts w:ascii="Arial" w:hAnsi="Arial" w:cs="Arial"/>
          <w:highlight w:val="yellow"/>
        </w:rPr>
        <w:t>GR</w:t>
      </w:r>
      <w:r>
        <w:rPr>
          <w:rFonts w:ascii="Arial" w:hAnsi="Arial" w:cs="Arial"/>
        </w:rPr>
        <w:t xml:space="preserve"> </w:t>
      </w:r>
      <w:r>
        <w:rPr>
          <w:rFonts w:ascii="Arial" w:hAnsi="Arial" w:cs="Arial"/>
          <w:highlight w:val="yellow"/>
        </w:rPr>
        <w:t>activity</w:t>
      </w:r>
      <w:r>
        <w:rPr>
          <w:rFonts w:ascii="Arial" w:hAnsi="Arial" w:cs="Arial"/>
        </w:rPr>
        <w:t xml:space="preserve"> </w:t>
      </w:r>
      <w:r>
        <w:rPr>
          <w:rFonts w:ascii="Arial" w:hAnsi="Arial" w:cs="Arial"/>
          <w:highlight w:val="yellow"/>
        </w:rPr>
        <w:t>increased</w:t>
      </w:r>
      <w:r>
        <w:rPr>
          <w:rFonts w:ascii="Arial" w:hAnsi="Arial" w:cs="Arial"/>
        </w:rPr>
        <w:t xml:space="preserve"> as </w:t>
      </w:r>
      <w:r>
        <w:rPr>
          <w:rFonts w:ascii="Arial" w:hAnsi="Arial" w:cs="Arial"/>
          <w:highlight w:val="yellow"/>
        </w:rPr>
        <w:t>cadmium</w:t>
      </w:r>
      <w:r>
        <w:rPr>
          <w:rFonts w:ascii="Arial" w:hAnsi="Arial" w:cs="Arial"/>
        </w:rPr>
        <w:t xml:space="preserve"> levels </w:t>
      </w:r>
      <w:r>
        <w:rPr>
          <w:rFonts w:ascii="Arial" w:hAnsi="Arial" w:cs="Arial"/>
          <w:highlight w:val="yellow"/>
        </w:rPr>
        <w:t>rose</w:t>
      </w:r>
      <w:r>
        <w:rPr>
          <w:rFonts w:ascii="Arial" w:hAnsi="Arial" w:cs="Arial"/>
        </w:rPr>
        <w:t xml:space="preserve">. After 96 hours of treatment, </w:t>
      </w:r>
      <w:r>
        <w:rPr>
          <w:rFonts w:ascii="Arial" w:hAnsi="Arial" w:cs="Arial"/>
          <w:highlight w:val="yellow"/>
        </w:rPr>
        <w:t>activity</w:t>
      </w:r>
      <w:r>
        <w:rPr>
          <w:rFonts w:ascii="Arial" w:hAnsi="Arial" w:cs="Arial"/>
        </w:rPr>
        <w:t xml:space="preserve"> </w:t>
      </w:r>
      <w:r>
        <w:rPr>
          <w:rFonts w:ascii="Arial" w:hAnsi="Arial" w:cs="Arial"/>
          <w:highlight w:val="yellow"/>
        </w:rPr>
        <w:t>increased</w:t>
      </w:r>
      <w:r>
        <w:rPr>
          <w:rFonts w:ascii="Arial" w:hAnsi="Arial" w:cs="Arial"/>
        </w:rPr>
        <w:t xml:space="preserve"> </w:t>
      </w:r>
      <w:r>
        <w:rPr>
          <w:rFonts w:ascii="Arial" w:hAnsi="Arial" w:cs="Arial"/>
          <w:highlight w:val="yellow"/>
        </w:rPr>
        <w:t>significantly</w:t>
      </w:r>
      <w:r>
        <w:rPr>
          <w:rFonts w:ascii="Arial" w:hAnsi="Arial" w:cs="Arial"/>
        </w:rPr>
        <w:t xml:space="preserve"> </w:t>
      </w:r>
      <w:r>
        <w:rPr>
          <w:rFonts w:ascii="Arial" w:hAnsi="Arial" w:cs="Arial"/>
          <w:highlight w:val="yellow"/>
        </w:rPr>
        <w:t>by</w:t>
      </w:r>
      <w:r>
        <w:rPr>
          <w:rFonts w:ascii="Arial" w:hAnsi="Arial" w:cs="Arial"/>
        </w:rPr>
        <w:t xml:space="preserve"> 23%, 26%, 36.11%, 37% and 65% at concentrations of 0.1, 0.5, 1, 1.5 and 2 mg/L, respectively. </w:t>
      </w:r>
      <w:r>
        <w:rPr>
          <w:rFonts w:ascii="Arial" w:hAnsi="Arial" w:cs="Arial"/>
          <w:i/>
        </w:rPr>
        <w:t>Lemna minor</w:t>
      </w:r>
      <w:r>
        <w:rPr>
          <w:rFonts w:ascii="Arial" w:hAnsi="Arial" w:cs="Arial"/>
        </w:rPr>
        <w:t xml:space="preserve"> exhibited a comparable upward trend </w:t>
      </w:r>
      <w:r>
        <w:rPr>
          <w:rFonts w:ascii="Arial" w:hAnsi="Arial" w:cs="Arial"/>
          <w:highlight w:val="yellow"/>
        </w:rPr>
        <w:t>under</w:t>
      </w:r>
      <w:r>
        <w:rPr>
          <w:rFonts w:ascii="Arial" w:hAnsi="Arial" w:cs="Arial"/>
        </w:rPr>
        <w:t xml:space="preserve"> herbicide exposure</w:t>
      </w:r>
      <w:r>
        <w:rPr>
          <w:rFonts w:ascii="Arial" w:hAnsi="Arial" w:cs="Arial"/>
          <w:highlight w:val="yellow"/>
        </w:rPr>
        <w:t>, as</w:t>
      </w:r>
      <w:r>
        <w:rPr>
          <w:rFonts w:ascii="Arial" w:hAnsi="Arial" w:cs="Arial"/>
        </w:rPr>
        <w:t xml:space="preserve"> shown in Figure</w:t>
      </w:r>
      <w:r>
        <w:rPr>
          <w:rFonts w:ascii="Arial" w:hAnsi="Arial" w:cs="Arial"/>
          <w:highlight w:val="yellow"/>
        </w:rPr>
        <w:t xml:space="preserve"> </w:t>
      </w:r>
      <w:r>
        <w:rPr>
          <w:rFonts w:ascii="Arial" w:hAnsi="Arial" w:cs="Arial"/>
        </w:rPr>
        <w:t xml:space="preserve">(6B). </w:t>
      </w:r>
      <w:r>
        <w:rPr>
          <w:rFonts w:ascii="Arial" w:hAnsi="Arial" w:cs="Arial"/>
          <w:highlight w:val="yellow"/>
        </w:rPr>
        <w:t>Across</w:t>
      </w:r>
      <w:r>
        <w:rPr>
          <w:rFonts w:ascii="Arial" w:hAnsi="Arial" w:cs="Arial"/>
        </w:rPr>
        <w:t xml:space="preserve"> </w:t>
      </w:r>
      <w:r>
        <w:rPr>
          <w:rFonts w:ascii="Arial" w:hAnsi="Arial" w:cs="Arial"/>
          <w:highlight w:val="yellow"/>
        </w:rPr>
        <w:t>the</w:t>
      </w:r>
      <w:r>
        <w:rPr>
          <w:rFonts w:ascii="Arial" w:hAnsi="Arial" w:cs="Arial"/>
        </w:rPr>
        <w:t xml:space="preserve"> paraquat dichloride </w:t>
      </w:r>
      <w:r>
        <w:rPr>
          <w:rFonts w:ascii="Arial" w:hAnsi="Arial" w:cs="Arial"/>
          <w:highlight w:val="yellow"/>
        </w:rPr>
        <w:t xml:space="preserve">concentration range of </w:t>
      </w:r>
      <w:r>
        <w:rPr>
          <w:rFonts w:ascii="Arial" w:hAnsi="Arial" w:cs="Arial"/>
        </w:rPr>
        <w:t>0 to 2.5 mg/L</w:t>
      </w:r>
      <w:r>
        <w:rPr>
          <w:rFonts w:ascii="Arial" w:hAnsi="Arial" w:cs="Arial"/>
          <w:highlight w:val="yellow"/>
        </w:rPr>
        <w:t>,</w:t>
      </w:r>
      <w:r>
        <w:rPr>
          <w:rFonts w:ascii="Arial" w:hAnsi="Arial" w:cs="Arial"/>
        </w:rPr>
        <w:t xml:space="preserve"> </w:t>
      </w:r>
      <w:r>
        <w:rPr>
          <w:rFonts w:ascii="Arial" w:hAnsi="Arial" w:cs="Arial"/>
          <w:highlight w:val="yellow"/>
        </w:rPr>
        <w:t>GR</w:t>
      </w:r>
      <w:r>
        <w:rPr>
          <w:rFonts w:ascii="Arial" w:hAnsi="Arial" w:cs="Arial"/>
        </w:rPr>
        <w:t xml:space="preserve"> activity</w:t>
      </w:r>
      <w:r>
        <w:rPr>
          <w:rFonts w:ascii="Arial" w:hAnsi="Arial" w:cs="Arial"/>
          <w:highlight w:val="yellow"/>
        </w:rPr>
        <w:t xml:space="preserve"> increased</w:t>
      </w:r>
      <w:r>
        <w:rPr>
          <w:rFonts w:ascii="Arial" w:hAnsi="Arial" w:cs="Arial"/>
        </w:rPr>
        <w:t xml:space="preserve"> with increasing paraquat dichloride levels. After 96 hours of treatment, </w:t>
      </w:r>
      <w:r>
        <w:rPr>
          <w:rFonts w:ascii="Arial" w:hAnsi="Arial" w:cs="Arial"/>
          <w:highlight w:val="yellow"/>
        </w:rPr>
        <w:t>activity</w:t>
      </w:r>
      <w:r>
        <w:rPr>
          <w:rFonts w:ascii="Arial" w:hAnsi="Arial" w:cs="Arial"/>
        </w:rPr>
        <w:t xml:space="preserve"> </w:t>
      </w:r>
      <w:r>
        <w:rPr>
          <w:rFonts w:ascii="Arial" w:hAnsi="Arial" w:cs="Arial"/>
          <w:highlight w:val="yellow"/>
        </w:rPr>
        <w:t>increased</w:t>
      </w:r>
      <w:r>
        <w:rPr>
          <w:rFonts w:ascii="Arial" w:hAnsi="Arial" w:cs="Arial"/>
        </w:rPr>
        <w:t xml:space="preserve"> </w:t>
      </w:r>
      <w:r>
        <w:rPr>
          <w:rFonts w:ascii="Arial" w:hAnsi="Arial" w:cs="Arial"/>
          <w:highlight w:val="yellow"/>
        </w:rPr>
        <w:t>significantly</w:t>
      </w:r>
      <w:r>
        <w:rPr>
          <w:rFonts w:ascii="Arial" w:hAnsi="Arial" w:cs="Arial"/>
        </w:rPr>
        <w:t xml:space="preserve"> </w:t>
      </w:r>
      <w:r>
        <w:rPr>
          <w:rFonts w:ascii="Arial" w:hAnsi="Arial" w:cs="Arial"/>
          <w:highlight w:val="yellow"/>
        </w:rPr>
        <w:t>by</w:t>
      </w:r>
      <w:r>
        <w:rPr>
          <w:rFonts w:ascii="Arial" w:hAnsi="Arial" w:cs="Arial"/>
        </w:rPr>
        <w:t xml:space="preserve"> 6.11%,</w:t>
      </w:r>
      <w:r>
        <w:rPr>
          <w:rFonts w:ascii="Arial" w:hAnsi="Arial" w:cs="Arial"/>
          <w:highlight w:val="yellow"/>
        </w:rPr>
        <w:t xml:space="preserve"> </w:t>
      </w:r>
      <w:r>
        <w:rPr>
          <w:rFonts w:ascii="Arial" w:hAnsi="Arial" w:cs="Arial"/>
        </w:rPr>
        <w:t>10.29%, 25%, 49% and 51.12% at concentrations of 0.</w:t>
      </w:r>
      <w:r>
        <w:rPr>
          <w:rFonts w:ascii="Arial" w:hAnsi="Arial" w:cs="Arial"/>
          <w:highlight w:val="yellow"/>
        </w:rPr>
        <w:t>5 mg</w:t>
      </w:r>
      <w:r>
        <w:rPr>
          <w:rFonts w:ascii="Arial" w:hAnsi="Arial" w:cs="Arial"/>
        </w:rPr>
        <w:t xml:space="preserve">/L, </w:t>
      </w:r>
      <w:r>
        <w:rPr>
          <w:rFonts w:ascii="Arial" w:hAnsi="Arial" w:cs="Arial"/>
          <w:highlight w:val="yellow"/>
        </w:rPr>
        <w:t>1 mg</w:t>
      </w:r>
      <w:r>
        <w:rPr>
          <w:rFonts w:ascii="Arial" w:hAnsi="Arial" w:cs="Arial"/>
        </w:rPr>
        <w:t>/L, 1.</w:t>
      </w:r>
      <w:r>
        <w:rPr>
          <w:rFonts w:ascii="Arial" w:hAnsi="Arial" w:cs="Arial"/>
          <w:highlight w:val="yellow"/>
        </w:rPr>
        <w:t>5 mg</w:t>
      </w:r>
      <w:r>
        <w:rPr>
          <w:rFonts w:ascii="Arial" w:hAnsi="Arial" w:cs="Arial"/>
        </w:rPr>
        <w:t xml:space="preserve">/L, </w:t>
      </w:r>
      <w:r>
        <w:rPr>
          <w:rFonts w:ascii="Arial" w:hAnsi="Arial" w:cs="Arial"/>
          <w:highlight w:val="yellow"/>
        </w:rPr>
        <w:t>2 mg</w:t>
      </w:r>
      <w:r>
        <w:rPr>
          <w:rFonts w:ascii="Arial" w:hAnsi="Arial" w:cs="Arial"/>
        </w:rPr>
        <w:t>/</w:t>
      </w:r>
      <w:r>
        <w:rPr>
          <w:rFonts w:ascii="Arial" w:hAnsi="Arial" w:cs="Arial"/>
          <w:highlight w:val="yellow"/>
        </w:rPr>
        <w:t>L and</w:t>
      </w:r>
      <w:r>
        <w:rPr>
          <w:rFonts w:ascii="Arial" w:hAnsi="Arial" w:cs="Arial"/>
        </w:rPr>
        <w:t xml:space="preserve"> 2.5 mg/L, respectively.</w:t>
      </w:r>
    </w:p>
    <w:p w14:paraId="1D059058" w14:textId="77777777" w:rsidR="004E7D15" w:rsidRPr="00B27A67" w:rsidRDefault="002416E1" w:rsidP="004E7D15">
      <w:pPr>
        <w:spacing w:line="276" w:lineRule="auto"/>
        <w:jc w:val="both"/>
        <w:rPr>
          <w:rFonts w:ascii="Arial" w:hAnsi="Arial" w:cs="Arial"/>
          <w:b/>
        </w:rPr>
      </w:pPr>
      <w:r w:rsidRPr="005E7EFF">
        <w:rPr>
          <w:rFonts w:ascii="Arial" w:hAnsi="Arial" w:cs="Arial"/>
          <w:noProof/>
        </w:rPr>
        <w:lastRenderedPageBreak/>
        <w:drawing>
          <wp:anchor distT="0" distB="0" distL="114300" distR="114300" simplePos="0" relativeHeight="251654656" behindDoc="1" locked="0" layoutInCell="1" allowOverlap="1" wp14:anchorId="48EE8D76" wp14:editId="0A2929F7">
            <wp:simplePos x="0" y="0"/>
            <wp:positionH relativeFrom="column">
              <wp:posOffset>-105410</wp:posOffset>
            </wp:positionH>
            <wp:positionV relativeFrom="paragraph">
              <wp:posOffset>31750</wp:posOffset>
            </wp:positionV>
            <wp:extent cx="5372100" cy="2108200"/>
            <wp:effectExtent l="0" t="0" r="0" b="6350"/>
            <wp:wrapTight wrapText="bothSides">
              <wp:wrapPolygon edited="0">
                <wp:start x="0" y="0"/>
                <wp:lineTo x="0" y="21470"/>
                <wp:lineTo x="21523" y="21470"/>
                <wp:lineTo x="21523" y="195"/>
                <wp:lineTo x="11260"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5372100" cy="2108200"/>
                    </a:xfrm>
                    <a:prstGeom prst="rect">
                      <a:avLst/>
                    </a:prstGeom>
                    <a:noFill/>
                  </pic:spPr>
                </pic:pic>
              </a:graphicData>
            </a:graphic>
            <wp14:sizeRelH relativeFrom="margin">
              <wp14:pctWidth>0</wp14:pctWidth>
            </wp14:sizeRelH>
            <wp14:sizeRelV relativeFrom="margin">
              <wp14:pctHeight>0</wp14:pctHeight>
            </wp14:sizeRelV>
          </wp:anchor>
        </w:drawing>
      </w:r>
      <w:r w:rsidR="004E7D15" w:rsidRPr="005E7EFF">
        <w:rPr>
          <w:rFonts w:ascii="Arial" w:hAnsi="Arial" w:cs="Arial"/>
          <w:b/>
        </w:rPr>
        <w:t>Figure</w:t>
      </w:r>
      <w:r w:rsidR="00204D56">
        <w:rPr>
          <w:rFonts w:ascii="Arial" w:hAnsi="Arial" w:cs="Arial"/>
          <w:b/>
        </w:rPr>
        <w:t>.</w:t>
      </w:r>
      <w:r w:rsidR="004E7D15" w:rsidRPr="005E7EFF">
        <w:rPr>
          <w:rFonts w:ascii="Arial" w:hAnsi="Arial" w:cs="Arial"/>
          <w:b/>
        </w:rPr>
        <w:t xml:space="preserve"> 6</w:t>
      </w:r>
      <w:r w:rsidR="00204D56">
        <w:rPr>
          <w:rFonts w:ascii="Arial" w:hAnsi="Arial" w:cs="Arial"/>
          <w:b/>
        </w:rPr>
        <w:t xml:space="preserve"> </w:t>
      </w:r>
      <w:r w:rsidR="004E7D15" w:rsidRPr="005E7EFF">
        <w:rPr>
          <w:rFonts w:ascii="Arial" w:hAnsi="Arial" w:cs="Arial"/>
        </w:rPr>
        <w:t>Glutathione Reductase (GR) Activity</w:t>
      </w:r>
      <w:r w:rsidR="00897FEB">
        <w:rPr>
          <w:rFonts w:ascii="Arial" w:hAnsi="Arial" w:cs="Arial"/>
        </w:rPr>
        <w:t xml:space="preserve"> (</w:t>
      </w:r>
      <w:r w:rsidR="00897FEB" w:rsidRPr="005E7EFF">
        <w:rPr>
          <w:rFonts w:ascii="Arial" w:hAnsi="Arial" w:cs="Arial"/>
          <w:bCs/>
        </w:rPr>
        <w:t>units/mg FW (fresh weight) after 4</w:t>
      </w:r>
      <w:r w:rsidR="00897FEB" w:rsidRPr="005E7EFF">
        <w:rPr>
          <w:rFonts w:ascii="Arial" w:hAnsi="Arial" w:cs="Arial"/>
          <w:bCs/>
          <w:vertAlign w:val="superscript"/>
        </w:rPr>
        <w:t>th</w:t>
      </w:r>
      <w:r w:rsidR="00897FEB" w:rsidRPr="005E7EFF">
        <w:rPr>
          <w:rFonts w:ascii="Arial" w:hAnsi="Arial" w:cs="Arial"/>
          <w:bCs/>
        </w:rPr>
        <w:t xml:space="preserve"> day of treatment</w:t>
      </w:r>
      <w:r w:rsidR="00897FEB">
        <w:rPr>
          <w:rFonts w:ascii="Arial" w:hAnsi="Arial" w:cs="Arial"/>
          <w:bCs/>
        </w:rPr>
        <w:t>)</w:t>
      </w:r>
      <w:r w:rsidR="004E7D15" w:rsidRPr="005E7EFF">
        <w:rPr>
          <w:rFonts w:ascii="Arial" w:hAnsi="Arial" w:cs="Arial"/>
        </w:rPr>
        <w:t xml:space="preserve"> in </w:t>
      </w:r>
      <w:r w:rsidR="004E7D15" w:rsidRPr="005E7EFF">
        <w:rPr>
          <w:rFonts w:ascii="Arial" w:hAnsi="Arial" w:cs="Arial"/>
          <w:i/>
        </w:rPr>
        <w:t xml:space="preserve">Lemna minor </w:t>
      </w:r>
      <w:r w:rsidR="00897FEB">
        <w:rPr>
          <w:rFonts w:ascii="Arial" w:hAnsi="Arial" w:cs="Arial"/>
        </w:rPr>
        <w:t>(A)</w:t>
      </w:r>
      <w:r w:rsidR="00897FEB" w:rsidRPr="005E7EFF">
        <w:rPr>
          <w:rFonts w:ascii="Arial" w:hAnsi="Arial" w:cs="Arial"/>
        </w:rPr>
        <w:t xml:space="preserve"> cadmium </w:t>
      </w:r>
      <w:r w:rsidR="00897FEB">
        <w:rPr>
          <w:rFonts w:ascii="Arial" w:hAnsi="Arial" w:cs="Arial"/>
        </w:rPr>
        <w:t>(Tukey HSD p value for non-homogenous group b = 0.</w:t>
      </w:r>
      <w:r w:rsidR="00A443A5">
        <w:rPr>
          <w:rFonts w:ascii="Arial" w:hAnsi="Arial" w:cs="Arial"/>
        </w:rPr>
        <w:t>97</w:t>
      </w:r>
      <w:r w:rsidR="00897FEB">
        <w:rPr>
          <w:rFonts w:ascii="Arial" w:hAnsi="Arial" w:cs="Arial"/>
        </w:rPr>
        <w:t>9</w:t>
      </w:r>
      <w:r w:rsidR="00A443A5">
        <w:rPr>
          <w:rFonts w:ascii="Arial" w:hAnsi="Arial" w:cs="Arial"/>
        </w:rPr>
        <w:t>, and c = 0.789</w:t>
      </w:r>
      <w:r w:rsidR="00897FEB">
        <w:rPr>
          <w:rFonts w:ascii="Arial" w:hAnsi="Arial" w:cs="Arial"/>
        </w:rPr>
        <w:t xml:space="preserve"> whereas a, and </w:t>
      </w:r>
      <w:r w:rsidR="00A443A5">
        <w:rPr>
          <w:rFonts w:ascii="Arial" w:hAnsi="Arial" w:cs="Arial"/>
        </w:rPr>
        <w:t>d</w:t>
      </w:r>
      <w:r w:rsidR="00897FEB">
        <w:rPr>
          <w:rFonts w:ascii="Arial" w:hAnsi="Arial" w:cs="Arial"/>
        </w:rPr>
        <w:t xml:space="preserve"> &lt; 0.05 represent homogenous group</w:t>
      </w:r>
      <w:r w:rsidR="00A443A5">
        <w:rPr>
          <w:rFonts w:ascii="Arial" w:hAnsi="Arial" w:cs="Arial"/>
        </w:rPr>
        <w:t>s</w:t>
      </w:r>
      <w:r w:rsidR="00897FEB">
        <w:rPr>
          <w:rFonts w:ascii="Arial" w:hAnsi="Arial" w:cs="Arial"/>
        </w:rPr>
        <w:t>) (B)</w:t>
      </w:r>
      <w:r w:rsidR="00897FEB" w:rsidRPr="005E7EFF">
        <w:rPr>
          <w:rFonts w:ascii="Arial" w:hAnsi="Arial" w:cs="Arial"/>
          <w:bCs/>
        </w:rPr>
        <w:t xml:space="preserve"> </w:t>
      </w:r>
      <w:r w:rsidR="00897FEB" w:rsidRPr="005E7EFF">
        <w:rPr>
          <w:rFonts w:ascii="Arial" w:hAnsi="Arial" w:cs="Arial"/>
        </w:rPr>
        <w:t xml:space="preserve">paraquat dichloride </w:t>
      </w:r>
      <w:r w:rsidR="00897FEB">
        <w:rPr>
          <w:rFonts w:ascii="Arial" w:hAnsi="Arial" w:cs="Arial"/>
        </w:rPr>
        <w:t xml:space="preserve">(Tukey HSD p value for non-homogenous group </w:t>
      </w:r>
      <w:r w:rsidR="00A443A5">
        <w:rPr>
          <w:rFonts w:ascii="Arial" w:hAnsi="Arial" w:cs="Arial"/>
        </w:rPr>
        <w:t>a</w:t>
      </w:r>
      <w:r w:rsidR="00897FEB">
        <w:rPr>
          <w:rFonts w:ascii="Arial" w:hAnsi="Arial" w:cs="Arial"/>
        </w:rPr>
        <w:t xml:space="preserve"> = 0.49</w:t>
      </w:r>
      <w:r w:rsidR="00A443A5">
        <w:rPr>
          <w:rFonts w:ascii="Arial" w:hAnsi="Arial" w:cs="Arial"/>
        </w:rPr>
        <w:t>0, and c = 0.092</w:t>
      </w:r>
      <w:r w:rsidR="00897FEB">
        <w:rPr>
          <w:rFonts w:ascii="Arial" w:hAnsi="Arial" w:cs="Arial"/>
        </w:rPr>
        <w:t xml:space="preserve"> whereas b, and </w:t>
      </w:r>
      <w:r w:rsidR="00A443A5">
        <w:rPr>
          <w:rFonts w:ascii="Arial" w:hAnsi="Arial" w:cs="Arial"/>
        </w:rPr>
        <w:t>d</w:t>
      </w:r>
      <w:r w:rsidR="00897FEB">
        <w:rPr>
          <w:rFonts w:ascii="Arial" w:hAnsi="Arial" w:cs="Arial"/>
        </w:rPr>
        <w:t xml:space="preserve"> &lt; 0.05 represent homogenous group</w:t>
      </w:r>
      <w:r w:rsidR="00A443A5">
        <w:rPr>
          <w:rFonts w:ascii="Arial" w:hAnsi="Arial" w:cs="Arial"/>
        </w:rPr>
        <w:t>s</w:t>
      </w:r>
      <w:r w:rsidR="00897FEB">
        <w:rPr>
          <w:rFonts w:ascii="Arial" w:hAnsi="Arial" w:cs="Arial"/>
        </w:rPr>
        <w:t>).</w:t>
      </w:r>
      <w:r w:rsidR="00897FEB" w:rsidRPr="00F3101E">
        <w:t xml:space="preserve"> </w:t>
      </w:r>
      <w:r w:rsidR="00897FEB" w:rsidRPr="00F3101E">
        <w:rPr>
          <w:rFonts w:ascii="Arial" w:hAnsi="Arial" w:cs="Arial"/>
          <w:bCs/>
        </w:rPr>
        <w:t>Data are means ± SE.</w:t>
      </w:r>
    </w:p>
    <w:p w14:paraId="797F3E3B" w14:textId="77777777" w:rsidR="00C84A9C" w:rsidRDefault="00C84A9C" w:rsidP="00C84A9C">
      <w:pPr>
        <w:spacing w:line="276" w:lineRule="auto"/>
        <w:rPr>
          <w:rFonts w:ascii="Arial" w:hAnsi="Arial" w:cs="Arial"/>
          <w:b/>
        </w:rPr>
      </w:pPr>
    </w:p>
    <w:p w14:paraId="21835B77" w14:textId="77777777" w:rsidR="004E7D15" w:rsidRPr="005E7EFF" w:rsidRDefault="004E7D15" w:rsidP="00C84A9C">
      <w:pPr>
        <w:spacing w:line="276" w:lineRule="auto"/>
        <w:rPr>
          <w:rFonts w:ascii="Arial" w:hAnsi="Arial" w:cs="Arial"/>
          <w:b/>
        </w:rPr>
      </w:pPr>
      <w:r w:rsidRPr="005E7EFF">
        <w:rPr>
          <w:rFonts w:ascii="Arial" w:hAnsi="Arial" w:cs="Arial"/>
          <w:b/>
        </w:rPr>
        <w:t xml:space="preserve">Table 1. </w:t>
      </w:r>
      <w:r w:rsidRPr="005E7EFF">
        <w:rPr>
          <w:rFonts w:ascii="Arial" w:hAnsi="Arial" w:cs="Arial"/>
        </w:rPr>
        <w:t xml:space="preserve">Cadmium stress on </w:t>
      </w:r>
      <w:r w:rsidRPr="005E7EFF">
        <w:rPr>
          <w:rFonts w:ascii="Arial" w:hAnsi="Arial" w:cs="Arial"/>
          <w:i/>
        </w:rPr>
        <w:t xml:space="preserve">Lemna minor </w:t>
      </w:r>
      <w:r w:rsidRPr="005E7EFF">
        <w:rPr>
          <w:rFonts w:ascii="Arial" w:hAnsi="Arial" w:cs="Arial"/>
        </w:rPr>
        <w:t>antioxidant activity and oxidative stress</w:t>
      </w:r>
      <w:r w:rsidR="008A02E9">
        <w:rPr>
          <w:rFonts w:ascii="Arial" w:hAnsi="Arial" w:cs="Arial"/>
        </w:rPr>
        <w:t>.</w:t>
      </w:r>
    </w:p>
    <w:p w14:paraId="4758ABC9" w14:textId="77777777" w:rsidR="004E7D15" w:rsidRPr="005E7EFF" w:rsidRDefault="004E7D15" w:rsidP="004E7D15">
      <w:pPr>
        <w:spacing w:line="276" w:lineRule="auto"/>
        <w:jc w:val="center"/>
        <w:rPr>
          <w:rFonts w:ascii="Arial" w:hAnsi="Arial" w:cs="Arial"/>
          <w:b/>
        </w:rPr>
      </w:pPr>
    </w:p>
    <w:tbl>
      <w:tblPr>
        <w:tblStyle w:val="TableGrid"/>
        <w:tblW w:w="5000" w:type="pct"/>
        <w:tblLook w:val="04A0" w:firstRow="1" w:lastRow="0" w:firstColumn="1" w:lastColumn="0" w:noHBand="0" w:noVBand="1"/>
      </w:tblPr>
      <w:tblGrid>
        <w:gridCol w:w="1332"/>
        <w:gridCol w:w="1114"/>
        <w:gridCol w:w="1096"/>
        <w:gridCol w:w="894"/>
        <w:gridCol w:w="1087"/>
        <w:gridCol w:w="1132"/>
        <w:gridCol w:w="1553"/>
      </w:tblGrid>
      <w:tr w:rsidR="00A62FEC" w:rsidRPr="001D7B62" w14:paraId="48B5C6D5" w14:textId="77777777" w:rsidTr="00B27A67">
        <w:tc>
          <w:tcPr>
            <w:tcW w:w="813" w:type="pct"/>
            <w:tcBorders>
              <w:left w:val="nil"/>
              <w:bottom w:val="single" w:sz="4" w:space="0" w:color="auto"/>
              <w:right w:val="nil"/>
            </w:tcBorders>
          </w:tcPr>
          <w:p w14:paraId="2FC329C5" w14:textId="77777777" w:rsidR="004E7D15" w:rsidRPr="00C84A9C" w:rsidRDefault="004E7D15" w:rsidP="008A02E9">
            <w:pPr>
              <w:spacing w:line="276" w:lineRule="auto"/>
              <w:jc w:val="center"/>
              <w:rPr>
                <w:rFonts w:ascii="Arial" w:hAnsi="Arial" w:cs="Arial"/>
                <w:b/>
                <w:sz w:val="20"/>
                <w:szCs w:val="20"/>
              </w:rPr>
            </w:pPr>
            <w:r w:rsidRPr="00C84A9C">
              <w:rPr>
                <w:rFonts w:ascii="Arial" w:hAnsi="Arial" w:cs="Arial"/>
                <w:b/>
                <w:sz w:val="20"/>
                <w:szCs w:val="20"/>
              </w:rPr>
              <w:t>Concentration</w:t>
            </w:r>
          </w:p>
          <w:p w14:paraId="6D2625AF" w14:textId="77777777" w:rsidR="004E7D15" w:rsidRPr="00C84A9C" w:rsidRDefault="004E7D15" w:rsidP="008A02E9">
            <w:pPr>
              <w:spacing w:line="276" w:lineRule="auto"/>
              <w:jc w:val="center"/>
              <w:rPr>
                <w:rFonts w:ascii="Arial" w:hAnsi="Arial" w:cs="Arial"/>
                <w:b/>
                <w:i/>
                <w:sz w:val="20"/>
                <w:szCs w:val="20"/>
              </w:rPr>
            </w:pPr>
            <w:r w:rsidRPr="00C84A9C">
              <w:rPr>
                <w:rFonts w:ascii="Arial" w:hAnsi="Arial" w:cs="Arial"/>
                <w:b/>
                <w:sz w:val="20"/>
                <w:szCs w:val="20"/>
              </w:rPr>
              <w:t>(mg/L)</w:t>
            </w:r>
          </w:p>
        </w:tc>
        <w:tc>
          <w:tcPr>
            <w:tcW w:w="678" w:type="pct"/>
            <w:tcBorders>
              <w:left w:val="nil"/>
              <w:right w:val="nil"/>
            </w:tcBorders>
          </w:tcPr>
          <w:p w14:paraId="6B809079" w14:textId="77777777" w:rsidR="004E7D15" w:rsidRPr="00C84A9C" w:rsidRDefault="00A62FEC" w:rsidP="008A02E9">
            <w:pPr>
              <w:spacing w:line="276" w:lineRule="auto"/>
              <w:jc w:val="center"/>
              <w:rPr>
                <w:rFonts w:ascii="Arial" w:hAnsi="Arial" w:cs="Arial"/>
                <w:b/>
                <w:sz w:val="20"/>
                <w:szCs w:val="20"/>
              </w:rPr>
            </w:pPr>
            <w:r w:rsidRPr="00C84A9C">
              <w:rPr>
                <w:rFonts w:ascii="Arial" w:hAnsi="Arial" w:cs="Arial"/>
                <w:b/>
                <w:bCs/>
                <w:sz w:val="20"/>
                <w:szCs w:val="20"/>
                <w:lang w:bidi="hi-IN"/>
              </w:rPr>
              <w:t>Superoxide dismutase (</w:t>
            </w:r>
            <w:r w:rsidR="004E7D15" w:rsidRPr="00C84A9C">
              <w:rPr>
                <w:rFonts w:ascii="Arial" w:hAnsi="Arial" w:cs="Arial"/>
                <w:b/>
                <w:bCs/>
                <w:sz w:val="20"/>
                <w:szCs w:val="20"/>
                <w:lang w:bidi="hi-IN"/>
              </w:rPr>
              <w:t>SOD</w:t>
            </w:r>
            <w:r w:rsidRPr="00C84A9C">
              <w:rPr>
                <w:rFonts w:ascii="Arial" w:hAnsi="Arial" w:cs="Arial"/>
                <w:b/>
                <w:bCs/>
                <w:sz w:val="20"/>
                <w:szCs w:val="20"/>
                <w:lang w:bidi="hi-IN"/>
              </w:rPr>
              <w:t>) Activity</w:t>
            </w:r>
            <w:r w:rsidR="004E7D15" w:rsidRPr="00C84A9C">
              <w:rPr>
                <w:rFonts w:ascii="Arial" w:hAnsi="Arial" w:cs="Arial"/>
                <w:b/>
                <w:bCs/>
                <w:sz w:val="20"/>
                <w:szCs w:val="20"/>
                <w:lang w:bidi="hi-IN"/>
              </w:rPr>
              <w:t xml:space="preserve"> (units/mg FW)</w:t>
            </w:r>
          </w:p>
        </w:tc>
        <w:tc>
          <w:tcPr>
            <w:tcW w:w="667" w:type="pct"/>
            <w:tcBorders>
              <w:left w:val="nil"/>
              <w:right w:val="nil"/>
            </w:tcBorders>
          </w:tcPr>
          <w:p w14:paraId="3E33735C" w14:textId="77777777" w:rsidR="004E7D15" w:rsidRPr="00C84A9C" w:rsidRDefault="00A62FEC" w:rsidP="00B27A67">
            <w:pPr>
              <w:spacing w:line="276" w:lineRule="auto"/>
              <w:jc w:val="center"/>
              <w:rPr>
                <w:rFonts w:ascii="Arial" w:hAnsi="Arial" w:cs="Arial"/>
                <w:b/>
                <w:i/>
                <w:sz w:val="20"/>
                <w:szCs w:val="20"/>
              </w:rPr>
            </w:pPr>
            <w:r w:rsidRPr="00C84A9C">
              <w:rPr>
                <w:rFonts w:ascii="Arial" w:hAnsi="Arial" w:cs="Arial"/>
                <w:b/>
                <w:bCs/>
                <w:sz w:val="20"/>
                <w:szCs w:val="20"/>
                <w:lang w:bidi="hi-IN"/>
              </w:rPr>
              <w:t>Peroxidase (</w:t>
            </w:r>
            <w:r w:rsidR="004E7D15" w:rsidRPr="00C84A9C">
              <w:rPr>
                <w:rFonts w:ascii="Arial" w:hAnsi="Arial" w:cs="Arial"/>
                <w:b/>
                <w:bCs/>
                <w:sz w:val="20"/>
                <w:szCs w:val="20"/>
                <w:lang w:bidi="hi-IN"/>
              </w:rPr>
              <w:t>POD</w:t>
            </w:r>
            <w:r w:rsidRPr="00C84A9C">
              <w:rPr>
                <w:rFonts w:ascii="Arial" w:hAnsi="Arial" w:cs="Arial"/>
                <w:b/>
                <w:bCs/>
                <w:sz w:val="20"/>
                <w:szCs w:val="20"/>
                <w:lang w:bidi="hi-IN"/>
              </w:rPr>
              <w:t>)</w:t>
            </w:r>
            <w:r w:rsidR="008A02E9">
              <w:rPr>
                <w:rFonts w:ascii="Arial" w:hAnsi="Arial" w:cs="Arial"/>
                <w:b/>
                <w:bCs/>
                <w:sz w:val="20"/>
                <w:szCs w:val="20"/>
                <w:lang w:bidi="hi-IN"/>
              </w:rPr>
              <w:t xml:space="preserve"> </w:t>
            </w:r>
            <w:r w:rsidRPr="00C84A9C">
              <w:rPr>
                <w:rFonts w:ascii="Arial" w:hAnsi="Arial" w:cs="Arial"/>
                <w:b/>
                <w:bCs/>
                <w:sz w:val="20"/>
                <w:szCs w:val="20"/>
                <w:lang w:bidi="hi-IN"/>
              </w:rPr>
              <w:t>Activity</w:t>
            </w:r>
            <w:r w:rsidR="004E7D15" w:rsidRPr="00C84A9C">
              <w:rPr>
                <w:rFonts w:ascii="Arial" w:hAnsi="Arial" w:cs="Arial"/>
                <w:b/>
                <w:bCs/>
                <w:sz w:val="20"/>
                <w:szCs w:val="20"/>
                <w:lang w:bidi="hi-IN"/>
              </w:rPr>
              <w:t xml:space="preserve"> (units/g FW)</w:t>
            </w:r>
          </w:p>
        </w:tc>
        <w:tc>
          <w:tcPr>
            <w:tcW w:w="542" w:type="pct"/>
            <w:tcBorders>
              <w:left w:val="nil"/>
              <w:right w:val="nil"/>
            </w:tcBorders>
          </w:tcPr>
          <w:p w14:paraId="56DD5E92" w14:textId="77777777" w:rsidR="004E7D15" w:rsidRPr="00C84A9C" w:rsidRDefault="00A62FEC" w:rsidP="008A02E9">
            <w:pPr>
              <w:spacing w:line="276" w:lineRule="auto"/>
              <w:jc w:val="center"/>
              <w:rPr>
                <w:rFonts w:ascii="Arial" w:hAnsi="Arial" w:cs="Arial"/>
                <w:b/>
                <w:i/>
                <w:sz w:val="20"/>
                <w:szCs w:val="20"/>
              </w:rPr>
            </w:pPr>
            <w:r w:rsidRPr="00C84A9C">
              <w:rPr>
                <w:rFonts w:ascii="Arial" w:hAnsi="Arial" w:cs="Arial"/>
                <w:b/>
                <w:bCs/>
                <w:sz w:val="20"/>
                <w:szCs w:val="20"/>
                <w:lang w:bidi="hi-IN"/>
              </w:rPr>
              <w:t>Catalase (</w:t>
            </w:r>
            <w:r w:rsidR="004E7D15" w:rsidRPr="00C84A9C">
              <w:rPr>
                <w:rFonts w:ascii="Arial" w:hAnsi="Arial" w:cs="Arial"/>
                <w:b/>
                <w:bCs/>
                <w:sz w:val="20"/>
                <w:szCs w:val="20"/>
                <w:lang w:bidi="hi-IN"/>
              </w:rPr>
              <w:t>CAT</w:t>
            </w:r>
            <w:r w:rsidRPr="00C84A9C">
              <w:rPr>
                <w:rFonts w:ascii="Arial" w:hAnsi="Arial" w:cs="Arial"/>
                <w:b/>
                <w:bCs/>
                <w:sz w:val="20"/>
                <w:szCs w:val="20"/>
                <w:lang w:bidi="hi-IN"/>
              </w:rPr>
              <w:t>) Activity</w:t>
            </w:r>
            <w:r w:rsidR="004E7D15" w:rsidRPr="00C84A9C">
              <w:rPr>
                <w:rFonts w:ascii="Arial" w:hAnsi="Arial" w:cs="Arial"/>
                <w:b/>
                <w:bCs/>
                <w:sz w:val="20"/>
                <w:szCs w:val="20"/>
                <w:lang w:bidi="hi-IN"/>
              </w:rPr>
              <w:t xml:space="preserve"> (units/g FW)</w:t>
            </w:r>
          </w:p>
        </w:tc>
        <w:tc>
          <w:tcPr>
            <w:tcW w:w="662" w:type="pct"/>
            <w:tcBorders>
              <w:left w:val="nil"/>
              <w:right w:val="nil"/>
            </w:tcBorders>
          </w:tcPr>
          <w:p w14:paraId="0581F231" w14:textId="77777777" w:rsidR="004E7D15" w:rsidRPr="00C84A9C" w:rsidRDefault="00A62FEC" w:rsidP="008A02E9">
            <w:pPr>
              <w:spacing w:line="276" w:lineRule="auto"/>
              <w:jc w:val="center"/>
              <w:rPr>
                <w:rFonts w:ascii="Arial" w:hAnsi="Arial" w:cs="Arial"/>
                <w:b/>
                <w:i/>
                <w:sz w:val="20"/>
                <w:szCs w:val="20"/>
              </w:rPr>
            </w:pPr>
            <w:r w:rsidRPr="00C84A9C">
              <w:rPr>
                <w:rFonts w:ascii="Arial" w:hAnsi="Arial" w:cs="Arial"/>
                <w:b/>
                <w:bCs/>
                <w:sz w:val="20"/>
                <w:szCs w:val="20"/>
                <w:lang w:bidi="hi-IN"/>
              </w:rPr>
              <w:t>Ascorbate peroxidase (</w:t>
            </w:r>
            <w:r w:rsidR="004E7D15" w:rsidRPr="00C84A9C">
              <w:rPr>
                <w:rFonts w:ascii="Arial" w:hAnsi="Arial" w:cs="Arial"/>
                <w:b/>
                <w:bCs/>
                <w:sz w:val="20"/>
                <w:szCs w:val="20"/>
                <w:lang w:bidi="hi-IN"/>
              </w:rPr>
              <w:t>APX</w:t>
            </w:r>
            <w:r w:rsidRPr="00C84A9C">
              <w:rPr>
                <w:rFonts w:ascii="Arial" w:hAnsi="Arial" w:cs="Arial"/>
                <w:b/>
                <w:bCs/>
                <w:sz w:val="20"/>
                <w:szCs w:val="20"/>
                <w:lang w:bidi="hi-IN"/>
              </w:rPr>
              <w:t>) Activity</w:t>
            </w:r>
            <w:r w:rsidR="004E7D15" w:rsidRPr="00C84A9C">
              <w:rPr>
                <w:rFonts w:ascii="Arial" w:hAnsi="Arial" w:cs="Arial"/>
                <w:b/>
                <w:bCs/>
                <w:sz w:val="20"/>
                <w:szCs w:val="20"/>
                <w:lang w:bidi="hi-IN"/>
              </w:rPr>
              <w:t xml:space="preserve"> (nmol H</w:t>
            </w:r>
            <w:r w:rsidR="004E7D15" w:rsidRPr="00C84A9C">
              <w:rPr>
                <w:rFonts w:ascii="Cambria Math" w:hAnsi="Cambria Math" w:cs="Cambria Math"/>
                <w:b/>
                <w:bCs/>
                <w:sz w:val="20"/>
                <w:szCs w:val="20"/>
                <w:lang w:bidi="hi-IN"/>
              </w:rPr>
              <w:t>₂</w:t>
            </w:r>
            <w:r w:rsidR="004E7D15" w:rsidRPr="00C84A9C">
              <w:rPr>
                <w:rFonts w:ascii="Arial" w:hAnsi="Arial" w:cs="Arial"/>
                <w:b/>
                <w:bCs/>
                <w:sz w:val="20"/>
                <w:szCs w:val="20"/>
                <w:lang w:bidi="hi-IN"/>
              </w:rPr>
              <w:t>O</w:t>
            </w:r>
            <w:r w:rsidR="004E7D15" w:rsidRPr="00C84A9C">
              <w:rPr>
                <w:rFonts w:ascii="Cambria Math" w:hAnsi="Cambria Math" w:cs="Cambria Math"/>
                <w:b/>
                <w:bCs/>
                <w:sz w:val="20"/>
                <w:szCs w:val="20"/>
                <w:lang w:bidi="hi-IN"/>
              </w:rPr>
              <w:t>₂</w:t>
            </w:r>
            <w:r w:rsidR="004E7D15" w:rsidRPr="00C84A9C">
              <w:rPr>
                <w:rFonts w:ascii="Arial" w:hAnsi="Arial" w:cs="Arial"/>
                <w:b/>
                <w:bCs/>
                <w:sz w:val="20"/>
                <w:szCs w:val="20"/>
                <w:lang w:bidi="hi-IN"/>
              </w:rPr>
              <w:t>/g FW/min ×10³)</w:t>
            </w:r>
          </w:p>
        </w:tc>
        <w:tc>
          <w:tcPr>
            <w:tcW w:w="689" w:type="pct"/>
            <w:tcBorders>
              <w:left w:val="nil"/>
              <w:right w:val="nil"/>
            </w:tcBorders>
          </w:tcPr>
          <w:p w14:paraId="6534EB89" w14:textId="77777777" w:rsidR="004E7D15" w:rsidRPr="00C84A9C" w:rsidRDefault="004E7D15" w:rsidP="008A02E9">
            <w:pPr>
              <w:spacing w:line="276" w:lineRule="auto"/>
              <w:jc w:val="center"/>
              <w:rPr>
                <w:rFonts w:ascii="Arial" w:hAnsi="Arial" w:cs="Arial"/>
                <w:b/>
                <w:i/>
                <w:sz w:val="20"/>
                <w:szCs w:val="20"/>
              </w:rPr>
            </w:pPr>
            <w:r w:rsidRPr="00C84A9C">
              <w:rPr>
                <w:rFonts w:ascii="Arial" w:hAnsi="Arial" w:cs="Arial"/>
                <w:b/>
                <w:bCs/>
                <w:sz w:val="20"/>
                <w:szCs w:val="20"/>
                <w:lang w:bidi="hi-IN"/>
              </w:rPr>
              <w:t xml:space="preserve">Glutathione Reductase </w:t>
            </w:r>
            <w:r w:rsidR="00A62FEC" w:rsidRPr="00C84A9C">
              <w:rPr>
                <w:rFonts w:ascii="Arial" w:hAnsi="Arial" w:cs="Arial"/>
                <w:b/>
                <w:bCs/>
                <w:sz w:val="20"/>
                <w:szCs w:val="20"/>
                <w:lang w:bidi="hi-IN"/>
              </w:rPr>
              <w:t xml:space="preserve">(GR) </w:t>
            </w:r>
            <w:r w:rsidRPr="00C84A9C">
              <w:rPr>
                <w:rFonts w:ascii="Arial" w:hAnsi="Arial" w:cs="Arial"/>
                <w:b/>
                <w:bCs/>
                <w:sz w:val="20"/>
                <w:szCs w:val="20"/>
                <w:lang w:bidi="hi-IN"/>
              </w:rPr>
              <w:t>Activity (Units/mg FW)</w:t>
            </w:r>
          </w:p>
        </w:tc>
        <w:tc>
          <w:tcPr>
            <w:tcW w:w="949" w:type="pct"/>
            <w:tcBorders>
              <w:left w:val="nil"/>
              <w:right w:val="nil"/>
            </w:tcBorders>
          </w:tcPr>
          <w:p w14:paraId="3A3CC747" w14:textId="77777777" w:rsidR="004E7D15" w:rsidRPr="001D7B62" w:rsidRDefault="00A62FEC" w:rsidP="008A02E9">
            <w:pPr>
              <w:spacing w:line="276" w:lineRule="auto"/>
              <w:jc w:val="center"/>
              <w:rPr>
                <w:rFonts w:ascii="Arial" w:hAnsi="Arial" w:cs="Arial"/>
                <w:b/>
                <w:bCs/>
                <w:sz w:val="20"/>
                <w:szCs w:val="20"/>
                <w:lang w:val="nl-BE" w:bidi="hi-IN"/>
              </w:rPr>
            </w:pPr>
            <w:r w:rsidRPr="001D7B62">
              <w:rPr>
                <w:rFonts w:ascii="Arial" w:hAnsi="Arial" w:cs="Arial"/>
                <w:b/>
                <w:bCs/>
                <w:sz w:val="20"/>
                <w:szCs w:val="20"/>
                <w:lang w:val="nl-BE" w:bidi="hi-IN"/>
              </w:rPr>
              <w:t xml:space="preserve">Malondialdehyde </w:t>
            </w:r>
            <w:r w:rsidR="004E7D15" w:rsidRPr="001D7B62">
              <w:rPr>
                <w:rFonts w:ascii="Arial" w:hAnsi="Arial" w:cs="Arial"/>
                <w:b/>
                <w:bCs/>
                <w:sz w:val="20"/>
                <w:szCs w:val="20"/>
                <w:lang w:val="nl-BE" w:bidi="hi-IN"/>
              </w:rPr>
              <w:t>MDA (nmol/g FW)</w:t>
            </w:r>
          </w:p>
        </w:tc>
      </w:tr>
      <w:tr w:rsidR="00A62FEC" w:rsidRPr="00C84A9C" w14:paraId="5413240E" w14:textId="77777777" w:rsidTr="00B27A67">
        <w:tc>
          <w:tcPr>
            <w:tcW w:w="813" w:type="pct"/>
            <w:tcBorders>
              <w:top w:val="single" w:sz="4" w:space="0" w:color="auto"/>
              <w:left w:val="nil"/>
              <w:right w:val="nil"/>
            </w:tcBorders>
          </w:tcPr>
          <w:p w14:paraId="0099C3A2" w14:textId="77777777" w:rsidR="004E7D15" w:rsidRPr="00C84A9C" w:rsidRDefault="004E7D15" w:rsidP="0074304E">
            <w:pPr>
              <w:spacing w:line="276" w:lineRule="auto"/>
              <w:jc w:val="center"/>
              <w:rPr>
                <w:rFonts w:ascii="Arial" w:hAnsi="Arial" w:cs="Arial"/>
                <w:b/>
                <w:i/>
                <w:sz w:val="20"/>
                <w:szCs w:val="20"/>
              </w:rPr>
            </w:pPr>
            <w:r w:rsidRPr="00C84A9C">
              <w:rPr>
                <w:rFonts w:ascii="Arial" w:hAnsi="Arial" w:cs="Arial"/>
                <w:b/>
                <w:i/>
                <w:sz w:val="20"/>
                <w:szCs w:val="20"/>
              </w:rPr>
              <w:t>0</w:t>
            </w:r>
          </w:p>
        </w:tc>
        <w:tc>
          <w:tcPr>
            <w:tcW w:w="678" w:type="pct"/>
            <w:tcBorders>
              <w:left w:val="nil"/>
              <w:right w:val="nil"/>
            </w:tcBorders>
            <w:vAlign w:val="center"/>
          </w:tcPr>
          <w:p w14:paraId="25F2C0B2" w14:textId="77777777" w:rsidR="004E7D15" w:rsidRPr="00C84A9C" w:rsidRDefault="004E7D15" w:rsidP="0074304E">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0.040</w:t>
            </w:r>
          </w:p>
          <w:p w14:paraId="6CD731E6" w14:textId="77777777" w:rsidR="004E7D15" w:rsidRPr="00C84A9C" w:rsidRDefault="004E7D15" w:rsidP="0074304E">
            <w:pPr>
              <w:spacing w:line="276" w:lineRule="auto"/>
              <w:jc w:val="center"/>
              <w:rPr>
                <w:rFonts w:ascii="Arial" w:hAnsi="Arial" w:cs="Arial"/>
                <w:b/>
                <w:i/>
                <w:sz w:val="20"/>
                <w:szCs w:val="20"/>
              </w:rPr>
            </w:pPr>
            <w:r w:rsidRPr="00C84A9C">
              <w:rPr>
                <w:rFonts w:ascii="Arial" w:hAnsi="Arial" w:cs="Arial"/>
                <w:color w:val="000000"/>
                <w:sz w:val="20"/>
                <w:szCs w:val="20"/>
              </w:rPr>
              <w:t>±0.01</w:t>
            </w:r>
          </w:p>
        </w:tc>
        <w:tc>
          <w:tcPr>
            <w:tcW w:w="667" w:type="pct"/>
            <w:tcBorders>
              <w:left w:val="nil"/>
              <w:right w:val="nil"/>
            </w:tcBorders>
            <w:vAlign w:val="center"/>
          </w:tcPr>
          <w:p w14:paraId="16A2239B" w14:textId="77777777" w:rsidR="004E7D15" w:rsidRPr="00C84A9C" w:rsidRDefault="004E7D15" w:rsidP="0074304E">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2037.47</w:t>
            </w:r>
          </w:p>
          <w:p w14:paraId="653CA17C" w14:textId="77777777" w:rsidR="004E7D15" w:rsidRPr="00C84A9C" w:rsidRDefault="004E7D15" w:rsidP="0074304E">
            <w:pPr>
              <w:spacing w:line="276" w:lineRule="auto"/>
              <w:jc w:val="center"/>
              <w:rPr>
                <w:rFonts w:ascii="Arial" w:hAnsi="Arial" w:cs="Arial"/>
                <w:b/>
                <w:i/>
                <w:sz w:val="20"/>
                <w:szCs w:val="20"/>
              </w:rPr>
            </w:pPr>
            <w:r w:rsidRPr="00C84A9C">
              <w:rPr>
                <w:rFonts w:ascii="Arial" w:hAnsi="Arial" w:cs="Arial"/>
                <w:color w:val="000000"/>
                <w:sz w:val="20"/>
                <w:szCs w:val="20"/>
              </w:rPr>
              <w:t>±5.30</w:t>
            </w:r>
          </w:p>
        </w:tc>
        <w:tc>
          <w:tcPr>
            <w:tcW w:w="542" w:type="pct"/>
            <w:tcBorders>
              <w:left w:val="nil"/>
              <w:right w:val="nil"/>
            </w:tcBorders>
            <w:vAlign w:val="center"/>
          </w:tcPr>
          <w:p w14:paraId="620C0A61" w14:textId="77777777" w:rsidR="004E7D15" w:rsidRPr="00C84A9C" w:rsidRDefault="004E7D15" w:rsidP="0074304E">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1124.0</w:t>
            </w:r>
          </w:p>
          <w:p w14:paraId="02F72081" w14:textId="77777777" w:rsidR="004E7D15" w:rsidRPr="00C84A9C" w:rsidRDefault="004E7D15" w:rsidP="0074304E">
            <w:pPr>
              <w:spacing w:line="276" w:lineRule="auto"/>
              <w:jc w:val="center"/>
              <w:rPr>
                <w:rFonts w:ascii="Arial" w:hAnsi="Arial" w:cs="Arial"/>
                <w:b/>
                <w:i/>
                <w:sz w:val="20"/>
                <w:szCs w:val="20"/>
              </w:rPr>
            </w:pPr>
            <w:r w:rsidRPr="00C84A9C">
              <w:rPr>
                <w:rFonts w:ascii="Arial" w:hAnsi="Arial" w:cs="Arial"/>
                <w:color w:val="000000"/>
                <w:sz w:val="20"/>
                <w:szCs w:val="20"/>
              </w:rPr>
              <w:t>±18.84</w:t>
            </w:r>
          </w:p>
        </w:tc>
        <w:tc>
          <w:tcPr>
            <w:tcW w:w="662" w:type="pct"/>
            <w:tcBorders>
              <w:left w:val="nil"/>
              <w:right w:val="nil"/>
            </w:tcBorders>
            <w:vAlign w:val="center"/>
          </w:tcPr>
          <w:p w14:paraId="5DA6B29A" w14:textId="77777777" w:rsidR="004E7D15" w:rsidRPr="00C84A9C" w:rsidRDefault="004E7D15" w:rsidP="0074304E">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17.492</w:t>
            </w:r>
          </w:p>
          <w:p w14:paraId="5F1EB18F" w14:textId="77777777" w:rsidR="004E7D15" w:rsidRPr="00C84A9C" w:rsidRDefault="004E7D15" w:rsidP="0074304E">
            <w:pPr>
              <w:spacing w:line="276" w:lineRule="auto"/>
              <w:jc w:val="center"/>
              <w:rPr>
                <w:rFonts w:ascii="Arial" w:hAnsi="Arial" w:cs="Arial"/>
                <w:b/>
                <w:i/>
                <w:sz w:val="20"/>
                <w:szCs w:val="20"/>
              </w:rPr>
            </w:pPr>
            <w:r w:rsidRPr="00C84A9C">
              <w:rPr>
                <w:rFonts w:ascii="Arial" w:hAnsi="Arial" w:cs="Arial"/>
                <w:color w:val="000000"/>
                <w:sz w:val="20"/>
                <w:szCs w:val="20"/>
              </w:rPr>
              <w:t>±0.10</w:t>
            </w:r>
          </w:p>
        </w:tc>
        <w:tc>
          <w:tcPr>
            <w:tcW w:w="689" w:type="pct"/>
            <w:tcBorders>
              <w:left w:val="nil"/>
              <w:right w:val="nil"/>
            </w:tcBorders>
            <w:vAlign w:val="center"/>
          </w:tcPr>
          <w:p w14:paraId="378EB635" w14:textId="77777777" w:rsidR="004E7D15" w:rsidRPr="00C84A9C" w:rsidRDefault="004E7D15" w:rsidP="0074304E">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0.144</w:t>
            </w:r>
          </w:p>
          <w:p w14:paraId="78F0E15F" w14:textId="77777777" w:rsidR="004E7D15" w:rsidRPr="00C84A9C" w:rsidRDefault="004E7D15" w:rsidP="0074304E">
            <w:pPr>
              <w:spacing w:line="276" w:lineRule="auto"/>
              <w:jc w:val="center"/>
              <w:rPr>
                <w:rFonts w:ascii="Arial" w:hAnsi="Arial" w:cs="Arial"/>
                <w:b/>
                <w:i/>
                <w:sz w:val="20"/>
                <w:szCs w:val="20"/>
              </w:rPr>
            </w:pPr>
            <w:r w:rsidRPr="00C84A9C">
              <w:rPr>
                <w:rFonts w:ascii="Arial" w:hAnsi="Arial" w:cs="Arial"/>
                <w:sz w:val="20"/>
                <w:szCs w:val="20"/>
                <w:lang w:bidi="hi-IN"/>
              </w:rPr>
              <w:t>±0.01</w:t>
            </w:r>
          </w:p>
        </w:tc>
        <w:tc>
          <w:tcPr>
            <w:tcW w:w="949" w:type="pct"/>
            <w:tcBorders>
              <w:left w:val="nil"/>
              <w:right w:val="nil"/>
            </w:tcBorders>
            <w:vAlign w:val="center"/>
          </w:tcPr>
          <w:p w14:paraId="4C02FCB6" w14:textId="77777777" w:rsidR="004E7D15" w:rsidRPr="00C84A9C" w:rsidRDefault="004E7D15" w:rsidP="0074304E">
            <w:pPr>
              <w:spacing w:line="276" w:lineRule="auto"/>
              <w:jc w:val="center"/>
              <w:rPr>
                <w:rFonts w:ascii="Arial" w:hAnsi="Arial" w:cs="Arial"/>
                <w:sz w:val="20"/>
                <w:szCs w:val="20"/>
                <w:lang w:bidi="hi-IN"/>
              </w:rPr>
            </w:pPr>
            <w:r w:rsidRPr="00C84A9C">
              <w:rPr>
                <w:rFonts w:ascii="Arial" w:hAnsi="Arial" w:cs="Arial"/>
                <w:sz w:val="20"/>
                <w:szCs w:val="20"/>
                <w:lang w:bidi="hi-IN"/>
              </w:rPr>
              <w:t>51.6</w:t>
            </w:r>
          </w:p>
          <w:p w14:paraId="29A5AE0E" w14:textId="77777777" w:rsidR="004E7D15" w:rsidRPr="00C84A9C" w:rsidRDefault="004E7D15" w:rsidP="0074304E">
            <w:pPr>
              <w:spacing w:line="276" w:lineRule="auto"/>
              <w:jc w:val="center"/>
              <w:rPr>
                <w:rFonts w:ascii="Arial" w:hAnsi="Arial" w:cs="Arial"/>
                <w:b/>
                <w:i/>
                <w:sz w:val="20"/>
                <w:szCs w:val="20"/>
              </w:rPr>
            </w:pPr>
            <w:r w:rsidRPr="00C84A9C">
              <w:rPr>
                <w:rFonts w:ascii="Arial" w:hAnsi="Arial" w:cs="Arial"/>
                <w:sz w:val="20"/>
                <w:szCs w:val="20"/>
                <w:lang w:bidi="hi-IN"/>
              </w:rPr>
              <w:t xml:space="preserve"> </w:t>
            </w:r>
            <w:r w:rsidRPr="00C84A9C">
              <w:rPr>
                <w:rFonts w:ascii="Arial" w:hAnsi="Arial" w:cs="Arial"/>
                <w:color w:val="000000"/>
                <w:sz w:val="20"/>
                <w:szCs w:val="20"/>
              </w:rPr>
              <w:t>±3.73</w:t>
            </w:r>
          </w:p>
        </w:tc>
      </w:tr>
      <w:tr w:rsidR="00A62FEC" w:rsidRPr="00C84A9C" w14:paraId="287EB398" w14:textId="77777777" w:rsidTr="00B27A67">
        <w:tc>
          <w:tcPr>
            <w:tcW w:w="813" w:type="pct"/>
            <w:tcBorders>
              <w:left w:val="nil"/>
              <w:right w:val="nil"/>
            </w:tcBorders>
          </w:tcPr>
          <w:p w14:paraId="7D5B062C" w14:textId="77777777" w:rsidR="004E7D15" w:rsidRPr="00C84A9C" w:rsidRDefault="004E7D15" w:rsidP="0074304E">
            <w:pPr>
              <w:spacing w:line="276" w:lineRule="auto"/>
              <w:jc w:val="center"/>
              <w:rPr>
                <w:rFonts w:ascii="Arial" w:hAnsi="Arial" w:cs="Arial"/>
                <w:b/>
                <w:i/>
                <w:sz w:val="20"/>
                <w:szCs w:val="20"/>
              </w:rPr>
            </w:pPr>
            <w:r w:rsidRPr="00C84A9C">
              <w:rPr>
                <w:rFonts w:ascii="Arial" w:hAnsi="Arial" w:cs="Arial"/>
                <w:b/>
                <w:i/>
                <w:sz w:val="20"/>
                <w:szCs w:val="20"/>
              </w:rPr>
              <w:t>0.1</w:t>
            </w:r>
          </w:p>
        </w:tc>
        <w:tc>
          <w:tcPr>
            <w:tcW w:w="678" w:type="pct"/>
            <w:tcBorders>
              <w:left w:val="nil"/>
              <w:right w:val="nil"/>
            </w:tcBorders>
            <w:vAlign w:val="center"/>
          </w:tcPr>
          <w:p w14:paraId="2808C511" w14:textId="77777777" w:rsidR="004E7D15" w:rsidRPr="00C84A9C" w:rsidRDefault="004E7D15" w:rsidP="0074304E">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0.058</w:t>
            </w:r>
          </w:p>
          <w:p w14:paraId="737CD30C" w14:textId="77777777" w:rsidR="004E7D15" w:rsidRPr="00C84A9C" w:rsidRDefault="004E7D15" w:rsidP="0074304E">
            <w:pPr>
              <w:spacing w:line="276" w:lineRule="auto"/>
              <w:jc w:val="center"/>
              <w:rPr>
                <w:rFonts w:ascii="Arial" w:hAnsi="Arial" w:cs="Arial"/>
                <w:b/>
                <w:i/>
                <w:sz w:val="20"/>
                <w:szCs w:val="20"/>
              </w:rPr>
            </w:pPr>
            <w:r w:rsidRPr="00C84A9C">
              <w:rPr>
                <w:rFonts w:ascii="Arial" w:hAnsi="Arial" w:cs="Arial"/>
                <w:color w:val="000000"/>
                <w:sz w:val="20"/>
                <w:szCs w:val="20"/>
              </w:rPr>
              <w:t>±0.01</w:t>
            </w:r>
          </w:p>
        </w:tc>
        <w:tc>
          <w:tcPr>
            <w:tcW w:w="667" w:type="pct"/>
            <w:tcBorders>
              <w:left w:val="nil"/>
              <w:right w:val="nil"/>
            </w:tcBorders>
            <w:vAlign w:val="center"/>
          </w:tcPr>
          <w:p w14:paraId="16B96434" w14:textId="77777777" w:rsidR="004E7D15" w:rsidRPr="00C84A9C" w:rsidRDefault="004E7D15" w:rsidP="0074304E">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2041</w:t>
            </w:r>
          </w:p>
          <w:p w14:paraId="6145E7A5" w14:textId="77777777" w:rsidR="004E7D15" w:rsidRPr="00C84A9C" w:rsidRDefault="004E7D15" w:rsidP="0074304E">
            <w:pPr>
              <w:spacing w:line="276" w:lineRule="auto"/>
              <w:jc w:val="center"/>
              <w:rPr>
                <w:rFonts w:ascii="Arial" w:hAnsi="Arial" w:cs="Arial"/>
                <w:b/>
                <w:i/>
                <w:sz w:val="20"/>
                <w:szCs w:val="20"/>
              </w:rPr>
            </w:pPr>
            <w:r w:rsidRPr="00C84A9C">
              <w:rPr>
                <w:rFonts w:ascii="Arial" w:hAnsi="Arial" w:cs="Arial"/>
                <w:color w:val="000000"/>
                <w:sz w:val="20"/>
                <w:szCs w:val="20"/>
              </w:rPr>
              <w:t>±7.98</w:t>
            </w:r>
          </w:p>
        </w:tc>
        <w:tc>
          <w:tcPr>
            <w:tcW w:w="542" w:type="pct"/>
            <w:tcBorders>
              <w:left w:val="nil"/>
              <w:right w:val="nil"/>
            </w:tcBorders>
            <w:vAlign w:val="center"/>
          </w:tcPr>
          <w:p w14:paraId="51D48D17" w14:textId="77777777" w:rsidR="004E7D15" w:rsidRPr="00C84A9C" w:rsidRDefault="004E7D15" w:rsidP="0074304E">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1255.4</w:t>
            </w:r>
          </w:p>
          <w:p w14:paraId="623597A0" w14:textId="77777777" w:rsidR="004E7D15" w:rsidRPr="00C84A9C" w:rsidRDefault="004E7D15" w:rsidP="0074304E">
            <w:pPr>
              <w:spacing w:line="276" w:lineRule="auto"/>
              <w:jc w:val="center"/>
              <w:rPr>
                <w:rFonts w:ascii="Arial" w:hAnsi="Arial" w:cs="Arial"/>
                <w:b/>
                <w:i/>
                <w:sz w:val="20"/>
                <w:szCs w:val="20"/>
              </w:rPr>
            </w:pPr>
            <w:r w:rsidRPr="00C84A9C">
              <w:rPr>
                <w:rFonts w:ascii="Arial" w:hAnsi="Arial" w:cs="Arial"/>
                <w:color w:val="000000"/>
                <w:sz w:val="20"/>
                <w:szCs w:val="20"/>
              </w:rPr>
              <w:t>±3.38</w:t>
            </w:r>
          </w:p>
        </w:tc>
        <w:tc>
          <w:tcPr>
            <w:tcW w:w="662" w:type="pct"/>
            <w:tcBorders>
              <w:left w:val="nil"/>
              <w:right w:val="nil"/>
            </w:tcBorders>
            <w:vAlign w:val="center"/>
          </w:tcPr>
          <w:p w14:paraId="3D06C106" w14:textId="77777777" w:rsidR="004E7D15" w:rsidRPr="00C84A9C" w:rsidRDefault="004E7D15" w:rsidP="0074304E">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18.111</w:t>
            </w:r>
          </w:p>
          <w:p w14:paraId="4727CC3C" w14:textId="77777777" w:rsidR="004E7D15" w:rsidRPr="00C84A9C" w:rsidRDefault="004E7D15" w:rsidP="0074304E">
            <w:pPr>
              <w:spacing w:line="276" w:lineRule="auto"/>
              <w:jc w:val="center"/>
              <w:rPr>
                <w:rFonts w:ascii="Arial" w:hAnsi="Arial" w:cs="Arial"/>
                <w:b/>
                <w:i/>
                <w:sz w:val="20"/>
                <w:szCs w:val="20"/>
              </w:rPr>
            </w:pPr>
            <w:r w:rsidRPr="00C84A9C">
              <w:rPr>
                <w:rFonts w:ascii="Arial" w:hAnsi="Arial" w:cs="Arial"/>
                <w:color w:val="000000"/>
                <w:sz w:val="20"/>
                <w:szCs w:val="20"/>
              </w:rPr>
              <w:t>±0.27</w:t>
            </w:r>
          </w:p>
        </w:tc>
        <w:tc>
          <w:tcPr>
            <w:tcW w:w="689" w:type="pct"/>
            <w:tcBorders>
              <w:left w:val="nil"/>
              <w:right w:val="nil"/>
            </w:tcBorders>
          </w:tcPr>
          <w:p w14:paraId="5CD2F775" w14:textId="77777777" w:rsidR="004E7D15" w:rsidRPr="00C84A9C" w:rsidRDefault="004E7D15" w:rsidP="0074304E">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0.177</w:t>
            </w:r>
          </w:p>
          <w:p w14:paraId="246C1F4B" w14:textId="77777777" w:rsidR="004E7D15" w:rsidRPr="00C84A9C" w:rsidRDefault="004E7D15" w:rsidP="0074304E">
            <w:pPr>
              <w:spacing w:line="276" w:lineRule="auto"/>
              <w:jc w:val="center"/>
              <w:rPr>
                <w:rFonts w:ascii="Arial" w:hAnsi="Arial" w:cs="Arial"/>
                <w:b/>
                <w:i/>
                <w:sz w:val="20"/>
                <w:szCs w:val="20"/>
              </w:rPr>
            </w:pPr>
            <w:r w:rsidRPr="00C84A9C">
              <w:rPr>
                <w:rFonts w:ascii="Arial" w:hAnsi="Arial" w:cs="Arial"/>
                <w:sz w:val="20"/>
                <w:szCs w:val="20"/>
                <w:lang w:bidi="hi-IN"/>
              </w:rPr>
              <w:t>±0.02</w:t>
            </w:r>
          </w:p>
        </w:tc>
        <w:tc>
          <w:tcPr>
            <w:tcW w:w="949" w:type="pct"/>
            <w:tcBorders>
              <w:left w:val="nil"/>
              <w:right w:val="nil"/>
            </w:tcBorders>
            <w:vAlign w:val="center"/>
          </w:tcPr>
          <w:p w14:paraId="62F94747" w14:textId="77777777" w:rsidR="004E7D15" w:rsidRPr="00C84A9C" w:rsidRDefault="004E7D15" w:rsidP="0074304E">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73.1</w:t>
            </w:r>
          </w:p>
          <w:p w14:paraId="10305021" w14:textId="77777777" w:rsidR="004E7D15" w:rsidRPr="00C84A9C" w:rsidRDefault="004E7D15" w:rsidP="0074304E">
            <w:pPr>
              <w:spacing w:line="276" w:lineRule="auto"/>
              <w:jc w:val="center"/>
              <w:rPr>
                <w:rFonts w:ascii="Arial" w:hAnsi="Arial" w:cs="Arial"/>
                <w:b/>
                <w:i/>
                <w:sz w:val="20"/>
                <w:szCs w:val="20"/>
              </w:rPr>
            </w:pPr>
            <w:r w:rsidRPr="00C84A9C">
              <w:rPr>
                <w:rFonts w:ascii="Arial" w:hAnsi="Arial" w:cs="Arial"/>
                <w:color w:val="000000"/>
                <w:sz w:val="20"/>
                <w:szCs w:val="20"/>
              </w:rPr>
              <w:t>±2.15</w:t>
            </w:r>
          </w:p>
        </w:tc>
      </w:tr>
      <w:tr w:rsidR="00A62FEC" w:rsidRPr="00C84A9C" w14:paraId="2E25A9C4" w14:textId="77777777" w:rsidTr="00B27A67">
        <w:tc>
          <w:tcPr>
            <w:tcW w:w="813" w:type="pct"/>
            <w:tcBorders>
              <w:left w:val="nil"/>
              <w:right w:val="nil"/>
            </w:tcBorders>
          </w:tcPr>
          <w:p w14:paraId="1FBC8B23" w14:textId="77777777" w:rsidR="004E7D15" w:rsidRPr="00C84A9C" w:rsidRDefault="004E7D15" w:rsidP="0074304E">
            <w:pPr>
              <w:spacing w:line="276" w:lineRule="auto"/>
              <w:jc w:val="center"/>
              <w:rPr>
                <w:rFonts w:ascii="Arial" w:hAnsi="Arial" w:cs="Arial"/>
                <w:b/>
                <w:i/>
                <w:sz w:val="20"/>
                <w:szCs w:val="20"/>
              </w:rPr>
            </w:pPr>
            <w:r w:rsidRPr="00C84A9C">
              <w:rPr>
                <w:rFonts w:ascii="Arial" w:hAnsi="Arial" w:cs="Arial"/>
                <w:b/>
                <w:i/>
                <w:sz w:val="20"/>
                <w:szCs w:val="20"/>
              </w:rPr>
              <w:t>0.5</w:t>
            </w:r>
          </w:p>
        </w:tc>
        <w:tc>
          <w:tcPr>
            <w:tcW w:w="678" w:type="pct"/>
            <w:tcBorders>
              <w:left w:val="nil"/>
              <w:right w:val="nil"/>
            </w:tcBorders>
            <w:vAlign w:val="center"/>
          </w:tcPr>
          <w:p w14:paraId="1F328B0B" w14:textId="77777777" w:rsidR="004E7D15" w:rsidRPr="00C84A9C" w:rsidRDefault="004E7D15" w:rsidP="0074304E">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0.061</w:t>
            </w:r>
          </w:p>
          <w:p w14:paraId="710CE9DA" w14:textId="77777777" w:rsidR="004E7D15" w:rsidRPr="00C84A9C" w:rsidRDefault="004E7D15" w:rsidP="0074304E">
            <w:pPr>
              <w:spacing w:line="276" w:lineRule="auto"/>
              <w:jc w:val="center"/>
              <w:rPr>
                <w:rFonts w:ascii="Arial" w:hAnsi="Arial" w:cs="Arial"/>
                <w:b/>
                <w:i/>
                <w:sz w:val="20"/>
                <w:szCs w:val="20"/>
              </w:rPr>
            </w:pPr>
            <w:r w:rsidRPr="00C84A9C">
              <w:rPr>
                <w:rFonts w:ascii="Arial" w:hAnsi="Arial" w:cs="Arial"/>
                <w:color w:val="000000"/>
                <w:sz w:val="20"/>
                <w:szCs w:val="20"/>
              </w:rPr>
              <w:t>±0.01</w:t>
            </w:r>
          </w:p>
        </w:tc>
        <w:tc>
          <w:tcPr>
            <w:tcW w:w="667" w:type="pct"/>
            <w:tcBorders>
              <w:left w:val="nil"/>
              <w:right w:val="nil"/>
            </w:tcBorders>
            <w:vAlign w:val="center"/>
          </w:tcPr>
          <w:p w14:paraId="17744DA1" w14:textId="77777777" w:rsidR="004E7D15" w:rsidRPr="00C84A9C" w:rsidRDefault="004E7D15" w:rsidP="0074304E">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3208.71</w:t>
            </w:r>
          </w:p>
          <w:p w14:paraId="63D2CFA9" w14:textId="77777777" w:rsidR="004E7D15" w:rsidRPr="00C84A9C" w:rsidRDefault="004E7D15" w:rsidP="0074304E">
            <w:pPr>
              <w:spacing w:line="276" w:lineRule="auto"/>
              <w:jc w:val="center"/>
              <w:rPr>
                <w:rFonts w:ascii="Arial" w:hAnsi="Arial" w:cs="Arial"/>
                <w:b/>
                <w:i/>
                <w:sz w:val="20"/>
                <w:szCs w:val="20"/>
              </w:rPr>
            </w:pPr>
            <w:r w:rsidRPr="00C84A9C">
              <w:rPr>
                <w:rFonts w:ascii="Arial" w:hAnsi="Arial" w:cs="Arial"/>
                <w:color w:val="000000"/>
                <w:sz w:val="20"/>
                <w:szCs w:val="20"/>
              </w:rPr>
              <w:t>±4.61</w:t>
            </w:r>
          </w:p>
        </w:tc>
        <w:tc>
          <w:tcPr>
            <w:tcW w:w="542" w:type="pct"/>
            <w:tcBorders>
              <w:left w:val="nil"/>
              <w:right w:val="nil"/>
            </w:tcBorders>
            <w:vAlign w:val="center"/>
          </w:tcPr>
          <w:p w14:paraId="29756CC0" w14:textId="77777777" w:rsidR="004E7D15" w:rsidRPr="00C84A9C" w:rsidRDefault="004E7D15" w:rsidP="0074304E">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1918.7</w:t>
            </w:r>
          </w:p>
          <w:p w14:paraId="18D9B9E0" w14:textId="77777777" w:rsidR="004E7D15" w:rsidRPr="00C84A9C" w:rsidRDefault="004E7D15" w:rsidP="0074304E">
            <w:pPr>
              <w:spacing w:line="276" w:lineRule="auto"/>
              <w:jc w:val="center"/>
              <w:rPr>
                <w:rFonts w:ascii="Arial" w:hAnsi="Arial" w:cs="Arial"/>
                <w:b/>
                <w:i/>
                <w:sz w:val="20"/>
                <w:szCs w:val="20"/>
              </w:rPr>
            </w:pPr>
            <w:r w:rsidRPr="00C84A9C">
              <w:rPr>
                <w:rFonts w:ascii="Arial" w:hAnsi="Arial" w:cs="Arial"/>
                <w:color w:val="000000"/>
                <w:sz w:val="20"/>
                <w:szCs w:val="20"/>
              </w:rPr>
              <w:t>±15.50</w:t>
            </w:r>
          </w:p>
        </w:tc>
        <w:tc>
          <w:tcPr>
            <w:tcW w:w="662" w:type="pct"/>
            <w:tcBorders>
              <w:left w:val="nil"/>
              <w:right w:val="nil"/>
            </w:tcBorders>
            <w:vAlign w:val="center"/>
          </w:tcPr>
          <w:p w14:paraId="73BC7BB9" w14:textId="77777777" w:rsidR="004E7D15" w:rsidRPr="00C84A9C" w:rsidRDefault="004E7D15" w:rsidP="0074304E">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18.650</w:t>
            </w:r>
          </w:p>
          <w:p w14:paraId="20E34EA3" w14:textId="77777777" w:rsidR="004E7D15" w:rsidRPr="00C84A9C" w:rsidRDefault="004E7D15" w:rsidP="0074304E">
            <w:pPr>
              <w:spacing w:line="276" w:lineRule="auto"/>
              <w:jc w:val="center"/>
              <w:rPr>
                <w:rFonts w:ascii="Arial" w:hAnsi="Arial" w:cs="Arial"/>
                <w:b/>
                <w:i/>
                <w:sz w:val="20"/>
                <w:szCs w:val="20"/>
              </w:rPr>
            </w:pPr>
            <w:r w:rsidRPr="00C84A9C">
              <w:rPr>
                <w:rFonts w:ascii="Arial" w:hAnsi="Arial" w:cs="Arial"/>
                <w:color w:val="000000"/>
                <w:sz w:val="20"/>
                <w:szCs w:val="20"/>
              </w:rPr>
              <w:t>±0.14</w:t>
            </w:r>
          </w:p>
        </w:tc>
        <w:tc>
          <w:tcPr>
            <w:tcW w:w="689" w:type="pct"/>
            <w:tcBorders>
              <w:left w:val="nil"/>
              <w:right w:val="nil"/>
            </w:tcBorders>
            <w:vAlign w:val="center"/>
          </w:tcPr>
          <w:p w14:paraId="4B4C8261" w14:textId="77777777" w:rsidR="004E7D15" w:rsidRPr="00C84A9C" w:rsidRDefault="004E7D15" w:rsidP="0074304E">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0.181</w:t>
            </w:r>
          </w:p>
          <w:p w14:paraId="5132A1CC" w14:textId="77777777" w:rsidR="004E7D15" w:rsidRPr="00C84A9C" w:rsidRDefault="004E7D15" w:rsidP="0074304E">
            <w:pPr>
              <w:spacing w:line="276" w:lineRule="auto"/>
              <w:jc w:val="center"/>
              <w:rPr>
                <w:rFonts w:ascii="Arial" w:hAnsi="Arial" w:cs="Arial"/>
                <w:b/>
                <w:i/>
                <w:sz w:val="20"/>
                <w:szCs w:val="20"/>
              </w:rPr>
            </w:pPr>
            <w:r w:rsidRPr="00C84A9C">
              <w:rPr>
                <w:rFonts w:ascii="Arial" w:hAnsi="Arial" w:cs="Arial"/>
                <w:sz w:val="20"/>
                <w:szCs w:val="20"/>
                <w:lang w:bidi="hi-IN"/>
              </w:rPr>
              <w:t>±0.02</w:t>
            </w:r>
          </w:p>
        </w:tc>
        <w:tc>
          <w:tcPr>
            <w:tcW w:w="949" w:type="pct"/>
            <w:tcBorders>
              <w:left w:val="nil"/>
              <w:right w:val="nil"/>
            </w:tcBorders>
          </w:tcPr>
          <w:p w14:paraId="1E75F1CB" w14:textId="77777777" w:rsidR="004E7D15" w:rsidRPr="00C84A9C" w:rsidRDefault="004E7D15" w:rsidP="0074304E">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86.00</w:t>
            </w:r>
          </w:p>
          <w:p w14:paraId="2DC9B4B1" w14:textId="77777777" w:rsidR="004E7D15" w:rsidRPr="00C84A9C" w:rsidRDefault="004E7D15" w:rsidP="0074304E">
            <w:pPr>
              <w:spacing w:line="276" w:lineRule="auto"/>
              <w:jc w:val="center"/>
              <w:rPr>
                <w:rFonts w:ascii="Arial" w:hAnsi="Arial" w:cs="Arial"/>
                <w:b/>
                <w:i/>
                <w:sz w:val="20"/>
                <w:szCs w:val="20"/>
              </w:rPr>
            </w:pPr>
            <w:r w:rsidRPr="00C84A9C">
              <w:rPr>
                <w:rFonts w:ascii="Arial" w:hAnsi="Arial" w:cs="Arial"/>
                <w:color w:val="000000"/>
                <w:sz w:val="20"/>
                <w:szCs w:val="20"/>
              </w:rPr>
              <w:t>±2.15</w:t>
            </w:r>
          </w:p>
        </w:tc>
      </w:tr>
      <w:tr w:rsidR="00A62FEC" w:rsidRPr="00C84A9C" w14:paraId="5FBF0290" w14:textId="77777777" w:rsidTr="00B27A67">
        <w:tc>
          <w:tcPr>
            <w:tcW w:w="813" w:type="pct"/>
            <w:tcBorders>
              <w:left w:val="nil"/>
              <w:right w:val="nil"/>
            </w:tcBorders>
          </w:tcPr>
          <w:p w14:paraId="75EE9845" w14:textId="77777777" w:rsidR="004E7D15" w:rsidRPr="00C84A9C" w:rsidRDefault="004E7D15" w:rsidP="0074304E">
            <w:pPr>
              <w:spacing w:line="276" w:lineRule="auto"/>
              <w:jc w:val="center"/>
              <w:rPr>
                <w:rFonts w:ascii="Arial" w:hAnsi="Arial" w:cs="Arial"/>
                <w:b/>
                <w:i/>
                <w:sz w:val="20"/>
                <w:szCs w:val="20"/>
              </w:rPr>
            </w:pPr>
            <w:r w:rsidRPr="00C84A9C">
              <w:rPr>
                <w:rFonts w:ascii="Arial" w:hAnsi="Arial" w:cs="Arial"/>
                <w:b/>
                <w:i/>
                <w:sz w:val="20"/>
                <w:szCs w:val="20"/>
              </w:rPr>
              <w:t>1.0</w:t>
            </w:r>
          </w:p>
        </w:tc>
        <w:tc>
          <w:tcPr>
            <w:tcW w:w="678" w:type="pct"/>
            <w:tcBorders>
              <w:left w:val="nil"/>
              <w:right w:val="nil"/>
            </w:tcBorders>
            <w:vAlign w:val="center"/>
          </w:tcPr>
          <w:p w14:paraId="5D5487A0" w14:textId="77777777" w:rsidR="004E7D15" w:rsidRPr="00C84A9C" w:rsidRDefault="004E7D15" w:rsidP="0074304E">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0.064</w:t>
            </w:r>
          </w:p>
          <w:p w14:paraId="0EE3E902" w14:textId="77777777" w:rsidR="004E7D15" w:rsidRPr="00C84A9C" w:rsidRDefault="004E7D15" w:rsidP="0074304E">
            <w:pPr>
              <w:spacing w:line="276" w:lineRule="auto"/>
              <w:jc w:val="center"/>
              <w:rPr>
                <w:rFonts w:ascii="Arial" w:hAnsi="Arial" w:cs="Arial"/>
                <w:b/>
                <w:i/>
                <w:sz w:val="20"/>
                <w:szCs w:val="20"/>
              </w:rPr>
            </w:pPr>
            <w:r w:rsidRPr="00C84A9C">
              <w:rPr>
                <w:rFonts w:ascii="Arial" w:hAnsi="Arial" w:cs="Arial"/>
                <w:color w:val="000000"/>
                <w:sz w:val="20"/>
                <w:szCs w:val="20"/>
              </w:rPr>
              <w:t>±0.02</w:t>
            </w:r>
          </w:p>
        </w:tc>
        <w:tc>
          <w:tcPr>
            <w:tcW w:w="667" w:type="pct"/>
            <w:tcBorders>
              <w:left w:val="nil"/>
              <w:right w:val="nil"/>
            </w:tcBorders>
            <w:vAlign w:val="center"/>
          </w:tcPr>
          <w:p w14:paraId="586EAA12" w14:textId="77777777" w:rsidR="004E7D15" w:rsidRPr="00C84A9C" w:rsidRDefault="004E7D15" w:rsidP="0074304E">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3557.298</w:t>
            </w:r>
          </w:p>
          <w:p w14:paraId="287F6528" w14:textId="77777777" w:rsidR="004E7D15" w:rsidRPr="00C84A9C" w:rsidRDefault="004E7D15" w:rsidP="0074304E">
            <w:pPr>
              <w:spacing w:line="276" w:lineRule="auto"/>
              <w:jc w:val="center"/>
              <w:rPr>
                <w:rFonts w:ascii="Arial" w:hAnsi="Arial" w:cs="Arial"/>
                <w:b/>
                <w:i/>
                <w:sz w:val="20"/>
                <w:szCs w:val="20"/>
              </w:rPr>
            </w:pPr>
            <w:r w:rsidRPr="00C84A9C">
              <w:rPr>
                <w:rFonts w:ascii="Arial" w:hAnsi="Arial" w:cs="Arial"/>
                <w:color w:val="000000"/>
                <w:sz w:val="20"/>
                <w:szCs w:val="20"/>
              </w:rPr>
              <w:t>±11.42</w:t>
            </w:r>
          </w:p>
        </w:tc>
        <w:tc>
          <w:tcPr>
            <w:tcW w:w="542" w:type="pct"/>
            <w:tcBorders>
              <w:left w:val="nil"/>
              <w:right w:val="nil"/>
            </w:tcBorders>
            <w:vAlign w:val="center"/>
          </w:tcPr>
          <w:p w14:paraId="3A588999" w14:textId="77777777" w:rsidR="004E7D15" w:rsidRPr="00C84A9C" w:rsidRDefault="004E7D15" w:rsidP="0074304E">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2074.4</w:t>
            </w:r>
          </w:p>
          <w:p w14:paraId="71A372CB" w14:textId="77777777" w:rsidR="004E7D15" w:rsidRPr="00C84A9C" w:rsidRDefault="004E7D15" w:rsidP="0074304E">
            <w:pPr>
              <w:spacing w:line="276" w:lineRule="auto"/>
              <w:jc w:val="center"/>
              <w:rPr>
                <w:rFonts w:ascii="Arial" w:hAnsi="Arial" w:cs="Arial"/>
                <w:b/>
                <w:i/>
                <w:sz w:val="20"/>
                <w:szCs w:val="20"/>
              </w:rPr>
            </w:pPr>
            <w:r w:rsidRPr="00C84A9C">
              <w:rPr>
                <w:rFonts w:ascii="Arial" w:hAnsi="Arial" w:cs="Arial"/>
                <w:color w:val="000000"/>
                <w:sz w:val="20"/>
                <w:szCs w:val="20"/>
              </w:rPr>
              <w:t>±16.14</w:t>
            </w:r>
          </w:p>
        </w:tc>
        <w:tc>
          <w:tcPr>
            <w:tcW w:w="662" w:type="pct"/>
            <w:tcBorders>
              <w:left w:val="nil"/>
              <w:right w:val="nil"/>
            </w:tcBorders>
            <w:vAlign w:val="center"/>
          </w:tcPr>
          <w:p w14:paraId="2677C923" w14:textId="77777777" w:rsidR="004E7D15" w:rsidRPr="00C84A9C" w:rsidRDefault="004E7D15" w:rsidP="0074304E">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24.539</w:t>
            </w:r>
          </w:p>
          <w:p w14:paraId="5C6C1310" w14:textId="77777777" w:rsidR="004E7D15" w:rsidRPr="00C84A9C" w:rsidRDefault="004E7D15" w:rsidP="0074304E">
            <w:pPr>
              <w:spacing w:line="276" w:lineRule="auto"/>
              <w:jc w:val="center"/>
              <w:rPr>
                <w:rFonts w:ascii="Arial" w:hAnsi="Arial" w:cs="Arial"/>
                <w:b/>
                <w:i/>
                <w:sz w:val="20"/>
                <w:szCs w:val="20"/>
              </w:rPr>
            </w:pPr>
            <w:r w:rsidRPr="00C84A9C">
              <w:rPr>
                <w:rFonts w:ascii="Arial" w:hAnsi="Arial" w:cs="Arial"/>
                <w:color w:val="000000"/>
                <w:sz w:val="20"/>
                <w:szCs w:val="20"/>
              </w:rPr>
              <w:t>±0.29</w:t>
            </w:r>
          </w:p>
        </w:tc>
        <w:tc>
          <w:tcPr>
            <w:tcW w:w="689" w:type="pct"/>
            <w:tcBorders>
              <w:left w:val="nil"/>
              <w:right w:val="nil"/>
            </w:tcBorders>
            <w:vAlign w:val="center"/>
          </w:tcPr>
          <w:p w14:paraId="3924345D" w14:textId="77777777" w:rsidR="004E7D15" w:rsidRPr="00C84A9C" w:rsidRDefault="004E7D15" w:rsidP="0074304E">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0.196</w:t>
            </w:r>
          </w:p>
          <w:p w14:paraId="3CF9AEAC" w14:textId="77777777" w:rsidR="004E7D15" w:rsidRPr="00C84A9C" w:rsidRDefault="004E7D15" w:rsidP="0074304E">
            <w:pPr>
              <w:spacing w:line="276" w:lineRule="auto"/>
              <w:jc w:val="center"/>
              <w:rPr>
                <w:rFonts w:ascii="Arial" w:hAnsi="Arial" w:cs="Arial"/>
                <w:b/>
                <w:i/>
                <w:sz w:val="20"/>
                <w:szCs w:val="20"/>
              </w:rPr>
            </w:pPr>
            <w:r w:rsidRPr="00C84A9C">
              <w:rPr>
                <w:rFonts w:ascii="Arial" w:hAnsi="Arial" w:cs="Arial"/>
                <w:sz w:val="20"/>
                <w:szCs w:val="20"/>
                <w:lang w:bidi="hi-IN"/>
              </w:rPr>
              <w:t>±0.01</w:t>
            </w:r>
          </w:p>
        </w:tc>
        <w:tc>
          <w:tcPr>
            <w:tcW w:w="949" w:type="pct"/>
            <w:tcBorders>
              <w:left w:val="nil"/>
              <w:right w:val="nil"/>
            </w:tcBorders>
            <w:vAlign w:val="center"/>
          </w:tcPr>
          <w:p w14:paraId="51AEE2FC" w14:textId="77777777" w:rsidR="004E7D15" w:rsidRPr="00C84A9C" w:rsidRDefault="004E7D15" w:rsidP="0074304E">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92.45</w:t>
            </w:r>
          </w:p>
          <w:p w14:paraId="3D46C9F8" w14:textId="77777777" w:rsidR="004E7D15" w:rsidRPr="00C84A9C" w:rsidRDefault="004E7D15" w:rsidP="0074304E">
            <w:pPr>
              <w:spacing w:line="276" w:lineRule="auto"/>
              <w:jc w:val="center"/>
              <w:rPr>
                <w:rFonts w:ascii="Arial" w:hAnsi="Arial" w:cs="Arial"/>
                <w:b/>
                <w:i/>
                <w:sz w:val="20"/>
                <w:szCs w:val="20"/>
              </w:rPr>
            </w:pPr>
            <w:r w:rsidRPr="00C84A9C">
              <w:rPr>
                <w:rFonts w:ascii="Arial" w:hAnsi="Arial" w:cs="Arial"/>
                <w:color w:val="000000"/>
                <w:sz w:val="20"/>
                <w:szCs w:val="20"/>
              </w:rPr>
              <w:t>±2.15</w:t>
            </w:r>
          </w:p>
        </w:tc>
      </w:tr>
      <w:tr w:rsidR="00A62FEC" w:rsidRPr="00C84A9C" w14:paraId="1B0A63DF" w14:textId="77777777" w:rsidTr="00B27A67">
        <w:tc>
          <w:tcPr>
            <w:tcW w:w="813" w:type="pct"/>
            <w:tcBorders>
              <w:left w:val="nil"/>
              <w:right w:val="nil"/>
            </w:tcBorders>
          </w:tcPr>
          <w:p w14:paraId="3DD2357D" w14:textId="77777777" w:rsidR="004E7D15" w:rsidRPr="00C84A9C" w:rsidRDefault="004E7D15" w:rsidP="0074304E">
            <w:pPr>
              <w:spacing w:line="276" w:lineRule="auto"/>
              <w:jc w:val="center"/>
              <w:rPr>
                <w:rFonts w:ascii="Arial" w:hAnsi="Arial" w:cs="Arial"/>
                <w:b/>
                <w:i/>
                <w:sz w:val="20"/>
                <w:szCs w:val="20"/>
              </w:rPr>
            </w:pPr>
            <w:r w:rsidRPr="00C84A9C">
              <w:rPr>
                <w:rFonts w:ascii="Arial" w:hAnsi="Arial" w:cs="Arial"/>
                <w:b/>
                <w:i/>
                <w:sz w:val="20"/>
                <w:szCs w:val="20"/>
              </w:rPr>
              <w:t>1.5</w:t>
            </w:r>
          </w:p>
        </w:tc>
        <w:tc>
          <w:tcPr>
            <w:tcW w:w="678" w:type="pct"/>
            <w:tcBorders>
              <w:left w:val="nil"/>
              <w:right w:val="nil"/>
            </w:tcBorders>
            <w:vAlign w:val="center"/>
          </w:tcPr>
          <w:p w14:paraId="445ADAD2" w14:textId="77777777" w:rsidR="004E7D15" w:rsidRPr="00C84A9C" w:rsidRDefault="004E7D15" w:rsidP="0074304E">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0.067</w:t>
            </w:r>
          </w:p>
          <w:p w14:paraId="6C897F08" w14:textId="77777777" w:rsidR="004E7D15" w:rsidRPr="00C84A9C" w:rsidRDefault="004E7D15" w:rsidP="0074304E">
            <w:pPr>
              <w:spacing w:line="276" w:lineRule="auto"/>
              <w:jc w:val="center"/>
              <w:rPr>
                <w:rFonts w:ascii="Arial" w:hAnsi="Arial" w:cs="Arial"/>
                <w:b/>
                <w:i/>
                <w:sz w:val="20"/>
                <w:szCs w:val="20"/>
              </w:rPr>
            </w:pPr>
            <w:r w:rsidRPr="00C84A9C">
              <w:rPr>
                <w:rFonts w:ascii="Arial" w:hAnsi="Arial" w:cs="Arial"/>
                <w:color w:val="000000"/>
                <w:sz w:val="20"/>
                <w:szCs w:val="20"/>
              </w:rPr>
              <w:t>±0.01</w:t>
            </w:r>
          </w:p>
        </w:tc>
        <w:tc>
          <w:tcPr>
            <w:tcW w:w="667" w:type="pct"/>
            <w:tcBorders>
              <w:left w:val="nil"/>
              <w:right w:val="nil"/>
            </w:tcBorders>
            <w:vAlign w:val="center"/>
          </w:tcPr>
          <w:p w14:paraId="71DB4074" w14:textId="77777777" w:rsidR="004E7D15" w:rsidRPr="00C84A9C" w:rsidRDefault="004E7D15" w:rsidP="0074304E">
            <w:pPr>
              <w:pStyle w:val="NoSpacing"/>
              <w:spacing w:line="276" w:lineRule="auto"/>
              <w:jc w:val="center"/>
              <w:rPr>
                <w:rFonts w:ascii="Arial" w:hAnsi="Arial" w:cs="Arial"/>
                <w:sz w:val="20"/>
                <w:szCs w:val="20"/>
                <w:lang w:bidi="hi-IN"/>
              </w:rPr>
            </w:pPr>
            <w:r w:rsidRPr="00C84A9C">
              <w:rPr>
                <w:rFonts w:ascii="Arial" w:hAnsi="Arial" w:cs="Arial"/>
                <w:color w:val="000000"/>
                <w:sz w:val="20"/>
                <w:szCs w:val="20"/>
              </w:rPr>
              <w:t>3918.08</w:t>
            </w:r>
          </w:p>
          <w:p w14:paraId="0344875F" w14:textId="77777777" w:rsidR="004E7D15" w:rsidRPr="00C84A9C" w:rsidRDefault="004E7D15" w:rsidP="0074304E">
            <w:pPr>
              <w:spacing w:line="276" w:lineRule="auto"/>
              <w:jc w:val="center"/>
              <w:rPr>
                <w:rFonts w:ascii="Arial" w:hAnsi="Arial" w:cs="Arial"/>
                <w:b/>
                <w:i/>
                <w:sz w:val="20"/>
                <w:szCs w:val="20"/>
              </w:rPr>
            </w:pPr>
            <w:r w:rsidRPr="00C84A9C">
              <w:rPr>
                <w:rFonts w:ascii="Arial" w:hAnsi="Arial" w:cs="Arial"/>
                <w:color w:val="000000"/>
                <w:sz w:val="20"/>
                <w:szCs w:val="20"/>
              </w:rPr>
              <w:t>±2.30</w:t>
            </w:r>
          </w:p>
        </w:tc>
        <w:tc>
          <w:tcPr>
            <w:tcW w:w="542" w:type="pct"/>
            <w:tcBorders>
              <w:left w:val="nil"/>
              <w:right w:val="nil"/>
            </w:tcBorders>
            <w:vAlign w:val="center"/>
          </w:tcPr>
          <w:p w14:paraId="770A0A45" w14:textId="77777777" w:rsidR="004E7D15" w:rsidRPr="00C84A9C" w:rsidRDefault="004E7D15" w:rsidP="0074304E">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2094.7</w:t>
            </w:r>
          </w:p>
          <w:p w14:paraId="5738F333" w14:textId="77777777" w:rsidR="004E7D15" w:rsidRPr="00C84A9C" w:rsidRDefault="004E7D15" w:rsidP="0074304E">
            <w:pPr>
              <w:spacing w:line="276" w:lineRule="auto"/>
              <w:jc w:val="center"/>
              <w:rPr>
                <w:rFonts w:ascii="Arial" w:hAnsi="Arial" w:cs="Arial"/>
                <w:b/>
                <w:i/>
                <w:sz w:val="20"/>
                <w:szCs w:val="20"/>
              </w:rPr>
            </w:pPr>
            <w:r w:rsidRPr="00C84A9C">
              <w:rPr>
                <w:rFonts w:ascii="Arial" w:hAnsi="Arial" w:cs="Arial"/>
                <w:color w:val="000000"/>
                <w:sz w:val="20"/>
                <w:szCs w:val="20"/>
              </w:rPr>
              <w:t>±11.84</w:t>
            </w:r>
          </w:p>
        </w:tc>
        <w:tc>
          <w:tcPr>
            <w:tcW w:w="662" w:type="pct"/>
            <w:tcBorders>
              <w:left w:val="nil"/>
              <w:right w:val="nil"/>
            </w:tcBorders>
            <w:vAlign w:val="center"/>
          </w:tcPr>
          <w:p w14:paraId="3ED6DF4B" w14:textId="77777777" w:rsidR="004E7D15" w:rsidRPr="00C84A9C" w:rsidRDefault="004E7D15" w:rsidP="0074304E">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26.111</w:t>
            </w:r>
          </w:p>
          <w:p w14:paraId="54410C13" w14:textId="77777777" w:rsidR="004E7D15" w:rsidRPr="00C84A9C" w:rsidRDefault="004E7D15" w:rsidP="0074304E">
            <w:pPr>
              <w:spacing w:line="276" w:lineRule="auto"/>
              <w:jc w:val="center"/>
              <w:rPr>
                <w:rFonts w:ascii="Arial" w:hAnsi="Arial" w:cs="Arial"/>
                <w:b/>
                <w:i/>
                <w:sz w:val="20"/>
                <w:szCs w:val="20"/>
              </w:rPr>
            </w:pPr>
            <w:r w:rsidRPr="00C84A9C">
              <w:rPr>
                <w:rFonts w:ascii="Arial" w:hAnsi="Arial" w:cs="Arial"/>
                <w:color w:val="000000"/>
                <w:sz w:val="20"/>
                <w:szCs w:val="20"/>
              </w:rPr>
              <w:t>±0.29</w:t>
            </w:r>
          </w:p>
        </w:tc>
        <w:tc>
          <w:tcPr>
            <w:tcW w:w="689" w:type="pct"/>
            <w:tcBorders>
              <w:left w:val="nil"/>
              <w:right w:val="nil"/>
            </w:tcBorders>
            <w:vAlign w:val="center"/>
          </w:tcPr>
          <w:p w14:paraId="5E7907D9" w14:textId="77777777" w:rsidR="004E7D15" w:rsidRPr="00C84A9C" w:rsidRDefault="004E7D15" w:rsidP="0074304E">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0.197</w:t>
            </w:r>
          </w:p>
          <w:p w14:paraId="642EEC97" w14:textId="77777777" w:rsidR="004E7D15" w:rsidRPr="00C84A9C" w:rsidRDefault="004E7D15" w:rsidP="0074304E">
            <w:pPr>
              <w:spacing w:line="276" w:lineRule="auto"/>
              <w:jc w:val="center"/>
              <w:rPr>
                <w:rFonts w:ascii="Arial" w:hAnsi="Arial" w:cs="Arial"/>
                <w:b/>
                <w:i/>
                <w:sz w:val="20"/>
                <w:szCs w:val="20"/>
              </w:rPr>
            </w:pPr>
            <w:r w:rsidRPr="00C84A9C">
              <w:rPr>
                <w:rFonts w:ascii="Arial" w:hAnsi="Arial" w:cs="Arial"/>
                <w:sz w:val="20"/>
                <w:szCs w:val="20"/>
                <w:lang w:bidi="hi-IN"/>
              </w:rPr>
              <w:t>±0.02</w:t>
            </w:r>
          </w:p>
        </w:tc>
        <w:tc>
          <w:tcPr>
            <w:tcW w:w="949" w:type="pct"/>
            <w:tcBorders>
              <w:left w:val="nil"/>
              <w:right w:val="nil"/>
            </w:tcBorders>
          </w:tcPr>
          <w:p w14:paraId="7737581C" w14:textId="77777777" w:rsidR="004E7D15" w:rsidRPr="00C84A9C" w:rsidRDefault="004E7D15" w:rsidP="0074304E">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103.2</w:t>
            </w:r>
          </w:p>
          <w:p w14:paraId="213C22A9" w14:textId="77777777" w:rsidR="004E7D15" w:rsidRPr="00C84A9C" w:rsidRDefault="004E7D15" w:rsidP="0074304E">
            <w:pPr>
              <w:spacing w:line="276" w:lineRule="auto"/>
              <w:jc w:val="center"/>
              <w:rPr>
                <w:rFonts w:ascii="Arial" w:hAnsi="Arial" w:cs="Arial"/>
                <w:b/>
                <w:i/>
                <w:sz w:val="20"/>
                <w:szCs w:val="20"/>
              </w:rPr>
            </w:pPr>
            <w:r w:rsidRPr="00C84A9C">
              <w:rPr>
                <w:rFonts w:ascii="Arial" w:hAnsi="Arial" w:cs="Arial"/>
                <w:color w:val="000000"/>
                <w:sz w:val="20"/>
                <w:szCs w:val="20"/>
              </w:rPr>
              <w:t>±3.72</w:t>
            </w:r>
          </w:p>
        </w:tc>
      </w:tr>
      <w:tr w:rsidR="00A62FEC" w:rsidRPr="00C84A9C" w14:paraId="754DC30A" w14:textId="77777777" w:rsidTr="00B27A67">
        <w:tc>
          <w:tcPr>
            <w:tcW w:w="813" w:type="pct"/>
            <w:tcBorders>
              <w:left w:val="nil"/>
              <w:bottom w:val="single" w:sz="4" w:space="0" w:color="auto"/>
              <w:right w:val="nil"/>
            </w:tcBorders>
          </w:tcPr>
          <w:p w14:paraId="78A61782" w14:textId="77777777" w:rsidR="004E7D15" w:rsidRPr="00C84A9C" w:rsidRDefault="004E7D15" w:rsidP="0074304E">
            <w:pPr>
              <w:spacing w:line="276" w:lineRule="auto"/>
              <w:jc w:val="center"/>
              <w:rPr>
                <w:rFonts w:ascii="Arial" w:hAnsi="Arial" w:cs="Arial"/>
                <w:b/>
                <w:i/>
                <w:sz w:val="20"/>
                <w:szCs w:val="20"/>
              </w:rPr>
            </w:pPr>
            <w:r w:rsidRPr="00C84A9C">
              <w:rPr>
                <w:rFonts w:ascii="Arial" w:hAnsi="Arial" w:cs="Arial"/>
                <w:b/>
                <w:i/>
                <w:sz w:val="20"/>
                <w:szCs w:val="20"/>
              </w:rPr>
              <w:t>2.0</w:t>
            </w:r>
          </w:p>
        </w:tc>
        <w:tc>
          <w:tcPr>
            <w:tcW w:w="678" w:type="pct"/>
            <w:tcBorders>
              <w:left w:val="nil"/>
              <w:bottom w:val="single" w:sz="4" w:space="0" w:color="auto"/>
              <w:right w:val="nil"/>
            </w:tcBorders>
            <w:vAlign w:val="center"/>
          </w:tcPr>
          <w:p w14:paraId="16E0CA98" w14:textId="77777777" w:rsidR="004E7D15" w:rsidRPr="00C84A9C" w:rsidRDefault="004E7D15" w:rsidP="0074304E">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0.072</w:t>
            </w:r>
          </w:p>
          <w:p w14:paraId="48C8E024" w14:textId="77777777" w:rsidR="004E7D15" w:rsidRPr="00C84A9C" w:rsidRDefault="004E7D15" w:rsidP="0074304E">
            <w:pPr>
              <w:pStyle w:val="NoSpacing"/>
              <w:spacing w:line="276" w:lineRule="auto"/>
              <w:jc w:val="center"/>
              <w:rPr>
                <w:rFonts w:ascii="Arial" w:hAnsi="Arial" w:cs="Arial"/>
                <w:sz w:val="20"/>
                <w:szCs w:val="20"/>
                <w:lang w:bidi="hi-IN"/>
              </w:rPr>
            </w:pPr>
            <w:r w:rsidRPr="00C84A9C">
              <w:rPr>
                <w:rFonts w:ascii="Arial" w:hAnsi="Arial" w:cs="Arial"/>
                <w:color w:val="000000"/>
                <w:sz w:val="20"/>
                <w:szCs w:val="20"/>
              </w:rPr>
              <w:t>±0.01</w:t>
            </w:r>
          </w:p>
        </w:tc>
        <w:tc>
          <w:tcPr>
            <w:tcW w:w="667" w:type="pct"/>
            <w:tcBorders>
              <w:left w:val="nil"/>
              <w:bottom w:val="single" w:sz="4" w:space="0" w:color="auto"/>
              <w:right w:val="nil"/>
            </w:tcBorders>
            <w:vAlign w:val="center"/>
          </w:tcPr>
          <w:p w14:paraId="5D4BA463" w14:textId="77777777" w:rsidR="004E7D15" w:rsidRPr="00C84A9C" w:rsidRDefault="004E7D15" w:rsidP="0074304E">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4025.27</w:t>
            </w:r>
          </w:p>
          <w:p w14:paraId="39EE459A" w14:textId="77777777" w:rsidR="004E7D15" w:rsidRPr="00C84A9C" w:rsidRDefault="004E7D15" w:rsidP="0074304E">
            <w:pPr>
              <w:spacing w:line="276" w:lineRule="auto"/>
              <w:jc w:val="center"/>
              <w:rPr>
                <w:rFonts w:ascii="Arial" w:hAnsi="Arial" w:cs="Arial"/>
                <w:b/>
                <w:i/>
                <w:sz w:val="20"/>
                <w:szCs w:val="20"/>
              </w:rPr>
            </w:pPr>
            <w:r w:rsidRPr="00C84A9C">
              <w:rPr>
                <w:rFonts w:ascii="Arial" w:hAnsi="Arial" w:cs="Arial"/>
                <w:color w:val="000000"/>
                <w:sz w:val="20"/>
                <w:szCs w:val="20"/>
              </w:rPr>
              <w:t>±7.13</w:t>
            </w:r>
          </w:p>
        </w:tc>
        <w:tc>
          <w:tcPr>
            <w:tcW w:w="542" w:type="pct"/>
            <w:tcBorders>
              <w:left w:val="nil"/>
              <w:bottom w:val="single" w:sz="4" w:space="0" w:color="auto"/>
              <w:right w:val="nil"/>
            </w:tcBorders>
            <w:vAlign w:val="center"/>
          </w:tcPr>
          <w:p w14:paraId="04F10468" w14:textId="77777777" w:rsidR="004E7D15" w:rsidRPr="00C84A9C" w:rsidRDefault="004E7D15" w:rsidP="0074304E">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846.02</w:t>
            </w:r>
          </w:p>
          <w:p w14:paraId="2D42CCFE" w14:textId="77777777" w:rsidR="004E7D15" w:rsidRPr="00C84A9C" w:rsidRDefault="004E7D15" w:rsidP="0074304E">
            <w:pPr>
              <w:spacing w:line="276" w:lineRule="auto"/>
              <w:jc w:val="center"/>
              <w:rPr>
                <w:rFonts w:ascii="Arial" w:hAnsi="Arial" w:cs="Arial"/>
                <w:b/>
                <w:i/>
                <w:sz w:val="20"/>
                <w:szCs w:val="20"/>
              </w:rPr>
            </w:pPr>
            <w:r w:rsidRPr="00C84A9C">
              <w:rPr>
                <w:rFonts w:ascii="Arial" w:hAnsi="Arial" w:cs="Arial"/>
                <w:color w:val="000000"/>
                <w:sz w:val="20"/>
                <w:szCs w:val="20"/>
              </w:rPr>
              <w:t>±6.77</w:t>
            </w:r>
          </w:p>
        </w:tc>
        <w:tc>
          <w:tcPr>
            <w:tcW w:w="662" w:type="pct"/>
            <w:tcBorders>
              <w:left w:val="nil"/>
              <w:bottom w:val="single" w:sz="4" w:space="0" w:color="auto"/>
              <w:right w:val="nil"/>
            </w:tcBorders>
            <w:vAlign w:val="center"/>
          </w:tcPr>
          <w:p w14:paraId="76BF037D" w14:textId="77777777" w:rsidR="004E7D15" w:rsidRPr="00C84A9C" w:rsidRDefault="004E7D15" w:rsidP="0074304E">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28.714</w:t>
            </w:r>
          </w:p>
          <w:p w14:paraId="18F5BCBC" w14:textId="77777777" w:rsidR="004E7D15" w:rsidRPr="00C84A9C" w:rsidRDefault="004E7D15" w:rsidP="0074304E">
            <w:pPr>
              <w:spacing w:line="276" w:lineRule="auto"/>
              <w:jc w:val="center"/>
              <w:rPr>
                <w:rFonts w:ascii="Arial" w:hAnsi="Arial" w:cs="Arial"/>
                <w:b/>
                <w:i/>
                <w:sz w:val="20"/>
                <w:szCs w:val="20"/>
              </w:rPr>
            </w:pPr>
            <w:r w:rsidRPr="00C84A9C">
              <w:rPr>
                <w:rFonts w:ascii="Arial" w:hAnsi="Arial" w:cs="Arial"/>
                <w:color w:val="000000"/>
                <w:sz w:val="20"/>
                <w:szCs w:val="20"/>
              </w:rPr>
              <w:t>±0.25</w:t>
            </w:r>
          </w:p>
        </w:tc>
        <w:tc>
          <w:tcPr>
            <w:tcW w:w="689" w:type="pct"/>
            <w:tcBorders>
              <w:left w:val="nil"/>
              <w:bottom w:val="single" w:sz="4" w:space="0" w:color="auto"/>
              <w:right w:val="nil"/>
            </w:tcBorders>
            <w:vAlign w:val="center"/>
          </w:tcPr>
          <w:p w14:paraId="2656488C" w14:textId="77777777" w:rsidR="004E7D15" w:rsidRPr="00C84A9C" w:rsidRDefault="004E7D15" w:rsidP="0074304E">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0.237</w:t>
            </w:r>
          </w:p>
          <w:p w14:paraId="5729EAF0" w14:textId="77777777" w:rsidR="004E7D15" w:rsidRPr="00C84A9C" w:rsidRDefault="004E7D15" w:rsidP="0074304E">
            <w:pPr>
              <w:spacing w:line="276" w:lineRule="auto"/>
              <w:jc w:val="center"/>
              <w:rPr>
                <w:rFonts w:ascii="Arial" w:hAnsi="Arial" w:cs="Arial"/>
                <w:b/>
                <w:i/>
                <w:sz w:val="20"/>
                <w:szCs w:val="20"/>
              </w:rPr>
            </w:pPr>
            <w:r w:rsidRPr="00C84A9C">
              <w:rPr>
                <w:rFonts w:ascii="Arial" w:hAnsi="Arial" w:cs="Arial"/>
                <w:sz w:val="20"/>
                <w:szCs w:val="20"/>
                <w:lang w:bidi="hi-IN"/>
              </w:rPr>
              <w:t>±0.01</w:t>
            </w:r>
          </w:p>
        </w:tc>
        <w:tc>
          <w:tcPr>
            <w:tcW w:w="949" w:type="pct"/>
            <w:tcBorders>
              <w:left w:val="nil"/>
              <w:bottom w:val="single" w:sz="4" w:space="0" w:color="auto"/>
              <w:right w:val="nil"/>
            </w:tcBorders>
          </w:tcPr>
          <w:p w14:paraId="7E26EF59" w14:textId="77777777" w:rsidR="004E7D15" w:rsidRPr="00C84A9C" w:rsidRDefault="004E7D15" w:rsidP="0074304E">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113.95</w:t>
            </w:r>
          </w:p>
          <w:p w14:paraId="36B91455" w14:textId="77777777" w:rsidR="004E7D15" w:rsidRPr="00C84A9C" w:rsidRDefault="004E7D15" w:rsidP="0074304E">
            <w:pPr>
              <w:spacing w:line="276" w:lineRule="auto"/>
              <w:jc w:val="center"/>
              <w:rPr>
                <w:rFonts w:ascii="Arial" w:hAnsi="Arial" w:cs="Arial"/>
                <w:b/>
                <w:i/>
                <w:sz w:val="20"/>
                <w:szCs w:val="20"/>
              </w:rPr>
            </w:pPr>
            <w:r w:rsidRPr="00C84A9C">
              <w:rPr>
                <w:rFonts w:ascii="Arial" w:hAnsi="Arial" w:cs="Arial"/>
                <w:color w:val="000000"/>
                <w:sz w:val="20"/>
                <w:szCs w:val="20"/>
              </w:rPr>
              <w:t>±2.15</w:t>
            </w:r>
          </w:p>
        </w:tc>
      </w:tr>
    </w:tbl>
    <w:p w14:paraId="43403F62" w14:textId="77777777" w:rsidR="00C84A9C" w:rsidRDefault="00C84A9C" w:rsidP="00C84A9C">
      <w:pPr>
        <w:spacing w:line="276" w:lineRule="auto"/>
        <w:rPr>
          <w:rFonts w:ascii="Arial" w:hAnsi="Arial" w:cs="Arial"/>
          <w:b/>
        </w:rPr>
      </w:pPr>
    </w:p>
    <w:p w14:paraId="12CC6A0C" w14:textId="77777777" w:rsidR="004E7D15" w:rsidRPr="00C84A9C" w:rsidRDefault="004E7D15" w:rsidP="00C84A9C">
      <w:pPr>
        <w:spacing w:line="276" w:lineRule="auto"/>
        <w:rPr>
          <w:rFonts w:ascii="Arial" w:hAnsi="Arial" w:cs="Arial"/>
          <w:b/>
        </w:rPr>
      </w:pPr>
      <w:r w:rsidRPr="00C84A9C">
        <w:rPr>
          <w:rFonts w:ascii="Arial" w:hAnsi="Arial" w:cs="Arial"/>
          <w:b/>
        </w:rPr>
        <w:t>Table</w:t>
      </w:r>
      <w:r w:rsidR="00204D56">
        <w:rPr>
          <w:rFonts w:ascii="Arial" w:hAnsi="Arial" w:cs="Arial"/>
          <w:b/>
        </w:rPr>
        <w:t xml:space="preserve"> </w:t>
      </w:r>
      <w:r w:rsidRPr="00C84A9C">
        <w:rPr>
          <w:rFonts w:ascii="Arial" w:hAnsi="Arial" w:cs="Arial"/>
          <w:b/>
        </w:rPr>
        <w:t>2</w:t>
      </w:r>
      <w:r w:rsidR="00204D56">
        <w:rPr>
          <w:rFonts w:ascii="Arial" w:hAnsi="Arial" w:cs="Arial"/>
          <w:b/>
        </w:rPr>
        <w:t>.</w:t>
      </w:r>
      <w:r w:rsidRPr="00C84A9C">
        <w:rPr>
          <w:rFonts w:ascii="Arial" w:hAnsi="Arial" w:cs="Arial"/>
          <w:b/>
        </w:rPr>
        <w:t xml:space="preserve"> </w:t>
      </w:r>
      <w:bookmarkStart w:id="0" w:name="_Hlk211453303"/>
      <w:r w:rsidRPr="00C84A9C">
        <w:rPr>
          <w:rFonts w:ascii="Arial" w:hAnsi="Arial" w:cs="Arial"/>
        </w:rPr>
        <w:t xml:space="preserve">Paraquat dichloride stress on </w:t>
      </w:r>
      <w:r w:rsidRPr="00C84A9C">
        <w:rPr>
          <w:rFonts w:ascii="Arial" w:hAnsi="Arial" w:cs="Arial"/>
          <w:i/>
        </w:rPr>
        <w:t xml:space="preserve">Lemna minor </w:t>
      </w:r>
      <w:r w:rsidRPr="00C84A9C">
        <w:rPr>
          <w:rFonts w:ascii="Arial" w:hAnsi="Arial" w:cs="Arial"/>
        </w:rPr>
        <w:t>antioxidant activity and oxidative stress</w:t>
      </w:r>
      <w:r w:rsidR="00204D56">
        <w:rPr>
          <w:rFonts w:ascii="Arial" w:hAnsi="Arial" w:cs="Arial"/>
        </w:rPr>
        <w:t>.</w:t>
      </w:r>
      <w:r w:rsidRPr="00C84A9C">
        <w:rPr>
          <w:rFonts w:ascii="Arial" w:hAnsi="Arial" w:cs="Arial"/>
          <w:b/>
          <w:i/>
        </w:rPr>
        <w:t xml:space="preserve"> </w:t>
      </w:r>
      <w:bookmarkEnd w:id="0"/>
    </w:p>
    <w:p w14:paraId="470D00DC" w14:textId="77777777" w:rsidR="004E7D15" w:rsidRPr="00C84A9C" w:rsidRDefault="004E7D15" w:rsidP="004E7D15">
      <w:pPr>
        <w:spacing w:line="276" w:lineRule="auto"/>
        <w:jc w:val="center"/>
        <w:rPr>
          <w:rFonts w:ascii="Arial" w:hAnsi="Arial" w:cs="Arial"/>
          <w:b/>
          <w:i/>
        </w:rPr>
      </w:pPr>
    </w:p>
    <w:tbl>
      <w:tblPr>
        <w:tblStyle w:val="TableGrid"/>
        <w:tblW w:w="5000" w:type="pct"/>
        <w:tblLook w:val="04A0" w:firstRow="1" w:lastRow="0" w:firstColumn="1" w:lastColumn="0" w:noHBand="0" w:noVBand="1"/>
      </w:tblPr>
      <w:tblGrid>
        <w:gridCol w:w="1302"/>
        <w:gridCol w:w="1089"/>
        <w:gridCol w:w="1249"/>
        <w:gridCol w:w="885"/>
        <w:gridCol w:w="1062"/>
        <w:gridCol w:w="1106"/>
        <w:gridCol w:w="1515"/>
      </w:tblGrid>
      <w:tr w:rsidR="00A62FEC" w:rsidRPr="001D7B62" w14:paraId="6D2BA887" w14:textId="77777777" w:rsidTr="00B27A67">
        <w:tc>
          <w:tcPr>
            <w:tcW w:w="796" w:type="pct"/>
            <w:tcBorders>
              <w:left w:val="nil"/>
              <w:bottom w:val="single" w:sz="4" w:space="0" w:color="auto"/>
              <w:right w:val="nil"/>
            </w:tcBorders>
          </w:tcPr>
          <w:p w14:paraId="58E6E218" w14:textId="77777777" w:rsidR="00A62FEC" w:rsidRPr="00C84A9C" w:rsidRDefault="00A62FEC" w:rsidP="001F58A2">
            <w:pPr>
              <w:spacing w:line="276" w:lineRule="auto"/>
              <w:jc w:val="center"/>
              <w:rPr>
                <w:rFonts w:ascii="Arial" w:hAnsi="Arial" w:cs="Arial"/>
                <w:b/>
                <w:sz w:val="20"/>
                <w:szCs w:val="20"/>
              </w:rPr>
            </w:pPr>
            <w:r w:rsidRPr="00C84A9C">
              <w:rPr>
                <w:rFonts w:ascii="Arial" w:hAnsi="Arial" w:cs="Arial"/>
                <w:b/>
                <w:sz w:val="20"/>
                <w:szCs w:val="20"/>
              </w:rPr>
              <w:lastRenderedPageBreak/>
              <w:t>Concentration</w:t>
            </w:r>
          </w:p>
          <w:p w14:paraId="2C7C9B52" w14:textId="77777777" w:rsidR="00A62FEC" w:rsidRPr="00C84A9C" w:rsidRDefault="00A62FEC">
            <w:pPr>
              <w:spacing w:line="276" w:lineRule="auto"/>
              <w:jc w:val="center"/>
              <w:rPr>
                <w:rFonts w:ascii="Arial" w:hAnsi="Arial" w:cs="Arial"/>
                <w:b/>
                <w:i/>
                <w:sz w:val="20"/>
                <w:szCs w:val="20"/>
              </w:rPr>
            </w:pPr>
            <w:r w:rsidRPr="00C84A9C">
              <w:rPr>
                <w:rFonts w:ascii="Arial" w:hAnsi="Arial" w:cs="Arial"/>
                <w:b/>
                <w:sz w:val="20"/>
                <w:szCs w:val="20"/>
              </w:rPr>
              <w:t>(mg/L)</w:t>
            </w:r>
          </w:p>
        </w:tc>
        <w:tc>
          <w:tcPr>
            <w:tcW w:w="661" w:type="pct"/>
            <w:tcBorders>
              <w:left w:val="nil"/>
              <w:right w:val="nil"/>
            </w:tcBorders>
          </w:tcPr>
          <w:p w14:paraId="435F6225" w14:textId="77777777" w:rsidR="00A62FEC" w:rsidRPr="00C84A9C" w:rsidRDefault="00A62FEC">
            <w:pPr>
              <w:spacing w:line="276" w:lineRule="auto"/>
              <w:jc w:val="center"/>
              <w:rPr>
                <w:rFonts w:ascii="Arial" w:hAnsi="Arial" w:cs="Arial"/>
                <w:b/>
                <w:sz w:val="20"/>
                <w:szCs w:val="20"/>
              </w:rPr>
            </w:pPr>
            <w:r w:rsidRPr="00C84A9C">
              <w:rPr>
                <w:rFonts w:ascii="Arial" w:hAnsi="Arial" w:cs="Arial"/>
                <w:b/>
                <w:bCs/>
                <w:sz w:val="20"/>
                <w:szCs w:val="20"/>
                <w:lang w:bidi="hi-IN"/>
              </w:rPr>
              <w:t>Superoxide dismutase (SOD) Activity (units/mg FW)</w:t>
            </w:r>
          </w:p>
        </w:tc>
        <w:tc>
          <w:tcPr>
            <w:tcW w:w="763" w:type="pct"/>
            <w:tcBorders>
              <w:left w:val="nil"/>
              <w:right w:val="nil"/>
            </w:tcBorders>
          </w:tcPr>
          <w:p w14:paraId="3D44F89D" w14:textId="77777777" w:rsidR="00A62FEC" w:rsidRPr="00C84A9C" w:rsidRDefault="00A62FEC" w:rsidP="00B27A67">
            <w:pPr>
              <w:spacing w:line="276" w:lineRule="auto"/>
              <w:jc w:val="center"/>
              <w:rPr>
                <w:rFonts w:ascii="Arial" w:hAnsi="Arial" w:cs="Arial"/>
                <w:b/>
                <w:i/>
                <w:sz w:val="20"/>
                <w:szCs w:val="20"/>
              </w:rPr>
            </w:pPr>
            <w:r w:rsidRPr="00C84A9C">
              <w:rPr>
                <w:rFonts w:ascii="Arial" w:hAnsi="Arial" w:cs="Arial"/>
                <w:b/>
                <w:bCs/>
                <w:sz w:val="20"/>
                <w:szCs w:val="20"/>
                <w:lang w:bidi="hi-IN"/>
              </w:rPr>
              <w:t>Peroxidase (POD)Activity (units/g FW)</w:t>
            </w:r>
          </w:p>
        </w:tc>
        <w:tc>
          <w:tcPr>
            <w:tcW w:w="532" w:type="pct"/>
            <w:tcBorders>
              <w:left w:val="nil"/>
              <w:right w:val="nil"/>
            </w:tcBorders>
          </w:tcPr>
          <w:p w14:paraId="1A026A57" w14:textId="77777777" w:rsidR="00A62FEC" w:rsidRPr="00C84A9C" w:rsidRDefault="00A62FEC" w:rsidP="001F58A2">
            <w:pPr>
              <w:spacing w:line="276" w:lineRule="auto"/>
              <w:jc w:val="center"/>
              <w:rPr>
                <w:rFonts w:ascii="Arial" w:hAnsi="Arial" w:cs="Arial"/>
                <w:b/>
                <w:i/>
                <w:sz w:val="20"/>
                <w:szCs w:val="20"/>
              </w:rPr>
            </w:pPr>
            <w:r w:rsidRPr="00C84A9C">
              <w:rPr>
                <w:rFonts w:ascii="Arial" w:hAnsi="Arial" w:cs="Arial"/>
                <w:b/>
                <w:bCs/>
                <w:sz w:val="20"/>
                <w:szCs w:val="20"/>
                <w:lang w:bidi="hi-IN"/>
              </w:rPr>
              <w:t>Catalase (CAT) Activity (units/g FW)</w:t>
            </w:r>
          </w:p>
        </w:tc>
        <w:tc>
          <w:tcPr>
            <w:tcW w:w="645" w:type="pct"/>
            <w:tcBorders>
              <w:left w:val="nil"/>
              <w:right w:val="nil"/>
            </w:tcBorders>
          </w:tcPr>
          <w:p w14:paraId="69B65422" w14:textId="77777777" w:rsidR="00A62FEC" w:rsidRPr="00C84A9C" w:rsidRDefault="00A62FEC">
            <w:pPr>
              <w:spacing w:line="276" w:lineRule="auto"/>
              <w:jc w:val="center"/>
              <w:rPr>
                <w:rFonts w:ascii="Arial" w:hAnsi="Arial" w:cs="Arial"/>
                <w:b/>
                <w:i/>
                <w:sz w:val="20"/>
                <w:szCs w:val="20"/>
              </w:rPr>
            </w:pPr>
            <w:r w:rsidRPr="00C84A9C">
              <w:rPr>
                <w:rFonts w:ascii="Arial" w:hAnsi="Arial" w:cs="Arial"/>
                <w:b/>
                <w:bCs/>
                <w:sz w:val="20"/>
                <w:szCs w:val="20"/>
                <w:lang w:bidi="hi-IN"/>
              </w:rPr>
              <w:t>Ascorbate peroxidase (APX) Activity (nmol H</w:t>
            </w:r>
            <w:r w:rsidRPr="00C84A9C">
              <w:rPr>
                <w:rFonts w:ascii="Cambria Math" w:hAnsi="Cambria Math" w:cs="Cambria Math"/>
                <w:b/>
                <w:bCs/>
                <w:sz w:val="20"/>
                <w:szCs w:val="20"/>
                <w:lang w:bidi="hi-IN"/>
              </w:rPr>
              <w:t>₂</w:t>
            </w:r>
            <w:r w:rsidRPr="00C84A9C">
              <w:rPr>
                <w:rFonts w:ascii="Arial" w:hAnsi="Arial" w:cs="Arial"/>
                <w:b/>
                <w:bCs/>
                <w:sz w:val="20"/>
                <w:szCs w:val="20"/>
                <w:lang w:bidi="hi-IN"/>
              </w:rPr>
              <w:t>O</w:t>
            </w:r>
            <w:r w:rsidRPr="00C84A9C">
              <w:rPr>
                <w:rFonts w:ascii="Cambria Math" w:hAnsi="Cambria Math" w:cs="Cambria Math"/>
                <w:b/>
                <w:bCs/>
                <w:sz w:val="20"/>
                <w:szCs w:val="20"/>
                <w:lang w:bidi="hi-IN"/>
              </w:rPr>
              <w:t>₂</w:t>
            </w:r>
            <w:r w:rsidRPr="00C84A9C">
              <w:rPr>
                <w:rFonts w:ascii="Arial" w:hAnsi="Arial" w:cs="Arial"/>
                <w:b/>
                <w:bCs/>
                <w:sz w:val="20"/>
                <w:szCs w:val="20"/>
                <w:lang w:bidi="hi-IN"/>
              </w:rPr>
              <w:t>/g FW/min ×10³)</w:t>
            </w:r>
          </w:p>
        </w:tc>
        <w:tc>
          <w:tcPr>
            <w:tcW w:w="672" w:type="pct"/>
            <w:tcBorders>
              <w:left w:val="nil"/>
              <w:right w:val="nil"/>
            </w:tcBorders>
          </w:tcPr>
          <w:p w14:paraId="12C695F7" w14:textId="77777777" w:rsidR="00A62FEC" w:rsidRPr="00C84A9C" w:rsidRDefault="00A62FEC">
            <w:pPr>
              <w:spacing w:line="276" w:lineRule="auto"/>
              <w:jc w:val="center"/>
              <w:rPr>
                <w:rFonts w:ascii="Arial" w:hAnsi="Arial" w:cs="Arial"/>
                <w:b/>
                <w:i/>
                <w:sz w:val="20"/>
                <w:szCs w:val="20"/>
              </w:rPr>
            </w:pPr>
            <w:r w:rsidRPr="00C84A9C">
              <w:rPr>
                <w:rFonts w:ascii="Arial" w:hAnsi="Arial" w:cs="Arial"/>
                <w:b/>
                <w:bCs/>
                <w:sz w:val="20"/>
                <w:szCs w:val="20"/>
                <w:lang w:bidi="hi-IN"/>
              </w:rPr>
              <w:t>Glutathione Reductase (GR) Activity (Units/mg FW)</w:t>
            </w:r>
          </w:p>
        </w:tc>
        <w:tc>
          <w:tcPr>
            <w:tcW w:w="931" w:type="pct"/>
            <w:tcBorders>
              <w:left w:val="nil"/>
              <w:right w:val="nil"/>
            </w:tcBorders>
          </w:tcPr>
          <w:p w14:paraId="6773D0A3" w14:textId="77777777" w:rsidR="00A62FEC" w:rsidRPr="001D7B62" w:rsidRDefault="00A62FEC" w:rsidP="00B27A67">
            <w:pPr>
              <w:spacing w:line="276" w:lineRule="auto"/>
              <w:jc w:val="center"/>
              <w:rPr>
                <w:rFonts w:ascii="Arial" w:hAnsi="Arial" w:cs="Arial"/>
                <w:b/>
                <w:bCs/>
                <w:sz w:val="20"/>
                <w:szCs w:val="20"/>
                <w:lang w:val="nl-BE" w:bidi="hi-IN"/>
              </w:rPr>
            </w:pPr>
            <w:r w:rsidRPr="001D7B62">
              <w:rPr>
                <w:rFonts w:ascii="Arial" w:hAnsi="Arial" w:cs="Arial"/>
                <w:b/>
                <w:bCs/>
                <w:sz w:val="20"/>
                <w:szCs w:val="20"/>
                <w:lang w:val="nl-BE" w:bidi="hi-IN"/>
              </w:rPr>
              <w:t>Malondialdehyde       (MDA)</w:t>
            </w:r>
          </w:p>
          <w:p w14:paraId="6117E7FC" w14:textId="77777777" w:rsidR="00A62FEC" w:rsidRPr="001D7B62" w:rsidRDefault="00A62FEC" w:rsidP="00B27A67">
            <w:pPr>
              <w:spacing w:line="276" w:lineRule="auto"/>
              <w:jc w:val="center"/>
              <w:rPr>
                <w:rFonts w:ascii="Arial" w:hAnsi="Arial" w:cs="Arial"/>
                <w:b/>
                <w:bCs/>
                <w:sz w:val="20"/>
                <w:szCs w:val="20"/>
                <w:lang w:val="nl-BE" w:bidi="hi-IN"/>
              </w:rPr>
            </w:pPr>
            <w:r w:rsidRPr="001D7B62">
              <w:rPr>
                <w:rFonts w:ascii="Arial" w:hAnsi="Arial" w:cs="Arial"/>
                <w:b/>
                <w:bCs/>
                <w:sz w:val="20"/>
                <w:szCs w:val="20"/>
                <w:lang w:val="nl-BE" w:bidi="hi-IN"/>
              </w:rPr>
              <w:t>(nmol/g FW)</w:t>
            </w:r>
          </w:p>
        </w:tc>
      </w:tr>
      <w:tr w:rsidR="00A62FEC" w:rsidRPr="00C84A9C" w14:paraId="2C7E95B6" w14:textId="77777777" w:rsidTr="00B27A67">
        <w:tc>
          <w:tcPr>
            <w:tcW w:w="796" w:type="pct"/>
            <w:tcBorders>
              <w:top w:val="single" w:sz="4" w:space="0" w:color="auto"/>
              <w:left w:val="nil"/>
              <w:right w:val="nil"/>
            </w:tcBorders>
          </w:tcPr>
          <w:p w14:paraId="3EED3828"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b/>
                <w:i/>
                <w:sz w:val="20"/>
                <w:szCs w:val="20"/>
              </w:rPr>
              <w:t>0</w:t>
            </w:r>
          </w:p>
        </w:tc>
        <w:tc>
          <w:tcPr>
            <w:tcW w:w="661" w:type="pct"/>
            <w:tcBorders>
              <w:left w:val="nil"/>
              <w:right w:val="nil"/>
            </w:tcBorders>
            <w:vAlign w:val="center"/>
          </w:tcPr>
          <w:p w14:paraId="2D902CC6"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0.026</w:t>
            </w:r>
          </w:p>
          <w:p w14:paraId="0F128465"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±0.002</w:t>
            </w:r>
          </w:p>
        </w:tc>
        <w:tc>
          <w:tcPr>
            <w:tcW w:w="763" w:type="pct"/>
            <w:tcBorders>
              <w:left w:val="nil"/>
              <w:right w:val="nil"/>
            </w:tcBorders>
            <w:vAlign w:val="center"/>
          </w:tcPr>
          <w:p w14:paraId="546DCFB6"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2626.58</w:t>
            </w:r>
          </w:p>
          <w:p w14:paraId="13C65BBA"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±4.611</w:t>
            </w:r>
          </w:p>
        </w:tc>
        <w:tc>
          <w:tcPr>
            <w:tcW w:w="532" w:type="pct"/>
            <w:tcBorders>
              <w:left w:val="nil"/>
              <w:right w:val="nil"/>
            </w:tcBorders>
            <w:vAlign w:val="center"/>
          </w:tcPr>
          <w:p w14:paraId="3BB9A38C"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2879.865</w:t>
            </w:r>
          </w:p>
          <w:p w14:paraId="5BC3F571"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±16.141</w:t>
            </w:r>
          </w:p>
        </w:tc>
        <w:tc>
          <w:tcPr>
            <w:tcW w:w="645" w:type="pct"/>
            <w:tcBorders>
              <w:left w:val="nil"/>
              <w:right w:val="nil"/>
            </w:tcBorders>
            <w:vAlign w:val="center"/>
          </w:tcPr>
          <w:p w14:paraId="07ABEA1D"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17.142</w:t>
            </w:r>
          </w:p>
          <w:p w14:paraId="694109E3"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±0.164</w:t>
            </w:r>
          </w:p>
        </w:tc>
        <w:tc>
          <w:tcPr>
            <w:tcW w:w="672" w:type="pct"/>
            <w:tcBorders>
              <w:left w:val="nil"/>
              <w:right w:val="nil"/>
            </w:tcBorders>
            <w:vAlign w:val="center"/>
          </w:tcPr>
          <w:p w14:paraId="7F2541DF"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0.177</w:t>
            </w:r>
          </w:p>
          <w:p w14:paraId="535D043E"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±0.001</w:t>
            </w:r>
          </w:p>
        </w:tc>
        <w:tc>
          <w:tcPr>
            <w:tcW w:w="931" w:type="pct"/>
            <w:tcBorders>
              <w:left w:val="nil"/>
              <w:right w:val="nil"/>
            </w:tcBorders>
            <w:vAlign w:val="center"/>
          </w:tcPr>
          <w:p w14:paraId="32789EA8" w14:textId="77777777" w:rsidR="00A62FEC" w:rsidRPr="00C84A9C" w:rsidRDefault="00A62FEC" w:rsidP="00A62FEC">
            <w:pPr>
              <w:pStyle w:val="NoSpacing"/>
              <w:spacing w:line="276" w:lineRule="auto"/>
              <w:jc w:val="center"/>
              <w:rPr>
                <w:rFonts w:ascii="Arial" w:hAnsi="Arial" w:cs="Arial"/>
                <w:color w:val="000000"/>
                <w:sz w:val="20"/>
                <w:szCs w:val="20"/>
              </w:rPr>
            </w:pPr>
            <w:r w:rsidRPr="00C84A9C">
              <w:rPr>
                <w:rFonts w:ascii="Arial" w:hAnsi="Arial" w:cs="Arial"/>
                <w:color w:val="000000"/>
                <w:sz w:val="20"/>
                <w:szCs w:val="20"/>
              </w:rPr>
              <w:t>53.75</w:t>
            </w:r>
          </w:p>
          <w:p w14:paraId="586B6E98"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±2.15</w:t>
            </w:r>
          </w:p>
        </w:tc>
      </w:tr>
      <w:tr w:rsidR="00A62FEC" w:rsidRPr="00C84A9C" w14:paraId="1A05DC2C" w14:textId="77777777" w:rsidTr="00B27A67">
        <w:tc>
          <w:tcPr>
            <w:tcW w:w="796" w:type="pct"/>
            <w:tcBorders>
              <w:left w:val="nil"/>
              <w:right w:val="nil"/>
            </w:tcBorders>
          </w:tcPr>
          <w:p w14:paraId="0F422E74"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b/>
                <w:i/>
                <w:sz w:val="20"/>
                <w:szCs w:val="20"/>
              </w:rPr>
              <w:t>0.5</w:t>
            </w:r>
          </w:p>
        </w:tc>
        <w:tc>
          <w:tcPr>
            <w:tcW w:w="661" w:type="pct"/>
            <w:tcBorders>
              <w:left w:val="nil"/>
              <w:right w:val="nil"/>
            </w:tcBorders>
            <w:vAlign w:val="center"/>
          </w:tcPr>
          <w:p w14:paraId="78FCC89E"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0.027</w:t>
            </w:r>
          </w:p>
          <w:p w14:paraId="14A9433F"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±0.000</w:t>
            </w:r>
          </w:p>
        </w:tc>
        <w:tc>
          <w:tcPr>
            <w:tcW w:w="763" w:type="pct"/>
            <w:tcBorders>
              <w:left w:val="nil"/>
              <w:right w:val="nil"/>
            </w:tcBorders>
            <w:vAlign w:val="center"/>
          </w:tcPr>
          <w:p w14:paraId="3C858674"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2698.039</w:t>
            </w:r>
          </w:p>
          <w:p w14:paraId="6983DD51"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±10.884</w:t>
            </w:r>
          </w:p>
        </w:tc>
        <w:tc>
          <w:tcPr>
            <w:tcW w:w="532" w:type="pct"/>
            <w:tcBorders>
              <w:left w:val="nil"/>
              <w:right w:val="nil"/>
            </w:tcBorders>
            <w:vAlign w:val="center"/>
          </w:tcPr>
          <w:p w14:paraId="02CE49B7"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3351.95</w:t>
            </w:r>
          </w:p>
          <w:p w14:paraId="3EEEAA6D"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±11.844</w:t>
            </w:r>
          </w:p>
        </w:tc>
        <w:tc>
          <w:tcPr>
            <w:tcW w:w="645" w:type="pct"/>
            <w:tcBorders>
              <w:left w:val="nil"/>
              <w:right w:val="nil"/>
            </w:tcBorders>
            <w:vAlign w:val="center"/>
          </w:tcPr>
          <w:p w14:paraId="650CF33C"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18.015</w:t>
            </w:r>
          </w:p>
          <w:p w14:paraId="3CDC3B42"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±0.057</w:t>
            </w:r>
          </w:p>
        </w:tc>
        <w:tc>
          <w:tcPr>
            <w:tcW w:w="672" w:type="pct"/>
            <w:tcBorders>
              <w:left w:val="nil"/>
              <w:right w:val="nil"/>
            </w:tcBorders>
          </w:tcPr>
          <w:p w14:paraId="67DA337B"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0.187</w:t>
            </w:r>
          </w:p>
          <w:p w14:paraId="38F5F417"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±0.001</w:t>
            </w:r>
          </w:p>
        </w:tc>
        <w:tc>
          <w:tcPr>
            <w:tcW w:w="931" w:type="pct"/>
            <w:tcBorders>
              <w:left w:val="nil"/>
              <w:right w:val="nil"/>
            </w:tcBorders>
            <w:vAlign w:val="center"/>
          </w:tcPr>
          <w:p w14:paraId="4EA1DA3D"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69.000</w:t>
            </w:r>
          </w:p>
          <w:p w14:paraId="323E45BB"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±2.15</w:t>
            </w:r>
          </w:p>
        </w:tc>
      </w:tr>
      <w:tr w:rsidR="00A62FEC" w:rsidRPr="00C84A9C" w14:paraId="6973606D" w14:textId="77777777" w:rsidTr="00B27A67">
        <w:tc>
          <w:tcPr>
            <w:tcW w:w="796" w:type="pct"/>
            <w:tcBorders>
              <w:left w:val="nil"/>
              <w:right w:val="nil"/>
            </w:tcBorders>
          </w:tcPr>
          <w:p w14:paraId="6DDC312A"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b/>
                <w:i/>
                <w:sz w:val="20"/>
                <w:szCs w:val="20"/>
              </w:rPr>
              <w:t>1.0</w:t>
            </w:r>
          </w:p>
        </w:tc>
        <w:tc>
          <w:tcPr>
            <w:tcW w:w="661" w:type="pct"/>
            <w:tcBorders>
              <w:left w:val="nil"/>
              <w:right w:val="nil"/>
            </w:tcBorders>
            <w:vAlign w:val="center"/>
          </w:tcPr>
          <w:p w14:paraId="33570667"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0.028</w:t>
            </w:r>
          </w:p>
          <w:p w14:paraId="2C9D77DC"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±0.002</w:t>
            </w:r>
          </w:p>
        </w:tc>
        <w:tc>
          <w:tcPr>
            <w:tcW w:w="763" w:type="pct"/>
            <w:tcBorders>
              <w:left w:val="nil"/>
              <w:right w:val="nil"/>
            </w:tcBorders>
            <w:vAlign w:val="center"/>
          </w:tcPr>
          <w:p w14:paraId="300BEF9D"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2732.026</w:t>
            </w:r>
          </w:p>
          <w:p w14:paraId="54F438D2"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±12.354</w:t>
            </w:r>
          </w:p>
        </w:tc>
        <w:tc>
          <w:tcPr>
            <w:tcW w:w="532" w:type="pct"/>
            <w:tcBorders>
              <w:left w:val="nil"/>
              <w:right w:val="nil"/>
            </w:tcBorders>
            <w:vAlign w:val="center"/>
          </w:tcPr>
          <w:p w14:paraId="3834A183"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3390.86</w:t>
            </w:r>
          </w:p>
          <w:p w14:paraId="5624F488"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±8.792</w:t>
            </w:r>
          </w:p>
        </w:tc>
        <w:tc>
          <w:tcPr>
            <w:tcW w:w="645" w:type="pct"/>
            <w:tcBorders>
              <w:left w:val="nil"/>
              <w:right w:val="nil"/>
            </w:tcBorders>
            <w:vAlign w:val="center"/>
          </w:tcPr>
          <w:p w14:paraId="62C5EC5B"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23.984</w:t>
            </w:r>
          </w:p>
          <w:p w14:paraId="5E094EED"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±0.183</w:t>
            </w:r>
          </w:p>
        </w:tc>
        <w:tc>
          <w:tcPr>
            <w:tcW w:w="672" w:type="pct"/>
            <w:tcBorders>
              <w:left w:val="nil"/>
              <w:right w:val="nil"/>
            </w:tcBorders>
          </w:tcPr>
          <w:p w14:paraId="2625BB35"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0.195</w:t>
            </w:r>
          </w:p>
          <w:p w14:paraId="108BA351"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±0.001</w:t>
            </w:r>
          </w:p>
        </w:tc>
        <w:tc>
          <w:tcPr>
            <w:tcW w:w="931" w:type="pct"/>
            <w:tcBorders>
              <w:left w:val="nil"/>
              <w:right w:val="nil"/>
            </w:tcBorders>
          </w:tcPr>
          <w:p w14:paraId="580523B4"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105.35</w:t>
            </w:r>
          </w:p>
          <w:p w14:paraId="5837A2F4"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±5.688</w:t>
            </w:r>
          </w:p>
        </w:tc>
      </w:tr>
      <w:tr w:rsidR="00A62FEC" w:rsidRPr="00C84A9C" w14:paraId="0D4BD1AC" w14:textId="77777777" w:rsidTr="00B27A67">
        <w:tc>
          <w:tcPr>
            <w:tcW w:w="796" w:type="pct"/>
            <w:tcBorders>
              <w:left w:val="nil"/>
              <w:right w:val="nil"/>
            </w:tcBorders>
          </w:tcPr>
          <w:p w14:paraId="0A47241F"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b/>
                <w:i/>
                <w:sz w:val="20"/>
                <w:szCs w:val="20"/>
              </w:rPr>
              <w:t>1.5</w:t>
            </w:r>
          </w:p>
        </w:tc>
        <w:tc>
          <w:tcPr>
            <w:tcW w:w="661" w:type="pct"/>
            <w:tcBorders>
              <w:left w:val="nil"/>
              <w:right w:val="nil"/>
            </w:tcBorders>
            <w:vAlign w:val="center"/>
          </w:tcPr>
          <w:p w14:paraId="664169AA"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0.035</w:t>
            </w:r>
          </w:p>
          <w:p w14:paraId="767F85A2"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±0.003</w:t>
            </w:r>
          </w:p>
        </w:tc>
        <w:tc>
          <w:tcPr>
            <w:tcW w:w="763" w:type="pct"/>
            <w:tcBorders>
              <w:left w:val="nil"/>
              <w:right w:val="nil"/>
            </w:tcBorders>
            <w:vAlign w:val="center"/>
          </w:tcPr>
          <w:p w14:paraId="153680C1"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2847.059</w:t>
            </w:r>
          </w:p>
          <w:p w14:paraId="66F62AFA"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±90.448</w:t>
            </w:r>
          </w:p>
        </w:tc>
        <w:tc>
          <w:tcPr>
            <w:tcW w:w="532" w:type="pct"/>
            <w:tcBorders>
              <w:left w:val="nil"/>
              <w:right w:val="nil"/>
            </w:tcBorders>
            <w:vAlign w:val="center"/>
          </w:tcPr>
          <w:p w14:paraId="0CDBA1E0"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4379.02</w:t>
            </w:r>
          </w:p>
          <w:p w14:paraId="60DDB4D0"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±22.383</w:t>
            </w:r>
          </w:p>
        </w:tc>
        <w:tc>
          <w:tcPr>
            <w:tcW w:w="645" w:type="pct"/>
            <w:tcBorders>
              <w:left w:val="nil"/>
              <w:right w:val="nil"/>
            </w:tcBorders>
            <w:vAlign w:val="center"/>
          </w:tcPr>
          <w:p w14:paraId="346E705F"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25.333</w:t>
            </w:r>
          </w:p>
          <w:p w14:paraId="0BD9BA11"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±0.072</w:t>
            </w:r>
          </w:p>
        </w:tc>
        <w:tc>
          <w:tcPr>
            <w:tcW w:w="672" w:type="pct"/>
            <w:tcBorders>
              <w:left w:val="nil"/>
              <w:right w:val="nil"/>
            </w:tcBorders>
            <w:vAlign w:val="center"/>
          </w:tcPr>
          <w:p w14:paraId="3AC3D194"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0.220</w:t>
            </w:r>
          </w:p>
          <w:p w14:paraId="054BE579"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±0.001</w:t>
            </w:r>
          </w:p>
        </w:tc>
        <w:tc>
          <w:tcPr>
            <w:tcW w:w="931" w:type="pct"/>
            <w:tcBorders>
              <w:left w:val="nil"/>
              <w:right w:val="nil"/>
            </w:tcBorders>
          </w:tcPr>
          <w:p w14:paraId="4BAF0A1B"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148.35</w:t>
            </w:r>
          </w:p>
          <w:p w14:paraId="15237BA9"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±14.098</w:t>
            </w:r>
          </w:p>
        </w:tc>
      </w:tr>
      <w:tr w:rsidR="00A62FEC" w:rsidRPr="00C84A9C" w14:paraId="7C4B868D" w14:textId="77777777" w:rsidTr="00B27A67">
        <w:tc>
          <w:tcPr>
            <w:tcW w:w="796" w:type="pct"/>
            <w:tcBorders>
              <w:left w:val="nil"/>
              <w:right w:val="nil"/>
            </w:tcBorders>
          </w:tcPr>
          <w:p w14:paraId="30B76DB4"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b/>
                <w:i/>
                <w:sz w:val="20"/>
                <w:szCs w:val="20"/>
              </w:rPr>
              <w:t>2.0</w:t>
            </w:r>
          </w:p>
        </w:tc>
        <w:tc>
          <w:tcPr>
            <w:tcW w:w="661" w:type="pct"/>
            <w:tcBorders>
              <w:left w:val="nil"/>
              <w:right w:val="nil"/>
            </w:tcBorders>
            <w:vAlign w:val="center"/>
          </w:tcPr>
          <w:p w14:paraId="07F87167"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0.034</w:t>
            </w:r>
          </w:p>
          <w:p w14:paraId="61233C2E"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±0.001</w:t>
            </w:r>
          </w:p>
        </w:tc>
        <w:tc>
          <w:tcPr>
            <w:tcW w:w="763" w:type="pct"/>
            <w:tcBorders>
              <w:left w:val="nil"/>
              <w:right w:val="nil"/>
            </w:tcBorders>
            <w:vAlign w:val="center"/>
          </w:tcPr>
          <w:p w14:paraId="1FC8A0A8"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3323.747</w:t>
            </w:r>
          </w:p>
          <w:p w14:paraId="6EC80EBE"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±174.345</w:t>
            </w:r>
          </w:p>
        </w:tc>
        <w:tc>
          <w:tcPr>
            <w:tcW w:w="532" w:type="pct"/>
            <w:tcBorders>
              <w:left w:val="nil"/>
              <w:right w:val="nil"/>
            </w:tcBorders>
            <w:vAlign w:val="center"/>
          </w:tcPr>
          <w:p w14:paraId="0BEA7454"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5196.277</w:t>
            </w:r>
          </w:p>
          <w:p w14:paraId="3C7D842C"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±4.476</w:t>
            </w:r>
          </w:p>
        </w:tc>
        <w:tc>
          <w:tcPr>
            <w:tcW w:w="645" w:type="pct"/>
            <w:tcBorders>
              <w:left w:val="nil"/>
              <w:right w:val="nil"/>
            </w:tcBorders>
            <w:vAlign w:val="center"/>
          </w:tcPr>
          <w:p w14:paraId="364454AA"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28.777</w:t>
            </w:r>
          </w:p>
          <w:p w14:paraId="7670DEF0"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±0.082</w:t>
            </w:r>
          </w:p>
        </w:tc>
        <w:tc>
          <w:tcPr>
            <w:tcW w:w="672" w:type="pct"/>
            <w:tcBorders>
              <w:left w:val="nil"/>
              <w:right w:val="nil"/>
            </w:tcBorders>
            <w:vAlign w:val="center"/>
          </w:tcPr>
          <w:p w14:paraId="63258D94"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0.263</w:t>
            </w:r>
          </w:p>
          <w:p w14:paraId="32B5524A"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±0.001</w:t>
            </w:r>
          </w:p>
        </w:tc>
        <w:tc>
          <w:tcPr>
            <w:tcW w:w="931" w:type="pct"/>
            <w:tcBorders>
              <w:left w:val="nil"/>
              <w:right w:val="nil"/>
            </w:tcBorders>
          </w:tcPr>
          <w:p w14:paraId="7122AD75"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159.1</w:t>
            </w:r>
          </w:p>
          <w:p w14:paraId="5A6553C5"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±5.688</w:t>
            </w:r>
          </w:p>
        </w:tc>
      </w:tr>
      <w:tr w:rsidR="00A62FEC" w:rsidRPr="00C84A9C" w14:paraId="69782300" w14:textId="77777777" w:rsidTr="00B27A67">
        <w:tc>
          <w:tcPr>
            <w:tcW w:w="796" w:type="pct"/>
            <w:tcBorders>
              <w:left w:val="nil"/>
              <w:bottom w:val="single" w:sz="4" w:space="0" w:color="auto"/>
              <w:right w:val="nil"/>
            </w:tcBorders>
          </w:tcPr>
          <w:p w14:paraId="7875D531"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b/>
                <w:i/>
                <w:sz w:val="20"/>
                <w:szCs w:val="20"/>
              </w:rPr>
              <w:t>2.5</w:t>
            </w:r>
          </w:p>
        </w:tc>
        <w:tc>
          <w:tcPr>
            <w:tcW w:w="661" w:type="pct"/>
            <w:tcBorders>
              <w:left w:val="nil"/>
              <w:bottom w:val="single" w:sz="4" w:space="0" w:color="auto"/>
              <w:right w:val="nil"/>
            </w:tcBorders>
            <w:vAlign w:val="center"/>
          </w:tcPr>
          <w:p w14:paraId="5B80B04F"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0.038</w:t>
            </w:r>
          </w:p>
          <w:p w14:paraId="72F8BC1C"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±0.003</w:t>
            </w:r>
          </w:p>
        </w:tc>
        <w:tc>
          <w:tcPr>
            <w:tcW w:w="763" w:type="pct"/>
            <w:tcBorders>
              <w:left w:val="nil"/>
              <w:bottom w:val="single" w:sz="4" w:space="0" w:color="auto"/>
              <w:right w:val="nil"/>
            </w:tcBorders>
            <w:vAlign w:val="center"/>
          </w:tcPr>
          <w:p w14:paraId="4B557036"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3715.033</w:t>
            </w:r>
          </w:p>
          <w:p w14:paraId="27BEB324"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±5.442</w:t>
            </w:r>
          </w:p>
        </w:tc>
        <w:tc>
          <w:tcPr>
            <w:tcW w:w="532" w:type="pct"/>
            <w:tcBorders>
              <w:left w:val="nil"/>
              <w:bottom w:val="single" w:sz="4" w:space="0" w:color="auto"/>
              <w:right w:val="nil"/>
            </w:tcBorders>
            <w:vAlign w:val="center"/>
          </w:tcPr>
          <w:p w14:paraId="59EB38A7"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5323.181</w:t>
            </w:r>
          </w:p>
          <w:p w14:paraId="2FE950EF"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±19.948</w:t>
            </w:r>
          </w:p>
        </w:tc>
        <w:tc>
          <w:tcPr>
            <w:tcW w:w="645" w:type="pct"/>
            <w:tcBorders>
              <w:left w:val="nil"/>
              <w:bottom w:val="single" w:sz="4" w:space="0" w:color="auto"/>
              <w:right w:val="nil"/>
            </w:tcBorders>
            <w:vAlign w:val="center"/>
          </w:tcPr>
          <w:p w14:paraId="24D2BABD"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34.063</w:t>
            </w:r>
          </w:p>
          <w:p w14:paraId="4352BD4D"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±0.082</w:t>
            </w:r>
          </w:p>
        </w:tc>
        <w:tc>
          <w:tcPr>
            <w:tcW w:w="672" w:type="pct"/>
            <w:tcBorders>
              <w:left w:val="nil"/>
              <w:bottom w:val="single" w:sz="4" w:space="0" w:color="auto"/>
              <w:right w:val="nil"/>
            </w:tcBorders>
          </w:tcPr>
          <w:p w14:paraId="5835083D"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0.267</w:t>
            </w:r>
          </w:p>
          <w:p w14:paraId="058A0121"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±0.002</w:t>
            </w:r>
          </w:p>
        </w:tc>
        <w:tc>
          <w:tcPr>
            <w:tcW w:w="931" w:type="pct"/>
            <w:tcBorders>
              <w:left w:val="nil"/>
              <w:bottom w:val="single" w:sz="4" w:space="0" w:color="auto"/>
              <w:right w:val="nil"/>
            </w:tcBorders>
          </w:tcPr>
          <w:p w14:paraId="1A59F0DC" w14:textId="77777777" w:rsidR="00A62FEC" w:rsidRPr="00C84A9C" w:rsidRDefault="00A62FEC" w:rsidP="00A62FEC">
            <w:pPr>
              <w:pStyle w:val="NoSpacing"/>
              <w:spacing w:line="276" w:lineRule="auto"/>
              <w:jc w:val="center"/>
              <w:rPr>
                <w:rFonts w:ascii="Arial" w:hAnsi="Arial" w:cs="Arial"/>
                <w:sz w:val="20"/>
                <w:szCs w:val="20"/>
                <w:lang w:bidi="hi-IN"/>
              </w:rPr>
            </w:pPr>
            <w:r w:rsidRPr="00C84A9C">
              <w:rPr>
                <w:rFonts w:ascii="Arial" w:hAnsi="Arial" w:cs="Arial"/>
                <w:sz w:val="20"/>
                <w:szCs w:val="20"/>
                <w:lang w:bidi="hi-IN"/>
              </w:rPr>
              <w:t>161.25</w:t>
            </w:r>
          </w:p>
          <w:p w14:paraId="0779DF4C" w14:textId="77777777" w:rsidR="00A62FEC" w:rsidRPr="00C84A9C" w:rsidRDefault="00A62FEC" w:rsidP="00A62FEC">
            <w:pPr>
              <w:spacing w:line="276" w:lineRule="auto"/>
              <w:jc w:val="center"/>
              <w:rPr>
                <w:rFonts w:ascii="Arial" w:hAnsi="Arial" w:cs="Arial"/>
                <w:b/>
                <w:i/>
                <w:sz w:val="20"/>
                <w:szCs w:val="20"/>
              </w:rPr>
            </w:pPr>
            <w:r w:rsidRPr="00C84A9C">
              <w:rPr>
                <w:rFonts w:ascii="Arial" w:hAnsi="Arial" w:cs="Arial"/>
                <w:sz w:val="20"/>
                <w:szCs w:val="20"/>
                <w:lang w:bidi="hi-IN"/>
              </w:rPr>
              <w:t>±9.852</w:t>
            </w:r>
          </w:p>
        </w:tc>
      </w:tr>
    </w:tbl>
    <w:p w14:paraId="40E3A046" w14:textId="77777777" w:rsidR="004E7D15" w:rsidRPr="005E7EFF" w:rsidRDefault="004E7D15" w:rsidP="004E7D15">
      <w:pPr>
        <w:spacing w:line="276" w:lineRule="auto"/>
        <w:jc w:val="both"/>
        <w:rPr>
          <w:rFonts w:ascii="Arial" w:hAnsi="Arial" w:cs="Arial"/>
          <w:bCs/>
        </w:rPr>
      </w:pPr>
    </w:p>
    <w:p w14:paraId="77887F22" w14:textId="77777777" w:rsidR="004E7D15" w:rsidRPr="005E7EFF" w:rsidRDefault="004E7D15" w:rsidP="004E7D15">
      <w:pPr>
        <w:spacing w:line="276" w:lineRule="auto"/>
        <w:jc w:val="both"/>
        <w:rPr>
          <w:rFonts w:ascii="Arial" w:hAnsi="Arial" w:cs="Arial"/>
          <w:b/>
        </w:rPr>
      </w:pPr>
      <w:r w:rsidRPr="005E7EFF">
        <w:rPr>
          <w:rFonts w:ascii="Arial" w:hAnsi="Arial" w:cs="Arial"/>
          <w:b/>
        </w:rPr>
        <w:t xml:space="preserve">Discussion </w:t>
      </w:r>
    </w:p>
    <w:p w14:paraId="4A823629" w14:textId="77777777" w:rsidR="004E7D15" w:rsidRPr="005E7EFF" w:rsidRDefault="004E7D15" w:rsidP="004E7D15">
      <w:pPr>
        <w:spacing w:line="276" w:lineRule="auto"/>
        <w:jc w:val="both"/>
        <w:rPr>
          <w:rFonts w:ascii="Arial" w:hAnsi="Arial" w:cs="Arial"/>
        </w:rPr>
      </w:pPr>
      <w:r>
        <w:rPr>
          <w:rFonts w:ascii="Arial" w:hAnsi="Arial" w:cs="Arial"/>
        </w:rPr>
        <w:t xml:space="preserve">The present study demonstrates that both cadmium (Cd) and paraquat dichloride (PQ) induce </w:t>
      </w:r>
      <w:r>
        <w:rPr>
          <w:rFonts w:ascii="Arial" w:hAnsi="Arial" w:cs="Arial"/>
          <w:highlight w:val="yellow"/>
        </w:rPr>
        <w:t xml:space="preserve">a </w:t>
      </w:r>
      <w:r>
        <w:rPr>
          <w:rFonts w:ascii="Arial" w:hAnsi="Arial" w:cs="Arial"/>
        </w:rPr>
        <w:t xml:space="preserve">dose-dependent enzymatic response in </w:t>
      </w:r>
      <w:r>
        <w:rPr>
          <w:rFonts w:ascii="Arial" w:hAnsi="Arial" w:cs="Arial"/>
          <w:i/>
          <w:iCs/>
        </w:rPr>
        <w:t>Lemna minor</w:t>
      </w:r>
      <w:r>
        <w:rPr>
          <w:rFonts w:ascii="Arial" w:hAnsi="Arial" w:cs="Arial"/>
        </w:rPr>
        <w:t xml:space="preserve">. Heavy metals cause </w:t>
      </w:r>
      <w:r>
        <w:rPr>
          <w:rFonts w:ascii="Arial" w:hAnsi="Arial" w:cs="Arial"/>
          <w:highlight w:val="yellow"/>
        </w:rPr>
        <w:t>substantial</w:t>
      </w:r>
      <w:r>
        <w:rPr>
          <w:rFonts w:ascii="Arial" w:hAnsi="Arial" w:cs="Arial"/>
        </w:rPr>
        <w:t xml:space="preserve"> lipid peroxidation that can be initiated by reactive oxygen species (O•</w:t>
      </w:r>
      <w:r>
        <w:rPr>
          <w:rFonts w:ascii="Arial" w:hAnsi="Arial" w:cs="Arial"/>
          <w:vertAlign w:val="superscript"/>
        </w:rPr>
        <w:t>−2</w:t>
      </w:r>
      <w:r>
        <w:rPr>
          <w:rFonts w:ascii="Arial" w:hAnsi="Arial" w:cs="Arial"/>
        </w:rPr>
        <w:t>, OH• and</w:t>
      </w:r>
      <w:r>
        <w:rPr>
          <w:rFonts w:ascii="Arial" w:hAnsi="Arial" w:cs="Arial"/>
          <w:vertAlign w:val="superscript"/>
        </w:rPr>
        <w:t xml:space="preserve"> 1</w:t>
      </w:r>
      <w:r>
        <w:rPr>
          <w:rFonts w:ascii="Arial" w:hAnsi="Arial" w:cs="Arial"/>
        </w:rPr>
        <w:t>O</w:t>
      </w:r>
      <w:r>
        <w:rPr>
          <w:rFonts w:ascii="Arial" w:hAnsi="Arial" w:cs="Arial"/>
          <w:vertAlign w:val="subscript"/>
        </w:rPr>
        <w:t>2</w:t>
      </w:r>
      <w:r>
        <w:rPr>
          <w:rFonts w:ascii="Arial" w:hAnsi="Arial" w:cs="Arial"/>
        </w:rPr>
        <w:t>) or lipoxygenase (Singh et al.</w:t>
      </w:r>
      <w:r>
        <w:rPr>
          <w:rFonts w:ascii="Arial" w:hAnsi="Arial" w:cs="Arial"/>
          <w:highlight w:val="yellow"/>
        </w:rPr>
        <w:t>,</w:t>
      </w:r>
      <w:r>
        <w:rPr>
          <w:rFonts w:ascii="Arial" w:hAnsi="Arial" w:cs="Arial"/>
        </w:rPr>
        <w:t xml:space="preserve"> 2006). The highest MDA content was observed in </w:t>
      </w:r>
      <w:r>
        <w:rPr>
          <w:rFonts w:ascii="Arial" w:hAnsi="Arial" w:cs="Arial"/>
          <w:i/>
        </w:rPr>
        <w:t>Lemna</w:t>
      </w:r>
      <w:r>
        <w:rPr>
          <w:rFonts w:ascii="Arial" w:hAnsi="Arial" w:cs="Arial"/>
        </w:rPr>
        <w:t xml:space="preserve"> plants treated with Cd on </w:t>
      </w:r>
      <w:r>
        <w:rPr>
          <w:rFonts w:ascii="Arial" w:hAnsi="Arial" w:cs="Arial"/>
          <w:highlight w:val="yellow"/>
        </w:rPr>
        <w:t xml:space="preserve">the </w:t>
      </w:r>
      <w:r>
        <w:rPr>
          <w:rFonts w:ascii="Arial" w:hAnsi="Arial" w:cs="Arial"/>
        </w:rPr>
        <w:t>4th day of</w:t>
      </w:r>
      <w:r>
        <w:rPr>
          <w:rFonts w:ascii="Arial" w:hAnsi="Arial" w:cs="Arial"/>
          <w:highlight w:val="yellow"/>
        </w:rPr>
        <w:t xml:space="preserve"> the</w:t>
      </w:r>
      <w:r>
        <w:rPr>
          <w:rFonts w:ascii="Arial" w:hAnsi="Arial" w:cs="Arial"/>
        </w:rPr>
        <w:t xml:space="preserve"> experiment. This indicates that the metal caused </w:t>
      </w:r>
      <w:r>
        <w:rPr>
          <w:rFonts w:ascii="Arial" w:hAnsi="Arial" w:cs="Arial"/>
          <w:highlight w:val="yellow"/>
        </w:rPr>
        <w:t>oxidative</w:t>
      </w:r>
      <w:r>
        <w:rPr>
          <w:rFonts w:ascii="Arial" w:hAnsi="Arial" w:cs="Arial"/>
        </w:rPr>
        <w:t xml:space="preserve"> damage. Cd toxicity leads to oxidative stress, as previously reported (Singh et al.</w:t>
      </w:r>
      <w:r>
        <w:rPr>
          <w:rFonts w:ascii="Arial" w:hAnsi="Arial" w:cs="Arial"/>
          <w:highlight w:val="yellow"/>
        </w:rPr>
        <w:t>,</w:t>
      </w:r>
      <w:r>
        <w:rPr>
          <w:rFonts w:ascii="Arial" w:hAnsi="Arial" w:cs="Arial"/>
        </w:rPr>
        <w:t xml:space="preserve"> 2006; Gratão et al.</w:t>
      </w:r>
      <w:r>
        <w:rPr>
          <w:rFonts w:ascii="Arial" w:hAnsi="Arial" w:cs="Arial"/>
          <w:highlight w:val="yellow"/>
        </w:rPr>
        <w:t>,</w:t>
      </w:r>
      <w:r>
        <w:rPr>
          <w:rFonts w:ascii="Arial" w:hAnsi="Arial" w:cs="Arial"/>
        </w:rPr>
        <w:t xml:space="preserve"> 2008; Tkalec et al</w:t>
      </w:r>
      <w:r>
        <w:rPr>
          <w:rFonts w:ascii="Arial" w:hAnsi="Arial" w:cs="Arial"/>
          <w:highlight w:val="yellow"/>
        </w:rPr>
        <w:t>.</w:t>
      </w:r>
      <w:r>
        <w:rPr>
          <w:rFonts w:ascii="Arial" w:hAnsi="Arial" w:cs="Arial"/>
        </w:rPr>
        <w:t xml:space="preserve">, 2008). The marked increase in MDA equivalents observed here after exposure to paraquat suggests the possibility of </w:t>
      </w:r>
      <w:r>
        <w:rPr>
          <w:rFonts w:ascii="Arial" w:hAnsi="Arial" w:cs="Arial"/>
          <w:highlight w:val="yellow"/>
        </w:rPr>
        <w:t xml:space="preserve">an </w:t>
      </w:r>
      <w:r>
        <w:rPr>
          <w:rFonts w:ascii="Arial" w:hAnsi="Arial" w:cs="Arial"/>
        </w:rPr>
        <w:t xml:space="preserve">oxidative </w:t>
      </w:r>
      <w:r>
        <w:rPr>
          <w:rFonts w:ascii="Arial" w:hAnsi="Arial" w:cs="Arial"/>
          <w:highlight w:val="yellow"/>
        </w:rPr>
        <w:t>mode</w:t>
      </w:r>
      <w:r>
        <w:rPr>
          <w:rFonts w:ascii="Arial" w:hAnsi="Arial" w:cs="Arial"/>
        </w:rPr>
        <w:t xml:space="preserve"> of phytotoxicity for </w:t>
      </w:r>
      <w:r>
        <w:rPr>
          <w:rFonts w:ascii="Arial" w:hAnsi="Arial" w:cs="Arial"/>
          <w:highlight w:val="yellow"/>
        </w:rPr>
        <w:t>this</w:t>
      </w:r>
      <w:r>
        <w:rPr>
          <w:rFonts w:ascii="Arial" w:hAnsi="Arial" w:cs="Arial"/>
        </w:rPr>
        <w:t xml:space="preserve"> </w:t>
      </w:r>
      <w:r>
        <w:rPr>
          <w:rFonts w:ascii="Arial" w:hAnsi="Arial" w:cs="Arial"/>
          <w:highlight w:val="yellow"/>
        </w:rPr>
        <w:t>herbicide</w:t>
      </w:r>
      <w:r>
        <w:rPr>
          <w:rFonts w:ascii="Arial" w:hAnsi="Arial" w:cs="Arial"/>
        </w:rPr>
        <w:t xml:space="preserve">. Increased MDA levels are an indicator of membrane damage, which can lead to functional impairment of the cell, </w:t>
      </w:r>
      <w:r>
        <w:rPr>
          <w:rFonts w:ascii="Arial" w:hAnsi="Arial" w:cs="Arial"/>
          <w:highlight w:val="yellow"/>
        </w:rPr>
        <w:t xml:space="preserve">growth </w:t>
      </w:r>
      <w:r>
        <w:rPr>
          <w:rFonts w:ascii="Arial" w:hAnsi="Arial" w:cs="Arial"/>
        </w:rPr>
        <w:t xml:space="preserve">arrest and potentially plant death </w:t>
      </w:r>
      <w:r>
        <w:rPr>
          <w:rFonts w:ascii="Arial" w:hAnsi="Arial" w:cs="Arial"/>
          <w:highlight w:val="yellow"/>
        </w:rPr>
        <w:t>if</w:t>
      </w:r>
      <w:r>
        <w:rPr>
          <w:rFonts w:ascii="Arial" w:hAnsi="Arial" w:cs="Arial"/>
        </w:rPr>
        <w:t xml:space="preserve"> antioxidant </w:t>
      </w:r>
      <w:r>
        <w:rPr>
          <w:rFonts w:ascii="Arial" w:hAnsi="Arial" w:cs="Arial"/>
          <w:highlight w:val="yellow"/>
        </w:rPr>
        <w:t>defences</w:t>
      </w:r>
      <w:r>
        <w:rPr>
          <w:rFonts w:ascii="Arial" w:hAnsi="Arial" w:cs="Arial"/>
        </w:rPr>
        <w:t xml:space="preserve"> </w:t>
      </w:r>
      <w:r>
        <w:rPr>
          <w:rFonts w:ascii="Arial" w:hAnsi="Arial" w:cs="Arial"/>
          <w:highlight w:val="yellow"/>
        </w:rPr>
        <w:t>are</w:t>
      </w:r>
      <w:r>
        <w:rPr>
          <w:rFonts w:ascii="Arial" w:hAnsi="Arial" w:cs="Arial"/>
        </w:rPr>
        <w:t xml:space="preserve"> overwhelmed (</w:t>
      </w:r>
      <w:r>
        <w:rPr>
          <w:rFonts w:ascii="Arial" w:hAnsi="Arial" w:cs="Arial"/>
          <w:highlight w:val="yellow"/>
        </w:rPr>
        <w:t>Haro Girón</w:t>
      </w:r>
      <w:r>
        <w:rPr>
          <w:rFonts w:ascii="Arial" w:hAnsi="Arial" w:cs="Arial"/>
        </w:rPr>
        <w:t xml:space="preserve"> et al., 2023). Monitoring MDA </w:t>
      </w:r>
      <w:r>
        <w:rPr>
          <w:rFonts w:ascii="Arial" w:hAnsi="Arial" w:cs="Arial"/>
          <w:highlight w:val="yellow"/>
        </w:rPr>
        <w:t>levels</w:t>
      </w:r>
      <w:r>
        <w:rPr>
          <w:rFonts w:ascii="Arial" w:hAnsi="Arial" w:cs="Arial"/>
        </w:rPr>
        <w:t xml:space="preserve"> may help in </w:t>
      </w:r>
      <w:r>
        <w:rPr>
          <w:rFonts w:ascii="Arial" w:hAnsi="Arial" w:cs="Arial"/>
          <w:highlight w:val="yellow"/>
        </w:rPr>
        <w:t>assessing</w:t>
      </w:r>
      <w:r>
        <w:rPr>
          <w:rFonts w:ascii="Arial" w:hAnsi="Arial" w:cs="Arial"/>
        </w:rPr>
        <w:t xml:space="preserve"> </w:t>
      </w:r>
      <w:r>
        <w:rPr>
          <w:rFonts w:ascii="Arial" w:hAnsi="Arial" w:cs="Arial"/>
          <w:highlight w:val="yellow"/>
        </w:rPr>
        <w:t>environmental</w:t>
      </w:r>
      <w:r>
        <w:rPr>
          <w:rFonts w:ascii="Arial" w:hAnsi="Arial" w:cs="Arial"/>
        </w:rPr>
        <w:t xml:space="preserve"> risk and </w:t>
      </w:r>
      <w:r>
        <w:rPr>
          <w:rFonts w:ascii="Arial" w:hAnsi="Arial" w:cs="Arial"/>
          <w:highlight w:val="yellow"/>
        </w:rPr>
        <w:t>the effects</w:t>
      </w:r>
      <w:r>
        <w:rPr>
          <w:rFonts w:ascii="Arial" w:hAnsi="Arial" w:cs="Arial"/>
        </w:rPr>
        <w:t xml:space="preserve"> of agrochemicals on aquatic ecosystems through oxidative stress. </w:t>
      </w:r>
      <w:r>
        <w:rPr>
          <w:rFonts w:ascii="Arial" w:hAnsi="Arial" w:cs="Arial"/>
          <w:highlight w:val="yellow"/>
        </w:rPr>
        <w:t>Plant</w:t>
      </w:r>
      <w:r>
        <w:rPr>
          <w:rFonts w:ascii="Arial" w:hAnsi="Arial" w:cs="Arial"/>
        </w:rPr>
        <w:t xml:space="preserve"> </w:t>
      </w:r>
      <w:r>
        <w:rPr>
          <w:rFonts w:ascii="Arial" w:hAnsi="Arial" w:cs="Arial"/>
          <w:highlight w:val="yellow"/>
        </w:rPr>
        <w:t>responses</w:t>
      </w:r>
      <w:r>
        <w:rPr>
          <w:rFonts w:ascii="Arial" w:hAnsi="Arial" w:cs="Arial"/>
        </w:rPr>
        <w:t xml:space="preserve"> </w:t>
      </w:r>
      <w:r>
        <w:rPr>
          <w:rFonts w:ascii="Arial" w:hAnsi="Arial" w:cs="Arial"/>
          <w:highlight w:val="yellow"/>
        </w:rPr>
        <w:t>to</w:t>
      </w:r>
      <w:r>
        <w:rPr>
          <w:rFonts w:ascii="Arial" w:hAnsi="Arial" w:cs="Arial"/>
        </w:rPr>
        <w:t xml:space="preserve"> ROS </w:t>
      </w:r>
      <w:r>
        <w:rPr>
          <w:rFonts w:ascii="Arial" w:hAnsi="Arial" w:cs="Arial"/>
          <w:highlight w:val="yellow"/>
        </w:rPr>
        <w:t>are</w:t>
      </w:r>
      <w:r>
        <w:rPr>
          <w:rFonts w:ascii="Arial" w:hAnsi="Arial" w:cs="Arial"/>
        </w:rPr>
        <w:t xml:space="preserve"> </w:t>
      </w:r>
      <w:r>
        <w:rPr>
          <w:rFonts w:ascii="Arial" w:hAnsi="Arial" w:cs="Arial"/>
          <w:highlight w:val="yellow"/>
        </w:rPr>
        <w:t>governed</w:t>
      </w:r>
      <w:r>
        <w:rPr>
          <w:rFonts w:ascii="Arial" w:hAnsi="Arial" w:cs="Arial"/>
        </w:rPr>
        <w:t xml:space="preserve"> by various pathways </w:t>
      </w:r>
      <w:r>
        <w:rPr>
          <w:rFonts w:ascii="Arial" w:hAnsi="Arial" w:cs="Arial"/>
          <w:highlight w:val="yellow"/>
        </w:rPr>
        <w:t>involving</w:t>
      </w:r>
      <w:r>
        <w:rPr>
          <w:rFonts w:ascii="Arial" w:hAnsi="Arial" w:cs="Arial"/>
        </w:rPr>
        <w:t xml:space="preserve"> </w:t>
      </w:r>
      <w:r>
        <w:rPr>
          <w:rFonts w:ascii="Arial" w:hAnsi="Arial" w:cs="Arial"/>
        </w:rPr>
        <w:lastRenderedPageBreak/>
        <w:t xml:space="preserve">antioxidant enzymes. Superoxide dismutases (SODs) </w:t>
      </w:r>
      <w:r>
        <w:rPr>
          <w:rFonts w:ascii="Arial" w:hAnsi="Arial" w:cs="Arial"/>
          <w:highlight w:val="yellow"/>
        </w:rPr>
        <w:t>catalyse</w:t>
      </w:r>
      <w:r>
        <w:rPr>
          <w:rFonts w:ascii="Arial" w:hAnsi="Arial" w:cs="Arial"/>
        </w:rPr>
        <w:t xml:space="preserve"> the dismutation of superoxide (O</w:t>
      </w:r>
      <w:r>
        <w:rPr>
          <w:rFonts w:ascii="Arial" w:hAnsi="Arial" w:cs="Arial"/>
          <w:vertAlign w:val="subscript"/>
        </w:rPr>
        <w:t>2</w:t>
      </w:r>
      <w:r>
        <w:rPr>
          <w:rFonts w:ascii="Arial" w:hAnsi="Arial" w:cs="Arial"/>
        </w:rPr>
        <w:t xml:space="preserve">•−) to molecular oxygen and hydrogen peroxide, protecting cells against superoxide toxicity (Cakmak, 2005). In </w:t>
      </w:r>
      <w:r>
        <w:rPr>
          <w:rFonts w:ascii="Arial" w:hAnsi="Arial" w:cs="Arial"/>
          <w:i/>
        </w:rPr>
        <w:t>Lemna minor</w:t>
      </w:r>
      <w:r>
        <w:rPr>
          <w:rFonts w:ascii="Arial" w:hAnsi="Arial" w:cs="Arial"/>
        </w:rPr>
        <w:t>, short-term Cd exposure strongly inhibits CAT relative to other antioxidant enzymes, and total antioxidative potential collapses at higher Cd levels, consistent with a transition from compensated to decompensated oxidative stress. Microalgae and other aquatic plants show comparable trends</w:t>
      </w:r>
      <w:r>
        <w:rPr>
          <w:rFonts w:ascii="Arial" w:hAnsi="Arial" w:cs="Arial"/>
          <w:highlight w:val="yellow"/>
        </w:rPr>
        <w:t>, with</w:t>
      </w:r>
      <w:r>
        <w:rPr>
          <w:rFonts w:ascii="Arial" w:hAnsi="Arial" w:cs="Arial"/>
        </w:rPr>
        <w:t xml:space="preserve"> initial upregulation of CAT followed by suppression as Cd accumulates and cellular damage progresses (Farias et al.</w:t>
      </w:r>
      <w:r>
        <w:rPr>
          <w:rFonts w:ascii="Arial" w:hAnsi="Arial" w:cs="Arial"/>
          <w:highlight w:val="yellow"/>
        </w:rPr>
        <w:t xml:space="preserve">, </w:t>
      </w:r>
      <w:r>
        <w:rPr>
          <w:rFonts w:ascii="Arial" w:hAnsi="Arial" w:cs="Arial"/>
        </w:rPr>
        <w:t>2024; Razinger et al.</w:t>
      </w:r>
      <w:r>
        <w:rPr>
          <w:rFonts w:ascii="Arial" w:hAnsi="Arial" w:cs="Arial"/>
          <w:highlight w:val="yellow"/>
        </w:rPr>
        <w:t xml:space="preserve">, </w:t>
      </w:r>
      <w:r>
        <w:rPr>
          <w:rFonts w:ascii="Arial" w:hAnsi="Arial" w:cs="Arial"/>
        </w:rPr>
        <w:t>2008). Catalases (CAT) and peroxidases (APX and GPX) decompose H</w:t>
      </w:r>
      <w:r>
        <w:rPr>
          <w:rFonts w:ascii="Arial" w:hAnsi="Arial" w:cs="Arial"/>
          <w:vertAlign w:val="subscript"/>
        </w:rPr>
        <w:t>2</w:t>
      </w:r>
      <w:r>
        <w:rPr>
          <w:rFonts w:ascii="Arial" w:hAnsi="Arial" w:cs="Arial"/>
        </w:rPr>
        <w:t>O</w:t>
      </w:r>
      <w:r>
        <w:rPr>
          <w:rFonts w:ascii="Arial" w:hAnsi="Arial" w:cs="Arial"/>
          <w:vertAlign w:val="subscript"/>
        </w:rPr>
        <w:t>2</w:t>
      </w:r>
      <w:r>
        <w:rPr>
          <w:rFonts w:ascii="Arial" w:hAnsi="Arial" w:cs="Arial"/>
        </w:rPr>
        <w:t xml:space="preserve"> to H</w:t>
      </w:r>
      <w:r>
        <w:rPr>
          <w:rFonts w:ascii="Arial" w:hAnsi="Arial" w:cs="Arial"/>
          <w:vertAlign w:val="subscript"/>
        </w:rPr>
        <w:t>2</w:t>
      </w:r>
      <w:r>
        <w:rPr>
          <w:rFonts w:ascii="Arial" w:hAnsi="Arial" w:cs="Arial"/>
        </w:rPr>
        <w:t>O and O</w:t>
      </w:r>
      <w:r>
        <w:rPr>
          <w:rFonts w:ascii="Arial" w:hAnsi="Arial" w:cs="Arial"/>
          <w:vertAlign w:val="subscript"/>
        </w:rPr>
        <w:t>2</w:t>
      </w:r>
      <w:r>
        <w:rPr>
          <w:rFonts w:ascii="Arial" w:hAnsi="Arial" w:cs="Arial"/>
        </w:rPr>
        <w:t>.</w:t>
      </w:r>
      <w:r>
        <w:rPr>
          <w:rFonts w:ascii="Arial" w:hAnsi="Arial" w:cs="Arial"/>
          <w:highlight w:val="yellow"/>
        </w:rPr>
        <w:t xml:space="preserve"> </w:t>
      </w:r>
      <w:r>
        <w:rPr>
          <w:rFonts w:ascii="Arial" w:hAnsi="Arial" w:cs="Arial"/>
        </w:rPr>
        <w:t>GR activity was significantly increased at high Cd concentrations, in agreement with recent data in duckweed and other aquatic plants, where GR activity is strongly enhanced as part of a general antioxidative response. The ability of the plant to cope with acute oxidative stress caused by metals is associated with increased GR activity (Li et al.</w:t>
      </w:r>
      <w:r>
        <w:rPr>
          <w:rFonts w:ascii="Arial" w:hAnsi="Arial" w:cs="Arial"/>
          <w:highlight w:val="yellow"/>
        </w:rPr>
        <w:t>,</w:t>
      </w:r>
      <w:r>
        <w:rPr>
          <w:rFonts w:ascii="Arial" w:hAnsi="Arial" w:cs="Arial"/>
        </w:rPr>
        <w:t xml:space="preserve"> 2018; Yang et al.</w:t>
      </w:r>
      <w:r>
        <w:rPr>
          <w:rFonts w:ascii="Arial" w:hAnsi="Arial" w:cs="Arial"/>
          <w:highlight w:val="yellow"/>
        </w:rPr>
        <w:t>,</w:t>
      </w:r>
      <w:r>
        <w:rPr>
          <w:rFonts w:ascii="Arial" w:hAnsi="Arial" w:cs="Arial"/>
        </w:rPr>
        <w:t xml:space="preserve"> 2023; Moravčíková &amp; Žiarovská</w:t>
      </w:r>
      <w:r>
        <w:rPr>
          <w:rFonts w:ascii="Arial" w:hAnsi="Arial" w:cs="Arial"/>
          <w:highlight w:val="yellow"/>
        </w:rPr>
        <w:t>,</w:t>
      </w:r>
      <w:r>
        <w:rPr>
          <w:rFonts w:ascii="Arial" w:hAnsi="Arial" w:cs="Arial"/>
        </w:rPr>
        <w:t xml:space="preserve"> 2023). The dose-dependent increase in </w:t>
      </w:r>
      <w:r>
        <w:rPr>
          <w:rFonts w:ascii="Arial" w:hAnsi="Arial" w:cs="Arial"/>
          <w:highlight w:val="yellow"/>
        </w:rPr>
        <w:t>antioxidant enzyme</w:t>
      </w:r>
      <w:r>
        <w:rPr>
          <w:rFonts w:ascii="Arial" w:hAnsi="Arial" w:cs="Arial"/>
        </w:rPr>
        <w:t xml:space="preserve"> activities indicates that </w:t>
      </w:r>
      <w:r>
        <w:rPr>
          <w:rFonts w:ascii="Arial" w:hAnsi="Arial" w:cs="Arial"/>
          <w:i/>
          <w:iCs/>
        </w:rPr>
        <w:t>Lemna minor</w:t>
      </w:r>
      <w:r>
        <w:rPr>
          <w:rFonts w:ascii="Arial" w:hAnsi="Arial" w:cs="Arial"/>
        </w:rPr>
        <w:t xml:space="preserve"> is efficient in scavenging reactive oxygen species (ROS). The </w:t>
      </w:r>
      <w:r>
        <w:rPr>
          <w:rFonts w:ascii="Arial" w:hAnsi="Arial" w:cs="Arial"/>
          <w:highlight w:val="yellow"/>
        </w:rPr>
        <w:t>marked</w:t>
      </w:r>
      <w:r>
        <w:rPr>
          <w:rFonts w:ascii="Arial" w:hAnsi="Arial" w:cs="Arial"/>
        </w:rPr>
        <w:t xml:space="preserve"> elevation of SOD in </w:t>
      </w:r>
      <w:r>
        <w:rPr>
          <w:rFonts w:ascii="Arial" w:hAnsi="Arial" w:cs="Arial"/>
          <w:i/>
          <w:iCs/>
        </w:rPr>
        <w:t>Lemna minor</w:t>
      </w:r>
      <w:r>
        <w:rPr>
          <w:rFonts w:ascii="Arial" w:hAnsi="Arial" w:cs="Arial"/>
        </w:rPr>
        <w:t xml:space="preserve"> confirms its role as a sensitive biomarker of herbicide toxicity (Manna et al., 2020). Paraquat induces oxidative stress through redox cycling and reactive oxygen species (ROS) generation (Donaher </w:t>
      </w:r>
      <w:r>
        <w:rPr>
          <w:rFonts w:ascii="Arial" w:hAnsi="Arial" w:cs="Arial"/>
          <w:highlight w:val="yellow"/>
        </w:rPr>
        <w:t>&amp;</w:t>
      </w:r>
      <w:r>
        <w:rPr>
          <w:rFonts w:ascii="Arial" w:hAnsi="Arial" w:cs="Arial"/>
        </w:rPr>
        <w:t xml:space="preserve"> Van den</w:t>
      </w:r>
      <w:r>
        <w:rPr>
          <w:rFonts w:ascii="Arial" w:hAnsi="Arial" w:cs="Arial"/>
          <w:highlight w:val="yellow"/>
        </w:rPr>
        <w:t xml:space="preserve"> Hurk</w:t>
      </w:r>
      <w:r>
        <w:rPr>
          <w:rFonts w:ascii="Arial" w:hAnsi="Arial" w:cs="Arial"/>
        </w:rPr>
        <w:t xml:space="preserve">, 2023). </w:t>
      </w:r>
      <w:r>
        <w:rPr>
          <w:rFonts w:ascii="Arial" w:hAnsi="Arial" w:cs="Arial"/>
          <w:highlight w:val="yellow"/>
        </w:rPr>
        <w:t>An</w:t>
      </w:r>
      <w:r>
        <w:rPr>
          <w:rFonts w:ascii="Arial" w:hAnsi="Arial" w:cs="Arial"/>
        </w:rPr>
        <w:t xml:space="preserve"> increase in SOD activity from 6.25% to 47%</w:t>
      </w:r>
      <w:r>
        <w:rPr>
          <w:rFonts w:ascii="Arial" w:hAnsi="Arial" w:cs="Arial"/>
          <w:highlight w:val="yellow"/>
        </w:rPr>
        <w:t xml:space="preserve"> was observed</w:t>
      </w:r>
      <w:r>
        <w:rPr>
          <w:rFonts w:ascii="Arial" w:hAnsi="Arial" w:cs="Arial"/>
        </w:rPr>
        <w:t xml:space="preserve">. This is compatible with the sensitivity of aquatic plants (EC50 = 28–280 μg/L). </w:t>
      </w:r>
      <w:r>
        <w:rPr>
          <w:rFonts w:ascii="Arial" w:hAnsi="Arial" w:cs="Arial"/>
          <w:highlight w:val="yellow"/>
        </w:rPr>
        <w:t>A high</w:t>
      </w:r>
      <w:r>
        <w:rPr>
          <w:rFonts w:ascii="Arial" w:hAnsi="Arial" w:cs="Arial"/>
        </w:rPr>
        <w:t xml:space="preserve"> SOD response at low </w:t>
      </w:r>
      <w:r>
        <w:rPr>
          <w:rFonts w:ascii="Arial" w:hAnsi="Arial" w:cs="Arial"/>
          <w:highlight w:val="yellow"/>
        </w:rPr>
        <w:t xml:space="preserve">paraquat </w:t>
      </w:r>
      <w:r>
        <w:rPr>
          <w:rFonts w:ascii="Arial" w:hAnsi="Arial" w:cs="Arial"/>
        </w:rPr>
        <w:t xml:space="preserve">concentrations (0.5-2.5 mg/L) </w:t>
      </w:r>
      <w:r>
        <w:rPr>
          <w:rFonts w:ascii="Arial" w:hAnsi="Arial" w:cs="Arial"/>
          <w:highlight w:val="yellow"/>
        </w:rPr>
        <w:t>indicates</w:t>
      </w:r>
      <w:r>
        <w:rPr>
          <w:rFonts w:ascii="Arial" w:hAnsi="Arial" w:cs="Arial"/>
        </w:rPr>
        <w:t xml:space="preserve"> </w:t>
      </w:r>
      <w:r>
        <w:rPr>
          <w:rFonts w:ascii="Arial" w:hAnsi="Arial" w:cs="Arial"/>
          <w:highlight w:val="yellow"/>
        </w:rPr>
        <w:t>the</w:t>
      </w:r>
      <w:r>
        <w:rPr>
          <w:rFonts w:ascii="Arial" w:hAnsi="Arial" w:cs="Arial"/>
        </w:rPr>
        <w:t xml:space="preserve"> high toxicity of this chemical (Donaher </w:t>
      </w:r>
      <w:r>
        <w:rPr>
          <w:rFonts w:ascii="Arial" w:hAnsi="Arial" w:cs="Arial"/>
          <w:highlight w:val="yellow"/>
        </w:rPr>
        <w:t>&amp;</w:t>
      </w:r>
      <w:r>
        <w:rPr>
          <w:rFonts w:ascii="Arial" w:hAnsi="Arial" w:cs="Arial"/>
        </w:rPr>
        <w:t xml:space="preserve"> Van den</w:t>
      </w:r>
      <w:r>
        <w:rPr>
          <w:rFonts w:ascii="Arial" w:hAnsi="Arial" w:cs="Arial"/>
          <w:highlight w:val="yellow"/>
        </w:rPr>
        <w:t xml:space="preserve"> Hurk</w:t>
      </w:r>
      <w:r>
        <w:rPr>
          <w:rFonts w:ascii="Arial" w:hAnsi="Arial" w:cs="Arial"/>
        </w:rPr>
        <w:t xml:space="preserve">, 2023). At higher </w:t>
      </w:r>
      <w:r>
        <w:rPr>
          <w:rFonts w:ascii="Arial" w:hAnsi="Arial" w:cs="Arial"/>
          <w:highlight w:val="yellow"/>
        </w:rPr>
        <w:t xml:space="preserve">paraquat </w:t>
      </w:r>
      <w:r>
        <w:rPr>
          <w:rFonts w:ascii="Arial" w:hAnsi="Arial" w:cs="Arial"/>
        </w:rPr>
        <w:t>concentrations (2 and 2.5 mg/L)</w:t>
      </w:r>
      <w:r>
        <w:rPr>
          <w:rFonts w:ascii="Arial" w:hAnsi="Arial" w:cs="Arial"/>
          <w:highlight w:val="yellow"/>
        </w:rPr>
        <w:t>,</w:t>
      </w:r>
      <w:r>
        <w:rPr>
          <w:rFonts w:ascii="Arial" w:hAnsi="Arial" w:cs="Arial"/>
        </w:rPr>
        <w:t xml:space="preserve"> significant increases in POD activity </w:t>
      </w:r>
      <w:r>
        <w:rPr>
          <w:rFonts w:ascii="Arial" w:hAnsi="Arial" w:cs="Arial"/>
          <w:highlight w:val="yellow"/>
        </w:rPr>
        <w:t>were observed in</w:t>
      </w:r>
      <w:r>
        <w:rPr>
          <w:rFonts w:ascii="Arial" w:hAnsi="Arial" w:cs="Arial"/>
        </w:rPr>
        <w:t xml:space="preserve"> </w:t>
      </w:r>
      <w:r>
        <w:rPr>
          <w:rFonts w:ascii="Arial" w:hAnsi="Arial" w:cs="Arial"/>
          <w:i/>
          <w:iCs/>
        </w:rPr>
        <w:t>Lemna minor</w:t>
      </w:r>
      <w:r>
        <w:rPr>
          <w:rFonts w:ascii="Arial" w:hAnsi="Arial" w:cs="Arial"/>
          <w:highlight w:val="yellow"/>
        </w:rPr>
        <w:t>,</w:t>
      </w:r>
      <w:r>
        <w:rPr>
          <w:rFonts w:ascii="Arial" w:hAnsi="Arial" w:cs="Arial"/>
        </w:rPr>
        <w:t xml:space="preserve"> indicating an active antioxidant response to reduce cellular damage caused by reactive oxygen species (ROS). The increase in </w:t>
      </w:r>
      <w:r>
        <w:rPr>
          <w:rFonts w:ascii="Arial" w:hAnsi="Arial" w:cs="Arial"/>
          <w:highlight w:val="yellow"/>
        </w:rPr>
        <w:t>POD</w:t>
      </w:r>
      <w:r>
        <w:rPr>
          <w:rFonts w:ascii="Arial" w:hAnsi="Arial" w:cs="Arial"/>
        </w:rPr>
        <w:t xml:space="preserve"> activity is probably an attempt to protect the </w:t>
      </w:r>
      <w:r>
        <w:rPr>
          <w:rFonts w:ascii="Arial" w:hAnsi="Arial" w:cs="Arial"/>
          <w:highlight w:val="yellow"/>
        </w:rPr>
        <w:t>plant</w:t>
      </w:r>
      <w:r>
        <w:rPr>
          <w:rFonts w:ascii="Arial" w:hAnsi="Arial" w:cs="Arial"/>
        </w:rPr>
        <w:t xml:space="preserve"> from oxidative damage caused by paraquat. As the concentration of paraquat dichloride increased, CAT activity </w:t>
      </w:r>
      <w:r>
        <w:rPr>
          <w:rFonts w:ascii="Arial" w:hAnsi="Arial" w:cs="Arial"/>
          <w:highlight w:val="yellow"/>
        </w:rPr>
        <w:t>in</w:t>
      </w:r>
      <w:r>
        <w:rPr>
          <w:rFonts w:ascii="Arial" w:hAnsi="Arial" w:cs="Arial"/>
        </w:rPr>
        <w:t xml:space="preserve"> </w:t>
      </w:r>
      <w:r>
        <w:rPr>
          <w:rFonts w:ascii="Arial" w:hAnsi="Arial" w:cs="Arial"/>
          <w:i/>
          <w:iCs/>
        </w:rPr>
        <w:t>Lemna minor</w:t>
      </w:r>
      <w:r>
        <w:rPr>
          <w:rFonts w:ascii="Arial" w:hAnsi="Arial" w:cs="Arial"/>
        </w:rPr>
        <w:t xml:space="preserve"> increased significantly (16.39%-85%). According to Tagun (2014), </w:t>
      </w:r>
      <w:r>
        <w:rPr>
          <w:rFonts w:ascii="Arial" w:hAnsi="Arial" w:cs="Arial"/>
          <w:highlight w:val="yellow"/>
        </w:rPr>
        <w:t>increased</w:t>
      </w:r>
      <w:r>
        <w:rPr>
          <w:rFonts w:ascii="Arial" w:hAnsi="Arial" w:cs="Arial"/>
        </w:rPr>
        <w:t xml:space="preserve"> CAT activity is a common self-protection </w:t>
      </w:r>
      <w:r>
        <w:rPr>
          <w:rFonts w:ascii="Arial" w:hAnsi="Arial" w:cs="Arial"/>
          <w:highlight w:val="yellow"/>
        </w:rPr>
        <w:t>mechanism</w:t>
      </w:r>
      <w:r>
        <w:rPr>
          <w:rFonts w:ascii="Arial" w:hAnsi="Arial" w:cs="Arial"/>
        </w:rPr>
        <w:t xml:space="preserve"> </w:t>
      </w:r>
      <w:r>
        <w:rPr>
          <w:rFonts w:ascii="Arial" w:hAnsi="Arial" w:cs="Arial"/>
          <w:highlight w:val="yellow"/>
        </w:rPr>
        <w:t>in</w:t>
      </w:r>
      <w:r>
        <w:rPr>
          <w:rFonts w:ascii="Arial" w:hAnsi="Arial" w:cs="Arial"/>
        </w:rPr>
        <w:t xml:space="preserve"> plants. It </w:t>
      </w:r>
      <w:r>
        <w:rPr>
          <w:rFonts w:ascii="Arial" w:hAnsi="Arial" w:cs="Arial"/>
          <w:highlight w:val="yellow"/>
        </w:rPr>
        <w:t>catalyses</w:t>
      </w:r>
      <w:r>
        <w:rPr>
          <w:rFonts w:ascii="Arial" w:hAnsi="Arial" w:cs="Arial"/>
        </w:rPr>
        <w:t xml:space="preserve"> the breakdown of hydrogen peroxide, a by-product of reactive oxygen species (ROS), </w:t>
      </w:r>
      <w:r>
        <w:rPr>
          <w:rFonts w:ascii="Arial" w:hAnsi="Arial" w:cs="Arial"/>
          <w:highlight w:val="yellow"/>
        </w:rPr>
        <w:t>thereby</w:t>
      </w:r>
      <w:r>
        <w:rPr>
          <w:rFonts w:ascii="Arial" w:hAnsi="Arial" w:cs="Arial"/>
        </w:rPr>
        <w:t xml:space="preserve"> </w:t>
      </w:r>
      <w:r>
        <w:rPr>
          <w:rFonts w:ascii="Arial" w:hAnsi="Arial" w:cs="Arial"/>
          <w:highlight w:val="yellow"/>
        </w:rPr>
        <w:t>protecting</w:t>
      </w:r>
      <w:r>
        <w:rPr>
          <w:rFonts w:ascii="Arial" w:hAnsi="Arial" w:cs="Arial"/>
        </w:rPr>
        <w:t xml:space="preserve"> cells from oxidative damage. </w:t>
      </w:r>
      <w:r>
        <w:rPr>
          <w:rFonts w:ascii="Arial" w:hAnsi="Arial" w:cs="Arial"/>
          <w:i/>
          <w:iCs/>
        </w:rPr>
        <w:t>Lemna minor</w:t>
      </w:r>
      <w:r>
        <w:rPr>
          <w:rFonts w:ascii="Arial" w:hAnsi="Arial" w:cs="Arial"/>
        </w:rPr>
        <w:t xml:space="preserve"> has been found to be very sensitive to paraquat</w:t>
      </w:r>
      <w:r>
        <w:rPr>
          <w:rFonts w:ascii="Arial" w:hAnsi="Arial" w:cs="Arial"/>
          <w:highlight w:val="yellow"/>
        </w:rPr>
        <w:t>,</w:t>
      </w:r>
      <w:r>
        <w:rPr>
          <w:rFonts w:ascii="Arial" w:hAnsi="Arial" w:cs="Arial"/>
        </w:rPr>
        <w:t xml:space="preserve"> and its growth is </w:t>
      </w:r>
      <w:r>
        <w:rPr>
          <w:rFonts w:ascii="Arial" w:hAnsi="Arial" w:cs="Arial"/>
          <w:highlight w:val="yellow"/>
        </w:rPr>
        <w:t>rapidly</w:t>
      </w:r>
      <w:r>
        <w:rPr>
          <w:rFonts w:ascii="Arial" w:hAnsi="Arial" w:cs="Arial"/>
        </w:rPr>
        <w:t xml:space="preserve"> inhibited with the occurrence of physiological changes (Tagun, 2014). Increasing paraquat dichloride exposure </w:t>
      </w:r>
      <w:r>
        <w:rPr>
          <w:rFonts w:ascii="Arial" w:hAnsi="Arial" w:cs="Arial"/>
          <w:highlight w:val="yellow"/>
        </w:rPr>
        <w:t>in</w:t>
      </w:r>
      <w:r>
        <w:rPr>
          <w:rFonts w:ascii="Arial" w:hAnsi="Arial" w:cs="Arial"/>
        </w:rPr>
        <w:t xml:space="preserve"> </w:t>
      </w:r>
      <w:r>
        <w:rPr>
          <w:rFonts w:ascii="Arial" w:hAnsi="Arial" w:cs="Arial"/>
          <w:i/>
          <w:iCs/>
        </w:rPr>
        <w:t>Lemna minor</w:t>
      </w:r>
      <w:r>
        <w:rPr>
          <w:rFonts w:ascii="Arial" w:hAnsi="Arial" w:cs="Arial"/>
        </w:rPr>
        <w:t xml:space="preserve"> increased ascorbate peroxidase (APX) activity. APX expression is differentially regulated during normal plant growth and development and in response to environmental stresses (Pandey et al., 2017). </w:t>
      </w:r>
      <w:r>
        <w:rPr>
          <w:rFonts w:ascii="Arial" w:hAnsi="Arial" w:cs="Arial"/>
          <w:highlight w:val="yellow"/>
        </w:rPr>
        <w:t>Cellular</w:t>
      </w:r>
      <w:r>
        <w:rPr>
          <w:rFonts w:ascii="Arial" w:hAnsi="Arial" w:cs="Arial"/>
        </w:rPr>
        <w:t xml:space="preserve"> </w:t>
      </w:r>
      <w:r>
        <w:rPr>
          <w:rFonts w:ascii="Arial" w:hAnsi="Arial" w:cs="Arial"/>
          <w:highlight w:val="yellow"/>
        </w:rPr>
        <w:t>stress</w:t>
      </w:r>
      <w:r>
        <w:rPr>
          <w:rFonts w:ascii="Arial" w:hAnsi="Arial" w:cs="Arial"/>
        </w:rPr>
        <w:t xml:space="preserve"> causes a rapid disturbance of the redox balance and accumulation of reactive oxygen species (Halliwell, 2006). The level of APX expression (Tang et al.</w:t>
      </w:r>
      <w:r>
        <w:rPr>
          <w:rFonts w:ascii="Arial" w:hAnsi="Arial" w:cs="Arial"/>
          <w:highlight w:val="yellow"/>
        </w:rPr>
        <w:t>,</w:t>
      </w:r>
      <w:r>
        <w:rPr>
          <w:rFonts w:ascii="Arial" w:hAnsi="Arial" w:cs="Arial"/>
        </w:rPr>
        <w:t xml:space="preserve"> 2006) is directly related to the </w:t>
      </w:r>
      <w:r>
        <w:rPr>
          <w:rFonts w:ascii="Arial" w:hAnsi="Arial" w:cs="Arial"/>
          <w:highlight w:val="yellow"/>
        </w:rPr>
        <w:t>duration</w:t>
      </w:r>
      <w:r>
        <w:rPr>
          <w:rFonts w:ascii="Arial" w:hAnsi="Arial" w:cs="Arial"/>
        </w:rPr>
        <w:t xml:space="preserve"> and intensity of stress and</w:t>
      </w:r>
      <w:r>
        <w:rPr>
          <w:rFonts w:ascii="Arial" w:hAnsi="Arial" w:cs="Arial"/>
          <w:highlight w:val="yellow"/>
        </w:rPr>
        <w:t xml:space="preserve"> to</w:t>
      </w:r>
      <w:r>
        <w:rPr>
          <w:rFonts w:ascii="Arial" w:hAnsi="Arial" w:cs="Arial"/>
        </w:rPr>
        <w:t xml:space="preserve"> different types of stress. GR plays a very important role in the cellular scavenging system </w:t>
      </w:r>
      <w:r>
        <w:rPr>
          <w:rFonts w:ascii="Arial" w:hAnsi="Arial" w:cs="Arial"/>
          <w:highlight w:val="yellow"/>
        </w:rPr>
        <w:t>that</w:t>
      </w:r>
      <w:r>
        <w:rPr>
          <w:rFonts w:ascii="Arial" w:hAnsi="Arial" w:cs="Arial"/>
        </w:rPr>
        <w:t xml:space="preserve"> </w:t>
      </w:r>
      <w:r>
        <w:rPr>
          <w:rFonts w:ascii="Arial" w:hAnsi="Arial" w:cs="Arial"/>
          <w:highlight w:val="yellow"/>
        </w:rPr>
        <w:t>eliminates</w:t>
      </w:r>
      <w:r>
        <w:rPr>
          <w:rFonts w:ascii="Arial" w:hAnsi="Arial" w:cs="Arial"/>
        </w:rPr>
        <w:t xml:space="preserve"> reactive oxygen species (ROS) in plants. It uses NADPH as an electron donor to reduce </w:t>
      </w:r>
      <w:r>
        <w:rPr>
          <w:rFonts w:ascii="Arial" w:hAnsi="Arial" w:cs="Arial"/>
          <w:highlight w:val="yellow"/>
        </w:rPr>
        <w:t>oxidised</w:t>
      </w:r>
      <w:r>
        <w:rPr>
          <w:rFonts w:ascii="Arial" w:hAnsi="Arial" w:cs="Arial"/>
        </w:rPr>
        <w:t xml:space="preserve"> glutathione or glutathione disulfide (GSSG) to reduced glutathione (GSH). This process is required to maintain cellular redox levels by keeping the GSH/GSSG ratio low in cells under normal or oxidative stress (</w:t>
      </w:r>
      <w:r>
        <w:rPr>
          <w:rFonts w:ascii="Arial" w:hAnsi="Arial" w:cs="Arial"/>
          <w:highlight w:val="yellow"/>
        </w:rPr>
        <w:t>Anjum</w:t>
      </w:r>
      <w:r>
        <w:rPr>
          <w:rFonts w:ascii="Arial" w:hAnsi="Arial" w:cs="Arial"/>
        </w:rPr>
        <w:t xml:space="preserve"> et al.</w:t>
      </w:r>
      <w:r>
        <w:rPr>
          <w:rFonts w:ascii="Arial" w:hAnsi="Arial" w:cs="Arial"/>
          <w:highlight w:val="yellow"/>
        </w:rPr>
        <w:t>,</w:t>
      </w:r>
      <w:r>
        <w:rPr>
          <w:rFonts w:ascii="Arial" w:hAnsi="Arial" w:cs="Arial"/>
        </w:rPr>
        <w:t xml:space="preserve"> 2012). The present study suggests an increase in GR activity</w:t>
      </w:r>
      <w:r>
        <w:rPr>
          <w:rFonts w:ascii="Arial" w:hAnsi="Arial" w:cs="Arial"/>
          <w:highlight w:val="yellow"/>
        </w:rPr>
        <w:t>,</w:t>
      </w:r>
      <w:r>
        <w:rPr>
          <w:rFonts w:ascii="Arial" w:hAnsi="Arial" w:cs="Arial"/>
        </w:rPr>
        <w:t xml:space="preserve"> which is </w:t>
      </w:r>
      <w:r>
        <w:rPr>
          <w:rFonts w:ascii="Arial" w:hAnsi="Arial" w:cs="Arial"/>
          <w:highlight w:val="yellow"/>
        </w:rPr>
        <w:t>consistent</w:t>
      </w:r>
      <w:r>
        <w:rPr>
          <w:rFonts w:ascii="Arial" w:hAnsi="Arial" w:cs="Arial"/>
        </w:rPr>
        <w:t xml:space="preserve"> with the findings of other studies.</w:t>
      </w:r>
    </w:p>
    <w:p w14:paraId="006491A6" w14:textId="77777777" w:rsidR="00790ADA" w:rsidRPr="00FB3A86" w:rsidRDefault="00790ADA" w:rsidP="00441B6F">
      <w:pPr>
        <w:pStyle w:val="Body"/>
        <w:spacing w:after="0"/>
        <w:rPr>
          <w:rFonts w:ascii="Arial" w:hAnsi="Arial" w:cs="Arial"/>
        </w:rPr>
      </w:pPr>
    </w:p>
    <w:p w14:paraId="2D343D1C" w14:textId="77777777" w:rsidR="00B01FCD" w:rsidRDefault="00D779CE" w:rsidP="00441B6F">
      <w:pPr>
        <w:pStyle w:val="ConcHead"/>
        <w:spacing w:after="0"/>
        <w:jc w:val="both"/>
        <w:rPr>
          <w:rFonts w:ascii="Arial" w:hAnsi="Arial" w:cs="Arial"/>
        </w:rPr>
      </w:pPr>
      <w:r>
        <w:rPr>
          <w:rFonts w:ascii="Arial" w:hAnsi="Arial" w:cs="Arial"/>
        </w:rPr>
        <w:t>4</w:t>
      </w:r>
      <w:r w:rsidR="00000F8F">
        <w:rPr>
          <w:rFonts w:ascii="Arial" w:hAnsi="Arial" w:cs="Arial"/>
        </w:rPr>
        <w:t xml:space="preserve">. </w:t>
      </w:r>
      <w:r w:rsidR="00B01FCD" w:rsidRPr="00FB3A86">
        <w:rPr>
          <w:rFonts w:ascii="Arial" w:hAnsi="Arial" w:cs="Arial"/>
        </w:rPr>
        <w:t>Conclusion</w:t>
      </w:r>
    </w:p>
    <w:p w14:paraId="481930AB" w14:textId="77777777" w:rsidR="00790ADA" w:rsidRPr="00FB3A86" w:rsidRDefault="00790ADA" w:rsidP="00441B6F">
      <w:pPr>
        <w:pStyle w:val="ConcHead"/>
        <w:spacing w:after="0"/>
        <w:jc w:val="both"/>
        <w:rPr>
          <w:rFonts w:ascii="Arial" w:hAnsi="Arial" w:cs="Arial"/>
        </w:rPr>
      </w:pPr>
    </w:p>
    <w:p w14:paraId="096CDBA7" w14:textId="7F7A4B59" w:rsidR="006646D6" w:rsidRDefault="002755A1" w:rsidP="00B27A67">
      <w:pPr>
        <w:pStyle w:val="NoSpacing"/>
        <w:jc w:val="both"/>
        <w:rPr>
          <w:rFonts w:ascii="Arial" w:hAnsi="Arial" w:cs="Arial"/>
          <w:sz w:val="20"/>
          <w:szCs w:val="20"/>
        </w:rPr>
      </w:pPr>
      <w:r>
        <w:rPr>
          <w:rFonts w:ascii="Arial" w:hAnsi="Arial" w:cs="Arial"/>
          <w:sz w:val="20"/>
          <w:szCs w:val="20"/>
          <w:highlight w:val="yellow"/>
        </w:rPr>
        <w:t>The</w:t>
      </w:r>
      <w:r>
        <w:rPr>
          <w:rFonts w:ascii="Arial" w:hAnsi="Arial" w:cs="Arial"/>
          <w:sz w:val="20"/>
          <w:szCs w:val="20"/>
        </w:rPr>
        <w:t xml:space="preserve"> present work </w:t>
      </w:r>
      <w:r>
        <w:rPr>
          <w:rFonts w:ascii="Arial" w:hAnsi="Arial" w:cs="Arial"/>
          <w:sz w:val="20"/>
          <w:szCs w:val="20"/>
          <w:highlight w:val="yellow"/>
        </w:rPr>
        <w:t>shows</w:t>
      </w:r>
      <w:r>
        <w:rPr>
          <w:rFonts w:ascii="Arial" w:hAnsi="Arial" w:cs="Arial"/>
          <w:sz w:val="20"/>
          <w:szCs w:val="20"/>
        </w:rPr>
        <w:t xml:space="preserve"> that the oxidative balance of </w:t>
      </w:r>
      <w:r>
        <w:rPr>
          <w:rFonts w:ascii="Arial" w:hAnsi="Arial" w:cs="Arial"/>
          <w:i/>
          <w:sz w:val="20"/>
          <w:szCs w:val="20"/>
        </w:rPr>
        <w:t>Lemna minor</w:t>
      </w:r>
      <w:r>
        <w:rPr>
          <w:rFonts w:ascii="Arial" w:hAnsi="Arial" w:cs="Arial"/>
          <w:sz w:val="20"/>
          <w:szCs w:val="20"/>
        </w:rPr>
        <w:t xml:space="preserve"> is </w:t>
      </w:r>
      <w:r>
        <w:rPr>
          <w:rFonts w:ascii="Arial" w:hAnsi="Arial" w:cs="Arial"/>
          <w:sz w:val="20"/>
          <w:szCs w:val="20"/>
          <w:highlight w:val="yellow"/>
        </w:rPr>
        <w:t xml:space="preserve">substantially </w:t>
      </w:r>
      <w:r>
        <w:rPr>
          <w:rFonts w:ascii="Arial" w:hAnsi="Arial" w:cs="Arial"/>
          <w:sz w:val="20"/>
          <w:szCs w:val="20"/>
        </w:rPr>
        <w:t xml:space="preserve">disrupted by exposure to cadmium and paraquat. This is evidenced by the high </w:t>
      </w:r>
      <w:r>
        <w:rPr>
          <w:rFonts w:ascii="Arial" w:hAnsi="Arial" w:cs="Arial"/>
          <w:sz w:val="20"/>
          <w:szCs w:val="20"/>
          <w:highlight w:val="yellow"/>
        </w:rPr>
        <w:t xml:space="preserve">level of </w:t>
      </w:r>
      <w:r>
        <w:rPr>
          <w:rFonts w:ascii="Arial" w:hAnsi="Arial" w:cs="Arial"/>
          <w:sz w:val="20"/>
          <w:szCs w:val="20"/>
        </w:rPr>
        <w:t xml:space="preserve">lipid peroxidation and </w:t>
      </w:r>
      <w:r>
        <w:rPr>
          <w:rFonts w:ascii="Arial" w:hAnsi="Arial" w:cs="Arial"/>
          <w:sz w:val="20"/>
          <w:szCs w:val="20"/>
          <w:highlight w:val="yellow"/>
        </w:rPr>
        <w:t xml:space="preserve">the </w:t>
      </w:r>
      <w:r>
        <w:rPr>
          <w:rFonts w:ascii="Arial" w:hAnsi="Arial" w:cs="Arial"/>
          <w:sz w:val="20"/>
          <w:szCs w:val="20"/>
        </w:rPr>
        <w:t xml:space="preserve">significant </w:t>
      </w:r>
      <w:r>
        <w:rPr>
          <w:rFonts w:ascii="Arial" w:hAnsi="Arial" w:cs="Arial"/>
          <w:sz w:val="20"/>
          <w:szCs w:val="20"/>
          <w:highlight w:val="yellow"/>
        </w:rPr>
        <w:t>changes recorded</w:t>
      </w:r>
      <w:r>
        <w:rPr>
          <w:rFonts w:ascii="Arial" w:hAnsi="Arial" w:cs="Arial"/>
          <w:sz w:val="20"/>
          <w:szCs w:val="20"/>
        </w:rPr>
        <w:t xml:space="preserve"> in </w:t>
      </w:r>
      <w:r>
        <w:rPr>
          <w:rFonts w:ascii="Arial" w:hAnsi="Arial" w:cs="Arial"/>
          <w:sz w:val="20"/>
          <w:szCs w:val="20"/>
          <w:highlight w:val="yellow"/>
        </w:rPr>
        <w:t>antioxidant enzyme</w:t>
      </w:r>
      <w:r>
        <w:rPr>
          <w:rFonts w:ascii="Arial" w:hAnsi="Arial" w:cs="Arial"/>
          <w:sz w:val="20"/>
          <w:szCs w:val="20"/>
        </w:rPr>
        <w:t xml:space="preserve"> activity. Pollutants may cause</w:t>
      </w:r>
      <w:r>
        <w:rPr>
          <w:rFonts w:ascii="Arial" w:hAnsi="Arial" w:cs="Arial"/>
          <w:sz w:val="20"/>
          <w:szCs w:val="20"/>
          <w:highlight w:val="yellow"/>
        </w:rPr>
        <w:t xml:space="preserve"> the</w:t>
      </w:r>
      <w:r>
        <w:rPr>
          <w:rFonts w:ascii="Arial" w:hAnsi="Arial" w:cs="Arial"/>
          <w:sz w:val="20"/>
          <w:szCs w:val="20"/>
        </w:rPr>
        <w:t xml:space="preserve"> </w:t>
      </w:r>
      <w:r>
        <w:rPr>
          <w:rFonts w:ascii="Arial" w:hAnsi="Arial" w:cs="Arial"/>
          <w:sz w:val="20"/>
          <w:szCs w:val="20"/>
        </w:rPr>
        <w:lastRenderedPageBreak/>
        <w:t>accumulation of malondialdehyde (MDA)</w:t>
      </w:r>
      <w:r>
        <w:rPr>
          <w:rFonts w:ascii="Arial" w:hAnsi="Arial" w:cs="Arial"/>
          <w:sz w:val="20"/>
          <w:szCs w:val="20"/>
          <w:highlight w:val="yellow"/>
        </w:rPr>
        <w:t>,</w:t>
      </w:r>
      <w:r>
        <w:rPr>
          <w:rFonts w:ascii="Arial" w:hAnsi="Arial" w:cs="Arial"/>
          <w:sz w:val="20"/>
          <w:szCs w:val="20"/>
        </w:rPr>
        <w:t xml:space="preserve"> a marker of serious membrane damage. This damage results from the overproduction of reactive oxygen species (ROS) </w:t>
      </w:r>
      <w:r>
        <w:rPr>
          <w:rFonts w:ascii="Arial" w:hAnsi="Arial" w:cs="Arial"/>
          <w:sz w:val="20"/>
          <w:szCs w:val="20"/>
          <w:highlight w:val="yellow"/>
        </w:rPr>
        <w:t>under</w:t>
      </w:r>
      <w:r>
        <w:rPr>
          <w:rFonts w:ascii="Arial" w:hAnsi="Arial" w:cs="Arial"/>
          <w:sz w:val="20"/>
          <w:szCs w:val="20"/>
        </w:rPr>
        <w:t xml:space="preserve"> stress </w:t>
      </w:r>
      <w:r>
        <w:rPr>
          <w:rFonts w:ascii="Arial" w:hAnsi="Arial" w:cs="Arial"/>
          <w:sz w:val="20"/>
          <w:szCs w:val="20"/>
          <w:highlight w:val="yellow"/>
        </w:rPr>
        <w:t>conditions</w:t>
      </w:r>
      <w:r>
        <w:rPr>
          <w:rFonts w:ascii="Arial" w:hAnsi="Arial" w:cs="Arial"/>
          <w:sz w:val="20"/>
          <w:szCs w:val="20"/>
        </w:rPr>
        <w:t xml:space="preserve">. Elevated levels of malondialdehyde (MDA) may indicate </w:t>
      </w:r>
      <w:r>
        <w:rPr>
          <w:rFonts w:ascii="Arial" w:hAnsi="Arial" w:cs="Arial"/>
          <w:sz w:val="20"/>
          <w:szCs w:val="20"/>
          <w:highlight w:val="yellow"/>
        </w:rPr>
        <w:t xml:space="preserve">the </w:t>
      </w:r>
      <w:r>
        <w:rPr>
          <w:rFonts w:ascii="Arial" w:hAnsi="Arial" w:cs="Arial"/>
          <w:sz w:val="20"/>
          <w:szCs w:val="20"/>
        </w:rPr>
        <w:t>breakdown of membrane lipids</w:t>
      </w:r>
      <w:r>
        <w:rPr>
          <w:rFonts w:ascii="Arial" w:hAnsi="Arial" w:cs="Arial"/>
          <w:sz w:val="20"/>
          <w:szCs w:val="20"/>
          <w:highlight w:val="yellow"/>
        </w:rPr>
        <w:t>,</w:t>
      </w:r>
      <w:r>
        <w:rPr>
          <w:rFonts w:ascii="Arial" w:hAnsi="Arial" w:cs="Arial"/>
          <w:sz w:val="20"/>
          <w:szCs w:val="20"/>
        </w:rPr>
        <w:t xml:space="preserve"> which can affect membrane integrity, cellular compartmentalisation, </w:t>
      </w:r>
      <w:r>
        <w:rPr>
          <w:rFonts w:ascii="Arial" w:hAnsi="Arial" w:cs="Arial"/>
          <w:sz w:val="20"/>
          <w:szCs w:val="20"/>
          <w:highlight w:val="yellow"/>
        </w:rPr>
        <w:t>nutrient</w:t>
      </w:r>
      <w:r>
        <w:rPr>
          <w:rFonts w:ascii="Arial" w:hAnsi="Arial" w:cs="Arial"/>
          <w:sz w:val="20"/>
          <w:szCs w:val="20"/>
        </w:rPr>
        <w:t xml:space="preserve"> transport and general physiological function. The activities of superoxide dismutase (SOD), catalase (CAT), ascorbate peroxidase (APX), peroxidase (POD), glutathione peroxidase (GPX) and glutathione reductase (GR) are considerably enhanced in </w:t>
      </w:r>
      <w:r>
        <w:rPr>
          <w:rFonts w:ascii="Arial" w:hAnsi="Arial" w:cs="Arial"/>
          <w:i/>
          <w:sz w:val="20"/>
          <w:szCs w:val="20"/>
        </w:rPr>
        <w:t>L. minor</w:t>
      </w:r>
      <w:r>
        <w:rPr>
          <w:rFonts w:ascii="Arial" w:hAnsi="Arial" w:cs="Arial"/>
          <w:sz w:val="20"/>
          <w:szCs w:val="20"/>
        </w:rPr>
        <w:t xml:space="preserve">, demonstrating the activation of a coordinated enzymatic defence system. </w:t>
      </w:r>
      <w:r>
        <w:rPr>
          <w:rFonts w:ascii="Arial" w:hAnsi="Arial" w:cs="Arial"/>
          <w:sz w:val="20"/>
          <w:szCs w:val="20"/>
          <w:highlight w:val="yellow"/>
        </w:rPr>
        <w:t>CAT,</w:t>
      </w:r>
      <w:r>
        <w:rPr>
          <w:rFonts w:ascii="Arial" w:hAnsi="Arial" w:cs="Arial"/>
          <w:sz w:val="20"/>
          <w:szCs w:val="20"/>
        </w:rPr>
        <w:t xml:space="preserve"> </w:t>
      </w:r>
      <w:r>
        <w:rPr>
          <w:rFonts w:ascii="Arial" w:hAnsi="Arial" w:cs="Arial"/>
          <w:sz w:val="20"/>
          <w:szCs w:val="20"/>
          <w:highlight w:val="yellow"/>
        </w:rPr>
        <w:t>APX,</w:t>
      </w:r>
      <w:r>
        <w:rPr>
          <w:rFonts w:ascii="Arial" w:hAnsi="Arial" w:cs="Arial"/>
          <w:sz w:val="20"/>
          <w:szCs w:val="20"/>
        </w:rPr>
        <w:t xml:space="preserve"> </w:t>
      </w:r>
      <w:r>
        <w:rPr>
          <w:rFonts w:ascii="Arial" w:hAnsi="Arial" w:cs="Arial"/>
          <w:sz w:val="20"/>
          <w:szCs w:val="20"/>
          <w:highlight w:val="yellow"/>
        </w:rPr>
        <w:t>GPX and POD are responsible for detoxifying</w:t>
      </w:r>
      <w:r>
        <w:rPr>
          <w:rFonts w:ascii="Arial" w:hAnsi="Arial" w:cs="Arial"/>
          <w:sz w:val="20"/>
          <w:szCs w:val="20"/>
        </w:rPr>
        <w:t xml:space="preserve"> hydrogen peroxide into water and oxygen or other molecules with lower reactivity. In contrast, SOD </w:t>
      </w:r>
      <w:r>
        <w:rPr>
          <w:rFonts w:ascii="Arial" w:hAnsi="Arial" w:cs="Arial"/>
          <w:sz w:val="20"/>
          <w:szCs w:val="20"/>
          <w:highlight w:val="yellow"/>
        </w:rPr>
        <w:t>forms</w:t>
      </w:r>
      <w:r>
        <w:rPr>
          <w:rFonts w:ascii="Arial" w:hAnsi="Arial" w:cs="Arial"/>
          <w:sz w:val="20"/>
          <w:szCs w:val="20"/>
        </w:rPr>
        <w:t xml:space="preserve"> the first line of defence by converting </w:t>
      </w:r>
      <w:r>
        <w:rPr>
          <w:rFonts w:ascii="Arial" w:hAnsi="Arial" w:cs="Arial"/>
          <w:sz w:val="20"/>
          <w:szCs w:val="20"/>
          <w:highlight w:val="yellow"/>
        </w:rPr>
        <w:t>highly</w:t>
      </w:r>
      <w:r>
        <w:rPr>
          <w:rFonts w:ascii="Arial" w:hAnsi="Arial" w:cs="Arial"/>
          <w:sz w:val="20"/>
          <w:szCs w:val="20"/>
        </w:rPr>
        <w:t xml:space="preserve"> harmful superoxide radicals </w:t>
      </w:r>
      <w:r>
        <w:rPr>
          <w:rFonts w:ascii="Arial" w:hAnsi="Arial" w:cs="Arial"/>
          <w:sz w:val="20"/>
          <w:szCs w:val="20"/>
          <w:highlight w:val="yellow"/>
        </w:rPr>
        <w:t>into</w:t>
      </w:r>
      <w:r>
        <w:rPr>
          <w:rFonts w:ascii="Arial" w:hAnsi="Arial" w:cs="Arial"/>
          <w:sz w:val="20"/>
          <w:szCs w:val="20"/>
        </w:rPr>
        <w:t xml:space="preserve"> hydrogen peroxide. Increased glutathione reductase (GR)</w:t>
      </w:r>
      <w:r>
        <w:rPr>
          <w:rFonts w:ascii="Arial" w:hAnsi="Arial" w:cs="Arial"/>
          <w:sz w:val="20"/>
          <w:szCs w:val="20"/>
          <w:highlight w:val="yellow"/>
        </w:rPr>
        <w:t xml:space="preserve"> activity</w:t>
      </w:r>
      <w:r>
        <w:rPr>
          <w:rFonts w:ascii="Arial" w:hAnsi="Arial" w:cs="Arial"/>
          <w:sz w:val="20"/>
          <w:szCs w:val="20"/>
        </w:rPr>
        <w:t xml:space="preserve"> also contributes to maintaining reduced glutathione pools, which are important for scavenging reactive oxygen species (ROS), redox control and </w:t>
      </w:r>
      <w:r>
        <w:rPr>
          <w:rFonts w:ascii="Arial" w:hAnsi="Arial" w:cs="Arial"/>
          <w:sz w:val="20"/>
          <w:szCs w:val="20"/>
          <w:highlight w:val="yellow"/>
        </w:rPr>
        <w:t>protecting</w:t>
      </w:r>
      <w:r>
        <w:rPr>
          <w:rFonts w:ascii="Arial" w:hAnsi="Arial" w:cs="Arial"/>
          <w:sz w:val="20"/>
          <w:szCs w:val="20"/>
        </w:rPr>
        <w:t xml:space="preserve"> cellular macromolecules. To summarise, </w:t>
      </w:r>
      <w:r>
        <w:rPr>
          <w:rFonts w:ascii="Arial" w:hAnsi="Arial" w:cs="Arial"/>
          <w:i/>
          <w:sz w:val="20"/>
          <w:szCs w:val="20"/>
        </w:rPr>
        <w:t>L. minor</w:t>
      </w:r>
      <w:r>
        <w:rPr>
          <w:rFonts w:ascii="Arial" w:hAnsi="Arial" w:cs="Arial"/>
          <w:sz w:val="20"/>
          <w:szCs w:val="20"/>
        </w:rPr>
        <w:t xml:space="preserve"> employs an integrated antioxidative mechanism to protect itself against oxidative damage and restore redox homeostasis </w:t>
      </w:r>
      <w:r>
        <w:rPr>
          <w:rFonts w:ascii="Arial" w:hAnsi="Arial" w:cs="Arial"/>
          <w:sz w:val="20"/>
          <w:szCs w:val="20"/>
          <w:highlight w:val="yellow"/>
        </w:rPr>
        <w:t>under</w:t>
      </w:r>
      <w:r>
        <w:rPr>
          <w:rFonts w:ascii="Arial" w:hAnsi="Arial" w:cs="Arial"/>
          <w:sz w:val="20"/>
          <w:szCs w:val="20"/>
        </w:rPr>
        <w:t xml:space="preserve"> cadmium and paraquat</w:t>
      </w:r>
      <w:r>
        <w:rPr>
          <w:rFonts w:ascii="Arial" w:hAnsi="Arial" w:cs="Arial"/>
          <w:sz w:val="20"/>
          <w:szCs w:val="20"/>
          <w:highlight w:val="yellow"/>
        </w:rPr>
        <w:t xml:space="preserve"> exposure</w:t>
      </w:r>
      <w:r>
        <w:rPr>
          <w:rFonts w:ascii="Arial" w:hAnsi="Arial" w:cs="Arial"/>
          <w:sz w:val="20"/>
          <w:szCs w:val="20"/>
        </w:rPr>
        <w:t xml:space="preserve">. </w:t>
      </w:r>
      <w:r>
        <w:rPr>
          <w:rFonts w:ascii="Arial" w:hAnsi="Arial" w:cs="Arial"/>
          <w:sz w:val="20"/>
          <w:szCs w:val="20"/>
          <w:highlight w:val="yellow"/>
        </w:rPr>
        <w:t>However</w:t>
      </w:r>
      <w:r>
        <w:rPr>
          <w:rFonts w:ascii="Arial" w:hAnsi="Arial" w:cs="Arial"/>
          <w:sz w:val="20"/>
          <w:szCs w:val="20"/>
        </w:rPr>
        <w:t xml:space="preserve">, the simultaneous </w:t>
      </w:r>
      <w:r>
        <w:rPr>
          <w:rFonts w:ascii="Arial" w:hAnsi="Arial" w:cs="Arial"/>
          <w:sz w:val="20"/>
          <w:szCs w:val="20"/>
          <w:highlight w:val="yellow"/>
        </w:rPr>
        <w:t>increases</w:t>
      </w:r>
      <w:r>
        <w:rPr>
          <w:rFonts w:ascii="Arial" w:hAnsi="Arial" w:cs="Arial"/>
          <w:sz w:val="20"/>
          <w:szCs w:val="20"/>
        </w:rPr>
        <w:t xml:space="preserve"> in MDA concentration and antioxidant activity </w:t>
      </w:r>
      <w:r>
        <w:rPr>
          <w:rFonts w:ascii="Arial" w:hAnsi="Arial" w:cs="Arial"/>
          <w:sz w:val="20"/>
          <w:szCs w:val="20"/>
          <w:highlight w:val="yellow"/>
        </w:rPr>
        <w:t>indicate</w:t>
      </w:r>
      <w:r>
        <w:rPr>
          <w:rFonts w:ascii="Arial" w:hAnsi="Arial" w:cs="Arial"/>
          <w:sz w:val="20"/>
          <w:szCs w:val="20"/>
        </w:rPr>
        <w:t xml:space="preserve"> that the </w:t>
      </w:r>
      <w:r>
        <w:rPr>
          <w:rFonts w:ascii="Arial" w:hAnsi="Arial" w:cs="Arial"/>
          <w:sz w:val="20"/>
          <w:szCs w:val="20"/>
          <w:highlight w:val="yellow"/>
        </w:rPr>
        <w:t xml:space="preserve">induced </w:t>
      </w:r>
      <w:r>
        <w:rPr>
          <w:rFonts w:ascii="Arial" w:hAnsi="Arial" w:cs="Arial"/>
          <w:sz w:val="20"/>
          <w:szCs w:val="20"/>
        </w:rPr>
        <w:t xml:space="preserve">defence mechanisms may not fully prevent cellular damage. The results obtained in the present study </w:t>
      </w:r>
      <w:r>
        <w:rPr>
          <w:rFonts w:ascii="Arial" w:hAnsi="Arial" w:cs="Arial"/>
          <w:sz w:val="20"/>
          <w:szCs w:val="20"/>
          <w:highlight w:val="yellow"/>
        </w:rPr>
        <w:t>demonstrate</w:t>
      </w:r>
      <w:r>
        <w:rPr>
          <w:rFonts w:ascii="Arial" w:hAnsi="Arial" w:cs="Arial"/>
          <w:sz w:val="20"/>
          <w:szCs w:val="20"/>
        </w:rPr>
        <w:t xml:space="preserve"> the sensitivity of </w:t>
      </w:r>
      <w:r>
        <w:rPr>
          <w:rFonts w:ascii="Arial" w:hAnsi="Arial" w:cs="Arial"/>
          <w:i/>
          <w:sz w:val="20"/>
          <w:szCs w:val="20"/>
        </w:rPr>
        <w:t xml:space="preserve">L. minor </w:t>
      </w:r>
      <w:r>
        <w:rPr>
          <w:rFonts w:ascii="Arial" w:hAnsi="Arial" w:cs="Arial"/>
          <w:sz w:val="20"/>
          <w:szCs w:val="20"/>
        </w:rPr>
        <w:t xml:space="preserve">and </w:t>
      </w:r>
      <w:r>
        <w:rPr>
          <w:rFonts w:ascii="Arial" w:hAnsi="Arial" w:cs="Arial"/>
          <w:sz w:val="20"/>
          <w:szCs w:val="20"/>
          <w:highlight w:val="yellow"/>
        </w:rPr>
        <w:t>support</w:t>
      </w:r>
      <w:r>
        <w:rPr>
          <w:rFonts w:ascii="Arial" w:hAnsi="Arial" w:cs="Arial"/>
          <w:sz w:val="20"/>
          <w:szCs w:val="20"/>
        </w:rPr>
        <w:t xml:space="preserve"> its use as a feasible bioindicator </w:t>
      </w:r>
      <w:r>
        <w:rPr>
          <w:rFonts w:ascii="Arial" w:hAnsi="Arial" w:cs="Arial"/>
          <w:sz w:val="20"/>
          <w:szCs w:val="20"/>
          <w:highlight w:val="yellow"/>
        </w:rPr>
        <w:t>for</w:t>
      </w:r>
      <w:r>
        <w:rPr>
          <w:rFonts w:ascii="Arial" w:hAnsi="Arial" w:cs="Arial"/>
          <w:sz w:val="20"/>
          <w:szCs w:val="20"/>
        </w:rPr>
        <w:t xml:space="preserve"> </w:t>
      </w:r>
      <w:r>
        <w:rPr>
          <w:rFonts w:ascii="Arial" w:hAnsi="Arial" w:cs="Arial"/>
          <w:sz w:val="20"/>
          <w:szCs w:val="20"/>
          <w:highlight w:val="yellow"/>
        </w:rPr>
        <w:t>monitoring</w:t>
      </w:r>
      <w:r>
        <w:rPr>
          <w:rFonts w:ascii="Arial" w:hAnsi="Arial" w:cs="Arial"/>
          <w:sz w:val="20"/>
          <w:szCs w:val="20"/>
        </w:rPr>
        <w:t xml:space="preserve"> </w:t>
      </w:r>
      <w:r>
        <w:rPr>
          <w:rFonts w:ascii="Arial" w:hAnsi="Arial" w:cs="Arial"/>
          <w:sz w:val="20"/>
          <w:szCs w:val="20"/>
          <w:highlight w:val="yellow"/>
        </w:rPr>
        <w:t>contaminant</w:t>
      </w:r>
      <w:r>
        <w:rPr>
          <w:rFonts w:ascii="Arial" w:hAnsi="Arial" w:cs="Arial"/>
          <w:sz w:val="20"/>
          <w:szCs w:val="20"/>
        </w:rPr>
        <w:t xml:space="preserve"> toxicity and oxidative stress in aquatic media.</w:t>
      </w:r>
      <w:r w:rsidR="0098373C">
        <w:rPr>
          <w:rFonts w:ascii="Arial" w:hAnsi="Arial" w:cs="Arial"/>
          <w:sz w:val="20"/>
          <w:szCs w:val="20"/>
        </w:rPr>
        <w:t xml:space="preserve"> </w:t>
      </w:r>
    </w:p>
    <w:p w14:paraId="31CC1B3D" w14:textId="77777777" w:rsidR="0098373C" w:rsidRDefault="0098373C" w:rsidP="00B27A67">
      <w:pPr>
        <w:pStyle w:val="NoSpacing"/>
        <w:jc w:val="both"/>
        <w:rPr>
          <w:rFonts w:ascii="Arial" w:hAnsi="Arial" w:cs="Arial"/>
          <w:sz w:val="20"/>
          <w:szCs w:val="20"/>
        </w:rPr>
      </w:pPr>
    </w:p>
    <w:p w14:paraId="5690D894" w14:textId="2DAA08D0" w:rsidR="0098373C" w:rsidRPr="0098373C" w:rsidRDefault="0098373C" w:rsidP="0098373C">
      <w:pPr>
        <w:spacing w:before="100" w:beforeAutospacing="1" w:after="100" w:afterAutospacing="1"/>
        <w:outlineLvl w:val="1"/>
        <w:rPr>
          <w:rFonts w:ascii="Times New Roman" w:hAnsi="Times New Roman"/>
          <w:b/>
          <w:bCs/>
          <w:sz w:val="36"/>
          <w:szCs w:val="36"/>
        </w:rPr>
      </w:pPr>
      <w:r w:rsidRPr="0098373C">
        <w:rPr>
          <w:rFonts w:ascii="Times New Roman" w:hAnsi="Times New Roman"/>
          <w:b/>
          <w:bCs/>
          <w:sz w:val="36"/>
          <w:szCs w:val="36"/>
        </w:rPr>
        <w:t>Limitation</w:t>
      </w:r>
      <w:r>
        <w:rPr>
          <w:rFonts w:ascii="Times New Roman" w:hAnsi="Times New Roman"/>
          <w:b/>
          <w:bCs/>
          <w:sz w:val="36"/>
          <w:szCs w:val="36"/>
        </w:rPr>
        <w:t>s</w:t>
      </w:r>
    </w:p>
    <w:p w14:paraId="0DD19C15" w14:textId="77777777" w:rsidR="0098373C" w:rsidRPr="0098373C" w:rsidRDefault="0098373C" w:rsidP="0098373C">
      <w:pPr>
        <w:spacing w:before="100" w:beforeAutospacing="1" w:after="100" w:afterAutospacing="1"/>
        <w:rPr>
          <w:rFonts w:ascii="Times New Roman" w:hAnsi="Times New Roman"/>
          <w:sz w:val="24"/>
          <w:szCs w:val="24"/>
        </w:rPr>
      </w:pPr>
      <w:r w:rsidRPr="0098373C">
        <w:rPr>
          <w:rFonts w:ascii="Times New Roman" w:hAnsi="Times New Roman"/>
          <w:sz w:val="24"/>
          <w:szCs w:val="24"/>
        </w:rPr>
        <w:t xml:space="preserve">This study was limited to a </w:t>
      </w:r>
      <w:proofErr w:type="gramStart"/>
      <w:r w:rsidRPr="0098373C">
        <w:rPr>
          <w:rFonts w:ascii="Times New Roman" w:hAnsi="Times New Roman"/>
          <w:sz w:val="24"/>
          <w:szCs w:val="24"/>
        </w:rPr>
        <w:t>96 h</w:t>
      </w:r>
      <w:proofErr w:type="gramEnd"/>
      <w:r w:rsidRPr="0098373C">
        <w:rPr>
          <w:rFonts w:ascii="Times New Roman" w:hAnsi="Times New Roman"/>
          <w:sz w:val="24"/>
          <w:szCs w:val="24"/>
        </w:rPr>
        <w:t xml:space="preserve"> </w:t>
      </w:r>
      <w:r w:rsidRPr="0098373C">
        <w:rPr>
          <w:rFonts w:ascii="Times New Roman" w:hAnsi="Times New Roman"/>
          <w:i/>
          <w:iCs/>
          <w:sz w:val="24"/>
          <w:szCs w:val="24"/>
        </w:rPr>
        <w:t>in vitro</w:t>
      </w:r>
      <w:r w:rsidRPr="0098373C">
        <w:rPr>
          <w:rFonts w:ascii="Times New Roman" w:hAnsi="Times New Roman"/>
          <w:sz w:val="24"/>
          <w:szCs w:val="24"/>
        </w:rPr>
        <w:t xml:space="preserve"> exposure of </w:t>
      </w:r>
      <w:r w:rsidRPr="0098373C">
        <w:rPr>
          <w:rFonts w:ascii="Times New Roman" w:hAnsi="Times New Roman"/>
          <w:i/>
          <w:iCs/>
          <w:sz w:val="24"/>
          <w:szCs w:val="24"/>
        </w:rPr>
        <w:t>Lemna minor</w:t>
      </w:r>
      <w:r w:rsidRPr="0098373C">
        <w:rPr>
          <w:rFonts w:ascii="Times New Roman" w:hAnsi="Times New Roman"/>
          <w:sz w:val="24"/>
          <w:szCs w:val="24"/>
        </w:rPr>
        <w:t xml:space="preserve"> to graded concentrations of cadmium and paraquat dichloride and focused on lipid peroxidation and selected antioxidant enzymes. Therefore, the findings represent short-term biochemical responses under controlled conditions and do not establish longer-term responses, recovery patterns, or performance under natural field conditions. Further work would be needed to determine how these responses translate to more complex aquatic environments.</w:t>
      </w:r>
    </w:p>
    <w:p w14:paraId="234A720C" w14:textId="77777777" w:rsidR="0098373C" w:rsidRPr="00FB3A86" w:rsidRDefault="0098373C" w:rsidP="00B27A67">
      <w:pPr>
        <w:pStyle w:val="NoSpacing"/>
        <w:jc w:val="both"/>
        <w:rPr>
          <w:rFonts w:ascii="Arial" w:hAnsi="Arial" w:cs="Arial"/>
        </w:rPr>
      </w:pPr>
    </w:p>
    <w:p w14:paraId="30334CBE" w14:textId="77777777" w:rsidR="006658A9" w:rsidRDefault="006658A9" w:rsidP="00441B6F">
      <w:pPr>
        <w:pStyle w:val="AcknHead"/>
        <w:spacing w:after="0"/>
        <w:jc w:val="both"/>
        <w:rPr>
          <w:rFonts w:ascii="Arial" w:hAnsi="Arial" w:cs="Arial"/>
        </w:rPr>
      </w:pPr>
    </w:p>
    <w:p w14:paraId="3B13DBE8" w14:textId="77777777" w:rsidR="00860000" w:rsidRPr="00786D36" w:rsidRDefault="00860000" w:rsidP="00441B6F">
      <w:pPr>
        <w:pStyle w:val="ReferHead"/>
        <w:spacing w:after="0"/>
        <w:jc w:val="both"/>
        <w:rPr>
          <w:rFonts w:ascii="Arial" w:hAnsi="Arial" w:cs="Arial"/>
          <w:bCs/>
        </w:rPr>
      </w:pPr>
      <w:r w:rsidRPr="00786D36">
        <w:rPr>
          <w:rFonts w:ascii="Arial" w:hAnsi="Arial" w:cs="Arial"/>
          <w:bCs/>
        </w:rPr>
        <w:t>Competing interests</w:t>
      </w:r>
    </w:p>
    <w:p w14:paraId="03E826AE" w14:textId="77777777" w:rsidR="00371FB6" w:rsidRDefault="00D779CE" w:rsidP="00441B6F">
      <w:pPr>
        <w:pStyle w:val="ReferHead"/>
        <w:spacing w:after="0"/>
        <w:jc w:val="both"/>
        <w:rPr>
          <w:rFonts w:ascii="Arial" w:hAnsi="Arial" w:cs="Arial"/>
          <w:b w:val="0"/>
          <w:caps w:val="0"/>
          <w:sz w:val="20"/>
        </w:rPr>
      </w:pPr>
      <w:r w:rsidRPr="00D779CE">
        <w:rPr>
          <w:rFonts w:ascii="Arial" w:hAnsi="Arial" w:cs="Arial"/>
          <w:b w:val="0"/>
          <w:caps w:val="0"/>
          <w:sz w:val="20"/>
        </w:rPr>
        <w:t>The authors have no relevant financial or non-financial interests to disclose.</w:t>
      </w:r>
    </w:p>
    <w:p w14:paraId="7C209B0D" w14:textId="77777777" w:rsidR="006658A9" w:rsidRDefault="006658A9" w:rsidP="00441B6F">
      <w:pPr>
        <w:pStyle w:val="ReferHead"/>
        <w:spacing w:after="0"/>
        <w:jc w:val="both"/>
        <w:rPr>
          <w:rFonts w:ascii="Arial" w:hAnsi="Arial" w:cs="Arial"/>
          <w:bCs/>
        </w:rPr>
      </w:pPr>
    </w:p>
    <w:p w14:paraId="09E94A9F" w14:textId="77777777" w:rsidR="006658A9" w:rsidRDefault="006658A9" w:rsidP="00441B6F">
      <w:pPr>
        <w:pStyle w:val="ReferHead"/>
        <w:spacing w:after="0"/>
        <w:jc w:val="both"/>
        <w:rPr>
          <w:rFonts w:ascii="Arial" w:hAnsi="Arial" w:cs="Arial"/>
        </w:rPr>
      </w:pPr>
    </w:p>
    <w:p w14:paraId="55E063D7" w14:textId="77777777" w:rsidR="00123339" w:rsidRPr="00123339" w:rsidRDefault="00123339" w:rsidP="00123339">
      <w:pPr>
        <w:spacing w:after="160" w:line="278" w:lineRule="auto"/>
        <w:rPr>
          <w:rFonts w:ascii="Calibri" w:eastAsia="Calibri" w:hAnsi="Calibri"/>
          <w:b/>
          <w:bCs/>
          <w:kern w:val="2"/>
          <w:sz w:val="24"/>
          <w:szCs w:val="24"/>
          <w14:ligatures w14:val="standardContextual"/>
        </w:rPr>
      </w:pPr>
      <w:r w:rsidRPr="00123339">
        <w:rPr>
          <w:rFonts w:ascii="Calibri" w:eastAsia="Calibri" w:hAnsi="Calibri"/>
          <w:b/>
          <w:bCs/>
          <w:kern w:val="2"/>
          <w:sz w:val="24"/>
          <w:szCs w:val="24"/>
          <w14:ligatures w14:val="standardContextual"/>
        </w:rPr>
        <w:t>Declaration of AI Use</w:t>
      </w:r>
    </w:p>
    <w:p w14:paraId="1C632425" w14:textId="77777777" w:rsidR="00123339" w:rsidRPr="00123339" w:rsidRDefault="00123339" w:rsidP="00123339">
      <w:pPr>
        <w:spacing w:after="200" w:line="276" w:lineRule="auto"/>
        <w:jc w:val="both"/>
        <w:rPr>
          <w:rFonts w:ascii="Calibri" w:eastAsia="Calibri" w:hAnsi="Calibri"/>
          <w:kern w:val="2"/>
          <w:sz w:val="22"/>
          <w:szCs w:val="22"/>
          <w14:ligatures w14:val="standardContextual"/>
        </w:rPr>
      </w:pPr>
      <w:r w:rsidRPr="00123339">
        <w:rPr>
          <w:rFonts w:ascii="Calibri" w:eastAsia="Calibri" w:hAnsi="Calibri"/>
          <w:kern w:val="2"/>
          <w:sz w:val="22"/>
          <w:szCs w:val="22"/>
          <w14:ligatures w14:val="standardContextu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26E6EA5" w14:textId="77777777" w:rsidR="00956123" w:rsidRDefault="00956123" w:rsidP="00441B6F">
      <w:pPr>
        <w:pStyle w:val="ReferHead"/>
        <w:spacing w:after="0"/>
        <w:jc w:val="both"/>
        <w:rPr>
          <w:rFonts w:ascii="Arial" w:hAnsi="Arial" w:cs="Arial"/>
        </w:rPr>
      </w:pPr>
    </w:p>
    <w:p w14:paraId="01976332" w14:textId="77777777" w:rsidR="0074304E" w:rsidRDefault="0074304E" w:rsidP="00441B6F">
      <w:pPr>
        <w:pStyle w:val="ReferHead"/>
        <w:spacing w:after="0"/>
        <w:jc w:val="both"/>
        <w:rPr>
          <w:rFonts w:ascii="Arial" w:hAnsi="Arial" w:cs="Arial"/>
        </w:rPr>
      </w:pPr>
    </w:p>
    <w:p w14:paraId="27C531EF" w14:textId="77777777" w:rsidR="0074304E" w:rsidRDefault="0074304E" w:rsidP="00441B6F">
      <w:pPr>
        <w:pStyle w:val="ReferHead"/>
        <w:spacing w:after="0"/>
        <w:jc w:val="both"/>
        <w:rPr>
          <w:rFonts w:ascii="Arial" w:hAnsi="Arial" w:cs="Arial"/>
        </w:rPr>
      </w:pPr>
    </w:p>
    <w:p w14:paraId="53195D37" w14:textId="77777777" w:rsidR="0074304E" w:rsidRDefault="0074304E" w:rsidP="00441B6F">
      <w:pPr>
        <w:pStyle w:val="ReferHead"/>
        <w:spacing w:after="0"/>
        <w:jc w:val="both"/>
        <w:rPr>
          <w:rFonts w:ascii="Arial" w:hAnsi="Arial" w:cs="Arial"/>
        </w:rPr>
      </w:pPr>
    </w:p>
    <w:p w14:paraId="0F19DF96" w14:textId="77777777" w:rsidR="0074304E" w:rsidRDefault="0074304E" w:rsidP="00441B6F">
      <w:pPr>
        <w:pStyle w:val="ReferHead"/>
        <w:spacing w:after="0"/>
        <w:jc w:val="both"/>
        <w:rPr>
          <w:rFonts w:ascii="Arial" w:hAnsi="Arial" w:cs="Arial"/>
        </w:rPr>
      </w:pPr>
    </w:p>
    <w:p w14:paraId="6EA33C21" w14:textId="77777777" w:rsidR="0074304E" w:rsidRDefault="0074304E" w:rsidP="00441B6F">
      <w:pPr>
        <w:pStyle w:val="ReferHead"/>
        <w:spacing w:after="0"/>
        <w:jc w:val="both"/>
        <w:rPr>
          <w:rFonts w:ascii="Arial" w:hAnsi="Arial" w:cs="Arial"/>
        </w:rPr>
      </w:pPr>
    </w:p>
    <w:p w14:paraId="0746B880" w14:textId="77777777" w:rsidR="0074304E" w:rsidRDefault="0074304E" w:rsidP="00441B6F">
      <w:pPr>
        <w:pStyle w:val="ReferHead"/>
        <w:spacing w:after="0"/>
        <w:jc w:val="both"/>
        <w:rPr>
          <w:rFonts w:ascii="Arial" w:hAnsi="Arial" w:cs="Arial"/>
        </w:rPr>
      </w:pPr>
    </w:p>
    <w:p w14:paraId="3F20B960" w14:textId="77777777" w:rsidR="0074304E" w:rsidRDefault="0074304E" w:rsidP="00441B6F">
      <w:pPr>
        <w:pStyle w:val="ReferHead"/>
        <w:spacing w:after="0"/>
        <w:jc w:val="both"/>
        <w:rPr>
          <w:rFonts w:ascii="Arial" w:hAnsi="Arial" w:cs="Arial"/>
        </w:rPr>
      </w:pPr>
    </w:p>
    <w:p w14:paraId="65747E86" w14:textId="77777777" w:rsidR="0074304E" w:rsidRDefault="0074304E" w:rsidP="00441B6F">
      <w:pPr>
        <w:pStyle w:val="ReferHead"/>
        <w:spacing w:after="0"/>
        <w:jc w:val="both"/>
        <w:rPr>
          <w:rFonts w:ascii="Arial" w:hAnsi="Arial" w:cs="Arial"/>
        </w:rPr>
      </w:pPr>
    </w:p>
    <w:p w14:paraId="4126D50A" w14:textId="77777777" w:rsidR="0074304E" w:rsidRDefault="0074304E" w:rsidP="00441B6F">
      <w:pPr>
        <w:pStyle w:val="ReferHead"/>
        <w:spacing w:after="0"/>
        <w:jc w:val="both"/>
        <w:rPr>
          <w:rFonts w:ascii="Arial" w:hAnsi="Arial" w:cs="Arial"/>
        </w:rPr>
      </w:pPr>
    </w:p>
    <w:p w14:paraId="09C7ABDD" w14:textId="77777777" w:rsidR="0074304E" w:rsidRDefault="0074304E" w:rsidP="00441B6F">
      <w:pPr>
        <w:pStyle w:val="ReferHead"/>
        <w:spacing w:after="0"/>
        <w:jc w:val="both"/>
        <w:rPr>
          <w:rFonts w:ascii="Arial" w:hAnsi="Arial" w:cs="Arial"/>
        </w:rPr>
      </w:pPr>
    </w:p>
    <w:p w14:paraId="4C18FED9" w14:textId="77777777" w:rsidR="0074304E" w:rsidRDefault="0074304E" w:rsidP="00441B6F">
      <w:pPr>
        <w:pStyle w:val="ReferHead"/>
        <w:spacing w:after="0"/>
        <w:jc w:val="both"/>
        <w:rPr>
          <w:rFonts w:ascii="Arial" w:hAnsi="Arial" w:cs="Arial"/>
        </w:rPr>
      </w:pPr>
    </w:p>
    <w:p w14:paraId="75F5A232" w14:textId="77777777" w:rsidR="0074304E" w:rsidRDefault="0074304E" w:rsidP="00441B6F">
      <w:pPr>
        <w:pStyle w:val="ReferHead"/>
        <w:spacing w:after="0"/>
        <w:jc w:val="both"/>
        <w:rPr>
          <w:rFonts w:ascii="Arial" w:hAnsi="Arial" w:cs="Arial"/>
        </w:rPr>
      </w:pPr>
    </w:p>
    <w:p w14:paraId="6B5C506C" w14:textId="77777777" w:rsidR="0074304E" w:rsidRDefault="0074304E" w:rsidP="00441B6F">
      <w:pPr>
        <w:pStyle w:val="ReferHead"/>
        <w:spacing w:after="0"/>
        <w:jc w:val="both"/>
        <w:rPr>
          <w:rFonts w:ascii="Arial" w:hAnsi="Arial" w:cs="Arial"/>
        </w:rPr>
      </w:pPr>
    </w:p>
    <w:p w14:paraId="4F862D9A" w14:textId="77777777" w:rsidR="0074304E" w:rsidRDefault="0074304E" w:rsidP="00441B6F">
      <w:pPr>
        <w:pStyle w:val="ReferHead"/>
        <w:spacing w:after="0"/>
        <w:jc w:val="both"/>
        <w:rPr>
          <w:rFonts w:ascii="Arial" w:hAnsi="Arial" w:cs="Arial"/>
        </w:rPr>
      </w:pPr>
    </w:p>
    <w:p w14:paraId="69905C36" w14:textId="77777777" w:rsidR="0074304E" w:rsidRDefault="0074304E" w:rsidP="00441B6F">
      <w:pPr>
        <w:pStyle w:val="ReferHead"/>
        <w:spacing w:after="0"/>
        <w:jc w:val="both"/>
        <w:rPr>
          <w:rFonts w:ascii="Arial" w:hAnsi="Arial" w:cs="Arial"/>
        </w:rPr>
      </w:pPr>
    </w:p>
    <w:p w14:paraId="622E79B4" w14:textId="77777777" w:rsidR="0074304E" w:rsidRDefault="0074304E" w:rsidP="00441B6F">
      <w:pPr>
        <w:pStyle w:val="ReferHead"/>
        <w:spacing w:after="0"/>
        <w:jc w:val="both"/>
        <w:rPr>
          <w:rFonts w:ascii="Arial" w:hAnsi="Arial" w:cs="Arial"/>
        </w:rPr>
      </w:pPr>
    </w:p>
    <w:p w14:paraId="2BFFD26C" w14:textId="77777777" w:rsidR="0074304E" w:rsidRDefault="0074304E" w:rsidP="00441B6F">
      <w:pPr>
        <w:pStyle w:val="ReferHead"/>
        <w:spacing w:after="0"/>
        <w:jc w:val="both"/>
        <w:rPr>
          <w:rFonts w:ascii="Arial" w:hAnsi="Arial" w:cs="Arial"/>
        </w:rPr>
      </w:pPr>
    </w:p>
    <w:p w14:paraId="10383F85" w14:textId="77777777" w:rsidR="0074304E" w:rsidRDefault="0074304E" w:rsidP="00441B6F">
      <w:pPr>
        <w:pStyle w:val="ReferHead"/>
        <w:spacing w:after="0"/>
        <w:jc w:val="both"/>
        <w:rPr>
          <w:rFonts w:ascii="Arial" w:hAnsi="Arial" w:cs="Arial"/>
        </w:rPr>
      </w:pPr>
    </w:p>
    <w:p w14:paraId="58E99354" w14:textId="77777777" w:rsidR="0074304E" w:rsidRDefault="0074304E" w:rsidP="00441B6F">
      <w:pPr>
        <w:pStyle w:val="ReferHead"/>
        <w:spacing w:after="0"/>
        <w:jc w:val="both"/>
        <w:rPr>
          <w:rFonts w:ascii="Arial" w:hAnsi="Arial" w:cs="Arial"/>
        </w:rPr>
      </w:pPr>
    </w:p>
    <w:p w14:paraId="13C5D855" w14:textId="77777777" w:rsidR="0074304E" w:rsidRDefault="0074304E" w:rsidP="00441B6F">
      <w:pPr>
        <w:pStyle w:val="ReferHead"/>
        <w:spacing w:after="0"/>
        <w:jc w:val="both"/>
        <w:rPr>
          <w:rFonts w:ascii="Arial" w:hAnsi="Arial" w:cs="Arial"/>
        </w:rPr>
      </w:pPr>
    </w:p>
    <w:p w14:paraId="2808EE0D" w14:textId="77777777" w:rsidR="0074304E" w:rsidRDefault="0074304E" w:rsidP="00441B6F">
      <w:pPr>
        <w:pStyle w:val="ReferHead"/>
        <w:spacing w:after="0"/>
        <w:jc w:val="both"/>
        <w:rPr>
          <w:rFonts w:ascii="Arial" w:hAnsi="Arial" w:cs="Arial"/>
        </w:rPr>
      </w:pPr>
    </w:p>
    <w:p w14:paraId="79A132E6" w14:textId="77777777" w:rsidR="0074304E" w:rsidRDefault="0074304E" w:rsidP="00441B6F">
      <w:pPr>
        <w:pStyle w:val="ReferHead"/>
        <w:spacing w:after="0"/>
        <w:jc w:val="both"/>
        <w:rPr>
          <w:rFonts w:ascii="Arial" w:hAnsi="Arial" w:cs="Arial"/>
        </w:rPr>
      </w:pPr>
    </w:p>
    <w:p w14:paraId="382A9B04" w14:textId="77777777" w:rsidR="0074304E" w:rsidRDefault="0074304E" w:rsidP="00441B6F">
      <w:pPr>
        <w:pStyle w:val="ReferHead"/>
        <w:spacing w:after="0"/>
        <w:jc w:val="both"/>
        <w:rPr>
          <w:rFonts w:ascii="Arial" w:hAnsi="Arial" w:cs="Arial"/>
        </w:rPr>
      </w:pPr>
    </w:p>
    <w:p w14:paraId="5589ACDD" w14:textId="77777777" w:rsidR="0074304E" w:rsidRDefault="0074304E" w:rsidP="00441B6F">
      <w:pPr>
        <w:pStyle w:val="ReferHead"/>
        <w:spacing w:after="0"/>
        <w:jc w:val="both"/>
        <w:rPr>
          <w:rFonts w:ascii="Arial" w:hAnsi="Arial" w:cs="Arial"/>
        </w:rPr>
      </w:pPr>
    </w:p>
    <w:p w14:paraId="1DB96DE8" w14:textId="77777777" w:rsidR="0074304E" w:rsidRDefault="0074304E" w:rsidP="00441B6F">
      <w:pPr>
        <w:pStyle w:val="ReferHead"/>
        <w:spacing w:after="0"/>
        <w:jc w:val="both"/>
        <w:rPr>
          <w:rFonts w:ascii="Arial" w:hAnsi="Arial" w:cs="Arial"/>
        </w:rPr>
      </w:pPr>
    </w:p>
    <w:p w14:paraId="6DBA2C07" w14:textId="77777777" w:rsidR="0074304E" w:rsidRDefault="0074304E" w:rsidP="00441B6F">
      <w:pPr>
        <w:pStyle w:val="ReferHead"/>
        <w:spacing w:after="0"/>
        <w:jc w:val="both"/>
        <w:rPr>
          <w:rFonts w:ascii="Arial" w:hAnsi="Arial" w:cs="Arial"/>
        </w:rPr>
      </w:pPr>
    </w:p>
    <w:p w14:paraId="1A380514" w14:textId="77777777" w:rsidR="0074304E" w:rsidRDefault="0074304E" w:rsidP="00441B6F">
      <w:pPr>
        <w:pStyle w:val="ReferHead"/>
        <w:spacing w:after="0"/>
        <w:jc w:val="both"/>
        <w:rPr>
          <w:rFonts w:ascii="Arial" w:hAnsi="Arial" w:cs="Arial"/>
        </w:rPr>
      </w:pPr>
    </w:p>
    <w:p w14:paraId="72277F8B" w14:textId="77777777" w:rsidR="0074304E" w:rsidRDefault="0074304E" w:rsidP="00441B6F">
      <w:pPr>
        <w:pStyle w:val="ReferHead"/>
        <w:spacing w:after="0"/>
        <w:jc w:val="both"/>
        <w:rPr>
          <w:rFonts w:ascii="Arial" w:hAnsi="Arial" w:cs="Arial"/>
        </w:rPr>
      </w:pPr>
    </w:p>
    <w:p w14:paraId="7054E8EF" w14:textId="77777777" w:rsidR="0074304E" w:rsidRDefault="0074304E" w:rsidP="00441B6F">
      <w:pPr>
        <w:pStyle w:val="ReferHead"/>
        <w:spacing w:after="0"/>
        <w:jc w:val="both"/>
        <w:rPr>
          <w:rFonts w:ascii="Arial" w:hAnsi="Arial" w:cs="Arial"/>
        </w:rPr>
      </w:pPr>
    </w:p>
    <w:p w14:paraId="04791955" w14:textId="77777777" w:rsidR="0074304E" w:rsidRDefault="0074304E" w:rsidP="00441B6F">
      <w:pPr>
        <w:pStyle w:val="ReferHead"/>
        <w:spacing w:after="0"/>
        <w:jc w:val="both"/>
        <w:rPr>
          <w:rFonts w:ascii="Arial" w:hAnsi="Arial" w:cs="Arial"/>
        </w:rPr>
      </w:pPr>
    </w:p>
    <w:p w14:paraId="34CD72C6" w14:textId="77777777" w:rsidR="0074304E" w:rsidRDefault="0074304E" w:rsidP="00441B6F">
      <w:pPr>
        <w:pStyle w:val="ReferHead"/>
        <w:spacing w:after="0"/>
        <w:jc w:val="both"/>
        <w:rPr>
          <w:rFonts w:ascii="Arial" w:hAnsi="Arial" w:cs="Arial"/>
        </w:rPr>
      </w:pPr>
    </w:p>
    <w:p w14:paraId="48B8E5CE" w14:textId="77777777" w:rsidR="0074304E" w:rsidRDefault="0074304E" w:rsidP="00441B6F">
      <w:pPr>
        <w:pStyle w:val="ReferHead"/>
        <w:spacing w:after="0"/>
        <w:jc w:val="both"/>
        <w:rPr>
          <w:rFonts w:ascii="Arial" w:hAnsi="Arial" w:cs="Arial"/>
        </w:rPr>
      </w:pPr>
    </w:p>
    <w:p w14:paraId="7854DB6F" w14:textId="77777777" w:rsidR="0074304E" w:rsidRDefault="0074304E" w:rsidP="00441B6F">
      <w:pPr>
        <w:pStyle w:val="ReferHead"/>
        <w:spacing w:after="0"/>
        <w:jc w:val="both"/>
        <w:rPr>
          <w:rFonts w:ascii="Arial" w:hAnsi="Arial" w:cs="Arial"/>
        </w:rPr>
      </w:pPr>
    </w:p>
    <w:p w14:paraId="6A733C17" w14:textId="77777777" w:rsidR="0074304E" w:rsidRDefault="0074304E" w:rsidP="00441B6F">
      <w:pPr>
        <w:pStyle w:val="ReferHead"/>
        <w:spacing w:after="0"/>
        <w:jc w:val="both"/>
        <w:rPr>
          <w:rFonts w:ascii="Arial" w:hAnsi="Arial" w:cs="Arial"/>
        </w:rPr>
      </w:pPr>
    </w:p>
    <w:p w14:paraId="61D5277A" w14:textId="77777777" w:rsidR="0074304E" w:rsidRDefault="0074304E" w:rsidP="00441B6F">
      <w:pPr>
        <w:pStyle w:val="ReferHead"/>
        <w:spacing w:after="0"/>
        <w:jc w:val="both"/>
        <w:rPr>
          <w:rFonts w:ascii="Arial" w:hAnsi="Arial" w:cs="Arial"/>
        </w:rPr>
      </w:pPr>
    </w:p>
    <w:p w14:paraId="49586D74" w14:textId="77777777" w:rsidR="0074304E" w:rsidRDefault="0074304E" w:rsidP="00441B6F">
      <w:pPr>
        <w:pStyle w:val="ReferHead"/>
        <w:spacing w:after="0"/>
        <w:jc w:val="both"/>
        <w:rPr>
          <w:rFonts w:ascii="Arial" w:hAnsi="Arial" w:cs="Arial"/>
        </w:rPr>
      </w:pPr>
    </w:p>
    <w:p w14:paraId="606BD7D3" w14:textId="77777777" w:rsidR="0074304E" w:rsidRDefault="0074304E" w:rsidP="00441B6F">
      <w:pPr>
        <w:pStyle w:val="ReferHead"/>
        <w:spacing w:after="0"/>
        <w:jc w:val="both"/>
        <w:rPr>
          <w:rFonts w:ascii="Arial" w:hAnsi="Arial" w:cs="Arial"/>
        </w:rPr>
      </w:pPr>
    </w:p>
    <w:p w14:paraId="2443ADF1" w14:textId="77777777" w:rsidR="0074304E" w:rsidRDefault="0074304E" w:rsidP="00441B6F">
      <w:pPr>
        <w:pStyle w:val="ReferHead"/>
        <w:spacing w:after="0"/>
        <w:jc w:val="both"/>
        <w:rPr>
          <w:rFonts w:ascii="Arial" w:hAnsi="Arial" w:cs="Arial"/>
        </w:rPr>
      </w:pPr>
    </w:p>
    <w:p w14:paraId="5374CCCB" w14:textId="77777777" w:rsidR="0074304E" w:rsidRDefault="0074304E" w:rsidP="00441B6F">
      <w:pPr>
        <w:pStyle w:val="ReferHead"/>
        <w:spacing w:after="0"/>
        <w:jc w:val="both"/>
        <w:rPr>
          <w:rFonts w:ascii="Arial" w:hAnsi="Arial" w:cs="Arial"/>
        </w:rPr>
      </w:pPr>
    </w:p>
    <w:p w14:paraId="42E16435" w14:textId="77777777" w:rsidR="0074304E" w:rsidRDefault="0074304E" w:rsidP="00441B6F">
      <w:pPr>
        <w:pStyle w:val="ReferHead"/>
        <w:spacing w:after="0"/>
        <w:jc w:val="both"/>
        <w:rPr>
          <w:rFonts w:ascii="Arial" w:hAnsi="Arial" w:cs="Arial"/>
        </w:rPr>
      </w:pPr>
    </w:p>
    <w:p w14:paraId="5BCE24A3" w14:textId="77777777" w:rsidR="0074304E" w:rsidRDefault="0074304E" w:rsidP="00441B6F">
      <w:pPr>
        <w:pStyle w:val="ReferHead"/>
        <w:spacing w:after="0"/>
        <w:jc w:val="both"/>
        <w:rPr>
          <w:rFonts w:ascii="Arial" w:hAnsi="Arial" w:cs="Arial"/>
        </w:rPr>
      </w:pPr>
    </w:p>
    <w:p w14:paraId="0E6063D3" w14:textId="77777777" w:rsidR="0074304E" w:rsidRDefault="0074304E" w:rsidP="00441B6F">
      <w:pPr>
        <w:pStyle w:val="ReferHead"/>
        <w:spacing w:after="0"/>
        <w:jc w:val="both"/>
        <w:rPr>
          <w:rFonts w:ascii="Arial" w:hAnsi="Arial" w:cs="Arial"/>
        </w:rPr>
      </w:pPr>
    </w:p>
    <w:p w14:paraId="22E24AA1" w14:textId="77777777" w:rsidR="0074304E" w:rsidRDefault="0074304E" w:rsidP="00441B6F">
      <w:pPr>
        <w:pStyle w:val="ReferHead"/>
        <w:spacing w:after="0"/>
        <w:jc w:val="both"/>
        <w:rPr>
          <w:rFonts w:ascii="Arial" w:hAnsi="Arial" w:cs="Arial"/>
        </w:rPr>
      </w:pPr>
    </w:p>
    <w:p w14:paraId="5E55C612" w14:textId="77777777" w:rsidR="0074304E" w:rsidRDefault="0074304E" w:rsidP="00441B6F">
      <w:pPr>
        <w:pStyle w:val="ReferHead"/>
        <w:spacing w:after="0"/>
        <w:jc w:val="both"/>
        <w:rPr>
          <w:rFonts w:ascii="Arial" w:hAnsi="Arial" w:cs="Arial"/>
        </w:rPr>
      </w:pPr>
    </w:p>
    <w:p w14:paraId="1B9C9A9A" w14:textId="77777777" w:rsidR="0074304E" w:rsidRDefault="0074304E" w:rsidP="00441B6F">
      <w:pPr>
        <w:pStyle w:val="ReferHead"/>
        <w:spacing w:after="0"/>
        <w:jc w:val="both"/>
        <w:rPr>
          <w:rFonts w:ascii="Arial" w:hAnsi="Arial" w:cs="Arial"/>
        </w:rPr>
      </w:pPr>
    </w:p>
    <w:p w14:paraId="61E3B54C" w14:textId="77777777" w:rsidR="0074304E" w:rsidRDefault="0074304E" w:rsidP="00441B6F">
      <w:pPr>
        <w:pStyle w:val="ReferHead"/>
        <w:spacing w:after="0"/>
        <w:jc w:val="both"/>
        <w:rPr>
          <w:rFonts w:ascii="Arial" w:hAnsi="Arial" w:cs="Arial"/>
        </w:rPr>
      </w:pPr>
    </w:p>
    <w:p w14:paraId="77AF1D04" w14:textId="77777777" w:rsidR="0074304E" w:rsidRDefault="0074304E" w:rsidP="00441B6F">
      <w:pPr>
        <w:pStyle w:val="ReferHead"/>
        <w:spacing w:after="0"/>
        <w:jc w:val="both"/>
        <w:rPr>
          <w:rFonts w:ascii="Arial" w:hAnsi="Arial" w:cs="Arial"/>
        </w:rPr>
      </w:pPr>
    </w:p>
    <w:p w14:paraId="13F91EB0" w14:textId="77777777" w:rsidR="0074304E" w:rsidRDefault="0074304E" w:rsidP="00441B6F">
      <w:pPr>
        <w:pStyle w:val="ReferHead"/>
        <w:spacing w:after="0"/>
        <w:jc w:val="both"/>
        <w:rPr>
          <w:rFonts w:ascii="Arial" w:hAnsi="Arial" w:cs="Arial"/>
        </w:rPr>
      </w:pPr>
    </w:p>
    <w:p w14:paraId="571AFFB5" w14:textId="77777777" w:rsidR="0074304E" w:rsidRDefault="0074304E" w:rsidP="00441B6F">
      <w:pPr>
        <w:pStyle w:val="ReferHead"/>
        <w:spacing w:after="0"/>
        <w:jc w:val="both"/>
        <w:rPr>
          <w:rFonts w:ascii="Arial" w:hAnsi="Arial" w:cs="Arial"/>
        </w:rPr>
      </w:pPr>
    </w:p>
    <w:p w14:paraId="41D09E51" w14:textId="77777777" w:rsidR="00B01FCD" w:rsidRDefault="00B01FCD" w:rsidP="00441B6F">
      <w:pPr>
        <w:pStyle w:val="ReferHead"/>
        <w:spacing w:after="0"/>
        <w:jc w:val="both"/>
        <w:rPr>
          <w:rFonts w:ascii="Arial" w:hAnsi="Arial" w:cs="Arial"/>
        </w:rPr>
      </w:pPr>
      <w:r w:rsidRPr="00FB3A86">
        <w:rPr>
          <w:rFonts w:ascii="Arial" w:hAnsi="Arial" w:cs="Arial"/>
        </w:rPr>
        <w:t>References</w:t>
      </w:r>
    </w:p>
    <w:p w14:paraId="7B5661EA"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rPr>
      </w:pPr>
      <w:r w:rsidRPr="001D7B62">
        <w:rPr>
          <w:rFonts w:ascii="Times New Roman" w:hAnsi="Times New Roman"/>
          <w:sz w:val="24"/>
          <w:szCs w:val="24"/>
        </w:rPr>
        <w:t xml:space="preserve">Aebi, H. (1984). Catalase in vitro. </w:t>
      </w:r>
      <w:r w:rsidRPr="001D7B62">
        <w:rPr>
          <w:rFonts w:ascii="Times New Roman" w:hAnsi="Times New Roman"/>
          <w:i/>
          <w:iCs/>
          <w:sz w:val="24"/>
          <w:szCs w:val="24"/>
        </w:rPr>
        <w:t>Methods in Enzymology, 105</w:t>
      </w:r>
      <w:r w:rsidRPr="001D7B62">
        <w:rPr>
          <w:rFonts w:ascii="Times New Roman" w:hAnsi="Times New Roman"/>
          <w:sz w:val="24"/>
          <w:szCs w:val="24"/>
        </w:rPr>
        <w:t xml:space="preserve">, 121–126. </w:t>
      </w:r>
      <w:hyperlink r:id="rId20" w:history="1">
        <w:r w:rsidRPr="001D7B62">
          <w:rPr>
            <w:rFonts w:ascii="Times New Roman" w:hAnsi="Times New Roman"/>
            <w:color w:val="0000FF"/>
            <w:sz w:val="24"/>
            <w:szCs w:val="24"/>
            <w:u w:val="single"/>
          </w:rPr>
          <w:t>https://doi.org/10.1016/S0076-6879(84)05016-3</w:t>
        </w:r>
      </w:hyperlink>
    </w:p>
    <w:p w14:paraId="3BF73BB4"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rPr>
      </w:pPr>
      <w:r w:rsidRPr="001D7B62">
        <w:rPr>
          <w:rFonts w:ascii="Times New Roman" w:hAnsi="Times New Roman"/>
          <w:sz w:val="24"/>
          <w:szCs w:val="24"/>
        </w:rPr>
        <w:t xml:space="preserve">Afonso, T. F., Demarco, C. F., Pieniz, S., Camargo, F. A. O., Quadro, M. S., &amp; </w:t>
      </w:r>
      <w:proofErr w:type="spellStart"/>
      <w:r w:rsidRPr="001D7B62">
        <w:rPr>
          <w:rFonts w:ascii="Times New Roman" w:hAnsi="Times New Roman"/>
          <w:sz w:val="24"/>
          <w:szCs w:val="24"/>
        </w:rPr>
        <w:t>Andreazza</w:t>
      </w:r>
      <w:proofErr w:type="spellEnd"/>
      <w:r w:rsidRPr="001D7B62">
        <w:rPr>
          <w:rFonts w:ascii="Times New Roman" w:hAnsi="Times New Roman"/>
          <w:sz w:val="24"/>
          <w:szCs w:val="24"/>
        </w:rPr>
        <w:t xml:space="preserve">, R. (2019). Potential of </w:t>
      </w:r>
      <w:r w:rsidRPr="001D7B62">
        <w:rPr>
          <w:rFonts w:ascii="Times New Roman" w:hAnsi="Times New Roman"/>
          <w:i/>
          <w:iCs/>
          <w:sz w:val="24"/>
          <w:szCs w:val="24"/>
        </w:rPr>
        <w:t xml:space="preserve">Solanum </w:t>
      </w:r>
      <w:proofErr w:type="spellStart"/>
      <w:r w:rsidRPr="001D7B62">
        <w:rPr>
          <w:rFonts w:ascii="Times New Roman" w:hAnsi="Times New Roman"/>
          <w:i/>
          <w:iCs/>
          <w:sz w:val="24"/>
          <w:szCs w:val="24"/>
        </w:rPr>
        <w:t>viarum</w:t>
      </w:r>
      <w:proofErr w:type="spellEnd"/>
      <w:r w:rsidRPr="001D7B62">
        <w:rPr>
          <w:rFonts w:ascii="Times New Roman" w:hAnsi="Times New Roman"/>
          <w:sz w:val="24"/>
          <w:szCs w:val="24"/>
        </w:rPr>
        <w:t xml:space="preserve"> </w:t>
      </w:r>
      <w:proofErr w:type="spellStart"/>
      <w:r w:rsidRPr="001D7B62">
        <w:rPr>
          <w:rFonts w:ascii="Times New Roman" w:hAnsi="Times New Roman"/>
          <w:sz w:val="24"/>
          <w:szCs w:val="24"/>
        </w:rPr>
        <w:t>Dunal</w:t>
      </w:r>
      <w:proofErr w:type="spellEnd"/>
      <w:r w:rsidRPr="001D7B62">
        <w:rPr>
          <w:rFonts w:ascii="Times New Roman" w:hAnsi="Times New Roman"/>
          <w:sz w:val="24"/>
          <w:szCs w:val="24"/>
        </w:rPr>
        <w:t xml:space="preserve"> in use for phytoremediation of heavy metals to mining areas, southern Brazil. </w:t>
      </w:r>
      <w:r w:rsidRPr="001D7B62">
        <w:rPr>
          <w:rFonts w:ascii="Times New Roman" w:hAnsi="Times New Roman"/>
          <w:i/>
          <w:iCs/>
          <w:sz w:val="24"/>
          <w:szCs w:val="24"/>
        </w:rPr>
        <w:t>Environmental Science and Pollution Research, 26</w:t>
      </w:r>
      <w:r w:rsidRPr="001D7B62">
        <w:rPr>
          <w:rFonts w:ascii="Times New Roman" w:hAnsi="Times New Roman"/>
          <w:sz w:val="24"/>
          <w:szCs w:val="24"/>
        </w:rPr>
        <w:t xml:space="preserve">(23), 24132–24142. </w:t>
      </w:r>
      <w:hyperlink r:id="rId21" w:history="1">
        <w:r w:rsidRPr="001D7B62">
          <w:rPr>
            <w:rFonts w:ascii="Times New Roman" w:hAnsi="Times New Roman"/>
            <w:color w:val="0000FF"/>
            <w:sz w:val="24"/>
            <w:szCs w:val="24"/>
            <w:u w:val="single"/>
          </w:rPr>
          <w:t>https://doi.org/10.1007/s11356-019-05460-z</w:t>
        </w:r>
      </w:hyperlink>
    </w:p>
    <w:p w14:paraId="16BA3F3C"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rPr>
      </w:pPr>
      <w:r w:rsidRPr="001D7B62">
        <w:rPr>
          <w:rFonts w:ascii="Times New Roman" w:hAnsi="Times New Roman"/>
          <w:sz w:val="24"/>
          <w:szCs w:val="24"/>
        </w:rPr>
        <w:t xml:space="preserve">Andreazza, R., Okeke, B. C., Pieniz, S., </w:t>
      </w:r>
      <w:proofErr w:type="spellStart"/>
      <w:r w:rsidRPr="001D7B62">
        <w:rPr>
          <w:rFonts w:ascii="Times New Roman" w:hAnsi="Times New Roman"/>
          <w:sz w:val="24"/>
          <w:szCs w:val="24"/>
        </w:rPr>
        <w:t>Brandelli</w:t>
      </w:r>
      <w:proofErr w:type="spellEnd"/>
      <w:r w:rsidRPr="001D7B62">
        <w:rPr>
          <w:rFonts w:ascii="Times New Roman" w:hAnsi="Times New Roman"/>
          <w:sz w:val="24"/>
          <w:szCs w:val="24"/>
        </w:rPr>
        <w:t xml:space="preserve">, A., </w:t>
      </w:r>
      <w:proofErr w:type="spellStart"/>
      <w:r w:rsidRPr="001D7B62">
        <w:rPr>
          <w:rFonts w:ascii="Times New Roman" w:hAnsi="Times New Roman"/>
          <w:sz w:val="24"/>
          <w:szCs w:val="24"/>
        </w:rPr>
        <w:t>Lambais</w:t>
      </w:r>
      <w:proofErr w:type="spellEnd"/>
      <w:r w:rsidRPr="001D7B62">
        <w:rPr>
          <w:rFonts w:ascii="Times New Roman" w:hAnsi="Times New Roman"/>
          <w:sz w:val="24"/>
          <w:szCs w:val="24"/>
        </w:rPr>
        <w:t xml:space="preserve">, M. R., &amp; Camargo, F. A. O. (2011). </w:t>
      </w:r>
      <w:proofErr w:type="spellStart"/>
      <w:r w:rsidRPr="001D7B62">
        <w:rPr>
          <w:rFonts w:ascii="Times New Roman" w:hAnsi="Times New Roman"/>
          <w:sz w:val="24"/>
          <w:szCs w:val="24"/>
        </w:rPr>
        <w:t>Bioreduction</w:t>
      </w:r>
      <w:proofErr w:type="spellEnd"/>
      <w:r w:rsidRPr="001D7B62">
        <w:rPr>
          <w:rFonts w:ascii="Times New Roman" w:hAnsi="Times New Roman"/>
          <w:sz w:val="24"/>
          <w:szCs w:val="24"/>
        </w:rPr>
        <w:t xml:space="preserve"> of </w:t>
      </w:r>
      <w:proofErr w:type="gramStart"/>
      <w:r w:rsidRPr="001D7B62">
        <w:rPr>
          <w:rFonts w:ascii="Times New Roman" w:hAnsi="Times New Roman"/>
          <w:sz w:val="24"/>
          <w:szCs w:val="24"/>
        </w:rPr>
        <w:t>Cu(</w:t>
      </w:r>
      <w:proofErr w:type="gramEnd"/>
      <w:r w:rsidRPr="001D7B62">
        <w:rPr>
          <w:rFonts w:ascii="Times New Roman" w:hAnsi="Times New Roman"/>
          <w:sz w:val="24"/>
          <w:szCs w:val="24"/>
        </w:rPr>
        <w:t xml:space="preserve">II) by cell-free copper reductase from a copper resistant </w:t>
      </w:r>
      <w:r w:rsidRPr="001D7B62">
        <w:rPr>
          <w:rFonts w:ascii="Times New Roman" w:hAnsi="Times New Roman"/>
          <w:i/>
          <w:iCs/>
          <w:sz w:val="24"/>
          <w:szCs w:val="24"/>
        </w:rPr>
        <w:t>Pseudomonas</w:t>
      </w:r>
      <w:r w:rsidRPr="001D7B62">
        <w:rPr>
          <w:rFonts w:ascii="Times New Roman" w:hAnsi="Times New Roman"/>
          <w:sz w:val="24"/>
          <w:szCs w:val="24"/>
        </w:rPr>
        <w:t xml:space="preserve"> sp. NA. </w:t>
      </w:r>
      <w:r w:rsidRPr="001D7B62">
        <w:rPr>
          <w:rFonts w:ascii="Times New Roman" w:hAnsi="Times New Roman"/>
          <w:i/>
          <w:iCs/>
          <w:sz w:val="24"/>
          <w:szCs w:val="24"/>
        </w:rPr>
        <w:t>Biological Trace Element Research, 143</w:t>
      </w:r>
      <w:r w:rsidRPr="001D7B62">
        <w:rPr>
          <w:rFonts w:ascii="Times New Roman" w:hAnsi="Times New Roman"/>
          <w:sz w:val="24"/>
          <w:szCs w:val="24"/>
        </w:rPr>
        <w:t xml:space="preserve">(2), 1182–1192. </w:t>
      </w:r>
      <w:hyperlink r:id="rId22" w:history="1">
        <w:r w:rsidRPr="001D7B62">
          <w:rPr>
            <w:rFonts w:ascii="Times New Roman" w:hAnsi="Times New Roman"/>
            <w:color w:val="0000FF"/>
            <w:sz w:val="24"/>
            <w:szCs w:val="24"/>
            <w:u w:val="single"/>
          </w:rPr>
          <w:t>https://doi.org/10.1007/s12011-010-8899-3</w:t>
        </w:r>
      </w:hyperlink>
    </w:p>
    <w:p w14:paraId="0218A848"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rPr>
      </w:pPr>
      <w:r w:rsidRPr="001D7B62">
        <w:rPr>
          <w:rFonts w:ascii="Times New Roman" w:hAnsi="Times New Roman"/>
          <w:sz w:val="24"/>
          <w:szCs w:val="24"/>
        </w:rPr>
        <w:t xml:space="preserve">Anjum, N. A., Ahmad, I., </w:t>
      </w:r>
      <w:proofErr w:type="spellStart"/>
      <w:r w:rsidRPr="001D7B62">
        <w:rPr>
          <w:rFonts w:ascii="Times New Roman" w:hAnsi="Times New Roman"/>
          <w:sz w:val="24"/>
          <w:szCs w:val="24"/>
        </w:rPr>
        <w:t>Mohmood</w:t>
      </w:r>
      <w:proofErr w:type="spellEnd"/>
      <w:r w:rsidRPr="001D7B62">
        <w:rPr>
          <w:rFonts w:ascii="Times New Roman" w:hAnsi="Times New Roman"/>
          <w:sz w:val="24"/>
          <w:szCs w:val="24"/>
        </w:rPr>
        <w:t xml:space="preserve">, I., Pacheco, M., Duarte, A. C., Pereira, E., Umar, S., Ahmad, A., Khan, N. A., Iqbal, M., &amp; Prasad, M. N. V. (2012). Modulation of glutathione and its related enzymes in plants’ responses to toxic metals and metalloids—A review. </w:t>
      </w:r>
      <w:r w:rsidRPr="001D7B62">
        <w:rPr>
          <w:rFonts w:ascii="Times New Roman" w:hAnsi="Times New Roman"/>
          <w:i/>
          <w:iCs/>
          <w:sz w:val="24"/>
          <w:szCs w:val="24"/>
        </w:rPr>
        <w:t>Environmental and Experimental Botany, 75</w:t>
      </w:r>
      <w:r w:rsidRPr="001D7B62">
        <w:rPr>
          <w:rFonts w:ascii="Times New Roman" w:hAnsi="Times New Roman"/>
          <w:sz w:val="24"/>
          <w:szCs w:val="24"/>
        </w:rPr>
        <w:t xml:space="preserve">, 307–324. </w:t>
      </w:r>
      <w:hyperlink r:id="rId23" w:history="1">
        <w:r w:rsidRPr="001D7B62">
          <w:rPr>
            <w:rFonts w:ascii="Times New Roman" w:hAnsi="Times New Roman"/>
            <w:color w:val="0000FF"/>
            <w:sz w:val="24"/>
            <w:szCs w:val="24"/>
            <w:u w:val="single"/>
          </w:rPr>
          <w:t>https://doi.org/10.1016/j.envexpbot.2011.07.002</w:t>
        </w:r>
      </w:hyperlink>
    </w:p>
    <w:p w14:paraId="06FC9093"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rPr>
      </w:pPr>
      <w:r w:rsidRPr="001D7B62">
        <w:rPr>
          <w:rFonts w:ascii="Times New Roman" w:hAnsi="Times New Roman"/>
          <w:sz w:val="24"/>
          <w:szCs w:val="24"/>
        </w:rPr>
        <w:t xml:space="preserve">Arora, N. K., Fatima, T., Mishra, I., Verma, M., Mishra, J., &amp; Mishra, V. (2018). Environmental sustainability: Challenges and viable solutions. </w:t>
      </w:r>
      <w:r w:rsidRPr="001D7B62">
        <w:rPr>
          <w:rFonts w:ascii="Times New Roman" w:hAnsi="Times New Roman"/>
          <w:i/>
          <w:iCs/>
          <w:sz w:val="24"/>
          <w:szCs w:val="24"/>
        </w:rPr>
        <w:t>Environmental Sustainability, 1</w:t>
      </w:r>
      <w:r w:rsidRPr="001D7B62">
        <w:rPr>
          <w:rFonts w:ascii="Times New Roman" w:hAnsi="Times New Roman"/>
          <w:sz w:val="24"/>
          <w:szCs w:val="24"/>
        </w:rPr>
        <w:t xml:space="preserve">(4), 309–340. </w:t>
      </w:r>
      <w:hyperlink r:id="rId24" w:history="1">
        <w:r w:rsidRPr="001D7B62">
          <w:rPr>
            <w:rFonts w:ascii="Times New Roman" w:hAnsi="Times New Roman"/>
            <w:color w:val="0000FF"/>
            <w:sz w:val="24"/>
            <w:szCs w:val="24"/>
            <w:u w:val="single"/>
          </w:rPr>
          <w:t>https://doi.org/10.1007/s42398-018-00038-w</w:t>
        </w:r>
      </w:hyperlink>
    </w:p>
    <w:p w14:paraId="224316A5"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rPr>
      </w:pPr>
      <w:r w:rsidRPr="001D7B62">
        <w:rPr>
          <w:rFonts w:ascii="Times New Roman" w:hAnsi="Times New Roman"/>
          <w:sz w:val="24"/>
          <w:szCs w:val="24"/>
        </w:rPr>
        <w:t xml:space="preserve">ASTM International. (1998). </w:t>
      </w:r>
      <w:r w:rsidRPr="001D7B62">
        <w:rPr>
          <w:rFonts w:ascii="Times New Roman" w:hAnsi="Times New Roman"/>
          <w:i/>
          <w:iCs/>
          <w:sz w:val="24"/>
          <w:szCs w:val="24"/>
        </w:rPr>
        <w:t xml:space="preserve">ASTM E1415-91(1998): Standard guide for conducting static toxicity tests with Lemna </w:t>
      </w:r>
      <w:proofErr w:type="spellStart"/>
      <w:r w:rsidRPr="001D7B62">
        <w:rPr>
          <w:rFonts w:ascii="Times New Roman" w:hAnsi="Times New Roman"/>
          <w:i/>
          <w:iCs/>
          <w:sz w:val="24"/>
          <w:szCs w:val="24"/>
        </w:rPr>
        <w:t>gibba</w:t>
      </w:r>
      <w:proofErr w:type="spellEnd"/>
      <w:r w:rsidRPr="001D7B62">
        <w:rPr>
          <w:rFonts w:ascii="Times New Roman" w:hAnsi="Times New Roman"/>
          <w:i/>
          <w:iCs/>
          <w:sz w:val="24"/>
          <w:szCs w:val="24"/>
        </w:rPr>
        <w:t xml:space="preserve"> G3</w:t>
      </w:r>
      <w:r w:rsidRPr="001D7B62">
        <w:rPr>
          <w:rFonts w:ascii="Times New Roman" w:hAnsi="Times New Roman"/>
          <w:sz w:val="24"/>
          <w:szCs w:val="24"/>
        </w:rPr>
        <w:t xml:space="preserve">. </w:t>
      </w:r>
      <w:hyperlink r:id="rId25" w:history="1">
        <w:r w:rsidRPr="001D7B62">
          <w:rPr>
            <w:rFonts w:ascii="Times New Roman" w:hAnsi="Times New Roman"/>
            <w:color w:val="0000FF"/>
            <w:sz w:val="24"/>
            <w:szCs w:val="24"/>
            <w:u w:val="single"/>
          </w:rPr>
          <w:t>https://www.astm.org/e1415-91r98.html</w:t>
        </w:r>
      </w:hyperlink>
    </w:p>
    <w:p w14:paraId="02C88E1B"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rPr>
      </w:pPr>
      <w:proofErr w:type="spellStart"/>
      <w:r w:rsidRPr="001D7B62">
        <w:rPr>
          <w:rFonts w:ascii="Times New Roman" w:hAnsi="Times New Roman"/>
          <w:sz w:val="24"/>
          <w:szCs w:val="24"/>
        </w:rPr>
        <w:t>Balakhnina</w:t>
      </w:r>
      <w:proofErr w:type="spellEnd"/>
      <w:r w:rsidRPr="001D7B62">
        <w:rPr>
          <w:rFonts w:ascii="Times New Roman" w:hAnsi="Times New Roman"/>
          <w:sz w:val="24"/>
          <w:szCs w:val="24"/>
        </w:rPr>
        <w:t xml:space="preserve">, T. I., </w:t>
      </w:r>
      <w:proofErr w:type="spellStart"/>
      <w:r w:rsidRPr="001D7B62">
        <w:rPr>
          <w:rFonts w:ascii="Times New Roman" w:hAnsi="Times New Roman"/>
          <w:sz w:val="24"/>
          <w:szCs w:val="24"/>
        </w:rPr>
        <w:t>Kosobryukhov</w:t>
      </w:r>
      <w:proofErr w:type="spellEnd"/>
      <w:r w:rsidRPr="001D7B62">
        <w:rPr>
          <w:rFonts w:ascii="Times New Roman" w:hAnsi="Times New Roman"/>
          <w:sz w:val="24"/>
          <w:szCs w:val="24"/>
        </w:rPr>
        <w:t xml:space="preserve">, A. A., Ivanov, A. A., &amp; </w:t>
      </w:r>
      <w:proofErr w:type="spellStart"/>
      <w:r w:rsidRPr="001D7B62">
        <w:rPr>
          <w:rFonts w:ascii="Times New Roman" w:hAnsi="Times New Roman"/>
          <w:sz w:val="24"/>
          <w:szCs w:val="24"/>
        </w:rPr>
        <w:t>Kreslavskii</w:t>
      </w:r>
      <w:proofErr w:type="spellEnd"/>
      <w:r w:rsidRPr="001D7B62">
        <w:rPr>
          <w:rFonts w:ascii="Times New Roman" w:hAnsi="Times New Roman"/>
          <w:sz w:val="24"/>
          <w:szCs w:val="24"/>
        </w:rPr>
        <w:t xml:space="preserve">, V. D. (2005). The effect of cadmium on CO₂ exchange, variable fluorescence of chlorophyll, and the level of antioxidant enzymes in pea leaves. </w:t>
      </w:r>
      <w:r w:rsidRPr="001D7B62">
        <w:rPr>
          <w:rFonts w:ascii="Times New Roman" w:hAnsi="Times New Roman"/>
          <w:i/>
          <w:iCs/>
          <w:sz w:val="24"/>
          <w:szCs w:val="24"/>
        </w:rPr>
        <w:t>Russian Journal of Plant Physiology, 52</w:t>
      </w:r>
      <w:r w:rsidRPr="001D7B62">
        <w:rPr>
          <w:rFonts w:ascii="Times New Roman" w:hAnsi="Times New Roman"/>
          <w:sz w:val="24"/>
          <w:szCs w:val="24"/>
        </w:rPr>
        <w:t xml:space="preserve">(1), 15–20. </w:t>
      </w:r>
      <w:hyperlink r:id="rId26" w:history="1">
        <w:r w:rsidRPr="001D7B62">
          <w:rPr>
            <w:rFonts w:ascii="Times New Roman" w:hAnsi="Times New Roman"/>
            <w:color w:val="0000FF"/>
            <w:sz w:val="24"/>
            <w:szCs w:val="24"/>
            <w:u w:val="single"/>
          </w:rPr>
          <w:t>https://doi.org/10.1007/s11183-005-0003-z</w:t>
        </w:r>
      </w:hyperlink>
    </w:p>
    <w:p w14:paraId="630041B0"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rPr>
      </w:pPr>
      <w:r w:rsidRPr="001D7B62">
        <w:rPr>
          <w:rFonts w:ascii="Times New Roman" w:hAnsi="Times New Roman"/>
          <w:sz w:val="24"/>
          <w:szCs w:val="24"/>
        </w:rPr>
        <w:t xml:space="preserve">Brain, R. A., &amp; Solomon, K. R. (2007). A protocol for conducting 7-day daily renewal tests with </w:t>
      </w:r>
      <w:r w:rsidRPr="001D7B62">
        <w:rPr>
          <w:rFonts w:ascii="Times New Roman" w:hAnsi="Times New Roman"/>
          <w:i/>
          <w:iCs/>
          <w:sz w:val="24"/>
          <w:szCs w:val="24"/>
        </w:rPr>
        <w:t xml:space="preserve">Lemna </w:t>
      </w:r>
      <w:proofErr w:type="spellStart"/>
      <w:r w:rsidRPr="001D7B62">
        <w:rPr>
          <w:rFonts w:ascii="Times New Roman" w:hAnsi="Times New Roman"/>
          <w:i/>
          <w:iCs/>
          <w:sz w:val="24"/>
          <w:szCs w:val="24"/>
        </w:rPr>
        <w:t>gibba</w:t>
      </w:r>
      <w:proofErr w:type="spellEnd"/>
      <w:r w:rsidRPr="001D7B62">
        <w:rPr>
          <w:rFonts w:ascii="Times New Roman" w:hAnsi="Times New Roman"/>
          <w:sz w:val="24"/>
          <w:szCs w:val="24"/>
        </w:rPr>
        <w:t xml:space="preserve">. </w:t>
      </w:r>
      <w:r w:rsidRPr="001D7B62">
        <w:rPr>
          <w:rFonts w:ascii="Times New Roman" w:hAnsi="Times New Roman"/>
          <w:i/>
          <w:iCs/>
          <w:sz w:val="24"/>
          <w:szCs w:val="24"/>
        </w:rPr>
        <w:t>Nature Protocols, 2</w:t>
      </w:r>
      <w:r w:rsidRPr="001D7B62">
        <w:rPr>
          <w:rFonts w:ascii="Times New Roman" w:hAnsi="Times New Roman"/>
          <w:sz w:val="24"/>
          <w:szCs w:val="24"/>
        </w:rPr>
        <w:t xml:space="preserve">(4), 979–987. </w:t>
      </w:r>
      <w:hyperlink r:id="rId27" w:history="1">
        <w:r w:rsidRPr="001D7B62">
          <w:rPr>
            <w:rFonts w:ascii="Times New Roman" w:hAnsi="Times New Roman"/>
            <w:color w:val="0000FF"/>
            <w:sz w:val="24"/>
            <w:szCs w:val="24"/>
            <w:u w:val="single"/>
          </w:rPr>
          <w:t>https://doi.org/10.1038/nprot.2007.146</w:t>
        </w:r>
      </w:hyperlink>
    </w:p>
    <w:p w14:paraId="1BE4F504"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rPr>
      </w:pPr>
      <w:r>
        <w:rPr>
          <w:highlight w:val="yellow"/>
        </w:rPr>
        <w:t xml:space="preserve">Cakmak, I. (2005). The role of potassium in alleviating detrimental effects of abiotic stresses in plants. </w:t>
      </w:r>
      <w:r>
        <w:rPr>
          <w:i/>
          <w:highlight w:val="yellow"/>
        </w:rPr>
        <w:t>Journal of Plant Nutrition and Soil Science, 168</w:t>
      </w:r>
      <w:r>
        <w:rPr>
          <w:highlight w:val="yellow"/>
        </w:rPr>
        <w:t xml:space="preserve">(4), 521–530. </w:t>
      </w:r>
      <w:hyperlink r:id="rId28">
        <w:r>
          <w:rPr>
            <w:rStyle w:val="Hyperlink"/>
            <w:highlight w:val="yellow"/>
          </w:rPr>
          <w:t>https://doi.org/10.1002/jpln.200420485</w:t>
        </w:r>
      </w:hyperlink>
    </w:p>
    <w:p w14:paraId="399854C0" w14:textId="77777777" w:rsidR="00145385" w:rsidRDefault="00000000">
      <w:pPr>
        <w:spacing w:before="100" w:beforeAutospacing="1" w:after="100" w:afterAutospacing="1"/>
        <w:ind w:left="540" w:hanging="540"/>
        <w:jc w:val="both"/>
        <w:rPr>
          <w:rFonts w:ascii="Times New Roman" w:hAnsi="Times New Roman"/>
          <w:sz w:val="24"/>
          <w:szCs w:val="24"/>
        </w:rPr>
      </w:pPr>
      <w:r>
        <w:rPr>
          <w:b/>
          <w:highlight w:val="yellow"/>
        </w:rPr>
        <w:lastRenderedPageBreak/>
        <w:t xml:space="preserve">Cao, Q., Tan, A.-J., Lan, Y., Zou, W.-B., &amp; Yang, G.-L. (2025). Effects of duckweed species diversity on physiological responses and removal efficiency under cadmium stress. Water, Air, &amp; Soil Pollution, 236, Article 820. </w:t>
      </w:r>
      <w:hyperlink r:id="rId29">
        <w:r>
          <w:rPr>
            <w:b/>
            <w:bCs/>
            <w:color w:val="000000"/>
            <w:highlight w:val="yellow"/>
          </w:rPr>
          <w:t>https://doi.org/10.1007/s11270-025-08478-x</w:t>
        </w:r>
      </w:hyperlink>
    </w:p>
    <w:p w14:paraId="23F8095E"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rPr>
      </w:pPr>
      <w:r w:rsidRPr="001D7B62">
        <w:rPr>
          <w:rFonts w:ascii="Times New Roman" w:hAnsi="Times New Roman"/>
          <w:sz w:val="24"/>
          <w:szCs w:val="24"/>
        </w:rPr>
        <w:t xml:space="preserve">Chibuike, G. U., &amp; Obiora, S. C. (2014). Heavy metal polluted soils: Effect on plants and bioremediation methods. </w:t>
      </w:r>
      <w:r w:rsidRPr="001D7B62">
        <w:rPr>
          <w:rFonts w:ascii="Times New Roman" w:hAnsi="Times New Roman"/>
          <w:i/>
          <w:iCs/>
          <w:sz w:val="24"/>
          <w:szCs w:val="24"/>
        </w:rPr>
        <w:t>Applied and Environmental Soil Science, 2014</w:t>
      </w:r>
      <w:r w:rsidRPr="001D7B62">
        <w:rPr>
          <w:rFonts w:ascii="Times New Roman" w:hAnsi="Times New Roman"/>
          <w:sz w:val="24"/>
          <w:szCs w:val="24"/>
        </w:rPr>
        <w:t xml:space="preserve">, Article 752708. </w:t>
      </w:r>
      <w:hyperlink r:id="rId30" w:history="1">
        <w:r w:rsidRPr="001D7B62">
          <w:rPr>
            <w:rFonts w:ascii="Times New Roman" w:hAnsi="Times New Roman"/>
            <w:color w:val="0000FF"/>
            <w:sz w:val="24"/>
            <w:szCs w:val="24"/>
            <w:u w:val="single"/>
          </w:rPr>
          <w:t>https://doi.org/10.1155/2014/752708</w:t>
        </w:r>
      </w:hyperlink>
    </w:p>
    <w:p w14:paraId="7D8C16CA"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rPr>
      </w:pPr>
      <w:r w:rsidRPr="001D7B62">
        <w:rPr>
          <w:rFonts w:ascii="Times New Roman" w:hAnsi="Times New Roman"/>
          <w:sz w:val="24"/>
          <w:szCs w:val="24"/>
        </w:rPr>
        <w:t xml:space="preserve">Demarco, C. F., Bonemann, D. H., Ribeiro, A. S., Cadaval, T. R. S., Jr., Gelesky, M. A., Godinho, M., Quadro, M. S., </w:t>
      </w:r>
      <w:proofErr w:type="spellStart"/>
      <w:r w:rsidRPr="001D7B62">
        <w:rPr>
          <w:rFonts w:ascii="Times New Roman" w:hAnsi="Times New Roman"/>
          <w:sz w:val="24"/>
          <w:szCs w:val="24"/>
        </w:rPr>
        <w:t>Pieniz</w:t>
      </w:r>
      <w:proofErr w:type="spellEnd"/>
      <w:r w:rsidRPr="001D7B62">
        <w:rPr>
          <w:rFonts w:ascii="Times New Roman" w:hAnsi="Times New Roman"/>
          <w:sz w:val="24"/>
          <w:szCs w:val="24"/>
        </w:rPr>
        <w:t xml:space="preserve">, S., &amp; </w:t>
      </w:r>
      <w:proofErr w:type="spellStart"/>
      <w:r w:rsidRPr="001D7B62">
        <w:rPr>
          <w:rFonts w:ascii="Times New Roman" w:hAnsi="Times New Roman"/>
          <w:sz w:val="24"/>
          <w:szCs w:val="24"/>
        </w:rPr>
        <w:t>Andreazza</w:t>
      </w:r>
      <w:proofErr w:type="spellEnd"/>
      <w:r w:rsidRPr="001D7B62">
        <w:rPr>
          <w:rFonts w:ascii="Times New Roman" w:hAnsi="Times New Roman"/>
          <w:sz w:val="24"/>
          <w:szCs w:val="24"/>
        </w:rPr>
        <w:t xml:space="preserve">, R. (2023). Resistance mechanisms of </w:t>
      </w:r>
      <w:proofErr w:type="spellStart"/>
      <w:r w:rsidRPr="001D7B62">
        <w:rPr>
          <w:rFonts w:ascii="Times New Roman" w:hAnsi="Times New Roman"/>
          <w:i/>
          <w:iCs/>
          <w:sz w:val="24"/>
          <w:szCs w:val="24"/>
        </w:rPr>
        <w:t>Hydrocotyle</w:t>
      </w:r>
      <w:proofErr w:type="spellEnd"/>
      <w:r w:rsidRPr="001D7B62">
        <w:rPr>
          <w:rFonts w:ascii="Times New Roman" w:hAnsi="Times New Roman"/>
          <w:i/>
          <w:iCs/>
          <w:sz w:val="24"/>
          <w:szCs w:val="24"/>
        </w:rPr>
        <w:t xml:space="preserve"> </w:t>
      </w:r>
      <w:proofErr w:type="spellStart"/>
      <w:r w:rsidRPr="001D7B62">
        <w:rPr>
          <w:rFonts w:ascii="Times New Roman" w:hAnsi="Times New Roman"/>
          <w:i/>
          <w:iCs/>
          <w:sz w:val="24"/>
          <w:szCs w:val="24"/>
        </w:rPr>
        <w:t>ranunculoides</w:t>
      </w:r>
      <w:proofErr w:type="spellEnd"/>
      <w:r w:rsidRPr="001D7B62">
        <w:rPr>
          <w:rFonts w:ascii="Times New Roman" w:hAnsi="Times New Roman"/>
          <w:sz w:val="24"/>
          <w:szCs w:val="24"/>
        </w:rPr>
        <w:t xml:space="preserve"> to </w:t>
      </w:r>
      <w:proofErr w:type="gramStart"/>
      <w:r w:rsidRPr="001D7B62">
        <w:rPr>
          <w:rFonts w:ascii="Times New Roman" w:hAnsi="Times New Roman"/>
          <w:sz w:val="24"/>
          <w:szCs w:val="24"/>
        </w:rPr>
        <w:t>Cr(</w:t>
      </w:r>
      <w:proofErr w:type="gramEnd"/>
      <w:r w:rsidRPr="001D7B62">
        <w:rPr>
          <w:rFonts w:ascii="Times New Roman" w:hAnsi="Times New Roman"/>
          <w:sz w:val="24"/>
          <w:szCs w:val="24"/>
        </w:rPr>
        <w:t xml:space="preserve">VI): A </w:t>
      </w:r>
      <w:proofErr w:type="spellStart"/>
      <w:r w:rsidRPr="001D7B62">
        <w:rPr>
          <w:rFonts w:ascii="Times New Roman" w:hAnsi="Times New Roman"/>
          <w:sz w:val="24"/>
          <w:szCs w:val="24"/>
        </w:rPr>
        <w:t>biolfilter</w:t>
      </w:r>
      <w:proofErr w:type="spellEnd"/>
      <w:r w:rsidRPr="001D7B62">
        <w:rPr>
          <w:rFonts w:ascii="Times New Roman" w:hAnsi="Times New Roman"/>
          <w:sz w:val="24"/>
          <w:szCs w:val="24"/>
        </w:rPr>
        <w:t xml:space="preserve"> plant. </w:t>
      </w:r>
      <w:r w:rsidRPr="001D7B62">
        <w:rPr>
          <w:rFonts w:ascii="Times New Roman" w:hAnsi="Times New Roman"/>
          <w:i/>
          <w:iCs/>
          <w:sz w:val="24"/>
          <w:szCs w:val="24"/>
        </w:rPr>
        <w:t>Journal of Cleaner Production, 405</w:t>
      </w:r>
      <w:r w:rsidRPr="001D7B62">
        <w:rPr>
          <w:rFonts w:ascii="Times New Roman" w:hAnsi="Times New Roman"/>
          <w:sz w:val="24"/>
          <w:szCs w:val="24"/>
        </w:rPr>
        <w:t xml:space="preserve">, 136721. </w:t>
      </w:r>
      <w:hyperlink r:id="rId31" w:history="1">
        <w:r w:rsidRPr="001D7B62">
          <w:rPr>
            <w:rFonts w:ascii="Times New Roman" w:hAnsi="Times New Roman"/>
            <w:color w:val="0000FF"/>
            <w:sz w:val="24"/>
            <w:szCs w:val="24"/>
            <w:u w:val="single"/>
          </w:rPr>
          <w:t>https://doi.org/10.1016/j.jclepro.2023.136721</w:t>
        </w:r>
      </w:hyperlink>
    </w:p>
    <w:p w14:paraId="025333B4"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rPr>
      </w:pPr>
      <w:r w:rsidRPr="001D7B62">
        <w:rPr>
          <w:rFonts w:ascii="Times New Roman" w:hAnsi="Times New Roman"/>
          <w:sz w:val="24"/>
          <w:szCs w:val="24"/>
        </w:rPr>
        <w:t xml:space="preserve">Donaher, S. E., &amp; Van den Hurk, P. (2023). Ecotoxicology of the herbicide paraquat: Effects on wildlife and knowledge gaps. </w:t>
      </w:r>
      <w:r w:rsidRPr="001D7B62">
        <w:rPr>
          <w:rFonts w:ascii="Times New Roman" w:hAnsi="Times New Roman"/>
          <w:i/>
          <w:iCs/>
          <w:sz w:val="24"/>
          <w:szCs w:val="24"/>
        </w:rPr>
        <w:t>Ecotoxicology, 32</w:t>
      </w:r>
      <w:r w:rsidRPr="001D7B62">
        <w:rPr>
          <w:rFonts w:ascii="Times New Roman" w:hAnsi="Times New Roman"/>
          <w:sz w:val="24"/>
          <w:szCs w:val="24"/>
        </w:rPr>
        <w:t xml:space="preserve">(9), 1187–1199. </w:t>
      </w:r>
      <w:hyperlink r:id="rId32" w:history="1">
        <w:r w:rsidRPr="001D7B62">
          <w:rPr>
            <w:rFonts w:ascii="Times New Roman" w:hAnsi="Times New Roman"/>
            <w:color w:val="0000FF"/>
            <w:sz w:val="24"/>
            <w:szCs w:val="24"/>
            <w:u w:val="single"/>
          </w:rPr>
          <w:t>https://doi.org/10.1007/s10646-023-02714-y</w:t>
        </w:r>
      </w:hyperlink>
    </w:p>
    <w:p w14:paraId="4CF33EA8"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rPr>
      </w:pPr>
      <w:r w:rsidRPr="001D7B62">
        <w:rPr>
          <w:rFonts w:ascii="Times New Roman" w:hAnsi="Times New Roman"/>
          <w:sz w:val="24"/>
          <w:szCs w:val="24"/>
        </w:rPr>
        <w:t xml:space="preserve">Farias, J. P., Okeke, B. C., Demarco, C. F., Carlos, F. S., da Silva, R. F., da Silva, M. A., Quadro, M. S., </w:t>
      </w:r>
      <w:proofErr w:type="spellStart"/>
      <w:r w:rsidRPr="001D7B62">
        <w:rPr>
          <w:rFonts w:ascii="Times New Roman" w:hAnsi="Times New Roman"/>
          <w:sz w:val="24"/>
          <w:szCs w:val="24"/>
        </w:rPr>
        <w:t>Pieniz</w:t>
      </w:r>
      <w:proofErr w:type="spellEnd"/>
      <w:r w:rsidRPr="001D7B62">
        <w:rPr>
          <w:rFonts w:ascii="Times New Roman" w:hAnsi="Times New Roman"/>
          <w:sz w:val="24"/>
          <w:szCs w:val="24"/>
        </w:rPr>
        <w:t xml:space="preserve">, S., &amp; </w:t>
      </w:r>
      <w:proofErr w:type="spellStart"/>
      <w:r w:rsidRPr="001D7B62">
        <w:rPr>
          <w:rFonts w:ascii="Times New Roman" w:hAnsi="Times New Roman"/>
          <w:sz w:val="24"/>
          <w:szCs w:val="24"/>
        </w:rPr>
        <w:t>Andreazza</w:t>
      </w:r>
      <w:proofErr w:type="spellEnd"/>
      <w:r w:rsidRPr="001D7B62">
        <w:rPr>
          <w:rFonts w:ascii="Times New Roman" w:hAnsi="Times New Roman"/>
          <w:sz w:val="24"/>
          <w:szCs w:val="24"/>
        </w:rPr>
        <w:t xml:space="preserve">, R. (2024). Cadmium contamination in aquatic environments: Detoxification mechanisms and phytoremediation approach. </w:t>
      </w:r>
      <w:r w:rsidRPr="001D7B62">
        <w:rPr>
          <w:rFonts w:ascii="Times New Roman" w:hAnsi="Times New Roman"/>
          <w:i/>
          <w:iCs/>
          <w:sz w:val="24"/>
          <w:szCs w:val="24"/>
        </w:rPr>
        <w:t>Sustainability, 16</w:t>
      </w:r>
      <w:r w:rsidRPr="001D7B62">
        <w:rPr>
          <w:rFonts w:ascii="Times New Roman" w:hAnsi="Times New Roman"/>
          <w:sz w:val="24"/>
          <w:szCs w:val="24"/>
        </w:rPr>
        <w:t xml:space="preserve">(22), 10072. </w:t>
      </w:r>
      <w:hyperlink r:id="rId33" w:history="1">
        <w:r w:rsidRPr="001D7B62">
          <w:rPr>
            <w:rFonts w:ascii="Times New Roman" w:hAnsi="Times New Roman"/>
            <w:color w:val="0000FF"/>
            <w:sz w:val="24"/>
            <w:szCs w:val="24"/>
            <w:u w:val="single"/>
          </w:rPr>
          <w:t>https://doi.org/10.3390/su162210072</w:t>
        </w:r>
      </w:hyperlink>
    </w:p>
    <w:p w14:paraId="2AB78AB4" w14:textId="77777777" w:rsidR="00145385" w:rsidRDefault="00000000">
      <w:pPr>
        <w:spacing w:before="100" w:beforeAutospacing="1" w:after="100" w:afterAutospacing="1"/>
        <w:ind w:left="540" w:hanging="540"/>
        <w:jc w:val="both"/>
        <w:rPr>
          <w:rFonts w:ascii="Times New Roman" w:hAnsi="Times New Roman"/>
          <w:sz w:val="24"/>
          <w:szCs w:val="24"/>
        </w:rPr>
      </w:pPr>
      <w:r>
        <w:rPr>
          <w:b/>
          <w:highlight w:val="yellow"/>
        </w:rPr>
        <w:t xml:space="preserve">Farid, M., Irshad, S., Ullah, Q., Haider, W., Asam, Z. U. Z., Zubair, M., Alasmari, A., Alomrani, S. O., Munir, M., &amp; Ali, S. (2026). Biochemical and physiological insights into </w:t>
      </w:r>
      <w:r>
        <w:rPr>
          <w:b/>
          <w:i/>
          <w:highlight w:val="yellow"/>
        </w:rPr>
        <w:t>Lemna minor</w:t>
      </w:r>
      <w:r>
        <w:rPr>
          <w:b/>
          <w:highlight w:val="yellow"/>
        </w:rPr>
        <w:t xml:space="preserve"> as a remediator of multi metal–microplastic contaminated waters. BMC Plant Biology, 26, Article 447. </w:t>
      </w:r>
      <w:hyperlink r:id="rId34">
        <w:r>
          <w:rPr>
            <w:b/>
            <w:bCs/>
            <w:color w:val="000000"/>
            <w:highlight w:val="yellow"/>
          </w:rPr>
          <w:t>https://doi.org/10.1186/s12870-026-08268-5</w:t>
        </w:r>
      </w:hyperlink>
    </w:p>
    <w:p w14:paraId="5E50D36F"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rPr>
      </w:pPr>
      <w:r w:rsidRPr="001D7B62">
        <w:rPr>
          <w:rFonts w:ascii="Times New Roman" w:hAnsi="Times New Roman"/>
          <w:sz w:val="24"/>
          <w:szCs w:val="24"/>
        </w:rPr>
        <w:t xml:space="preserve">Folgar, S., Torres, E., Pérez-Rama, M., Cid, A., Herrero, C., &amp; Abalde, J. (2009). </w:t>
      </w:r>
      <w:proofErr w:type="spellStart"/>
      <w:r w:rsidRPr="001D7B62">
        <w:rPr>
          <w:rFonts w:ascii="Times New Roman" w:hAnsi="Times New Roman"/>
          <w:i/>
          <w:iCs/>
          <w:sz w:val="24"/>
          <w:szCs w:val="24"/>
        </w:rPr>
        <w:t>Dunaliella</w:t>
      </w:r>
      <w:proofErr w:type="spellEnd"/>
      <w:r w:rsidRPr="001D7B62">
        <w:rPr>
          <w:rFonts w:ascii="Times New Roman" w:hAnsi="Times New Roman"/>
          <w:i/>
          <w:iCs/>
          <w:sz w:val="24"/>
          <w:szCs w:val="24"/>
        </w:rPr>
        <w:t xml:space="preserve"> salina</w:t>
      </w:r>
      <w:r w:rsidRPr="001D7B62">
        <w:rPr>
          <w:rFonts w:ascii="Times New Roman" w:hAnsi="Times New Roman"/>
          <w:sz w:val="24"/>
          <w:szCs w:val="24"/>
        </w:rPr>
        <w:t xml:space="preserve"> as marine microalga highly tolerant to but a poor remover of cadmium. </w:t>
      </w:r>
      <w:r w:rsidRPr="001D7B62">
        <w:rPr>
          <w:rFonts w:ascii="Times New Roman" w:hAnsi="Times New Roman"/>
          <w:i/>
          <w:iCs/>
          <w:sz w:val="24"/>
          <w:szCs w:val="24"/>
        </w:rPr>
        <w:t>Journal of Hazardous Materials, 165</w:t>
      </w:r>
      <w:r w:rsidRPr="001D7B62">
        <w:rPr>
          <w:rFonts w:ascii="Times New Roman" w:hAnsi="Times New Roman"/>
          <w:sz w:val="24"/>
          <w:szCs w:val="24"/>
        </w:rPr>
        <w:t xml:space="preserve">(1–3), 486–493. </w:t>
      </w:r>
      <w:hyperlink r:id="rId35" w:history="1">
        <w:r w:rsidRPr="001D7B62">
          <w:rPr>
            <w:rFonts w:ascii="Times New Roman" w:hAnsi="Times New Roman"/>
            <w:color w:val="0000FF"/>
            <w:sz w:val="24"/>
            <w:szCs w:val="24"/>
            <w:u w:val="single"/>
          </w:rPr>
          <w:t>https://doi.org/10.1016/j.jhazmat.2008.10.010</w:t>
        </w:r>
      </w:hyperlink>
    </w:p>
    <w:p w14:paraId="5DCC446E"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rPr>
      </w:pPr>
      <w:r w:rsidRPr="001D7B62">
        <w:rPr>
          <w:rFonts w:ascii="Times New Roman" w:hAnsi="Times New Roman"/>
          <w:sz w:val="24"/>
          <w:szCs w:val="24"/>
        </w:rPr>
        <w:t xml:space="preserve">Ishaq, F., &amp; Khan, A. (2013). Heavy metal analysis of River Yamuna and their relation with some physicochemical parameters. </w:t>
      </w:r>
      <w:r w:rsidRPr="001D7B62">
        <w:rPr>
          <w:rFonts w:ascii="Times New Roman" w:hAnsi="Times New Roman"/>
          <w:i/>
          <w:iCs/>
          <w:sz w:val="24"/>
          <w:szCs w:val="24"/>
        </w:rPr>
        <w:t>Global Journal of Environmental Research, 7</w:t>
      </w:r>
      <w:r w:rsidRPr="001D7B62">
        <w:rPr>
          <w:rFonts w:ascii="Times New Roman" w:hAnsi="Times New Roman"/>
          <w:sz w:val="24"/>
          <w:szCs w:val="24"/>
        </w:rPr>
        <w:t xml:space="preserve">(2), 34–39. </w:t>
      </w:r>
      <w:hyperlink r:id="rId36" w:history="1">
        <w:r w:rsidRPr="001D7B62">
          <w:rPr>
            <w:rFonts w:ascii="Times New Roman" w:hAnsi="Times New Roman"/>
            <w:color w:val="0000FF"/>
            <w:sz w:val="24"/>
            <w:szCs w:val="24"/>
            <w:u w:val="single"/>
          </w:rPr>
          <w:t>https://doi.org/10.5829/idosi.gjer.2013.7.2.74175</w:t>
        </w:r>
      </w:hyperlink>
    </w:p>
    <w:p w14:paraId="006A1A83"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rPr>
      </w:pPr>
      <w:proofErr w:type="spellStart"/>
      <w:r w:rsidRPr="001D7B62">
        <w:rPr>
          <w:rFonts w:ascii="Times New Roman" w:hAnsi="Times New Roman"/>
          <w:sz w:val="24"/>
          <w:szCs w:val="24"/>
        </w:rPr>
        <w:t>Giannopolitis</w:t>
      </w:r>
      <w:proofErr w:type="spellEnd"/>
      <w:r w:rsidRPr="001D7B62">
        <w:rPr>
          <w:rFonts w:ascii="Times New Roman" w:hAnsi="Times New Roman"/>
          <w:sz w:val="24"/>
          <w:szCs w:val="24"/>
        </w:rPr>
        <w:t xml:space="preserve">, C. N., &amp; Ries, S. K. (1977). Superoxide </w:t>
      </w:r>
      <w:proofErr w:type="spellStart"/>
      <w:r w:rsidRPr="001D7B62">
        <w:rPr>
          <w:rFonts w:ascii="Times New Roman" w:hAnsi="Times New Roman"/>
          <w:sz w:val="24"/>
          <w:szCs w:val="24"/>
        </w:rPr>
        <w:t>dismutases</w:t>
      </w:r>
      <w:proofErr w:type="spellEnd"/>
      <w:r w:rsidRPr="001D7B62">
        <w:rPr>
          <w:rFonts w:ascii="Times New Roman" w:hAnsi="Times New Roman"/>
          <w:sz w:val="24"/>
          <w:szCs w:val="24"/>
        </w:rPr>
        <w:t xml:space="preserve">: I. Occurrence in higher plants. </w:t>
      </w:r>
      <w:r w:rsidRPr="001D7B62">
        <w:rPr>
          <w:rFonts w:ascii="Times New Roman" w:hAnsi="Times New Roman"/>
          <w:i/>
          <w:iCs/>
          <w:sz w:val="24"/>
          <w:szCs w:val="24"/>
        </w:rPr>
        <w:t>Plant Physiology, 59</w:t>
      </w:r>
      <w:r w:rsidRPr="001D7B62">
        <w:rPr>
          <w:rFonts w:ascii="Times New Roman" w:hAnsi="Times New Roman"/>
          <w:sz w:val="24"/>
          <w:szCs w:val="24"/>
        </w:rPr>
        <w:t xml:space="preserve">(2), 309–314. </w:t>
      </w:r>
      <w:hyperlink r:id="rId37" w:history="1">
        <w:r w:rsidRPr="001D7B62">
          <w:rPr>
            <w:rFonts w:ascii="Times New Roman" w:hAnsi="Times New Roman"/>
            <w:color w:val="0000FF"/>
            <w:sz w:val="24"/>
            <w:szCs w:val="24"/>
            <w:u w:val="single"/>
          </w:rPr>
          <w:t>https://doi.org/10.1104/pp.59.2.309</w:t>
        </w:r>
      </w:hyperlink>
    </w:p>
    <w:p w14:paraId="0187D24F"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rPr>
      </w:pPr>
      <w:proofErr w:type="spellStart"/>
      <w:r w:rsidRPr="001D7B62">
        <w:rPr>
          <w:rFonts w:ascii="Times New Roman" w:hAnsi="Times New Roman"/>
          <w:sz w:val="24"/>
          <w:szCs w:val="24"/>
        </w:rPr>
        <w:t>Gratão</w:t>
      </w:r>
      <w:proofErr w:type="spellEnd"/>
      <w:r w:rsidRPr="001D7B62">
        <w:rPr>
          <w:rFonts w:ascii="Times New Roman" w:hAnsi="Times New Roman"/>
          <w:sz w:val="24"/>
          <w:szCs w:val="24"/>
        </w:rPr>
        <w:t>, P. L., Monteiro, C. C., Antunes, A. M., Peres, L. E. P., &amp; Azevedo, R. A. (2008). Acquired tolerance of tomato (</w:t>
      </w:r>
      <w:r w:rsidRPr="001D7B62">
        <w:rPr>
          <w:rFonts w:ascii="Times New Roman" w:hAnsi="Times New Roman"/>
          <w:i/>
          <w:iCs/>
          <w:sz w:val="24"/>
          <w:szCs w:val="24"/>
        </w:rPr>
        <w:t>Lycopersicon esculentum</w:t>
      </w:r>
      <w:r w:rsidRPr="001D7B62">
        <w:rPr>
          <w:rFonts w:ascii="Times New Roman" w:hAnsi="Times New Roman"/>
          <w:sz w:val="24"/>
          <w:szCs w:val="24"/>
        </w:rPr>
        <w:t xml:space="preserve"> cv. Micro-Tom) </w:t>
      </w:r>
      <w:r w:rsidRPr="001D7B62">
        <w:rPr>
          <w:rFonts w:ascii="Times New Roman" w:hAnsi="Times New Roman"/>
          <w:sz w:val="24"/>
          <w:szCs w:val="24"/>
        </w:rPr>
        <w:lastRenderedPageBreak/>
        <w:t xml:space="preserve">plants to cadmium-induced stress. </w:t>
      </w:r>
      <w:r w:rsidRPr="001D7B62">
        <w:rPr>
          <w:rFonts w:ascii="Times New Roman" w:hAnsi="Times New Roman"/>
          <w:i/>
          <w:iCs/>
          <w:sz w:val="24"/>
          <w:szCs w:val="24"/>
        </w:rPr>
        <w:t>Annals of Applied Biology, 153</w:t>
      </w:r>
      <w:r w:rsidRPr="001D7B62">
        <w:rPr>
          <w:rFonts w:ascii="Times New Roman" w:hAnsi="Times New Roman"/>
          <w:sz w:val="24"/>
          <w:szCs w:val="24"/>
        </w:rPr>
        <w:t xml:space="preserve">(3), 321–333. </w:t>
      </w:r>
      <w:hyperlink r:id="rId38" w:history="1">
        <w:r w:rsidRPr="001D7B62">
          <w:rPr>
            <w:rFonts w:ascii="Times New Roman" w:hAnsi="Times New Roman"/>
            <w:color w:val="0000FF"/>
            <w:sz w:val="24"/>
            <w:szCs w:val="24"/>
            <w:u w:val="single"/>
          </w:rPr>
          <w:t>https://doi.org/10.1111/j.1744-7348.2008.00299.x</w:t>
        </w:r>
      </w:hyperlink>
    </w:p>
    <w:p w14:paraId="529BD573"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rPr>
      </w:pPr>
      <w:r w:rsidRPr="001D7B62">
        <w:rPr>
          <w:rFonts w:ascii="Times New Roman" w:hAnsi="Times New Roman"/>
          <w:sz w:val="24"/>
          <w:szCs w:val="24"/>
        </w:rPr>
        <w:t xml:space="preserve">Halliwell, B. (2006). Oxidative stress and neurodegeneration: Where are we now? </w:t>
      </w:r>
      <w:r w:rsidRPr="001D7B62">
        <w:rPr>
          <w:rFonts w:ascii="Times New Roman" w:hAnsi="Times New Roman"/>
          <w:i/>
          <w:iCs/>
          <w:sz w:val="24"/>
          <w:szCs w:val="24"/>
        </w:rPr>
        <w:t>Journal of Neurochemistry, 97</w:t>
      </w:r>
      <w:r w:rsidRPr="001D7B62">
        <w:rPr>
          <w:rFonts w:ascii="Times New Roman" w:hAnsi="Times New Roman"/>
          <w:sz w:val="24"/>
          <w:szCs w:val="24"/>
        </w:rPr>
        <w:t xml:space="preserve">(6), 1634–1658. </w:t>
      </w:r>
      <w:hyperlink r:id="rId39" w:history="1">
        <w:r w:rsidRPr="001D7B62">
          <w:rPr>
            <w:rFonts w:ascii="Times New Roman" w:hAnsi="Times New Roman"/>
            <w:color w:val="0000FF"/>
            <w:sz w:val="24"/>
            <w:szCs w:val="24"/>
            <w:u w:val="single"/>
          </w:rPr>
          <w:t>https://doi.org/10.1111/j.1471-4159.2006.03907.x</w:t>
        </w:r>
      </w:hyperlink>
    </w:p>
    <w:p w14:paraId="3F587D52"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rPr>
      </w:pPr>
      <w:r w:rsidRPr="001D7B62">
        <w:rPr>
          <w:rFonts w:ascii="Times New Roman" w:hAnsi="Times New Roman"/>
          <w:sz w:val="24"/>
          <w:szCs w:val="24"/>
        </w:rPr>
        <w:t xml:space="preserve">Haro Girón, S., Monserrat Sanz, J., Ortega, M. A., Garcia-Montero, C., Fraile-Martínez, O., Gómez-Lahoz, A. M., </w:t>
      </w:r>
      <w:proofErr w:type="spellStart"/>
      <w:r w:rsidRPr="001D7B62">
        <w:rPr>
          <w:rFonts w:ascii="Times New Roman" w:hAnsi="Times New Roman"/>
          <w:sz w:val="24"/>
          <w:szCs w:val="24"/>
        </w:rPr>
        <w:t>Boaru</w:t>
      </w:r>
      <w:proofErr w:type="spellEnd"/>
      <w:r w:rsidRPr="001D7B62">
        <w:rPr>
          <w:rFonts w:ascii="Times New Roman" w:hAnsi="Times New Roman"/>
          <w:sz w:val="24"/>
          <w:szCs w:val="24"/>
        </w:rPr>
        <w:t>, D. L., de Leon-Oliva, D., Guijarro, L. G., Atienza-Perez, M., Diaz, D., Lopez-</w:t>
      </w:r>
      <w:proofErr w:type="spellStart"/>
      <w:r w:rsidRPr="001D7B62">
        <w:rPr>
          <w:rFonts w:ascii="Times New Roman" w:hAnsi="Times New Roman"/>
          <w:sz w:val="24"/>
          <w:szCs w:val="24"/>
        </w:rPr>
        <w:t>Dolado</w:t>
      </w:r>
      <w:proofErr w:type="spellEnd"/>
      <w:r w:rsidRPr="001D7B62">
        <w:rPr>
          <w:rFonts w:ascii="Times New Roman" w:hAnsi="Times New Roman"/>
          <w:sz w:val="24"/>
          <w:szCs w:val="24"/>
        </w:rPr>
        <w:t xml:space="preserve">, E., &amp; Álvarez-Mon, M. (2023). Prognostic value of malondialdehyde (MDA) in the temporal progression of chronic spinal cord injury. </w:t>
      </w:r>
      <w:r w:rsidRPr="001D7B62">
        <w:rPr>
          <w:rFonts w:ascii="Times New Roman" w:hAnsi="Times New Roman"/>
          <w:i/>
          <w:iCs/>
          <w:sz w:val="24"/>
          <w:szCs w:val="24"/>
        </w:rPr>
        <w:t>Journal of Personalized Medicine, 13</w:t>
      </w:r>
      <w:r w:rsidRPr="001D7B62">
        <w:rPr>
          <w:rFonts w:ascii="Times New Roman" w:hAnsi="Times New Roman"/>
          <w:sz w:val="24"/>
          <w:szCs w:val="24"/>
        </w:rPr>
        <w:t xml:space="preserve">(4), 626. </w:t>
      </w:r>
      <w:hyperlink r:id="rId40" w:history="1">
        <w:r w:rsidRPr="001D7B62">
          <w:rPr>
            <w:rFonts w:ascii="Times New Roman" w:hAnsi="Times New Roman"/>
            <w:color w:val="0000FF"/>
            <w:sz w:val="24"/>
            <w:szCs w:val="24"/>
            <w:u w:val="single"/>
          </w:rPr>
          <w:t>https://doi.org/10.3390/jpm13040626</w:t>
        </w:r>
      </w:hyperlink>
    </w:p>
    <w:p w14:paraId="40CC8A88"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rPr>
      </w:pPr>
      <w:r w:rsidRPr="001D7B62">
        <w:rPr>
          <w:rFonts w:ascii="Times New Roman" w:hAnsi="Times New Roman"/>
          <w:sz w:val="24"/>
          <w:szCs w:val="24"/>
        </w:rPr>
        <w:t xml:space="preserve">Heath, R. L., &amp; Packer, L. (1968). </w:t>
      </w:r>
      <w:proofErr w:type="spellStart"/>
      <w:r w:rsidRPr="001D7B62">
        <w:rPr>
          <w:rFonts w:ascii="Times New Roman" w:hAnsi="Times New Roman"/>
          <w:sz w:val="24"/>
          <w:szCs w:val="24"/>
        </w:rPr>
        <w:t>Photoperoxidation</w:t>
      </w:r>
      <w:proofErr w:type="spellEnd"/>
      <w:r w:rsidRPr="001D7B62">
        <w:rPr>
          <w:rFonts w:ascii="Times New Roman" w:hAnsi="Times New Roman"/>
          <w:sz w:val="24"/>
          <w:szCs w:val="24"/>
        </w:rPr>
        <w:t xml:space="preserve"> in isolated chloroplasts: I. Kinetics and stoichiometry of fatty acid peroxidation. </w:t>
      </w:r>
      <w:r w:rsidRPr="001D7B62">
        <w:rPr>
          <w:rFonts w:ascii="Times New Roman" w:hAnsi="Times New Roman"/>
          <w:i/>
          <w:iCs/>
          <w:sz w:val="24"/>
          <w:szCs w:val="24"/>
        </w:rPr>
        <w:t>Archives of Biochemistry and Biophysics, 125</w:t>
      </w:r>
      <w:r w:rsidRPr="001D7B62">
        <w:rPr>
          <w:rFonts w:ascii="Times New Roman" w:hAnsi="Times New Roman"/>
          <w:sz w:val="24"/>
          <w:szCs w:val="24"/>
        </w:rPr>
        <w:t xml:space="preserve">(1), 189–198. </w:t>
      </w:r>
      <w:hyperlink r:id="rId41" w:history="1">
        <w:r w:rsidRPr="001D7B62">
          <w:rPr>
            <w:rFonts w:ascii="Times New Roman" w:hAnsi="Times New Roman"/>
            <w:color w:val="0000FF"/>
            <w:sz w:val="24"/>
            <w:szCs w:val="24"/>
            <w:u w:val="single"/>
          </w:rPr>
          <w:t>https://doi.org/10.1016/0003-9861(68)90654-1</w:t>
        </w:r>
      </w:hyperlink>
    </w:p>
    <w:p w14:paraId="01EB51C9"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rPr>
      </w:pPr>
      <w:r w:rsidRPr="001D7B62">
        <w:rPr>
          <w:rFonts w:ascii="Times New Roman" w:hAnsi="Times New Roman"/>
          <w:sz w:val="24"/>
          <w:szCs w:val="24"/>
        </w:rPr>
        <w:t xml:space="preserve">Homer, R. F., Mees, G. C., &amp; Tomlinson, T. E. (1960). Mode of action of dipyridyl quaternary salts as herbicides. </w:t>
      </w:r>
      <w:r w:rsidRPr="001D7B62">
        <w:rPr>
          <w:rFonts w:ascii="Times New Roman" w:hAnsi="Times New Roman"/>
          <w:i/>
          <w:iCs/>
          <w:sz w:val="24"/>
          <w:szCs w:val="24"/>
        </w:rPr>
        <w:t>Journal of the Science of Food and Agriculture, 11</w:t>
      </w:r>
      <w:r w:rsidRPr="001D7B62">
        <w:rPr>
          <w:rFonts w:ascii="Times New Roman" w:hAnsi="Times New Roman"/>
          <w:sz w:val="24"/>
          <w:szCs w:val="24"/>
        </w:rPr>
        <w:t xml:space="preserve">(6), 309–315. </w:t>
      </w:r>
      <w:hyperlink r:id="rId42" w:history="1">
        <w:r w:rsidRPr="001D7B62">
          <w:rPr>
            <w:rFonts w:ascii="Times New Roman" w:hAnsi="Times New Roman"/>
            <w:color w:val="0000FF"/>
            <w:sz w:val="24"/>
            <w:szCs w:val="24"/>
            <w:u w:val="single"/>
          </w:rPr>
          <w:t>https://doi.org/10.1002/jsfa.2740110604</w:t>
        </w:r>
      </w:hyperlink>
    </w:p>
    <w:p w14:paraId="3BAD3F59"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rPr>
      </w:pPr>
      <w:r w:rsidRPr="001D7B62">
        <w:rPr>
          <w:rFonts w:ascii="Times New Roman" w:hAnsi="Times New Roman"/>
          <w:sz w:val="24"/>
          <w:szCs w:val="24"/>
        </w:rPr>
        <w:t xml:space="preserve">Islam, F., Yasmeen, T., Ali, Q., Ali, S., Arif, M. S., Hussain, S., &amp; Rizvi, H. (2014). Influence of </w:t>
      </w:r>
      <w:r w:rsidRPr="001D7B62">
        <w:rPr>
          <w:rFonts w:ascii="Times New Roman" w:hAnsi="Times New Roman"/>
          <w:i/>
          <w:iCs/>
          <w:sz w:val="24"/>
          <w:szCs w:val="24"/>
        </w:rPr>
        <w:t>Pseudomonas aeruginosa</w:t>
      </w:r>
      <w:r w:rsidRPr="001D7B62">
        <w:rPr>
          <w:rFonts w:ascii="Times New Roman" w:hAnsi="Times New Roman"/>
          <w:sz w:val="24"/>
          <w:szCs w:val="24"/>
        </w:rPr>
        <w:t xml:space="preserve"> as PGPR on oxidative stress tolerance in wheat under Zn stress. </w:t>
      </w:r>
      <w:r w:rsidRPr="001D7B62">
        <w:rPr>
          <w:rFonts w:ascii="Times New Roman" w:hAnsi="Times New Roman"/>
          <w:i/>
          <w:iCs/>
          <w:sz w:val="24"/>
          <w:szCs w:val="24"/>
        </w:rPr>
        <w:t>Ecotoxicology and Environmental Safety, 104</w:t>
      </w:r>
      <w:r w:rsidRPr="001D7B62">
        <w:rPr>
          <w:rFonts w:ascii="Times New Roman" w:hAnsi="Times New Roman"/>
          <w:sz w:val="24"/>
          <w:szCs w:val="24"/>
        </w:rPr>
        <w:t xml:space="preserve">, 285–293. </w:t>
      </w:r>
      <w:hyperlink r:id="rId43" w:history="1">
        <w:r w:rsidRPr="001D7B62">
          <w:rPr>
            <w:rFonts w:ascii="Times New Roman" w:hAnsi="Times New Roman"/>
            <w:color w:val="0000FF"/>
            <w:sz w:val="24"/>
            <w:szCs w:val="24"/>
            <w:u w:val="single"/>
          </w:rPr>
          <w:t>https://doi.org/10.1016/j.ecoenv.2014.03.008</w:t>
        </w:r>
      </w:hyperlink>
    </w:p>
    <w:p w14:paraId="0063FD13"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rPr>
      </w:pPr>
      <w:r w:rsidRPr="001D7B62">
        <w:rPr>
          <w:rFonts w:ascii="Times New Roman" w:hAnsi="Times New Roman"/>
          <w:sz w:val="24"/>
          <w:szCs w:val="24"/>
        </w:rPr>
        <w:t xml:space="preserve">Jayasri, M. A., &amp; </w:t>
      </w:r>
      <w:proofErr w:type="spellStart"/>
      <w:r w:rsidRPr="001D7B62">
        <w:rPr>
          <w:rFonts w:ascii="Times New Roman" w:hAnsi="Times New Roman"/>
          <w:sz w:val="24"/>
          <w:szCs w:val="24"/>
        </w:rPr>
        <w:t>Suthindhiran</w:t>
      </w:r>
      <w:proofErr w:type="spellEnd"/>
      <w:r w:rsidRPr="001D7B62">
        <w:rPr>
          <w:rFonts w:ascii="Times New Roman" w:hAnsi="Times New Roman"/>
          <w:sz w:val="24"/>
          <w:szCs w:val="24"/>
        </w:rPr>
        <w:t xml:space="preserve">, K. (2017). Effect of zinc and lead on the physiological and biochemical properties of aquatic plant </w:t>
      </w:r>
      <w:r w:rsidRPr="001D7B62">
        <w:rPr>
          <w:rFonts w:ascii="Times New Roman" w:hAnsi="Times New Roman"/>
          <w:i/>
          <w:iCs/>
          <w:sz w:val="24"/>
          <w:szCs w:val="24"/>
        </w:rPr>
        <w:t>Lemna minor</w:t>
      </w:r>
      <w:r w:rsidRPr="001D7B62">
        <w:rPr>
          <w:rFonts w:ascii="Times New Roman" w:hAnsi="Times New Roman"/>
          <w:sz w:val="24"/>
          <w:szCs w:val="24"/>
        </w:rPr>
        <w:t xml:space="preserve">: Its potential role in phytoremediation. </w:t>
      </w:r>
      <w:r w:rsidRPr="001D7B62">
        <w:rPr>
          <w:rFonts w:ascii="Times New Roman" w:hAnsi="Times New Roman"/>
          <w:i/>
          <w:iCs/>
          <w:sz w:val="24"/>
          <w:szCs w:val="24"/>
        </w:rPr>
        <w:t>Applied Water Science, 7</w:t>
      </w:r>
      <w:r w:rsidRPr="001D7B62">
        <w:rPr>
          <w:rFonts w:ascii="Times New Roman" w:hAnsi="Times New Roman"/>
          <w:sz w:val="24"/>
          <w:szCs w:val="24"/>
        </w:rPr>
        <w:t xml:space="preserve">(3), 1247–1253. </w:t>
      </w:r>
      <w:hyperlink r:id="rId44" w:history="1">
        <w:r w:rsidRPr="001D7B62">
          <w:rPr>
            <w:rFonts w:ascii="Times New Roman" w:hAnsi="Times New Roman"/>
            <w:color w:val="0000FF"/>
            <w:sz w:val="24"/>
            <w:szCs w:val="24"/>
            <w:u w:val="single"/>
          </w:rPr>
          <w:t>https://doi.org/10.1007/s13201-015-0376-x</w:t>
        </w:r>
      </w:hyperlink>
    </w:p>
    <w:p w14:paraId="16F06DD0"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rPr>
      </w:pPr>
      <w:r w:rsidRPr="001D7B62">
        <w:rPr>
          <w:rFonts w:ascii="Times New Roman" w:hAnsi="Times New Roman"/>
          <w:sz w:val="24"/>
          <w:szCs w:val="24"/>
        </w:rPr>
        <w:t xml:space="preserve">Kolarova, N., &amp; </w:t>
      </w:r>
      <w:proofErr w:type="spellStart"/>
      <w:r w:rsidRPr="001D7B62">
        <w:rPr>
          <w:rFonts w:ascii="Times New Roman" w:hAnsi="Times New Roman"/>
          <w:sz w:val="24"/>
          <w:szCs w:val="24"/>
        </w:rPr>
        <w:t>Napiórkowski</w:t>
      </w:r>
      <w:proofErr w:type="spellEnd"/>
      <w:r w:rsidRPr="001D7B62">
        <w:rPr>
          <w:rFonts w:ascii="Times New Roman" w:hAnsi="Times New Roman"/>
          <w:sz w:val="24"/>
          <w:szCs w:val="24"/>
        </w:rPr>
        <w:t xml:space="preserve">, P. (2021). Trace elements in aquatic environment. Origin, distribution, assessment and toxicity effect for the aquatic biota. </w:t>
      </w:r>
      <w:r w:rsidRPr="001D7B62">
        <w:rPr>
          <w:rFonts w:ascii="Times New Roman" w:hAnsi="Times New Roman"/>
          <w:i/>
          <w:iCs/>
          <w:sz w:val="24"/>
          <w:szCs w:val="24"/>
        </w:rPr>
        <w:t>Ecohydrology &amp; Hydrobiology, 21</w:t>
      </w:r>
      <w:r w:rsidRPr="001D7B62">
        <w:rPr>
          <w:rFonts w:ascii="Times New Roman" w:hAnsi="Times New Roman"/>
          <w:sz w:val="24"/>
          <w:szCs w:val="24"/>
        </w:rPr>
        <w:t xml:space="preserve">(4), 655–668. </w:t>
      </w:r>
      <w:hyperlink r:id="rId45" w:history="1">
        <w:r w:rsidRPr="001D7B62">
          <w:rPr>
            <w:rFonts w:ascii="Times New Roman" w:hAnsi="Times New Roman"/>
            <w:color w:val="0000FF"/>
            <w:sz w:val="24"/>
            <w:szCs w:val="24"/>
            <w:u w:val="single"/>
          </w:rPr>
          <w:t>https://doi.org/10.1016/j.ecohyd.2021.02.002</w:t>
        </w:r>
      </w:hyperlink>
    </w:p>
    <w:p w14:paraId="20B188FA"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rPr>
      </w:pPr>
      <w:r w:rsidRPr="001D7B62">
        <w:rPr>
          <w:rFonts w:ascii="Times New Roman" w:hAnsi="Times New Roman"/>
          <w:sz w:val="24"/>
          <w:szCs w:val="24"/>
        </w:rPr>
        <w:t xml:space="preserve">Kumar, D., Bharti, S. K., Anand, S., &amp; Kumar, N. (2018). Bioaccumulation and biochemical responses of </w:t>
      </w:r>
      <w:proofErr w:type="spellStart"/>
      <w:r w:rsidRPr="001D7B62">
        <w:rPr>
          <w:rFonts w:ascii="Times New Roman" w:hAnsi="Times New Roman"/>
          <w:i/>
          <w:iCs/>
          <w:sz w:val="24"/>
          <w:szCs w:val="24"/>
        </w:rPr>
        <w:t>Vetiveria</w:t>
      </w:r>
      <w:proofErr w:type="spellEnd"/>
      <w:r w:rsidRPr="001D7B62">
        <w:rPr>
          <w:rFonts w:ascii="Times New Roman" w:hAnsi="Times New Roman"/>
          <w:i/>
          <w:iCs/>
          <w:sz w:val="24"/>
          <w:szCs w:val="24"/>
        </w:rPr>
        <w:t xml:space="preserve"> </w:t>
      </w:r>
      <w:proofErr w:type="spellStart"/>
      <w:r w:rsidRPr="001D7B62">
        <w:rPr>
          <w:rFonts w:ascii="Times New Roman" w:hAnsi="Times New Roman"/>
          <w:i/>
          <w:iCs/>
          <w:sz w:val="24"/>
          <w:szCs w:val="24"/>
        </w:rPr>
        <w:t>zizanioides</w:t>
      </w:r>
      <w:proofErr w:type="spellEnd"/>
      <w:r w:rsidRPr="001D7B62">
        <w:rPr>
          <w:rFonts w:ascii="Times New Roman" w:hAnsi="Times New Roman"/>
          <w:sz w:val="24"/>
          <w:szCs w:val="24"/>
        </w:rPr>
        <w:t xml:space="preserve"> grown under cadmium and copper stresses. </w:t>
      </w:r>
      <w:r w:rsidRPr="001D7B62">
        <w:rPr>
          <w:rFonts w:ascii="Times New Roman" w:hAnsi="Times New Roman"/>
          <w:i/>
          <w:iCs/>
          <w:sz w:val="24"/>
          <w:szCs w:val="24"/>
        </w:rPr>
        <w:t>Environmental Sustainability, 1</w:t>
      </w:r>
      <w:r w:rsidRPr="001D7B62">
        <w:rPr>
          <w:rFonts w:ascii="Times New Roman" w:hAnsi="Times New Roman"/>
          <w:sz w:val="24"/>
          <w:szCs w:val="24"/>
        </w:rPr>
        <w:t xml:space="preserve">(2), 133–139. </w:t>
      </w:r>
      <w:hyperlink r:id="rId46" w:history="1">
        <w:r w:rsidRPr="001D7B62">
          <w:rPr>
            <w:rFonts w:ascii="Times New Roman" w:hAnsi="Times New Roman"/>
            <w:color w:val="0000FF"/>
            <w:sz w:val="24"/>
            <w:szCs w:val="24"/>
            <w:u w:val="single"/>
          </w:rPr>
          <w:t>https://doi.org/10.1007/s42398-018-0009-z</w:t>
        </w:r>
      </w:hyperlink>
    </w:p>
    <w:p w14:paraId="55E09A72"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lang w:val="nl-BE"/>
        </w:rPr>
      </w:pPr>
      <w:r w:rsidRPr="001D7B62">
        <w:rPr>
          <w:rFonts w:ascii="Times New Roman" w:hAnsi="Times New Roman"/>
          <w:sz w:val="24"/>
          <w:szCs w:val="24"/>
        </w:rPr>
        <w:lastRenderedPageBreak/>
        <w:t xml:space="preserve">Kumar, D., Singh, D. P., Barman, S. C., &amp; Kumar, N. (2016). Heavy metal and their regulation in plant system: An overview. In A. Singh, S. M. Prasad, &amp; R. P. Singh (Eds.), </w:t>
      </w:r>
      <w:r w:rsidRPr="001D7B62">
        <w:rPr>
          <w:rFonts w:ascii="Times New Roman" w:hAnsi="Times New Roman"/>
          <w:i/>
          <w:iCs/>
          <w:sz w:val="24"/>
          <w:szCs w:val="24"/>
        </w:rPr>
        <w:t>Plant responses to xenobiotics</w:t>
      </w:r>
      <w:r w:rsidRPr="001D7B62">
        <w:rPr>
          <w:rFonts w:ascii="Times New Roman" w:hAnsi="Times New Roman"/>
          <w:sz w:val="24"/>
          <w:szCs w:val="24"/>
        </w:rPr>
        <w:t xml:space="preserve"> (pp. 19–38). </w:t>
      </w:r>
      <w:r w:rsidRPr="001D7B62">
        <w:rPr>
          <w:rFonts w:ascii="Times New Roman" w:hAnsi="Times New Roman"/>
          <w:sz w:val="24"/>
          <w:szCs w:val="24"/>
          <w:lang w:val="nl-BE"/>
        </w:rPr>
        <w:t xml:space="preserve">Springer. </w:t>
      </w:r>
      <w:hyperlink r:id="rId47" w:history="1">
        <w:r w:rsidRPr="001D7B62">
          <w:rPr>
            <w:rFonts w:ascii="Times New Roman" w:hAnsi="Times New Roman"/>
            <w:color w:val="0000FF"/>
            <w:sz w:val="24"/>
            <w:szCs w:val="24"/>
            <w:u w:val="single"/>
            <w:lang w:val="nl-BE"/>
          </w:rPr>
          <w:t>https://doi.org/10.1007/978-981-10-2860-1_2</w:t>
        </w:r>
      </w:hyperlink>
    </w:p>
    <w:p w14:paraId="2491D93D"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rPr>
      </w:pPr>
      <w:r w:rsidRPr="001D7B62">
        <w:rPr>
          <w:rFonts w:ascii="Times New Roman" w:hAnsi="Times New Roman"/>
          <w:sz w:val="24"/>
          <w:szCs w:val="24"/>
          <w:lang w:val="nl-BE"/>
        </w:rPr>
        <w:t xml:space="preserve">Kumar, N., Kulsoom, M., Shukla, V., Kumar, D., Priyanka, Kumar, S., Tiwari, J., &amp; Dwivedi, N. (2018). </w:t>
      </w:r>
      <w:r w:rsidRPr="001D7B62">
        <w:rPr>
          <w:rFonts w:ascii="Times New Roman" w:hAnsi="Times New Roman"/>
          <w:sz w:val="24"/>
          <w:szCs w:val="24"/>
        </w:rPr>
        <w:t xml:space="preserve">Profiling of heavy metal and pesticide residues in medicinal plants. </w:t>
      </w:r>
      <w:r w:rsidRPr="001D7B62">
        <w:rPr>
          <w:rFonts w:ascii="Times New Roman" w:hAnsi="Times New Roman"/>
          <w:i/>
          <w:iCs/>
          <w:sz w:val="24"/>
          <w:szCs w:val="24"/>
        </w:rPr>
        <w:t>Environmental Science and Pollution Research, 25</w:t>
      </w:r>
      <w:r w:rsidRPr="001D7B62">
        <w:rPr>
          <w:rFonts w:ascii="Times New Roman" w:hAnsi="Times New Roman"/>
          <w:sz w:val="24"/>
          <w:szCs w:val="24"/>
        </w:rPr>
        <w:t xml:space="preserve">(29), 29505–29510. </w:t>
      </w:r>
      <w:hyperlink r:id="rId48" w:history="1">
        <w:r w:rsidRPr="001D7B62">
          <w:rPr>
            <w:rFonts w:ascii="Times New Roman" w:hAnsi="Times New Roman"/>
            <w:color w:val="0000FF"/>
            <w:sz w:val="24"/>
            <w:szCs w:val="24"/>
            <w:u w:val="single"/>
          </w:rPr>
          <w:t>https://doi.org/10.1007/s11356-018-2993-z</w:t>
        </w:r>
      </w:hyperlink>
    </w:p>
    <w:p w14:paraId="0A47BA20"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rPr>
      </w:pPr>
      <w:r w:rsidRPr="001D7B62">
        <w:rPr>
          <w:rFonts w:ascii="Times New Roman" w:hAnsi="Times New Roman"/>
          <w:sz w:val="24"/>
          <w:szCs w:val="24"/>
        </w:rPr>
        <w:t xml:space="preserve">Li, B., Gu, B., Yang, Z., &amp; Zhang, T. (2018). The role of submerged macrophytes in phytoremediation of arsenic from contaminated water: A case study on </w:t>
      </w:r>
      <w:r w:rsidRPr="001D7B62">
        <w:rPr>
          <w:rFonts w:ascii="Times New Roman" w:hAnsi="Times New Roman"/>
          <w:i/>
          <w:iCs/>
          <w:sz w:val="24"/>
          <w:szCs w:val="24"/>
        </w:rPr>
        <w:t>Vallisneria natans</w:t>
      </w:r>
      <w:r w:rsidRPr="001D7B62">
        <w:rPr>
          <w:rFonts w:ascii="Times New Roman" w:hAnsi="Times New Roman"/>
          <w:sz w:val="24"/>
          <w:szCs w:val="24"/>
        </w:rPr>
        <w:t xml:space="preserve"> (</w:t>
      </w:r>
      <w:proofErr w:type="spellStart"/>
      <w:r w:rsidRPr="001D7B62">
        <w:rPr>
          <w:rFonts w:ascii="Times New Roman" w:hAnsi="Times New Roman"/>
          <w:sz w:val="24"/>
          <w:szCs w:val="24"/>
        </w:rPr>
        <w:t>Lour</w:t>
      </w:r>
      <w:proofErr w:type="spellEnd"/>
      <w:r w:rsidRPr="001D7B62">
        <w:rPr>
          <w:rFonts w:ascii="Times New Roman" w:hAnsi="Times New Roman"/>
          <w:sz w:val="24"/>
          <w:szCs w:val="24"/>
        </w:rPr>
        <w:t xml:space="preserve">.) Hara. </w:t>
      </w:r>
      <w:r w:rsidRPr="001D7B62">
        <w:rPr>
          <w:rFonts w:ascii="Times New Roman" w:hAnsi="Times New Roman"/>
          <w:i/>
          <w:iCs/>
          <w:sz w:val="24"/>
          <w:szCs w:val="24"/>
        </w:rPr>
        <w:t>Ecotoxicology and Environmental Safety, 165</w:t>
      </w:r>
      <w:r w:rsidRPr="001D7B62">
        <w:rPr>
          <w:rFonts w:ascii="Times New Roman" w:hAnsi="Times New Roman"/>
          <w:sz w:val="24"/>
          <w:szCs w:val="24"/>
        </w:rPr>
        <w:t xml:space="preserve">, 224–231. </w:t>
      </w:r>
      <w:hyperlink r:id="rId49" w:history="1">
        <w:r w:rsidRPr="001D7B62">
          <w:rPr>
            <w:rFonts w:ascii="Times New Roman" w:hAnsi="Times New Roman"/>
            <w:color w:val="0000FF"/>
            <w:sz w:val="24"/>
            <w:szCs w:val="24"/>
            <w:u w:val="single"/>
          </w:rPr>
          <w:t>https://doi.org/10.1016/j.ecoenv.2018.09.023</w:t>
        </w:r>
      </w:hyperlink>
    </w:p>
    <w:p w14:paraId="7CBC239B"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rPr>
      </w:pPr>
      <w:r w:rsidRPr="001D7B62">
        <w:rPr>
          <w:rFonts w:ascii="Times New Roman" w:hAnsi="Times New Roman"/>
          <w:sz w:val="24"/>
          <w:szCs w:val="24"/>
        </w:rPr>
        <w:t>Lu, Y., Li, X., He, M., Zhao, X., Liu, Y., Cui, Y., Pan, Y., &amp; Tan, H. (2010). Seedlings growth and antioxidative enzymes activities in leaves under heavy metal stress differ between two desert plants: A perennial (</w:t>
      </w:r>
      <w:proofErr w:type="spellStart"/>
      <w:r w:rsidRPr="001D7B62">
        <w:rPr>
          <w:rFonts w:ascii="Times New Roman" w:hAnsi="Times New Roman"/>
          <w:i/>
          <w:iCs/>
          <w:sz w:val="24"/>
          <w:szCs w:val="24"/>
        </w:rPr>
        <w:t>Peganum</w:t>
      </w:r>
      <w:proofErr w:type="spellEnd"/>
      <w:r w:rsidRPr="001D7B62">
        <w:rPr>
          <w:rFonts w:ascii="Times New Roman" w:hAnsi="Times New Roman"/>
          <w:i/>
          <w:iCs/>
          <w:sz w:val="24"/>
          <w:szCs w:val="24"/>
        </w:rPr>
        <w:t xml:space="preserve"> harmala</w:t>
      </w:r>
      <w:r w:rsidRPr="001D7B62">
        <w:rPr>
          <w:rFonts w:ascii="Times New Roman" w:hAnsi="Times New Roman"/>
          <w:sz w:val="24"/>
          <w:szCs w:val="24"/>
        </w:rPr>
        <w:t>) and an annual (</w:t>
      </w:r>
      <w:r w:rsidRPr="001D7B62">
        <w:rPr>
          <w:rFonts w:ascii="Times New Roman" w:hAnsi="Times New Roman"/>
          <w:i/>
          <w:iCs/>
          <w:sz w:val="24"/>
          <w:szCs w:val="24"/>
        </w:rPr>
        <w:t xml:space="preserve">Halogeton </w:t>
      </w:r>
      <w:proofErr w:type="spellStart"/>
      <w:r w:rsidRPr="001D7B62">
        <w:rPr>
          <w:rFonts w:ascii="Times New Roman" w:hAnsi="Times New Roman"/>
          <w:i/>
          <w:iCs/>
          <w:sz w:val="24"/>
          <w:szCs w:val="24"/>
        </w:rPr>
        <w:t>glomeratus</w:t>
      </w:r>
      <w:proofErr w:type="spellEnd"/>
      <w:r w:rsidRPr="001D7B62">
        <w:rPr>
          <w:rFonts w:ascii="Times New Roman" w:hAnsi="Times New Roman"/>
          <w:sz w:val="24"/>
          <w:szCs w:val="24"/>
        </w:rPr>
        <w:t xml:space="preserve">) grass. </w:t>
      </w:r>
      <w:r w:rsidRPr="001D7B62">
        <w:rPr>
          <w:rFonts w:ascii="Times New Roman" w:hAnsi="Times New Roman"/>
          <w:i/>
          <w:iCs/>
          <w:sz w:val="24"/>
          <w:szCs w:val="24"/>
        </w:rPr>
        <w:t xml:space="preserve">Acta </w:t>
      </w:r>
      <w:proofErr w:type="spellStart"/>
      <w:r w:rsidRPr="001D7B62">
        <w:rPr>
          <w:rFonts w:ascii="Times New Roman" w:hAnsi="Times New Roman"/>
          <w:i/>
          <w:iCs/>
          <w:sz w:val="24"/>
          <w:szCs w:val="24"/>
        </w:rPr>
        <w:t>Physiologiae</w:t>
      </w:r>
      <w:proofErr w:type="spellEnd"/>
      <w:r w:rsidRPr="001D7B62">
        <w:rPr>
          <w:rFonts w:ascii="Times New Roman" w:hAnsi="Times New Roman"/>
          <w:i/>
          <w:iCs/>
          <w:sz w:val="24"/>
          <w:szCs w:val="24"/>
        </w:rPr>
        <w:t xml:space="preserve"> Plantarum, 32</w:t>
      </w:r>
      <w:r w:rsidRPr="001D7B62">
        <w:rPr>
          <w:rFonts w:ascii="Times New Roman" w:hAnsi="Times New Roman"/>
          <w:sz w:val="24"/>
          <w:szCs w:val="24"/>
        </w:rPr>
        <w:t xml:space="preserve">(3), 583–590. </w:t>
      </w:r>
      <w:hyperlink r:id="rId50" w:history="1">
        <w:r w:rsidRPr="001D7B62">
          <w:rPr>
            <w:rFonts w:ascii="Times New Roman" w:hAnsi="Times New Roman"/>
            <w:color w:val="0000FF"/>
            <w:sz w:val="24"/>
            <w:szCs w:val="24"/>
            <w:u w:val="single"/>
          </w:rPr>
          <w:t>https://doi.org/10.1007/s11738-009-0436-7</w:t>
        </w:r>
      </w:hyperlink>
    </w:p>
    <w:p w14:paraId="58AEE42C"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rPr>
      </w:pPr>
      <w:r w:rsidRPr="001D7B62">
        <w:rPr>
          <w:rFonts w:ascii="Times New Roman" w:hAnsi="Times New Roman"/>
          <w:sz w:val="24"/>
          <w:szCs w:val="24"/>
        </w:rPr>
        <w:t xml:space="preserve">Manna, B., Dutta, S. M., Dalapati, S., &amp; Maiti, S. (2020). Oxidative stress-induced toxicity and DNA stability in some </w:t>
      </w:r>
      <w:proofErr w:type="spellStart"/>
      <w:r w:rsidRPr="001D7B62">
        <w:rPr>
          <w:rFonts w:ascii="Times New Roman" w:hAnsi="Times New Roman"/>
          <w:sz w:val="24"/>
          <w:szCs w:val="24"/>
        </w:rPr>
        <w:t>agri</w:t>
      </w:r>
      <w:proofErr w:type="spellEnd"/>
      <w:r w:rsidRPr="001D7B62">
        <w:rPr>
          <w:rFonts w:ascii="Times New Roman" w:hAnsi="Times New Roman"/>
          <w:sz w:val="24"/>
          <w:szCs w:val="24"/>
        </w:rPr>
        <w:t xml:space="preserve">-field based livestock/insect by widely used pesticides. </w:t>
      </w:r>
      <w:r w:rsidRPr="001D7B62">
        <w:rPr>
          <w:rFonts w:ascii="Times New Roman" w:hAnsi="Times New Roman"/>
          <w:i/>
          <w:iCs/>
          <w:sz w:val="24"/>
          <w:szCs w:val="24"/>
        </w:rPr>
        <w:t>Combinatorial Chemistry &amp; High Throughput Screening, 23</w:t>
      </w:r>
      <w:r w:rsidRPr="001D7B62">
        <w:rPr>
          <w:rFonts w:ascii="Times New Roman" w:hAnsi="Times New Roman"/>
          <w:sz w:val="24"/>
          <w:szCs w:val="24"/>
        </w:rPr>
        <w:t xml:space="preserve">(9), 972–980. </w:t>
      </w:r>
      <w:hyperlink r:id="rId51" w:history="1">
        <w:r w:rsidRPr="001D7B62">
          <w:rPr>
            <w:rFonts w:ascii="Times New Roman" w:hAnsi="Times New Roman"/>
            <w:color w:val="0000FF"/>
            <w:sz w:val="24"/>
            <w:szCs w:val="24"/>
            <w:u w:val="single"/>
          </w:rPr>
          <w:t>https://doi.org/10.2174/1386207323666200415110745</w:t>
        </w:r>
      </w:hyperlink>
    </w:p>
    <w:p w14:paraId="4874575B" w14:textId="77777777" w:rsidR="00145385" w:rsidRDefault="00000000">
      <w:pPr>
        <w:spacing w:before="100" w:beforeAutospacing="1" w:after="100" w:afterAutospacing="1"/>
        <w:ind w:left="540" w:hanging="540"/>
        <w:jc w:val="both"/>
        <w:rPr>
          <w:rFonts w:ascii="Times New Roman" w:hAnsi="Times New Roman"/>
          <w:sz w:val="24"/>
          <w:szCs w:val="24"/>
        </w:rPr>
      </w:pPr>
      <w:r>
        <w:rPr>
          <w:b/>
          <w:highlight w:val="yellow"/>
        </w:rPr>
        <w:t xml:space="preserve">Marcel, H., Durodola, T. A., Idowu, D. A., Larweh, B. M., Idoko, A., Giwa, H. J., Igiekhumhe, O. G., &amp; Oko, E. O. (2025). Antioxidant phytochemicals in environmental toxicology: Protective roles against oxidative stress from pollutants and heavy metals. Journal of Biology and Nature, 17(2), 614–631. </w:t>
      </w:r>
      <w:hyperlink r:id="rId52">
        <w:r>
          <w:rPr>
            <w:b/>
            <w:bCs/>
            <w:color w:val="000000"/>
            <w:highlight w:val="yellow"/>
          </w:rPr>
          <w:t>https://doi.org/10.56557/joban/2025/v17i29878</w:t>
        </w:r>
      </w:hyperlink>
    </w:p>
    <w:p w14:paraId="32482310"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rPr>
      </w:pPr>
      <w:r w:rsidRPr="001D7B62">
        <w:rPr>
          <w:rFonts w:ascii="Times New Roman" w:hAnsi="Times New Roman"/>
          <w:sz w:val="24"/>
          <w:szCs w:val="24"/>
        </w:rPr>
        <w:t xml:space="preserve">Marron, N. (2015). Agronomic and environmental effects of land application of residues in short-rotation tree plantations: A literature review. </w:t>
      </w:r>
      <w:r w:rsidRPr="001D7B62">
        <w:rPr>
          <w:rFonts w:ascii="Times New Roman" w:hAnsi="Times New Roman"/>
          <w:i/>
          <w:iCs/>
          <w:sz w:val="24"/>
          <w:szCs w:val="24"/>
        </w:rPr>
        <w:t>Biomass and Bioenergy, 81</w:t>
      </w:r>
      <w:r w:rsidRPr="001D7B62">
        <w:rPr>
          <w:rFonts w:ascii="Times New Roman" w:hAnsi="Times New Roman"/>
          <w:sz w:val="24"/>
          <w:szCs w:val="24"/>
        </w:rPr>
        <w:t xml:space="preserve">, 378–400. </w:t>
      </w:r>
      <w:hyperlink r:id="rId53" w:history="1">
        <w:r w:rsidRPr="001D7B62">
          <w:rPr>
            <w:rFonts w:ascii="Times New Roman" w:hAnsi="Times New Roman"/>
            <w:color w:val="0000FF"/>
            <w:sz w:val="24"/>
            <w:szCs w:val="24"/>
            <w:u w:val="single"/>
          </w:rPr>
          <w:t>https://doi.org/10.1016/j.biombioe.2015.07.025</w:t>
        </w:r>
      </w:hyperlink>
    </w:p>
    <w:p w14:paraId="1475F0F6"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rPr>
      </w:pPr>
      <w:r w:rsidRPr="001D7B62">
        <w:rPr>
          <w:rFonts w:ascii="Times New Roman" w:hAnsi="Times New Roman"/>
          <w:sz w:val="24"/>
          <w:szCs w:val="24"/>
        </w:rPr>
        <w:t>Martín-</w:t>
      </w:r>
      <w:proofErr w:type="spellStart"/>
      <w:r w:rsidRPr="001D7B62">
        <w:rPr>
          <w:rFonts w:ascii="Times New Roman" w:hAnsi="Times New Roman"/>
          <w:sz w:val="24"/>
          <w:szCs w:val="24"/>
        </w:rPr>
        <w:t>Closas</w:t>
      </w:r>
      <w:proofErr w:type="spellEnd"/>
      <w:r w:rsidRPr="001D7B62">
        <w:rPr>
          <w:rFonts w:ascii="Times New Roman" w:hAnsi="Times New Roman"/>
          <w:sz w:val="24"/>
          <w:szCs w:val="24"/>
        </w:rPr>
        <w:t xml:space="preserve">, L., Costa, J., &amp; </w:t>
      </w:r>
      <w:proofErr w:type="spellStart"/>
      <w:r w:rsidRPr="001D7B62">
        <w:rPr>
          <w:rFonts w:ascii="Times New Roman" w:hAnsi="Times New Roman"/>
          <w:sz w:val="24"/>
          <w:szCs w:val="24"/>
        </w:rPr>
        <w:t>Pelacho</w:t>
      </w:r>
      <w:proofErr w:type="spellEnd"/>
      <w:r w:rsidRPr="001D7B62">
        <w:rPr>
          <w:rFonts w:ascii="Times New Roman" w:hAnsi="Times New Roman"/>
          <w:sz w:val="24"/>
          <w:szCs w:val="24"/>
        </w:rPr>
        <w:t xml:space="preserve">, A. M. (2017). Agronomic effects of biodegradable films on crop and field environment. In M. Malinconico (Ed.), </w:t>
      </w:r>
      <w:r w:rsidRPr="001D7B62">
        <w:rPr>
          <w:rFonts w:ascii="Times New Roman" w:hAnsi="Times New Roman"/>
          <w:i/>
          <w:iCs/>
          <w:sz w:val="24"/>
          <w:szCs w:val="24"/>
        </w:rPr>
        <w:t>Soil degradable bioplastics for a sustainable modern agriculture</w:t>
      </w:r>
      <w:r w:rsidRPr="001D7B62">
        <w:rPr>
          <w:rFonts w:ascii="Times New Roman" w:hAnsi="Times New Roman"/>
          <w:sz w:val="24"/>
          <w:szCs w:val="24"/>
        </w:rPr>
        <w:t xml:space="preserve"> (pp. 67–104). Springer. </w:t>
      </w:r>
      <w:hyperlink r:id="rId54" w:history="1">
        <w:r w:rsidRPr="001D7B62">
          <w:rPr>
            <w:rFonts w:ascii="Times New Roman" w:hAnsi="Times New Roman"/>
            <w:color w:val="0000FF"/>
            <w:sz w:val="24"/>
            <w:szCs w:val="24"/>
            <w:u w:val="single"/>
          </w:rPr>
          <w:t>https://doi.org/10.1007/978-3-662-54130-2_4</w:t>
        </w:r>
      </w:hyperlink>
    </w:p>
    <w:p w14:paraId="0BA9C02C" w14:textId="77777777" w:rsidR="00145385" w:rsidRDefault="00000000">
      <w:pPr>
        <w:spacing w:before="100" w:beforeAutospacing="1" w:after="100" w:afterAutospacing="1"/>
        <w:ind w:left="540" w:hanging="540"/>
        <w:jc w:val="both"/>
        <w:rPr>
          <w:rFonts w:ascii="Times New Roman" w:hAnsi="Times New Roman"/>
          <w:sz w:val="24"/>
          <w:szCs w:val="24"/>
        </w:rPr>
      </w:pPr>
      <w:r>
        <w:rPr>
          <w:b/>
          <w:highlight w:val="yellow"/>
        </w:rPr>
        <w:t xml:space="preserve">Maurya, N. K., Shivakumar, M., Bhooleshwari, Samal, K., Jayaswal, R., Lakshmipathi, M. T., Kumar, V., &amp; Annappaswamy, T. S. (2025). Phytoremediation of metal contamination: Evaluating </w:t>
      </w:r>
      <w:r>
        <w:rPr>
          <w:b/>
          <w:i/>
          <w:highlight w:val="yellow"/>
        </w:rPr>
        <w:t>Pistia stratiotes</w:t>
      </w:r>
      <w:r>
        <w:rPr>
          <w:b/>
          <w:highlight w:val="yellow"/>
        </w:rPr>
        <w:t xml:space="preserve"> and </w:t>
      </w:r>
      <w:r>
        <w:rPr>
          <w:b/>
          <w:i/>
          <w:highlight w:val="yellow"/>
        </w:rPr>
        <w:t>Eichhornia crassipes</w:t>
      </w:r>
      <w:r>
        <w:rPr>
          <w:b/>
          <w:highlight w:val="yellow"/>
        </w:rPr>
        <w:t xml:space="preserve"> for lead and cadmium removal. International Journal of Environment and Climate Change, 15(4), 205–221. </w:t>
      </w:r>
      <w:hyperlink r:id="rId55">
        <w:r>
          <w:rPr>
            <w:b/>
            <w:bCs/>
            <w:color w:val="000000"/>
            <w:highlight w:val="yellow"/>
          </w:rPr>
          <w:t>https://doi.org/10.9734/ijecc/2025/v15i44804</w:t>
        </w:r>
      </w:hyperlink>
    </w:p>
    <w:p w14:paraId="0A3E114F"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rPr>
      </w:pPr>
      <w:r w:rsidRPr="001D7B62">
        <w:rPr>
          <w:rFonts w:ascii="Times New Roman" w:hAnsi="Times New Roman"/>
          <w:sz w:val="24"/>
          <w:szCs w:val="24"/>
        </w:rPr>
        <w:lastRenderedPageBreak/>
        <w:t xml:space="preserve">Miretzky, P., Saralegui, A., &amp; Cirelli, A. F. (2004). Aquatic macrophytes potential for the simultaneous removal of heavy metals (Buenos Aires, Argentina). </w:t>
      </w:r>
      <w:r w:rsidRPr="001D7B62">
        <w:rPr>
          <w:rFonts w:ascii="Times New Roman" w:hAnsi="Times New Roman"/>
          <w:i/>
          <w:iCs/>
          <w:sz w:val="24"/>
          <w:szCs w:val="24"/>
        </w:rPr>
        <w:t>Chemosphere, 57</w:t>
      </w:r>
      <w:r w:rsidRPr="001D7B62">
        <w:rPr>
          <w:rFonts w:ascii="Times New Roman" w:hAnsi="Times New Roman"/>
          <w:sz w:val="24"/>
          <w:szCs w:val="24"/>
        </w:rPr>
        <w:t xml:space="preserve">(8), 997–1005. </w:t>
      </w:r>
      <w:hyperlink r:id="rId56" w:history="1">
        <w:r w:rsidRPr="001D7B62">
          <w:rPr>
            <w:rFonts w:ascii="Times New Roman" w:hAnsi="Times New Roman"/>
            <w:color w:val="0000FF"/>
            <w:sz w:val="24"/>
            <w:szCs w:val="24"/>
            <w:u w:val="single"/>
          </w:rPr>
          <w:t>https://doi.org/10.1016/j.chemosphere.2004.07.024</w:t>
        </w:r>
      </w:hyperlink>
    </w:p>
    <w:p w14:paraId="0A2AB575"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rPr>
      </w:pPr>
      <w:proofErr w:type="spellStart"/>
      <w:r w:rsidRPr="001D7B62">
        <w:rPr>
          <w:rFonts w:ascii="Times New Roman" w:hAnsi="Times New Roman"/>
          <w:sz w:val="24"/>
          <w:szCs w:val="24"/>
        </w:rPr>
        <w:t>Moravčíková</w:t>
      </w:r>
      <w:proofErr w:type="spellEnd"/>
      <w:r w:rsidRPr="001D7B62">
        <w:rPr>
          <w:rFonts w:ascii="Times New Roman" w:hAnsi="Times New Roman"/>
          <w:sz w:val="24"/>
          <w:szCs w:val="24"/>
        </w:rPr>
        <w:t xml:space="preserve">, D., &amp; </w:t>
      </w:r>
      <w:proofErr w:type="spellStart"/>
      <w:r w:rsidRPr="001D7B62">
        <w:rPr>
          <w:rFonts w:ascii="Times New Roman" w:hAnsi="Times New Roman"/>
          <w:sz w:val="24"/>
          <w:szCs w:val="24"/>
        </w:rPr>
        <w:t>Žiarovská</w:t>
      </w:r>
      <w:proofErr w:type="spellEnd"/>
      <w:r w:rsidRPr="001D7B62">
        <w:rPr>
          <w:rFonts w:ascii="Times New Roman" w:hAnsi="Times New Roman"/>
          <w:sz w:val="24"/>
          <w:szCs w:val="24"/>
        </w:rPr>
        <w:t xml:space="preserve">, J. (2023). The effect of cadmium on plants in terms of the response of gene expression level and activity. </w:t>
      </w:r>
      <w:r w:rsidRPr="001D7B62">
        <w:rPr>
          <w:rFonts w:ascii="Times New Roman" w:hAnsi="Times New Roman"/>
          <w:i/>
          <w:iCs/>
          <w:sz w:val="24"/>
          <w:szCs w:val="24"/>
        </w:rPr>
        <w:t>Plants, 12</w:t>
      </w:r>
      <w:r w:rsidRPr="001D7B62">
        <w:rPr>
          <w:rFonts w:ascii="Times New Roman" w:hAnsi="Times New Roman"/>
          <w:sz w:val="24"/>
          <w:szCs w:val="24"/>
        </w:rPr>
        <w:t xml:space="preserve">(9), 1848. </w:t>
      </w:r>
      <w:hyperlink r:id="rId57" w:history="1">
        <w:r w:rsidRPr="001D7B62">
          <w:rPr>
            <w:rFonts w:ascii="Times New Roman" w:hAnsi="Times New Roman"/>
            <w:color w:val="0000FF"/>
            <w:sz w:val="24"/>
            <w:szCs w:val="24"/>
            <w:u w:val="single"/>
          </w:rPr>
          <w:t>https://doi.org/10.3390/plants12091848</w:t>
        </w:r>
      </w:hyperlink>
    </w:p>
    <w:p w14:paraId="237FEDFF"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rPr>
      </w:pPr>
      <w:proofErr w:type="spellStart"/>
      <w:r w:rsidRPr="001D7B62">
        <w:rPr>
          <w:rFonts w:ascii="Times New Roman" w:hAnsi="Times New Roman"/>
          <w:sz w:val="24"/>
          <w:szCs w:val="24"/>
        </w:rPr>
        <w:t>Nagajyoti</w:t>
      </w:r>
      <w:proofErr w:type="spellEnd"/>
      <w:r w:rsidRPr="001D7B62">
        <w:rPr>
          <w:rFonts w:ascii="Times New Roman" w:hAnsi="Times New Roman"/>
          <w:sz w:val="24"/>
          <w:szCs w:val="24"/>
        </w:rPr>
        <w:t xml:space="preserve">, P. C., Lee, K. D., &amp; Sreekanth, T. V. M. (2010). Heavy metals, occurrence and toxicity for plants: A review. </w:t>
      </w:r>
      <w:r w:rsidRPr="001D7B62">
        <w:rPr>
          <w:rFonts w:ascii="Times New Roman" w:hAnsi="Times New Roman"/>
          <w:i/>
          <w:iCs/>
          <w:sz w:val="24"/>
          <w:szCs w:val="24"/>
        </w:rPr>
        <w:t>Environmental Chemistry Letters, 8</w:t>
      </w:r>
      <w:r w:rsidRPr="001D7B62">
        <w:rPr>
          <w:rFonts w:ascii="Times New Roman" w:hAnsi="Times New Roman"/>
          <w:sz w:val="24"/>
          <w:szCs w:val="24"/>
        </w:rPr>
        <w:t xml:space="preserve">(3), 199–216. </w:t>
      </w:r>
      <w:hyperlink r:id="rId58" w:history="1">
        <w:r w:rsidRPr="001D7B62">
          <w:rPr>
            <w:rFonts w:ascii="Times New Roman" w:hAnsi="Times New Roman"/>
            <w:color w:val="0000FF"/>
            <w:sz w:val="24"/>
            <w:szCs w:val="24"/>
            <w:u w:val="single"/>
          </w:rPr>
          <w:t>https://doi.org/10.1007/s10311-010-0297-8</w:t>
        </w:r>
      </w:hyperlink>
    </w:p>
    <w:p w14:paraId="7DDA14B8"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rPr>
      </w:pPr>
      <w:r w:rsidRPr="001D7B62">
        <w:rPr>
          <w:rFonts w:ascii="Times New Roman" w:hAnsi="Times New Roman"/>
          <w:sz w:val="24"/>
          <w:szCs w:val="24"/>
        </w:rPr>
        <w:t xml:space="preserve">Nakano, Y., &amp; Asada, K. (1981). Hydrogen peroxide is scavenged by ascorbate-specific peroxidase in spinach chloroplasts. </w:t>
      </w:r>
      <w:r w:rsidRPr="001D7B62">
        <w:rPr>
          <w:rFonts w:ascii="Times New Roman" w:hAnsi="Times New Roman"/>
          <w:i/>
          <w:iCs/>
          <w:sz w:val="24"/>
          <w:szCs w:val="24"/>
        </w:rPr>
        <w:t>Plant and Cell Physiology, 22</w:t>
      </w:r>
      <w:r w:rsidRPr="001D7B62">
        <w:rPr>
          <w:rFonts w:ascii="Times New Roman" w:hAnsi="Times New Roman"/>
          <w:sz w:val="24"/>
          <w:szCs w:val="24"/>
        </w:rPr>
        <w:t xml:space="preserve">(5), 867–880. </w:t>
      </w:r>
      <w:hyperlink r:id="rId59" w:history="1">
        <w:r w:rsidRPr="001D7B62">
          <w:rPr>
            <w:rFonts w:ascii="Times New Roman" w:hAnsi="Times New Roman"/>
            <w:color w:val="0000FF"/>
            <w:sz w:val="24"/>
            <w:szCs w:val="24"/>
            <w:u w:val="single"/>
          </w:rPr>
          <w:t>https://doi.org/10.1093/oxfordjournals.pcp.a076232</w:t>
        </w:r>
      </w:hyperlink>
    </w:p>
    <w:p w14:paraId="3259C2D1"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rPr>
      </w:pPr>
      <w:r w:rsidRPr="001D7B62">
        <w:rPr>
          <w:rFonts w:ascii="Times New Roman" w:hAnsi="Times New Roman"/>
          <w:sz w:val="24"/>
          <w:szCs w:val="24"/>
        </w:rPr>
        <w:t xml:space="preserve">Novoselov, A. A., Hodson, M. E., Tapia-Gatica, J., </w:t>
      </w:r>
      <w:proofErr w:type="spellStart"/>
      <w:r w:rsidRPr="001D7B62">
        <w:rPr>
          <w:rFonts w:ascii="Times New Roman" w:hAnsi="Times New Roman"/>
          <w:sz w:val="24"/>
          <w:szCs w:val="24"/>
        </w:rPr>
        <w:t>Dovletyarova</w:t>
      </w:r>
      <w:proofErr w:type="spellEnd"/>
      <w:r w:rsidRPr="001D7B62">
        <w:rPr>
          <w:rFonts w:ascii="Times New Roman" w:hAnsi="Times New Roman"/>
          <w:sz w:val="24"/>
          <w:szCs w:val="24"/>
        </w:rPr>
        <w:t xml:space="preserve">, E. A., Yáñez, C., &amp; Neaman, A. (2022). The effect of rock lithology on the background concentrations of trace elements in alluvial soils: Implications for environmental regulation. </w:t>
      </w:r>
      <w:r w:rsidRPr="001D7B62">
        <w:rPr>
          <w:rFonts w:ascii="Times New Roman" w:hAnsi="Times New Roman"/>
          <w:i/>
          <w:iCs/>
          <w:sz w:val="24"/>
          <w:szCs w:val="24"/>
        </w:rPr>
        <w:t>Applied Geochemistry, 146</w:t>
      </w:r>
      <w:r w:rsidRPr="001D7B62">
        <w:rPr>
          <w:rFonts w:ascii="Times New Roman" w:hAnsi="Times New Roman"/>
          <w:sz w:val="24"/>
          <w:szCs w:val="24"/>
        </w:rPr>
        <w:t xml:space="preserve">, 105440. </w:t>
      </w:r>
      <w:hyperlink r:id="rId60" w:history="1">
        <w:r w:rsidRPr="001D7B62">
          <w:rPr>
            <w:rFonts w:ascii="Times New Roman" w:hAnsi="Times New Roman"/>
            <w:color w:val="0000FF"/>
            <w:sz w:val="24"/>
            <w:szCs w:val="24"/>
            <w:u w:val="single"/>
          </w:rPr>
          <w:t>https://doi.org/10.1016/j.apgeochem.2022.105440</w:t>
        </w:r>
      </w:hyperlink>
    </w:p>
    <w:p w14:paraId="38939C06"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rPr>
      </w:pPr>
      <w:r w:rsidRPr="001D7B62">
        <w:rPr>
          <w:rFonts w:ascii="Times New Roman" w:hAnsi="Times New Roman"/>
          <w:sz w:val="24"/>
          <w:szCs w:val="24"/>
        </w:rPr>
        <w:t xml:space="preserve">Obando, J. M. C., Heitzman, B., </w:t>
      </w:r>
      <w:proofErr w:type="spellStart"/>
      <w:r w:rsidRPr="001D7B62">
        <w:rPr>
          <w:rFonts w:ascii="Times New Roman" w:hAnsi="Times New Roman"/>
          <w:sz w:val="24"/>
          <w:szCs w:val="24"/>
        </w:rPr>
        <w:t>Toniato</w:t>
      </w:r>
      <w:proofErr w:type="spellEnd"/>
      <w:r w:rsidRPr="001D7B62">
        <w:rPr>
          <w:rFonts w:ascii="Times New Roman" w:hAnsi="Times New Roman"/>
          <w:sz w:val="24"/>
          <w:szCs w:val="24"/>
        </w:rPr>
        <w:t>, M., dos Santos, T. C., Matos, F. T., Machado, L. P., &amp; Bueno, G. W. (2026). Advancements in duckweed (</w:t>
      </w:r>
      <w:r w:rsidRPr="001D7B62">
        <w:rPr>
          <w:rFonts w:ascii="Times New Roman" w:hAnsi="Times New Roman"/>
          <w:i/>
          <w:iCs/>
          <w:sz w:val="24"/>
          <w:szCs w:val="24"/>
        </w:rPr>
        <w:t>Lemna minor</w:t>
      </w:r>
      <w:r w:rsidRPr="001D7B62">
        <w:rPr>
          <w:rFonts w:ascii="Times New Roman" w:hAnsi="Times New Roman"/>
          <w:sz w:val="24"/>
          <w:szCs w:val="24"/>
        </w:rPr>
        <w:t xml:space="preserve">) research: Exploring sustainable applications bioproducts and cultivation strategies as potential drivers to circular economy. </w:t>
      </w:r>
      <w:r w:rsidRPr="001D7B62">
        <w:rPr>
          <w:rFonts w:ascii="Times New Roman" w:hAnsi="Times New Roman"/>
          <w:i/>
          <w:iCs/>
          <w:sz w:val="24"/>
          <w:szCs w:val="24"/>
        </w:rPr>
        <w:t>Circular Economy and Sustainability, 6</w:t>
      </w:r>
      <w:r w:rsidRPr="001D7B62">
        <w:rPr>
          <w:rFonts w:ascii="Times New Roman" w:hAnsi="Times New Roman"/>
          <w:sz w:val="24"/>
          <w:szCs w:val="24"/>
        </w:rPr>
        <w:t xml:space="preserve">, Article 44. </w:t>
      </w:r>
      <w:hyperlink r:id="rId61" w:history="1">
        <w:r w:rsidRPr="001D7B62">
          <w:rPr>
            <w:rFonts w:ascii="Times New Roman" w:hAnsi="Times New Roman"/>
            <w:color w:val="0000FF"/>
            <w:sz w:val="24"/>
            <w:szCs w:val="24"/>
            <w:u w:val="single"/>
          </w:rPr>
          <w:t>https://doi.org/10.1007/s43615-026-00756-y</w:t>
        </w:r>
      </w:hyperlink>
    </w:p>
    <w:p w14:paraId="11D572B1"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rPr>
      </w:pPr>
      <w:r w:rsidRPr="001D7B62">
        <w:rPr>
          <w:rFonts w:ascii="Times New Roman" w:hAnsi="Times New Roman"/>
          <w:sz w:val="24"/>
          <w:szCs w:val="24"/>
        </w:rPr>
        <w:t xml:space="preserve">Pandey, S., </w:t>
      </w:r>
      <w:proofErr w:type="spellStart"/>
      <w:r w:rsidRPr="001D7B62">
        <w:rPr>
          <w:rFonts w:ascii="Times New Roman" w:hAnsi="Times New Roman"/>
          <w:sz w:val="24"/>
          <w:szCs w:val="24"/>
        </w:rPr>
        <w:t>Fartyal</w:t>
      </w:r>
      <w:proofErr w:type="spellEnd"/>
      <w:r w:rsidRPr="001D7B62">
        <w:rPr>
          <w:rFonts w:ascii="Times New Roman" w:hAnsi="Times New Roman"/>
          <w:sz w:val="24"/>
          <w:szCs w:val="24"/>
        </w:rPr>
        <w:t xml:space="preserve">, D., Agarwal, A., Shukla, T., James, D., Kaul, T., Negi, Y. K., Arora, S., &amp; Reddy, M. K. (2017). Abiotic stress tolerance in plants: Myriad roles of ascorbate peroxidase. </w:t>
      </w:r>
      <w:r w:rsidRPr="001D7B62">
        <w:rPr>
          <w:rFonts w:ascii="Times New Roman" w:hAnsi="Times New Roman"/>
          <w:i/>
          <w:iCs/>
          <w:sz w:val="24"/>
          <w:szCs w:val="24"/>
        </w:rPr>
        <w:t>Frontiers in Plant Science, 8</w:t>
      </w:r>
      <w:r w:rsidRPr="001D7B62">
        <w:rPr>
          <w:rFonts w:ascii="Times New Roman" w:hAnsi="Times New Roman"/>
          <w:sz w:val="24"/>
          <w:szCs w:val="24"/>
        </w:rPr>
        <w:t xml:space="preserve">, 581. </w:t>
      </w:r>
      <w:hyperlink r:id="rId62" w:history="1">
        <w:r w:rsidRPr="001D7B62">
          <w:rPr>
            <w:rFonts w:ascii="Times New Roman" w:hAnsi="Times New Roman"/>
            <w:color w:val="0000FF"/>
            <w:sz w:val="24"/>
            <w:szCs w:val="24"/>
            <w:u w:val="single"/>
          </w:rPr>
          <w:t>https://doi.org/10.3389/fpls.2017.00581</w:t>
        </w:r>
      </w:hyperlink>
    </w:p>
    <w:p w14:paraId="449DA1FA"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rPr>
      </w:pPr>
      <w:r w:rsidRPr="001D7B62">
        <w:rPr>
          <w:rFonts w:ascii="Times New Roman" w:hAnsi="Times New Roman"/>
          <w:sz w:val="24"/>
          <w:szCs w:val="24"/>
        </w:rPr>
        <w:t xml:space="preserve">Peacock, F. C. (Ed.). (1978). </w:t>
      </w:r>
      <w:proofErr w:type="spellStart"/>
      <w:r w:rsidRPr="001D7B62">
        <w:rPr>
          <w:rFonts w:ascii="Times New Roman" w:hAnsi="Times New Roman"/>
          <w:i/>
          <w:iCs/>
          <w:sz w:val="24"/>
          <w:szCs w:val="24"/>
        </w:rPr>
        <w:t>Jealott’s</w:t>
      </w:r>
      <w:proofErr w:type="spellEnd"/>
      <w:r w:rsidRPr="001D7B62">
        <w:rPr>
          <w:rFonts w:ascii="Times New Roman" w:hAnsi="Times New Roman"/>
          <w:i/>
          <w:iCs/>
          <w:sz w:val="24"/>
          <w:szCs w:val="24"/>
        </w:rPr>
        <w:t xml:space="preserve"> Hill: Fifty years of agricultural research, 1928–1978</w:t>
      </w:r>
      <w:r w:rsidRPr="001D7B62">
        <w:rPr>
          <w:rFonts w:ascii="Times New Roman" w:hAnsi="Times New Roman"/>
          <w:sz w:val="24"/>
          <w:szCs w:val="24"/>
        </w:rPr>
        <w:t xml:space="preserve">. Imperial Chemical Industries. </w:t>
      </w:r>
      <w:hyperlink r:id="rId63" w:history="1">
        <w:r w:rsidRPr="001D7B62">
          <w:rPr>
            <w:rFonts w:ascii="Times New Roman" w:hAnsi="Times New Roman"/>
            <w:color w:val="0000FF"/>
            <w:sz w:val="24"/>
            <w:szCs w:val="24"/>
            <w:u w:val="single"/>
          </w:rPr>
          <w:t>https://agris.fao.org/search/en/providers/122535/records/65dde911b766d82b18fafe7c</w:t>
        </w:r>
      </w:hyperlink>
    </w:p>
    <w:p w14:paraId="6E5BDE11"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rPr>
      </w:pPr>
      <w:r w:rsidRPr="001D7B62">
        <w:rPr>
          <w:rFonts w:ascii="Times New Roman" w:hAnsi="Times New Roman"/>
          <w:sz w:val="24"/>
          <w:szCs w:val="24"/>
        </w:rPr>
        <w:t xml:space="preserve">Perales-Vela, H. V., Salcedo-Álvarez, M. O., Parra-Marcelo, R., Gaviria-González, L. C., &amp; de Jesús Martínez-Roldán, A. (2021). Growth and metabolic responses to methyl viologen (1,1′-dimethyl-4,4′-bipyridinium dichloride) on </w:t>
      </w:r>
      <w:r w:rsidRPr="001D7B62">
        <w:rPr>
          <w:rFonts w:ascii="Times New Roman" w:hAnsi="Times New Roman"/>
          <w:i/>
          <w:iCs/>
          <w:sz w:val="24"/>
          <w:szCs w:val="24"/>
        </w:rPr>
        <w:t>Chlorella vulgaris</w:t>
      </w:r>
      <w:r w:rsidRPr="001D7B62">
        <w:rPr>
          <w:rFonts w:ascii="Times New Roman" w:hAnsi="Times New Roman"/>
          <w:sz w:val="24"/>
          <w:szCs w:val="24"/>
        </w:rPr>
        <w:t xml:space="preserve">. </w:t>
      </w:r>
      <w:r w:rsidRPr="001D7B62">
        <w:rPr>
          <w:rFonts w:ascii="Times New Roman" w:hAnsi="Times New Roman"/>
          <w:i/>
          <w:iCs/>
          <w:sz w:val="24"/>
          <w:szCs w:val="24"/>
        </w:rPr>
        <w:t>Chemosphere, 281</w:t>
      </w:r>
      <w:r w:rsidRPr="001D7B62">
        <w:rPr>
          <w:rFonts w:ascii="Times New Roman" w:hAnsi="Times New Roman"/>
          <w:sz w:val="24"/>
          <w:szCs w:val="24"/>
        </w:rPr>
        <w:t xml:space="preserve">, 130750. </w:t>
      </w:r>
      <w:hyperlink r:id="rId64" w:history="1">
        <w:r w:rsidRPr="001D7B62">
          <w:rPr>
            <w:rFonts w:ascii="Times New Roman" w:hAnsi="Times New Roman"/>
            <w:color w:val="0000FF"/>
            <w:sz w:val="24"/>
            <w:szCs w:val="24"/>
            <w:u w:val="single"/>
          </w:rPr>
          <w:t>https://doi.org/10.1016/j.chemosphere.2021.130750</w:t>
        </w:r>
      </w:hyperlink>
    </w:p>
    <w:p w14:paraId="556321BE"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rPr>
      </w:pPr>
      <w:r w:rsidRPr="001D7B62">
        <w:rPr>
          <w:rFonts w:ascii="Times New Roman" w:hAnsi="Times New Roman"/>
          <w:sz w:val="24"/>
          <w:szCs w:val="24"/>
        </w:rPr>
        <w:lastRenderedPageBreak/>
        <w:t xml:space="preserve">Prasad, R. (2011). Aerobic rice systems. In D. L. Sparks (Ed.), </w:t>
      </w:r>
      <w:r w:rsidRPr="001D7B62">
        <w:rPr>
          <w:rFonts w:ascii="Times New Roman" w:hAnsi="Times New Roman"/>
          <w:i/>
          <w:iCs/>
          <w:sz w:val="24"/>
          <w:szCs w:val="24"/>
        </w:rPr>
        <w:t>Advances in agronomy</w:t>
      </w:r>
      <w:r w:rsidRPr="001D7B62">
        <w:rPr>
          <w:rFonts w:ascii="Times New Roman" w:hAnsi="Times New Roman"/>
          <w:sz w:val="24"/>
          <w:szCs w:val="24"/>
        </w:rPr>
        <w:t xml:space="preserve"> (Vol. 111, pp. 207–247). Academic Press. </w:t>
      </w:r>
      <w:hyperlink r:id="rId65" w:history="1">
        <w:r w:rsidRPr="001D7B62">
          <w:rPr>
            <w:rFonts w:ascii="Times New Roman" w:hAnsi="Times New Roman"/>
            <w:color w:val="0000FF"/>
            <w:sz w:val="24"/>
            <w:szCs w:val="24"/>
            <w:u w:val="single"/>
          </w:rPr>
          <w:t>https://doi.org/10.1016/B978-0-12-387689-8.00003-5</w:t>
        </w:r>
      </w:hyperlink>
    </w:p>
    <w:p w14:paraId="571261B2"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rPr>
      </w:pPr>
      <w:r w:rsidRPr="001D7B62">
        <w:rPr>
          <w:rFonts w:ascii="Times New Roman" w:hAnsi="Times New Roman"/>
          <w:sz w:val="24"/>
          <w:szCs w:val="24"/>
        </w:rPr>
        <w:t xml:space="preserve">Rai, P. K. (2009). Heavy metal phytoremediation from aquatic ecosystems with special reference to macrophytes. </w:t>
      </w:r>
      <w:r w:rsidRPr="001D7B62">
        <w:rPr>
          <w:rFonts w:ascii="Times New Roman" w:hAnsi="Times New Roman"/>
          <w:i/>
          <w:iCs/>
          <w:sz w:val="24"/>
          <w:szCs w:val="24"/>
        </w:rPr>
        <w:t>Critical Reviews in Environmental Science and Technology, 39</w:t>
      </w:r>
      <w:r w:rsidRPr="001D7B62">
        <w:rPr>
          <w:rFonts w:ascii="Times New Roman" w:hAnsi="Times New Roman"/>
          <w:sz w:val="24"/>
          <w:szCs w:val="24"/>
        </w:rPr>
        <w:t xml:space="preserve">(9), 697–753. </w:t>
      </w:r>
      <w:hyperlink r:id="rId66" w:history="1">
        <w:r w:rsidRPr="001D7B62">
          <w:rPr>
            <w:rFonts w:ascii="Times New Roman" w:hAnsi="Times New Roman"/>
            <w:color w:val="0000FF"/>
            <w:sz w:val="24"/>
            <w:szCs w:val="24"/>
            <w:u w:val="single"/>
          </w:rPr>
          <w:t>https://doi.org/10.1080/10643380801910058</w:t>
        </w:r>
      </w:hyperlink>
    </w:p>
    <w:p w14:paraId="773AC42D"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lang w:val="nl-BE"/>
        </w:rPr>
      </w:pPr>
      <w:r w:rsidRPr="001D7B62">
        <w:rPr>
          <w:rFonts w:ascii="Times New Roman" w:hAnsi="Times New Roman"/>
          <w:sz w:val="24"/>
          <w:szCs w:val="24"/>
        </w:rPr>
        <w:t xml:space="preserve">Rai, R., Agrawal, M., &amp; Agrawal, S. B. (2016). Impact of heavy metals on physiological processes of plants: With special reference to photosynthetic system. In A. Singh, S. M. Prasad, &amp; R. P. Singh (Eds.), </w:t>
      </w:r>
      <w:r w:rsidRPr="001D7B62">
        <w:rPr>
          <w:rFonts w:ascii="Times New Roman" w:hAnsi="Times New Roman"/>
          <w:i/>
          <w:iCs/>
          <w:sz w:val="24"/>
          <w:szCs w:val="24"/>
        </w:rPr>
        <w:t>Plant responses to xenobiotics</w:t>
      </w:r>
      <w:r w:rsidRPr="001D7B62">
        <w:rPr>
          <w:rFonts w:ascii="Times New Roman" w:hAnsi="Times New Roman"/>
          <w:sz w:val="24"/>
          <w:szCs w:val="24"/>
        </w:rPr>
        <w:t xml:space="preserve"> (pp. 127–140). </w:t>
      </w:r>
      <w:r w:rsidRPr="001D7B62">
        <w:rPr>
          <w:rFonts w:ascii="Times New Roman" w:hAnsi="Times New Roman"/>
          <w:sz w:val="24"/>
          <w:szCs w:val="24"/>
          <w:lang w:val="nl-BE"/>
        </w:rPr>
        <w:t xml:space="preserve">Springer. </w:t>
      </w:r>
      <w:hyperlink r:id="rId67" w:history="1">
        <w:r w:rsidRPr="001D7B62">
          <w:rPr>
            <w:rFonts w:ascii="Times New Roman" w:hAnsi="Times New Roman"/>
            <w:color w:val="0000FF"/>
            <w:sz w:val="24"/>
            <w:szCs w:val="24"/>
            <w:u w:val="single"/>
            <w:lang w:val="nl-BE"/>
          </w:rPr>
          <w:t>https://doi.org/10.1007/978-981-10-2860-1_6</w:t>
        </w:r>
      </w:hyperlink>
    </w:p>
    <w:p w14:paraId="2484DC60"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rPr>
      </w:pPr>
      <w:r w:rsidRPr="001D7B62">
        <w:rPr>
          <w:rFonts w:ascii="Times New Roman" w:hAnsi="Times New Roman"/>
          <w:sz w:val="24"/>
          <w:szCs w:val="24"/>
          <w:lang w:val="nl-BE"/>
        </w:rPr>
        <w:t xml:space="preserve">Razinger, J., Dermastia, M., Koce, J. D., &amp; Zrimec, A. (2008). </w:t>
      </w:r>
      <w:r w:rsidRPr="001D7B62">
        <w:rPr>
          <w:rFonts w:ascii="Times New Roman" w:hAnsi="Times New Roman"/>
          <w:sz w:val="24"/>
          <w:szCs w:val="24"/>
        </w:rPr>
        <w:t>Oxidative stress in duckweed (</w:t>
      </w:r>
      <w:r w:rsidRPr="001D7B62">
        <w:rPr>
          <w:rFonts w:ascii="Times New Roman" w:hAnsi="Times New Roman"/>
          <w:i/>
          <w:iCs/>
          <w:sz w:val="24"/>
          <w:szCs w:val="24"/>
        </w:rPr>
        <w:t>Lemna minor</w:t>
      </w:r>
      <w:r w:rsidRPr="001D7B62">
        <w:rPr>
          <w:rFonts w:ascii="Times New Roman" w:hAnsi="Times New Roman"/>
          <w:sz w:val="24"/>
          <w:szCs w:val="24"/>
        </w:rPr>
        <w:t xml:space="preserve"> L.) caused by short-term cadmium exposure. </w:t>
      </w:r>
      <w:r w:rsidRPr="001D7B62">
        <w:rPr>
          <w:rFonts w:ascii="Times New Roman" w:hAnsi="Times New Roman"/>
          <w:i/>
          <w:iCs/>
          <w:sz w:val="24"/>
          <w:szCs w:val="24"/>
        </w:rPr>
        <w:t>Environmental Pollution, 153</w:t>
      </w:r>
      <w:r w:rsidRPr="001D7B62">
        <w:rPr>
          <w:rFonts w:ascii="Times New Roman" w:hAnsi="Times New Roman"/>
          <w:sz w:val="24"/>
          <w:szCs w:val="24"/>
        </w:rPr>
        <w:t xml:space="preserve">(3), 687–694. </w:t>
      </w:r>
      <w:hyperlink r:id="rId68" w:history="1">
        <w:r w:rsidRPr="001D7B62">
          <w:rPr>
            <w:rFonts w:ascii="Times New Roman" w:hAnsi="Times New Roman"/>
            <w:color w:val="0000FF"/>
            <w:sz w:val="24"/>
            <w:szCs w:val="24"/>
            <w:u w:val="single"/>
          </w:rPr>
          <w:t>https://doi.org/10.1016/j.envpol.2007.08.018</w:t>
        </w:r>
      </w:hyperlink>
    </w:p>
    <w:p w14:paraId="18070341"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rPr>
      </w:pPr>
      <w:r w:rsidRPr="001D7B62">
        <w:rPr>
          <w:rFonts w:ascii="Times New Roman" w:hAnsi="Times New Roman"/>
          <w:sz w:val="24"/>
          <w:szCs w:val="24"/>
        </w:rPr>
        <w:t xml:space="preserve">Rezania, S., Ponraj, M., Din, M. F. M., </w:t>
      </w:r>
      <w:proofErr w:type="spellStart"/>
      <w:r w:rsidRPr="001D7B62">
        <w:rPr>
          <w:rFonts w:ascii="Times New Roman" w:hAnsi="Times New Roman"/>
          <w:sz w:val="24"/>
          <w:szCs w:val="24"/>
        </w:rPr>
        <w:t>Chelliapan</w:t>
      </w:r>
      <w:proofErr w:type="spellEnd"/>
      <w:r w:rsidRPr="001D7B62">
        <w:rPr>
          <w:rFonts w:ascii="Times New Roman" w:hAnsi="Times New Roman"/>
          <w:sz w:val="24"/>
          <w:szCs w:val="24"/>
        </w:rPr>
        <w:t xml:space="preserve">, S., &amp; Sairan, F. M. (2016). Effectiveness of </w:t>
      </w:r>
      <w:r w:rsidRPr="001D7B62">
        <w:rPr>
          <w:rFonts w:ascii="Times New Roman" w:hAnsi="Times New Roman"/>
          <w:i/>
          <w:iCs/>
          <w:sz w:val="24"/>
          <w:szCs w:val="24"/>
        </w:rPr>
        <w:t>Eichhornia crassipes</w:t>
      </w:r>
      <w:r w:rsidRPr="001D7B62">
        <w:rPr>
          <w:rFonts w:ascii="Times New Roman" w:hAnsi="Times New Roman"/>
          <w:sz w:val="24"/>
          <w:szCs w:val="24"/>
        </w:rPr>
        <w:t xml:space="preserve"> in nutrient removal from domestic wastewater based on its optimal growth rate. </w:t>
      </w:r>
      <w:r w:rsidRPr="001D7B62">
        <w:rPr>
          <w:rFonts w:ascii="Times New Roman" w:hAnsi="Times New Roman"/>
          <w:i/>
          <w:iCs/>
          <w:sz w:val="24"/>
          <w:szCs w:val="24"/>
        </w:rPr>
        <w:t>Desalination and Water Treatment, 57</w:t>
      </w:r>
      <w:r w:rsidRPr="001D7B62">
        <w:rPr>
          <w:rFonts w:ascii="Times New Roman" w:hAnsi="Times New Roman"/>
          <w:sz w:val="24"/>
          <w:szCs w:val="24"/>
        </w:rPr>
        <w:t xml:space="preserve">(1), 360–365. </w:t>
      </w:r>
      <w:hyperlink r:id="rId69" w:history="1">
        <w:r w:rsidRPr="001D7B62">
          <w:rPr>
            <w:rFonts w:ascii="Times New Roman" w:hAnsi="Times New Roman"/>
            <w:color w:val="0000FF"/>
            <w:sz w:val="24"/>
            <w:szCs w:val="24"/>
            <w:u w:val="single"/>
          </w:rPr>
          <w:t>https://doi.org/10.1080/19443994.2014.967305</w:t>
        </w:r>
      </w:hyperlink>
    </w:p>
    <w:p w14:paraId="601486D0"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rPr>
      </w:pPr>
      <w:r w:rsidRPr="001D7B62">
        <w:rPr>
          <w:rFonts w:ascii="Times New Roman" w:hAnsi="Times New Roman"/>
          <w:sz w:val="24"/>
          <w:szCs w:val="24"/>
        </w:rPr>
        <w:t xml:space="preserve">Sarkar, S., Yadav, P., &amp; Bhatnagar, D. (1998). Lipid peroxidative damage on cadmium exposure and alterations in antioxidant system in rat erythrocytes: A study with relation to time. </w:t>
      </w:r>
      <w:proofErr w:type="spellStart"/>
      <w:r w:rsidRPr="001D7B62">
        <w:rPr>
          <w:rFonts w:ascii="Times New Roman" w:hAnsi="Times New Roman"/>
          <w:i/>
          <w:iCs/>
          <w:sz w:val="24"/>
          <w:szCs w:val="24"/>
        </w:rPr>
        <w:t>BioMetals</w:t>
      </w:r>
      <w:proofErr w:type="spellEnd"/>
      <w:r w:rsidRPr="001D7B62">
        <w:rPr>
          <w:rFonts w:ascii="Times New Roman" w:hAnsi="Times New Roman"/>
          <w:i/>
          <w:iCs/>
          <w:sz w:val="24"/>
          <w:szCs w:val="24"/>
        </w:rPr>
        <w:t>, 11</w:t>
      </w:r>
      <w:r w:rsidRPr="001D7B62">
        <w:rPr>
          <w:rFonts w:ascii="Times New Roman" w:hAnsi="Times New Roman"/>
          <w:sz w:val="24"/>
          <w:szCs w:val="24"/>
        </w:rPr>
        <w:t xml:space="preserve">(2), 153–157. </w:t>
      </w:r>
      <w:hyperlink r:id="rId70" w:history="1">
        <w:r w:rsidRPr="001D7B62">
          <w:rPr>
            <w:rFonts w:ascii="Times New Roman" w:hAnsi="Times New Roman"/>
            <w:color w:val="0000FF"/>
            <w:sz w:val="24"/>
            <w:szCs w:val="24"/>
            <w:u w:val="single"/>
          </w:rPr>
          <w:t>https://doi.org/10.1023/A:1009286130324</w:t>
        </w:r>
      </w:hyperlink>
    </w:p>
    <w:p w14:paraId="0E84CE3B"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lang w:val="nl-BE"/>
        </w:rPr>
      </w:pPr>
      <w:r>
        <w:rPr>
          <w:highlight w:val="yellow"/>
        </w:rPr>
        <w:t>Schaedle</w:t>
      </w:r>
      <w:r>
        <w:t xml:space="preserve">, M., &amp; Bassham, J. A. (1977). Chloroplast glutathione reductase. </w:t>
      </w:r>
      <w:r>
        <w:rPr>
          <w:i/>
        </w:rPr>
        <w:t>Plant Physiology, 59</w:t>
      </w:r>
      <w:r>
        <w:t xml:space="preserve">(5), 1011–1012. </w:t>
      </w:r>
      <w:hyperlink r:id="rId71">
        <w:r>
          <w:rPr>
            <w:rStyle w:val="Hyperlink"/>
          </w:rPr>
          <w:t>https://doi.org/10.1104/pp.59.5.1011</w:t>
        </w:r>
      </w:hyperlink>
    </w:p>
    <w:p w14:paraId="17E859CB"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rPr>
      </w:pPr>
      <w:r w:rsidRPr="001D7B62">
        <w:rPr>
          <w:rFonts w:ascii="Times New Roman" w:hAnsi="Times New Roman"/>
          <w:sz w:val="24"/>
          <w:szCs w:val="24"/>
          <w:lang w:val="nl-BE"/>
        </w:rPr>
        <w:t xml:space="preserve">Shafiq, F., Ud Din, I., Khattak, A. A., &amp; Afzal, M. (2026). </w:t>
      </w:r>
      <w:r w:rsidRPr="001D7B62">
        <w:rPr>
          <w:rFonts w:ascii="Times New Roman" w:hAnsi="Times New Roman"/>
          <w:sz w:val="24"/>
          <w:szCs w:val="24"/>
        </w:rPr>
        <w:t xml:space="preserve">Evaluating </w:t>
      </w:r>
      <w:r w:rsidRPr="001D7B62">
        <w:rPr>
          <w:rFonts w:ascii="Times New Roman" w:hAnsi="Times New Roman"/>
          <w:i/>
          <w:iCs/>
          <w:sz w:val="24"/>
          <w:szCs w:val="24"/>
        </w:rPr>
        <w:t>Lemna minor</w:t>
      </w:r>
      <w:r w:rsidRPr="001D7B62">
        <w:rPr>
          <w:rFonts w:ascii="Times New Roman" w:hAnsi="Times New Roman"/>
          <w:sz w:val="24"/>
          <w:szCs w:val="24"/>
        </w:rPr>
        <w:t xml:space="preserve"> for bioethanol production and bioremediation of petrochemical wastewater. </w:t>
      </w:r>
      <w:r w:rsidRPr="001D7B62">
        <w:rPr>
          <w:rFonts w:ascii="Times New Roman" w:hAnsi="Times New Roman"/>
          <w:i/>
          <w:iCs/>
          <w:sz w:val="24"/>
          <w:szCs w:val="24"/>
        </w:rPr>
        <w:t>Biomass and Bioenergy, 208</w:t>
      </w:r>
      <w:r w:rsidRPr="001D7B62">
        <w:rPr>
          <w:rFonts w:ascii="Times New Roman" w:hAnsi="Times New Roman"/>
          <w:sz w:val="24"/>
          <w:szCs w:val="24"/>
        </w:rPr>
        <w:t xml:space="preserve">, 108826. </w:t>
      </w:r>
      <w:hyperlink r:id="rId72" w:history="1">
        <w:r w:rsidRPr="001D7B62">
          <w:rPr>
            <w:rFonts w:ascii="Times New Roman" w:hAnsi="Times New Roman"/>
            <w:color w:val="0000FF"/>
            <w:sz w:val="24"/>
            <w:szCs w:val="24"/>
            <w:u w:val="single"/>
          </w:rPr>
          <w:t>https://doi.org/10.1016/j.biombioe.2025.108826</w:t>
        </w:r>
      </w:hyperlink>
    </w:p>
    <w:p w14:paraId="47C9889A"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rPr>
      </w:pPr>
      <w:r w:rsidRPr="001D7B62">
        <w:rPr>
          <w:rFonts w:ascii="Times New Roman" w:hAnsi="Times New Roman"/>
          <w:sz w:val="24"/>
          <w:szCs w:val="24"/>
        </w:rPr>
        <w:t xml:space="preserve">Shahzad, A., Zahra, A., Li, H. Y., Qin, M., Wu, H., Wen, M. Q., Ali, M., Iqbal, Y., Xie, S. H., Sattar, S., &amp; Zafar, S. (2024). Modern perspectives of heavy metals alleviation from oil contaminated soil: A review. </w:t>
      </w:r>
      <w:r w:rsidRPr="001D7B62">
        <w:rPr>
          <w:rFonts w:ascii="Times New Roman" w:hAnsi="Times New Roman"/>
          <w:i/>
          <w:iCs/>
          <w:sz w:val="24"/>
          <w:szCs w:val="24"/>
        </w:rPr>
        <w:t>Ecotoxicology and Environmental Safety, 282</w:t>
      </w:r>
      <w:r w:rsidRPr="001D7B62">
        <w:rPr>
          <w:rFonts w:ascii="Times New Roman" w:hAnsi="Times New Roman"/>
          <w:sz w:val="24"/>
          <w:szCs w:val="24"/>
        </w:rPr>
        <w:t xml:space="preserve">, 116698. </w:t>
      </w:r>
      <w:hyperlink r:id="rId73" w:history="1">
        <w:r w:rsidRPr="001D7B62">
          <w:rPr>
            <w:rFonts w:ascii="Times New Roman" w:hAnsi="Times New Roman"/>
            <w:color w:val="0000FF"/>
            <w:sz w:val="24"/>
            <w:szCs w:val="24"/>
            <w:u w:val="single"/>
          </w:rPr>
          <w:t>https://doi.org/10.1016/j.ecoenv.2024.116698</w:t>
        </w:r>
      </w:hyperlink>
    </w:p>
    <w:p w14:paraId="198A5D34"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rPr>
      </w:pPr>
      <w:proofErr w:type="spellStart"/>
      <w:r w:rsidRPr="001D7B62">
        <w:rPr>
          <w:rFonts w:ascii="Times New Roman" w:hAnsi="Times New Roman"/>
          <w:sz w:val="24"/>
          <w:szCs w:val="24"/>
        </w:rPr>
        <w:lastRenderedPageBreak/>
        <w:t>Sharba</w:t>
      </w:r>
      <w:proofErr w:type="spellEnd"/>
      <w:r w:rsidRPr="001D7B62">
        <w:rPr>
          <w:rFonts w:ascii="Times New Roman" w:hAnsi="Times New Roman"/>
          <w:sz w:val="24"/>
          <w:szCs w:val="24"/>
        </w:rPr>
        <w:t xml:space="preserve">, F. Y. J., Mohammed, Z. A. A., Salman, F. S., &amp; </w:t>
      </w:r>
      <w:proofErr w:type="spellStart"/>
      <w:r w:rsidRPr="001D7B62">
        <w:rPr>
          <w:rFonts w:ascii="Times New Roman" w:hAnsi="Times New Roman"/>
          <w:sz w:val="24"/>
          <w:szCs w:val="24"/>
        </w:rPr>
        <w:t>Zwayen</w:t>
      </w:r>
      <w:proofErr w:type="spellEnd"/>
      <w:r w:rsidRPr="001D7B62">
        <w:rPr>
          <w:rFonts w:ascii="Times New Roman" w:hAnsi="Times New Roman"/>
          <w:sz w:val="24"/>
          <w:szCs w:val="24"/>
        </w:rPr>
        <w:t xml:space="preserve">, T. F. G. (2024). Role of </w:t>
      </w:r>
      <w:r w:rsidRPr="001D7B62">
        <w:rPr>
          <w:rFonts w:ascii="Times New Roman" w:hAnsi="Times New Roman"/>
          <w:i/>
          <w:iCs/>
          <w:sz w:val="24"/>
          <w:szCs w:val="24"/>
        </w:rPr>
        <w:t>Lemna minor</w:t>
      </w:r>
      <w:r w:rsidRPr="001D7B62">
        <w:rPr>
          <w:rFonts w:ascii="Times New Roman" w:hAnsi="Times New Roman"/>
          <w:sz w:val="24"/>
          <w:szCs w:val="24"/>
        </w:rPr>
        <w:t xml:space="preserve"> (L.) plant in change of pH values of aquatic system. </w:t>
      </w:r>
      <w:r w:rsidRPr="001D7B62">
        <w:rPr>
          <w:rFonts w:ascii="Times New Roman" w:hAnsi="Times New Roman"/>
          <w:i/>
          <w:iCs/>
          <w:sz w:val="24"/>
          <w:szCs w:val="24"/>
        </w:rPr>
        <w:t xml:space="preserve">Journal La </w:t>
      </w:r>
      <w:proofErr w:type="spellStart"/>
      <w:r w:rsidRPr="001D7B62">
        <w:rPr>
          <w:rFonts w:ascii="Times New Roman" w:hAnsi="Times New Roman"/>
          <w:i/>
          <w:iCs/>
          <w:sz w:val="24"/>
          <w:szCs w:val="24"/>
        </w:rPr>
        <w:t>Lifesci</w:t>
      </w:r>
      <w:proofErr w:type="spellEnd"/>
      <w:r w:rsidRPr="001D7B62">
        <w:rPr>
          <w:rFonts w:ascii="Times New Roman" w:hAnsi="Times New Roman"/>
          <w:i/>
          <w:iCs/>
          <w:sz w:val="24"/>
          <w:szCs w:val="24"/>
        </w:rPr>
        <w:t>, 5</w:t>
      </w:r>
      <w:r w:rsidRPr="001D7B62">
        <w:rPr>
          <w:rFonts w:ascii="Times New Roman" w:hAnsi="Times New Roman"/>
          <w:sz w:val="24"/>
          <w:szCs w:val="24"/>
        </w:rPr>
        <w:t xml:space="preserve">(6), 529–536. </w:t>
      </w:r>
      <w:hyperlink r:id="rId74" w:history="1">
        <w:r w:rsidRPr="001D7B62">
          <w:rPr>
            <w:rFonts w:ascii="Times New Roman" w:hAnsi="Times New Roman"/>
            <w:color w:val="0000FF"/>
            <w:sz w:val="24"/>
            <w:szCs w:val="24"/>
            <w:u w:val="single"/>
          </w:rPr>
          <w:t>https://doi.org/10.37899/journallalifesci.v5i6.1694</w:t>
        </w:r>
      </w:hyperlink>
    </w:p>
    <w:p w14:paraId="6C2664E3"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rPr>
      </w:pPr>
      <w:r w:rsidRPr="001D7B62">
        <w:rPr>
          <w:rFonts w:ascii="Times New Roman" w:hAnsi="Times New Roman"/>
          <w:sz w:val="24"/>
          <w:szCs w:val="24"/>
        </w:rPr>
        <w:t xml:space="preserve">Singh, S., Eapen, S., &amp; D’Souza, S. F. (2006). Cadmium accumulation and its influence on lipid peroxidation and antioxidative system in an aquatic plant, </w:t>
      </w:r>
      <w:r w:rsidRPr="001D7B62">
        <w:rPr>
          <w:rFonts w:ascii="Times New Roman" w:hAnsi="Times New Roman"/>
          <w:i/>
          <w:iCs/>
          <w:sz w:val="24"/>
          <w:szCs w:val="24"/>
        </w:rPr>
        <w:t xml:space="preserve">Bacopa </w:t>
      </w:r>
      <w:proofErr w:type="spellStart"/>
      <w:r w:rsidRPr="001D7B62">
        <w:rPr>
          <w:rFonts w:ascii="Times New Roman" w:hAnsi="Times New Roman"/>
          <w:i/>
          <w:iCs/>
          <w:sz w:val="24"/>
          <w:szCs w:val="24"/>
        </w:rPr>
        <w:t>monnieri</w:t>
      </w:r>
      <w:proofErr w:type="spellEnd"/>
      <w:r w:rsidRPr="001D7B62">
        <w:rPr>
          <w:rFonts w:ascii="Times New Roman" w:hAnsi="Times New Roman"/>
          <w:sz w:val="24"/>
          <w:szCs w:val="24"/>
        </w:rPr>
        <w:t xml:space="preserve"> L. </w:t>
      </w:r>
      <w:r w:rsidRPr="001D7B62">
        <w:rPr>
          <w:rFonts w:ascii="Times New Roman" w:hAnsi="Times New Roman"/>
          <w:i/>
          <w:iCs/>
          <w:sz w:val="24"/>
          <w:szCs w:val="24"/>
        </w:rPr>
        <w:t>Chemosphere, 62</w:t>
      </w:r>
      <w:r w:rsidRPr="001D7B62">
        <w:rPr>
          <w:rFonts w:ascii="Times New Roman" w:hAnsi="Times New Roman"/>
          <w:sz w:val="24"/>
          <w:szCs w:val="24"/>
        </w:rPr>
        <w:t xml:space="preserve">(2), 233–246. </w:t>
      </w:r>
      <w:hyperlink r:id="rId75" w:history="1">
        <w:r w:rsidRPr="001D7B62">
          <w:rPr>
            <w:rFonts w:ascii="Times New Roman" w:hAnsi="Times New Roman"/>
            <w:color w:val="0000FF"/>
            <w:sz w:val="24"/>
            <w:szCs w:val="24"/>
            <w:u w:val="single"/>
          </w:rPr>
          <w:t>https://doi.org/10.1016/j.chemosphere.2005.05.017</w:t>
        </w:r>
      </w:hyperlink>
    </w:p>
    <w:p w14:paraId="17F93FDE"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rPr>
      </w:pPr>
      <w:r w:rsidRPr="001D7B62">
        <w:rPr>
          <w:rFonts w:ascii="Times New Roman" w:hAnsi="Times New Roman"/>
          <w:sz w:val="24"/>
          <w:szCs w:val="24"/>
        </w:rPr>
        <w:t xml:space="preserve">Sosa, D., Alves, F. M., Prieto, M. A., Pedrosa, M. C., Heleno, S. A., Barros, L., Feliciano, M., &amp; </w:t>
      </w:r>
      <w:proofErr w:type="spellStart"/>
      <w:r w:rsidRPr="001D7B62">
        <w:rPr>
          <w:rFonts w:ascii="Times New Roman" w:hAnsi="Times New Roman"/>
          <w:sz w:val="24"/>
          <w:szCs w:val="24"/>
        </w:rPr>
        <w:t>Carocho</w:t>
      </w:r>
      <w:proofErr w:type="spellEnd"/>
      <w:r w:rsidRPr="001D7B62">
        <w:rPr>
          <w:rFonts w:ascii="Times New Roman" w:hAnsi="Times New Roman"/>
          <w:sz w:val="24"/>
          <w:szCs w:val="24"/>
        </w:rPr>
        <w:t xml:space="preserve">, M. (2024). </w:t>
      </w:r>
      <w:r w:rsidRPr="001D7B62">
        <w:rPr>
          <w:rFonts w:ascii="Times New Roman" w:hAnsi="Times New Roman"/>
          <w:i/>
          <w:iCs/>
          <w:sz w:val="24"/>
          <w:szCs w:val="24"/>
        </w:rPr>
        <w:t>Lemna minor</w:t>
      </w:r>
      <w:r w:rsidRPr="001D7B62">
        <w:rPr>
          <w:rFonts w:ascii="Times New Roman" w:hAnsi="Times New Roman"/>
          <w:sz w:val="24"/>
          <w:szCs w:val="24"/>
        </w:rPr>
        <w:t xml:space="preserve">: Unlocking the value of this duckweed for the food and feed industry. </w:t>
      </w:r>
      <w:r w:rsidRPr="001D7B62">
        <w:rPr>
          <w:rFonts w:ascii="Times New Roman" w:hAnsi="Times New Roman"/>
          <w:i/>
          <w:iCs/>
          <w:sz w:val="24"/>
          <w:szCs w:val="24"/>
        </w:rPr>
        <w:t>Foods, 13</w:t>
      </w:r>
      <w:r w:rsidRPr="001D7B62">
        <w:rPr>
          <w:rFonts w:ascii="Times New Roman" w:hAnsi="Times New Roman"/>
          <w:sz w:val="24"/>
          <w:szCs w:val="24"/>
        </w:rPr>
        <w:t xml:space="preserve">(10), 1435. </w:t>
      </w:r>
      <w:hyperlink r:id="rId76" w:history="1">
        <w:r w:rsidRPr="001D7B62">
          <w:rPr>
            <w:rFonts w:ascii="Times New Roman" w:hAnsi="Times New Roman"/>
            <w:color w:val="0000FF"/>
            <w:sz w:val="24"/>
            <w:szCs w:val="24"/>
            <w:u w:val="single"/>
          </w:rPr>
          <w:t>https://doi.org/10.3390/foods13101435</w:t>
        </w:r>
      </w:hyperlink>
    </w:p>
    <w:p w14:paraId="5013F499"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rPr>
      </w:pPr>
      <w:r w:rsidRPr="001D7B62">
        <w:rPr>
          <w:rFonts w:ascii="Times New Roman" w:hAnsi="Times New Roman"/>
          <w:sz w:val="24"/>
          <w:szCs w:val="24"/>
        </w:rPr>
        <w:t xml:space="preserve">SPSS Inc. (2007). </w:t>
      </w:r>
      <w:r w:rsidRPr="001D7B62">
        <w:rPr>
          <w:rFonts w:ascii="Times New Roman" w:hAnsi="Times New Roman"/>
          <w:i/>
          <w:iCs/>
          <w:sz w:val="24"/>
          <w:szCs w:val="24"/>
        </w:rPr>
        <w:t>SPSS for Windows (Version 16.0)</w:t>
      </w:r>
      <w:r w:rsidRPr="001D7B62">
        <w:rPr>
          <w:rFonts w:ascii="Times New Roman" w:hAnsi="Times New Roman"/>
          <w:sz w:val="24"/>
          <w:szCs w:val="24"/>
        </w:rPr>
        <w:t xml:space="preserve"> [Computer software]. SPSS Inc. </w:t>
      </w:r>
    </w:p>
    <w:p w14:paraId="289B8054"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rPr>
      </w:pPr>
      <w:r w:rsidRPr="001D7B62">
        <w:rPr>
          <w:rFonts w:ascii="Times New Roman" w:hAnsi="Times New Roman"/>
          <w:sz w:val="24"/>
          <w:szCs w:val="24"/>
        </w:rPr>
        <w:t xml:space="preserve">Agency for Toxic Substances and Disease Registry. (2026, April 13). </w:t>
      </w:r>
      <w:r w:rsidRPr="001D7B62">
        <w:rPr>
          <w:rFonts w:ascii="Times New Roman" w:hAnsi="Times New Roman"/>
          <w:i/>
          <w:iCs/>
          <w:sz w:val="24"/>
          <w:szCs w:val="24"/>
        </w:rPr>
        <w:t>Substance priority list</w:t>
      </w:r>
      <w:r w:rsidRPr="001D7B62">
        <w:rPr>
          <w:rFonts w:ascii="Times New Roman" w:hAnsi="Times New Roman"/>
          <w:sz w:val="24"/>
          <w:szCs w:val="24"/>
        </w:rPr>
        <w:t xml:space="preserve">. </w:t>
      </w:r>
      <w:hyperlink r:id="rId77" w:history="1">
        <w:r w:rsidRPr="001D7B62">
          <w:rPr>
            <w:rFonts w:ascii="Times New Roman" w:hAnsi="Times New Roman"/>
            <w:color w:val="0000FF"/>
            <w:sz w:val="24"/>
            <w:szCs w:val="24"/>
            <w:u w:val="single"/>
          </w:rPr>
          <w:t>https://www.atsdr.cdc.gov/programs/substance-priority-list.html</w:t>
        </w:r>
      </w:hyperlink>
    </w:p>
    <w:p w14:paraId="7096DBD2"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rPr>
      </w:pPr>
      <w:proofErr w:type="spellStart"/>
      <w:r w:rsidRPr="001D7B62">
        <w:rPr>
          <w:rFonts w:ascii="Times New Roman" w:hAnsi="Times New Roman"/>
          <w:sz w:val="24"/>
          <w:szCs w:val="24"/>
        </w:rPr>
        <w:t>Systat</w:t>
      </w:r>
      <w:proofErr w:type="spellEnd"/>
      <w:r w:rsidRPr="001D7B62">
        <w:rPr>
          <w:rFonts w:ascii="Times New Roman" w:hAnsi="Times New Roman"/>
          <w:sz w:val="24"/>
          <w:szCs w:val="24"/>
        </w:rPr>
        <w:t xml:space="preserve"> Software, Inc. (2006). </w:t>
      </w:r>
      <w:proofErr w:type="spellStart"/>
      <w:r w:rsidRPr="001D7B62">
        <w:rPr>
          <w:rFonts w:ascii="Times New Roman" w:hAnsi="Times New Roman"/>
          <w:i/>
          <w:iCs/>
          <w:sz w:val="24"/>
          <w:szCs w:val="24"/>
        </w:rPr>
        <w:t>SigmaPlot</w:t>
      </w:r>
      <w:proofErr w:type="spellEnd"/>
      <w:r w:rsidRPr="001D7B62">
        <w:rPr>
          <w:rFonts w:ascii="Times New Roman" w:hAnsi="Times New Roman"/>
          <w:i/>
          <w:iCs/>
          <w:sz w:val="24"/>
          <w:szCs w:val="24"/>
        </w:rPr>
        <w:t xml:space="preserve"> for Windows (Version 10.0)</w:t>
      </w:r>
      <w:r w:rsidRPr="001D7B62">
        <w:rPr>
          <w:rFonts w:ascii="Times New Roman" w:hAnsi="Times New Roman"/>
          <w:sz w:val="24"/>
          <w:szCs w:val="24"/>
        </w:rPr>
        <w:t xml:space="preserve"> [Computer software]. </w:t>
      </w:r>
      <w:proofErr w:type="spellStart"/>
      <w:r w:rsidRPr="001D7B62">
        <w:rPr>
          <w:rFonts w:ascii="Times New Roman" w:hAnsi="Times New Roman"/>
          <w:sz w:val="24"/>
          <w:szCs w:val="24"/>
        </w:rPr>
        <w:t>Systat</w:t>
      </w:r>
      <w:proofErr w:type="spellEnd"/>
      <w:r w:rsidRPr="001D7B62">
        <w:rPr>
          <w:rFonts w:ascii="Times New Roman" w:hAnsi="Times New Roman"/>
          <w:sz w:val="24"/>
          <w:szCs w:val="24"/>
        </w:rPr>
        <w:t xml:space="preserve"> Software, Inc. </w:t>
      </w:r>
    </w:p>
    <w:p w14:paraId="667C082A"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rPr>
      </w:pPr>
      <w:r w:rsidRPr="001D7B62">
        <w:rPr>
          <w:rFonts w:ascii="Times New Roman" w:hAnsi="Times New Roman"/>
          <w:sz w:val="24"/>
          <w:szCs w:val="24"/>
        </w:rPr>
        <w:t xml:space="preserve">Tagun, R. (2014). </w:t>
      </w:r>
      <w:r w:rsidRPr="001D7B62">
        <w:rPr>
          <w:rFonts w:ascii="Times New Roman" w:hAnsi="Times New Roman"/>
          <w:i/>
          <w:iCs/>
          <w:sz w:val="24"/>
          <w:szCs w:val="24"/>
        </w:rPr>
        <w:t>The effects of mixtures of pesticides, in use in Thailand, on the aquatic macrophyte Lemna minor</w:t>
      </w:r>
      <w:r w:rsidRPr="001D7B62">
        <w:rPr>
          <w:rFonts w:ascii="Times New Roman" w:hAnsi="Times New Roman"/>
          <w:sz w:val="24"/>
          <w:szCs w:val="24"/>
        </w:rPr>
        <w:t xml:space="preserve"> [Doctoral dissertation, University of York]. White Rose </w:t>
      </w:r>
      <w:proofErr w:type="spellStart"/>
      <w:r w:rsidRPr="001D7B62">
        <w:rPr>
          <w:rFonts w:ascii="Times New Roman" w:hAnsi="Times New Roman"/>
          <w:sz w:val="24"/>
          <w:szCs w:val="24"/>
        </w:rPr>
        <w:t>eTheses</w:t>
      </w:r>
      <w:proofErr w:type="spellEnd"/>
      <w:r w:rsidRPr="001D7B62">
        <w:rPr>
          <w:rFonts w:ascii="Times New Roman" w:hAnsi="Times New Roman"/>
          <w:sz w:val="24"/>
          <w:szCs w:val="24"/>
        </w:rPr>
        <w:t xml:space="preserve"> Online. </w:t>
      </w:r>
      <w:hyperlink r:id="rId78" w:history="1">
        <w:r w:rsidRPr="001D7B62">
          <w:rPr>
            <w:rFonts w:ascii="Times New Roman" w:hAnsi="Times New Roman"/>
            <w:color w:val="0000FF"/>
            <w:sz w:val="24"/>
            <w:szCs w:val="24"/>
            <w:u w:val="single"/>
          </w:rPr>
          <w:t>https://etheses.whiterose.ac.uk/id/eprint/8246/</w:t>
        </w:r>
      </w:hyperlink>
    </w:p>
    <w:p w14:paraId="3F521D48"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rPr>
      </w:pPr>
      <w:r w:rsidRPr="001D7B62">
        <w:rPr>
          <w:rFonts w:ascii="Times New Roman" w:hAnsi="Times New Roman"/>
          <w:sz w:val="24"/>
          <w:szCs w:val="24"/>
        </w:rPr>
        <w:t xml:space="preserve">Tang, L., Kwon, S. Y., Kim, S. H., Kim, J. S., Choi, J. S., Cho, K. Y., Sung, C. K., Kwak, S. S., &amp; Lee, H. S. (2006). Enhanced tolerance of transgenic potato plants expressing both superoxide dismutase and ascorbate peroxidase in chloroplasts against oxidative stress and high temperature. </w:t>
      </w:r>
      <w:r w:rsidRPr="001D7B62">
        <w:rPr>
          <w:rFonts w:ascii="Times New Roman" w:hAnsi="Times New Roman"/>
          <w:i/>
          <w:iCs/>
          <w:sz w:val="24"/>
          <w:szCs w:val="24"/>
        </w:rPr>
        <w:t>Plant Cell Reports, 25</w:t>
      </w:r>
      <w:r w:rsidRPr="001D7B62">
        <w:rPr>
          <w:rFonts w:ascii="Times New Roman" w:hAnsi="Times New Roman"/>
          <w:sz w:val="24"/>
          <w:szCs w:val="24"/>
        </w:rPr>
        <w:t xml:space="preserve">(12), 1380–1386. </w:t>
      </w:r>
      <w:hyperlink r:id="rId79" w:history="1">
        <w:r w:rsidRPr="001D7B62">
          <w:rPr>
            <w:rFonts w:ascii="Times New Roman" w:hAnsi="Times New Roman"/>
            <w:color w:val="0000FF"/>
            <w:sz w:val="24"/>
            <w:szCs w:val="24"/>
            <w:u w:val="single"/>
          </w:rPr>
          <w:t>https://doi.org/10.1007/s00299-006-0199-1</w:t>
        </w:r>
      </w:hyperlink>
    </w:p>
    <w:p w14:paraId="4C3A2DD2"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rPr>
      </w:pPr>
      <w:r w:rsidRPr="001D7B62">
        <w:rPr>
          <w:rFonts w:ascii="Times New Roman" w:hAnsi="Times New Roman"/>
          <w:sz w:val="24"/>
          <w:szCs w:val="24"/>
        </w:rPr>
        <w:t xml:space="preserve">Tkalec, M., </w:t>
      </w:r>
      <w:proofErr w:type="spellStart"/>
      <w:r w:rsidRPr="001D7B62">
        <w:rPr>
          <w:rFonts w:ascii="Times New Roman" w:hAnsi="Times New Roman"/>
          <w:sz w:val="24"/>
          <w:szCs w:val="24"/>
        </w:rPr>
        <w:t>Prebeg</w:t>
      </w:r>
      <w:proofErr w:type="spellEnd"/>
      <w:r w:rsidRPr="001D7B62">
        <w:rPr>
          <w:rFonts w:ascii="Times New Roman" w:hAnsi="Times New Roman"/>
          <w:sz w:val="24"/>
          <w:szCs w:val="24"/>
        </w:rPr>
        <w:t xml:space="preserve">, T., </w:t>
      </w:r>
      <w:proofErr w:type="spellStart"/>
      <w:r w:rsidRPr="001D7B62">
        <w:rPr>
          <w:rFonts w:ascii="Times New Roman" w:hAnsi="Times New Roman"/>
          <w:sz w:val="24"/>
          <w:szCs w:val="24"/>
        </w:rPr>
        <w:t>Roje</w:t>
      </w:r>
      <w:proofErr w:type="spellEnd"/>
      <w:r w:rsidRPr="001D7B62">
        <w:rPr>
          <w:rFonts w:ascii="Times New Roman" w:hAnsi="Times New Roman"/>
          <w:sz w:val="24"/>
          <w:szCs w:val="24"/>
        </w:rPr>
        <w:t>, V., Pevalek-</w:t>
      </w:r>
      <w:proofErr w:type="spellStart"/>
      <w:r w:rsidRPr="001D7B62">
        <w:rPr>
          <w:rFonts w:ascii="Times New Roman" w:hAnsi="Times New Roman"/>
          <w:sz w:val="24"/>
          <w:szCs w:val="24"/>
        </w:rPr>
        <w:t>Kozlina</w:t>
      </w:r>
      <w:proofErr w:type="spellEnd"/>
      <w:r w:rsidRPr="001D7B62">
        <w:rPr>
          <w:rFonts w:ascii="Times New Roman" w:hAnsi="Times New Roman"/>
          <w:sz w:val="24"/>
          <w:szCs w:val="24"/>
        </w:rPr>
        <w:t xml:space="preserve">, B., &amp; </w:t>
      </w:r>
      <w:proofErr w:type="spellStart"/>
      <w:r w:rsidRPr="001D7B62">
        <w:rPr>
          <w:rFonts w:ascii="Times New Roman" w:hAnsi="Times New Roman"/>
          <w:sz w:val="24"/>
          <w:szCs w:val="24"/>
        </w:rPr>
        <w:t>Ljubešić</w:t>
      </w:r>
      <w:proofErr w:type="spellEnd"/>
      <w:r w:rsidRPr="001D7B62">
        <w:rPr>
          <w:rFonts w:ascii="Times New Roman" w:hAnsi="Times New Roman"/>
          <w:sz w:val="24"/>
          <w:szCs w:val="24"/>
        </w:rPr>
        <w:t xml:space="preserve">, N. (2008). Cadmium-induced responses in duckweed </w:t>
      </w:r>
      <w:r w:rsidRPr="001D7B62">
        <w:rPr>
          <w:rFonts w:ascii="Times New Roman" w:hAnsi="Times New Roman"/>
          <w:i/>
          <w:iCs/>
          <w:sz w:val="24"/>
          <w:szCs w:val="24"/>
        </w:rPr>
        <w:t>Lemna minor</w:t>
      </w:r>
      <w:r w:rsidRPr="001D7B62">
        <w:rPr>
          <w:rFonts w:ascii="Times New Roman" w:hAnsi="Times New Roman"/>
          <w:sz w:val="24"/>
          <w:szCs w:val="24"/>
        </w:rPr>
        <w:t xml:space="preserve"> L. </w:t>
      </w:r>
      <w:r w:rsidRPr="001D7B62">
        <w:rPr>
          <w:rFonts w:ascii="Times New Roman" w:hAnsi="Times New Roman"/>
          <w:i/>
          <w:iCs/>
          <w:sz w:val="24"/>
          <w:szCs w:val="24"/>
        </w:rPr>
        <w:t xml:space="preserve">Acta </w:t>
      </w:r>
      <w:proofErr w:type="spellStart"/>
      <w:r w:rsidRPr="001D7B62">
        <w:rPr>
          <w:rFonts w:ascii="Times New Roman" w:hAnsi="Times New Roman"/>
          <w:i/>
          <w:iCs/>
          <w:sz w:val="24"/>
          <w:szCs w:val="24"/>
        </w:rPr>
        <w:t>Physiologiae</w:t>
      </w:r>
      <w:proofErr w:type="spellEnd"/>
      <w:r w:rsidRPr="001D7B62">
        <w:rPr>
          <w:rFonts w:ascii="Times New Roman" w:hAnsi="Times New Roman"/>
          <w:i/>
          <w:iCs/>
          <w:sz w:val="24"/>
          <w:szCs w:val="24"/>
        </w:rPr>
        <w:t xml:space="preserve"> Plantarum, 30</w:t>
      </w:r>
      <w:r w:rsidRPr="001D7B62">
        <w:rPr>
          <w:rFonts w:ascii="Times New Roman" w:hAnsi="Times New Roman"/>
          <w:sz w:val="24"/>
          <w:szCs w:val="24"/>
        </w:rPr>
        <w:t xml:space="preserve">(6), 881–890. </w:t>
      </w:r>
      <w:hyperlink r:id="rId80" w:history="1">
        <w:r w:rsidRPr="001D7B62">
          <w:rPr>
            <w:rFonts w:ascii="Times New Roman" w:hAnsi="Times New Roman"/>
            <w:color w:val="0000FF"/>
            <w:sz w:val="24"/>
            <w:szCs w:val="24"/>
            <w:u w:val="single"/>
          </w:rPr>
          <w:t>https://doi.org/10.1007/s11738-008-0194-y</w:t>
        </w:r>
      </w:hyperlink>
    </w:p>
    <w:p w14:paraId="6EFCA2E2"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rPr>
      </w:pPr>
      <w:r w:rsidRPr="001D7B62">
        <w:rPr>
          <w:rFonts w:ascii="Times New Roman" w:hAnsi="Times New Roman"/>
          <w:sz w:val="24"/>
          <w:szCs w:val="24"/>
        </w:rPr>
        <w:t xml:space="preserve">Torres, P., Llopis, A. L., Melo, C. S., &amp; Rodrigues, A. (2023). Environmental impact of cadmium in a volcanic archipelago: Research challenges related to a natural pollution source. </w:t>
      </w:r>
      <w:r w:rsidRPr="001D7B62">
        <w:rPr>
          <w:rFonts w:ascii="Times New Roman" w:hAnsi="Times New Roman"/>
          <w:i/>
          <w:iCs/>
          <w:sz w:val="24"/>
          <w:szCs w:val="24"/>
        </w:rPr>
        <w:t>Journal of Marine Science and Engineering, 11</w:t>
      </w:r>
      <w:r w:rsidRPr="001D7B62">
        <w:rPr>
          <w:rFonts w:ascii="Times New Roman" w:hAnsi="Times New Roman"/>
          <w:sz w:val="24"/>
          <w:szCs w:val="24"/>
        </w:rPr>
        <w:t xml:space="preserve">(1), 100. </w:t>
      </w:r>
      <w:hyperlink r:id="rId81" w:history="1">
        <w:r w:rsidRPr="001D7B62">
          <w:rPr>
            <w:rFonts w:ascii="Times New Roman" w:hAnsi="Times New Roman"/>
            <w:color w:val="0000FF"/>
            <w:sz w:val="24"/>
            <w:szCs w:val="24"/>
            <w:u w:val="single"/>
          </w:rPr>
          <w:t>https://doi.org/10.3390/jmse11010100</w:t>
        </w:r>
      </w:hyperlink>
    </w:p>
    <w:p w14:paraId="6D01B0E2"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rPr>
      </w:pPr>
      <w:r w:rsidRPr="001D7B62">
        <w:rPr>
          <w:rFonts w:ascii="Times New Roman" w:hAnsi="Times New Roman"/>
          <w:sz w:val="24"/>
          <w:szCs w:val="24"/>
        </w:rPr>
        <w:t xml:space="preserve">Weckx, J. E., &amp; Clijsters, H. M. (1996). Oxidative damage and defense mechanisms in primary leaves of </w:t>
      </w:r>
      <w:r w:rsidRPr="001D7B62">
        <w:rPr>
          <w:rFonts w:ascii="Times New Roman" w:hAnsi="Times New Roman"/>
          <w:i/>
          <w:iCs/>
          <w:sz w:val="24"/>
          <w:szCs w:val="24"/>
        </w:rPr>
        <w:t>Phaseolus vulgaris</w:t>
      </w:r>
      <w:r w:rsidRPr="001D7B62">
        <w:rPr>
          <w:rFonts w:ascii="Times New Roman" w:hAnsi="Times New Roman"/>
          <w:sz w:val="24"/>
          <w:szCs w:val="24"/>
        </w:rPr>
        <w:t xml:space="preserve"> as a result of root assimilation of toxic </w:t>
      </w:r>
      <w:r w:rsidRPr="001D7B62">
        <w:rPr>
          <w:rFonts w:ascii="Times New Roman" w:hAnsi="Times New Roman"/>
          <w:sz w:val="24"/>
          <w:szCs w:val="24"/>
        </w:rPr>
        <w:lastRenderedPageBreak/>
        <w:t xml:space="preserve">amounts of copper. </w:t>
      </w:r>
      <w:proofErr w:type="spellStart"/>
      <w:r w:rsidRPr="001D7B62">
        <w:rPr>
          <w:rFonts w:ascii="Times New Roman" w:hAnsi="Times New Roman"/>
          <w:i/>
          <w:iCs/>
          <w:sz w:val="24"/>
          <w:szCs w:val="24"/>
        </w:rPr>
        <w:t>Physiologia</w:t>
      </w:r>
      <w:proofErr w:type="spellEnd"/>
      <w:r w:rsidRPr="001D7B62">
        <w:rPr>
          <w:rFonts w:ascii="Times New Roman" w:hAnsi="Times New Roman"/>
          <w:i/>
          <w:iCs/>
          <w:sz w:val="24"/>
          <w:szCs w:val="24"/>
        </w:rPr>
        <w:t xml:space="preserve"> Plantarum, 96</w:t>
      </w:r>
      <w:r w:rsidRPr="001D7B62">
        <w:rPr>
          <w:rFonts w:ascii="Times New Roman" w:hAnsi="Times New Roman"/>
          <w:sz w:val="24"/>
          <w:szCs w:val="24"/>
        </w:rPr>
        <w:t xml:space="preserve">(3), 506–512. </w:t>
      </w:r>
      <w:hyperlink r:id="rId82" w:history="1">
        <w:r w:rsidRPr="001D7B62">
          <w:rPr>
            <w:rFonts w:ascii="Times New Roman" w:hAnsi="Times New Roman"/>
            <w:color w:val="0000FF"/>
            <w:sz w:val="24"/>
            <w:szCs w:val="24"/>
            <w:u w:val="single"/>
          </w:rPr>
          <w:t>https://doi.org/10.1111/j.1399-3054.1996.tb00465.x</w:t>
        </w:r>
      </w:hyperlink>
    </w:p>
    <w:p w14:paraId="74EBC6CF"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rPr>
      </w:pPr>
      <w:proofErr w:type="spellStart"/>
      <w:r w:rsidRPr="001D7B62">
        <w:rPr>
          <w:rFonts w:ascii="Times New Roman" w:hAnsi="Times New Roman"/>
          <w:sz w:val="24"/>
          <w:szCs w:val="24"/>
        </w:rPr>
        <w:t>Wuana</w:t>
      </w:r>
      <w:proofErr w:type="spellEnd"/>
      <w:r w:rsidRPr="001D7B62">
        <w:rPr>
          <w:rFonts w:ascii="Times New Roman" w:hAnsi="Times New Roman"/>
          <w:sz w:val="24"/>
          <w:szCs w:val="24"/>
        </w:rPr>
        <w:t xml:space="preserve">, R. A., &amp; </w:t>
      </w:r>
      <w:proofErr w:type="spellStart"/>
      <w:r w:rsidRPr="001D7B62">
        <w:rPr>
          <w:rFonts w:ascii="Times New Roman" w:hAnsi="Times New Roman"/>
          <w:sz w:val="24"/>
          <w:szCs w:val="24"/>
        </w:rPr>
        <w:t>Okieimen</w:t>
      </w:r>
      <w:proofErr w:type="spellEnd"/>
      <w:r w:rsidRPr="001D7B62">
        <w:rPr>
          <w:rFonts w:ascii="Times New Roman" w:hAnsi="Times New Roman"/>
          <w:sz w:val="24"/>
          <w:szCs w:val="24"/>
        </w:rPr>
        <w:t xml:space="preserve">, F. E. (2011). Heavy metals in contaminated soils: A review of sources, chemistry, risks and best available strategies for remediation. </w:t>
      </w:r>
      <w:r w:rsidRPr="001D7B62">
        <w:rPr>
          <w:rFonts w:ascii="Times New Roman" w:hAnsi="Times New Roman"/>
          <w:i/>
          <w:iCs/>
          <w:sz w:val="24"/>
          <w:szCs w:val="24"/>
        </w:rPr>
        <w:t>ISRN Ecology, 2011</w:t>
      </w:r>
      <w:r w:rsidRPr="001D7B62">
        <w:rPr>
          <w:rFonts w:ascii="Times New Roman" w:hAnsi="Times New Roman"/>
          <w:sz w:val="24"/>
          <w:szCs w:val="24"/>
        </w:rPr>
        <w:t xml:space="preserve">, Article 402647. </w:t>
      </w:r>
      <w:hyperlink r:id="rId83" w:history="1">
        <w:r w:rsidRPr="001D7B62">
          <w:rPr>
            <w:rFonts w:ascii="Times New Roman" w:hAnsi="Times New Roman"/>
            <w:color w:val="0000FF"/>
            <w:sz w:val="24"/>
            <w:szCs w:val="24"/>
            <w:u w:val="single"/>
          </w:rPr>
          <w:t>https://doi.org/10.5402/2011/402647</w:t>
        </w:r>
      </w:hyperlink>
    </w:p>
    <w:p w14:paraId="1436E505"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rPr>
      </w:pPr>
      <w:r w:rsidRPr="001D7B62">
        <w:rPr>
          <w:rFonts w:ascii="Times New Roman" w:hAnsi="Times New Roman"/>
          <w:sz w:val="24"/>
          <w:szCs w:val="24"/>
        </w:rPr>
        <w:t xml:space="preserve">Xin, J., Ma, S., Li, Y., Zhao, C., &amp; Tian, R. (2020). </w:t>
      </w:r>
      <w:r w:rsidRPr="001D7B62">
        <w:rPr>
          <w:rFonts w:ascii="Times New Roman" w:hAnsi="Times New Roman"/>
          <w:i/>
          <w:iCs/>
          <w:sz w:val="24"/>
          <w:szCs w:val="24"/>
        </w:rPr>
        <w:t>Pontederia cordata</w:t>
      </w:r>
      <w:r w:rsidRPr="001D7B62">
        <w:rPr>
          <w:rFonts w:ascii="Times New Roman" w:hAnsi="Times New Roman"/>
          <w:sz w:val="24"/>
          <w:szCs w:val="24"/>
        </w:rPr>
        <w:t xml:space="preserve">, an ornamental aquatic macrophyte with great potential in phytoremediation of heavy-metal-contaminated wetlands. </w:t>
      </w:r>
      <w:r w:rsidRPr="001D7B62">
        <w:rPr>
          <w:rFonts w:ascii="Times New Roman" w:hAnsi="Times New Roman"/>
          <w:i/>
          <w:iCs/>
          <w:sz w:val="24"/>
          <w:szCs w:val="24"/>
        </w:rPr>
        <w:t>Ecotoxicology and Environmental Safety, 203</w:t>
      </w:r>
      <w:r w:rsidRPr="001D7B62">
        <w:rPr>
          <w:rFonts w:ascii="Times New Roman" w:hAnsi="Times New Roman"/>
          <w:sz w:val="24"/>
          <w:szCs w:val="24"/>
        </w:rPr>
        <w:t xml:space="preserve">, 111024. </w:t>
      </w:r>
      <w:hyperlink r:id="rId84" w:history="1">
        <w:r w:rsidRPr="001D7B62">
          <w:rPr>
            <w:rFonts w:ascii="Times New Roman" w:hAnsi="Times New Roman"/>
            <w:color w:val="0000FF"/>
            <w:sz w:val="24"/>
            <w:szCs w:val="24"/>
            <w:u w:val="single"/>
          </w:rPr>
          <w:t>https://doi.org/10.1016/j.ecoenv.2020.111024</w:t>
        </w:r>
      </w:hyperlink>
    </w:p>
    <w:p w14:paraId="18FCA0FF"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rPr>
      </w:pPr>
      <w:r w:rsidRPr="001D7B62">
        <w:rPr>
          <w:rFonts w:ascii="Times New Roman" w:hAnsi="Times New Roman"/>
          <w:sz w:val="24"/>
          <w:szCs w:val="24"/>
        </w:rPr>
        <w:t xml:space="preserve">Yang, G.-L., Huang, L., Yang, X., Li, Z., Liao, H.-M., Mao, K., Liu, Z.-J., Geng, H.-Y., Cao, Q., &amp; Tan, A.-J. (2023). Transcriptomic and functional analyses of two cadmium hyper-enriched duckweed strains reveal putative cadmium tolerance mechanisms. </w:t>
      </w:r>
      <w:r w:rsidRPr="001D7B62">
        <w:rPr>
          <w:rFonts w:ascii="Times New Roman" w:hAnsi="Times New Roman"/>
          <w:i/>
          <w:iCs/>
          <w:sz w:val="24"/>
          <w:szCs w:val="24"/>
        </w:rPr>
        <w:t>International Journal of Molecular Sciences, 24</w:t>
      </w:r>
      <w:r w:rsidRPr="001D7B62">
        <w:rPr>
          <w:rFonts w:ascii="Times New Roman" w:hAnsi="Times New Roman"/>
          <w:sz w:val="24"/>
          <w:szCs w:val="24"/>
        </w:rPr>
        <w:t xml:space="preserve">(15), 12157. </w:t>
      </w:r>
      <w:hyperlink r:id="rId85" w:history="1">
        <w:r w:rsidRPr="001D7B62">
          <w:rPr>
            <w:rFonts w:ascii="Times New Roman" w:hAnsi="Times New Roman"/>
            <w:color w:val="0000FF"/>
            <w:sz w:val="24"/>
            <w:szCs w:val="24"/>
            <w:u w:val="single"/>
          </w:rPr>
          <w:t>https://doi.org/10.3390/ijms241512157</w:t>
        </w:r>
      </w:hyperlink>
    </w:p>
    <w:p w14:paraId="2EB9289C"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rPr>
      </w:pPr>
      <w:r w:rsidRPr="001D7B62">
        <w:rPr>
          <w:rFonts w:ascii="Times New Roman" w:hAnsi="Times New Roman"/>
          <w:sz w:val="24"/>
          <w:szCs w:val="24"/>
        </w:rPr>
        <w:t>Zaynab, M., Al-</w:t>
      </w:r>
      <w:proofErr w:type="spellStart"/>
      <w:r w:rsidRPr="001D7B62">
        <w:rPr>
          <w:rFonts w:ascii="Times New Roman" w:hAnsi="Times New Roman"/>
          <w:sz w:val="24"/>
          <w:szCs w:val="24"/>
        </w:rPr>
        <w:t>Yahyai</w:t>
      </w:r>
      <w:proofErr w:type="spellEnd"/>
      <w:r w:rsidRPr="001D7B62">
        <w:rPr>
          <w:rFonts w:ascii="Times New Roman" w:hAnsi="Times New Roman"/>
          <w:sz w:val="24"/>
          <w:szCs w:val="24"/>
        </w:rPr>
        <w:t xml:space="preserve">, R., Ameen, A., Sharif, Y., Ali, L., Fatima, M., Khan, K. A., &amp; Li, S. (2022). Health and environmental effects of heavy metals. </w:t>
      </w:r>
      <w:r w:rsidRPr="001D7B62">
        <w:rPr>
          <w:rFonts w:ascii="Times New Roman" w:hAnsi="Times New Roman"/>
          <w:i/>
          <w:iCs/>
          <w:sz w:val="24"/>
          <w:szCs w:val="24"/>
        </w:rPr>
        <w:t>Journal of King Saud University - Science, 34</w:t>
      </w:r>
      <w:r w:rsidRPr="001D7B62">
        <w:rPr>
          <w:rFonts w:ascii="Times New Roman" w:hAnsi="Times New Roman"/>
          <w:sz w:val="24"/>
          <w:szCs w:val="24"/>
        </w:rPr>
        <w:t xml:space="preserve">(1), 101653. </w:t>
      </w:r>
      <w:hyperlink r:id="rId86" w:history="1">
        <w:r w:rsidRPr="001D7B62">
          <w:rPr>
            <w:rFonts w:ascii="Times New Roman" w:hAnsi="Times New Roman"/>
            <w:color w:val="0000FF"/>
            <w:sz w:val="24"/>
            <w:szCs w:val="24"/>
            <w:u w:val="single"/>
          </w:rPr>
          <w:t>https://doi.org/10.1016/j.jksus.2021.101653</w:t>
        </w:r>
      </w:hyperlink>
    </w:p>
    <w:p w14:paraId="1057B793"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rPr>
      </w:pPr>
      <w:r w:rsidRPr="001D7B62">
        <w:rPr>
          <w:rFonts w:ascii="Times New Roman" w:hAnsi="Times New Roman"/>
          <w:sz w:val="24"/>
          <w:szCs w:val="24"/>
        </w:rPr>
        <w:t xml:space="preserve">Zhang, X. Z. (1992). The measurement and mechanism of lipid peroxidation and SOD, POD and CAT activities in biological system. In X. Z. Zhang (Ed.), </w:t>
      </w:r>
      <w:r w:rsidRPr="001D7B62">
        <w:rPr>
          <w:rFonts w:ascii="Times New Roman" w:hAnsi="Times New Roman"/>
          <w:i/>
          <w:iCs/>
          <w:sz w:val="24"/>
          <w:szCs w:val="24"/>
        </w:rPr>
        <w:t>Research methodology of crop physiology</w:t>
      </w:r>
      <w:r w:rsidRPr="001D7B62">
        <w:rPr>
          <w:rFonts w:ascii="Times New Roman" w:hAnsi="Times New Roman"/>
          <w:sz w:val="24"/>
          <w:szCs w:val="24"/>
        </w:rPr>
        <w:t xml:space="preserve"> (pp. 208–211). Agriculture Press. </w:t>
      </w:r>
    </w:p>
    <w:p w14:paraId="102A4026" w14:textId="77777777" w:rsidR="001D7B62" w:rsidRPr="001D7B62" w:rsidRDefault="001D7B62" w:rsidP="001D7B62">
      <w:pPr>
        <w:spacing w:before="100" w:beforeAutospacing="1" w:after="100" w:afterAutospacing="1"/>
        <w:ind w:left="540" w:hanging="540"/>
        <w:jc w:val="both"/>
        <w:rPr>
          <w:rFonts w:ascii="Times New Roman" w:hAnsi="Times New Roman"/>
          <w:sz w:val="24"/>
          <w:szCs w:val="24"/>
        </w:rPr>
      </w:pPr>
      <w:r w:rsidRPr="001D7B62">
        <w:rPr>
          <w:rFonts w:ascii="Times New Roman" w:hAnsi="Times New Roman"/>
          <w:sz w:val="24"/>
          <w:szCs w:val="24"/>
        </w:rPr>
        <w:t xml:space="preserve">Zhang, X., Zhao, F. J., Huang, Q., Williams, P. N., Sun, G. X., &amp; Zhu, Y. G. (2009). Arsenic uptake and speciation in the rootless duckweed </w:t>
      </w:r>
      <w:r w:rsidRPr="001D7B62">
        <w:rPr>
          <w:rFonts w:ascii="Times New Roman" w:hAnsi="Times New Roman"/>
          <w:i/>
          <w:iCs/>
          <w:sz w:val="24"/>
          <w:szCs w:val="24"/>
        </w:rPr>
        <w:t>Wolffia globosa</w:t>
      </w:r>
      <w:r w:rsidRPr="001D7B62">
        <w:rPr>
          <w:rFonts w:ascii="Times New Roman" w:hAnsi="Times New Roman"/>
          <w:sz w:val="24"/>
          <w:szCs w:val="24"/>
        </w:rPr>
        <w:t xml:space="preserve">. </w:t>
      </w:r>
      <w:r w:rsidRPr="001D7B62">
        <w:rPr>
          <w:rFonts w:ascii="Times New Roman" w:hAnsi="Times New Roman"/>
          <w:i/>
          <w:iCs/>
          <w:sz w:val="24"/>
          <w:szCs w:val="24"/>
        </w:rPr>
        <w:t>New Phytologist, 182</w:t>
      </w:r>
      <w:r w:rsidRPr="001D7B62">
        <w:rPr>
          <w:rFonts w:ascii="Times New Roman" w:hAnsi="Times New Roman"/>
          <w:sz w:val="24"/>
          <w:szCs w:val="24"/>
        </w:rPr>
        <w:t xml:space="preserve">(2), 421–428. </w:t>
      </w:r>
      <w:hyperlink r:id="rId87" w:history="1">
        <w:r w:rsidRPr="001D7B62">
          <w:rPr>
            <w:rFonts w:ascii="Times New Roman" w:hAnsi="Times New Roman"/>
            <w:color w:val="0000FF"/>
            <w:sz w:val="24"/>
            <w:szCs w:val="24"/>
            <w:u w:val="single"/>
          </w:rPr>
          <w:t>https://doi.org/10.1111/j.1469-8137.2008.02758.x</w:t>
        </w:r>
      </w:hyperlink>
    </w:p>
    <w:p w14:paraId="3FEB98B1" w14:textId="77777777" w:rsidR="00145385" w:rsidRDefault="00000000">
      <w:pPr>
        <w:spacing w:before="100" w:beforeAutospacing="1" w:after="100" w:afterAutospacing="1"/>
        <w:ind w:left="540" w:hanging="540"/>
        <w:jc w:val="both"/>
        <w:rPr>
          <w:rFonts w:ascii="Times New Roman" w:hAnsi="Times New Roman"/>
          <w:sz w:val="24"/>
          <w:szCs w:val="24"/>
        </w:rPr>
      </w:pPr>
      <w:r>
        <w:rPr>
          <w:highlight w:val="yellow"/>
        </w:rPr>
        <w:t xml:space="preserve">Ziegler, P., Sree, K. S., &amp; Appenroth, K.-J. (2016). Duckweeds for water remediation and toxicity testing. </w:t>
      </w:r>
      <w:r>
        <w:rPr>
          <w:i/>
          <w:highlight w:val="yellow"/>
        </w:rPr>
        <w:t>Toxicological &amp; Environmental Chemistry, 98</w:t>
      </w:r>
      <w:r>
        <w:rPr>
          <w:highlight w:val="yellow"/>
        </w:rPr>
        <w:t xml:space="preserve">(10), 1127–1154. </w:t>
      </w:r>
      <w:hyperlink r:id="rId88">
        <w:r>
          <w:rPr>
            <w:rStyle w:val="Hyperlink"/>
            <w:highlight w:val="yellow"/>
          </w:rPr>
          <w:t>https://doi.org/10.1080/02772248.2015.1094701</w:t>
        </w:r>
      </w:hyperlink>
    </w:p>
    <w:p w14:paraId="4C4DA28E" w14:textId="77777777" w:rsidR="00D779CE" w:rsidRPr="00D779CE" w:rsidRDefault="00D779CE" w:rsidP="00D779CE">
      <w:pPr>
        <w:pStyle w:val="DefAcrHead"/>
        <w:jc w:val="both"/>
        <w:rPr>
          <w:b w:val="0"/>
          <w:caps w:val="0"/>
          <w:sz w:val="20"/>
        </w:rPr>
      </w:pPr>
    </w:p>
    <w:sectPr w:rsidR="00D779CE" w:rsidRPr="00D779CE" w:rsidSect="00B45506">
      <w:type w:val="continuous"/>
      <w:pgSz w:w="12240" w:h="15840"/>
      <w:pgMar w:top="1440" w:right="2016" w:bottom="2016" w:left="2016" w:header="720" w:footer="112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D9380" w14:textId="77777777" w:rsidR="00EF1398" w:rsidRDefault="00EF1398" w:rsidP="00C37E61">
      <w:r>
        <w:separator/>
      </w:r>
    </w:p>
  </w:endnote>
  <w:endnote w:type="continuationSeparator" w:id="0">
    <w:p w14:paraId="7C071045" w14:textId="77777777" w:rsidR="00EF1398" w:rsidRDefault="00EF1398"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4447A" w14:textId="77777777" w:rsidR="002A3990" w:rsidRDefault="002A39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F5D6E" w14:textId="77777777" w:rsidR="002A3990" w:rsidRDefault="002A39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10AB9" w14:textId="77777777" w:rsidR="002A3990" w:rsidRPr="00B45506" w:rsidRDefault="002A3990" w:rsidP="00B455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53BDD" w14:textId="77777777" w:rsidR="00EF1398" w:rsidRDefault="00EF1398" w:rsidP="00C37E61">
      <w:r>
        <w:separator/>
      </w:r>
    </w:p>
  </w:footnote>
  <w:footnote w:type="continuationSeparator" w:id="0">
    <w:p w14:paraId="461E7B5D" w14:textId="77777777" w:rsidR="00EF1398" w:rsidRDefault="00EF1398"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4A8D0" w14:textId="77777777" w:rsidR="002A3990" w:rsidRDefault="00000000">
    <w:pPr>
      <w:pStyle w:val="Header"/>
    </w:pPr>
    <w:r>
      <w:rPr>
        <w:noProof/>
      </w:rPr>
      <w:pict w14:anchorId="35E6FD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3438032"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7C86F" w14:textId="77777777" w:rsidR="002A3990" w:rsidRDefault="00000000">
    <w:pPr>
      <w:pStyle w:val="Header"/>
    </w:pPr>
    <w:r>
      <w:rPr>
        <w:noProof/>
      </w:rPr>
      <w:pict w14:anchorId="4B58804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3438033"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87267" w14:textId="77777777" w:rsidR="002A3990" w:rsidRPr="00296529" w:rsidRDefault="00000000" w:rsidP="00296529">
    <w:pPr>
      <w:ind w:left="2160"/>
      <w:jc w:val="center"/>
      <w:rPr>
        <w:rFonts w:ascii="Times New Roman" w:eastAsia="Calibri" w:hAnsi="Times New Roman"/>
        <w:i/>
        <w:sz w:val="18"/>
        <w:szCs w:val="22"/>
      </w:rPr>
    </w:pPr>
    <w:r>
      <w:rPr>
        <w:noProof/>
      </w:rPr>
      <w:pict w14:anchorId="7CA0000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3438031"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7CA9AC6F" w14:textId="77777777" w:rsidR="002A3990" w:rsidRPr="00296529" w:rsidRDefault="002A3990"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1449286C" w14:textId="77777777" w:rsidR="002A3990" w:rsidRPr="00296529" w:rsidRDefault="002A3990" w:rsidP="00296529">
    <w:pPr>
      <w:jc w:val="center"/>
      <w:rPr>
        <w:rFonts w:ascii="Times New Roman" w:eastAsia="Calibri" w:hAnsi="Times New Roman"/>
        <w:i/>
        <w:sz w:val="18"/>
        <w:szCs w:val="22"/>
      </w:rPr>
    </w:pPr>
    <w:r>
      <w:rPr>
        <w:rFonts w:ascii="Times New Roman" w:eastAsia="Calibri" w:hAnsi="Times New Roman"/>
        <w:i/>
        <w:sz w:val="18"/>
        <w:szCs w:val="22"/>
      </w:rPr>
      <w:t>.</w:t>
    </w:r>
  </w:p>
  <w:p w14:paraId="55A061B8" w14:textId="77777777" w:rsidR="002A3990" w:rsidRPr="00296529" w:rsidRDefault="002A3990"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04D1A950" w14:textId="77777777" w:rsidR="002A3990" w:rsidRDefault="002A3990"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7A5910E4" w14:textId="77777777" w:rsidR="002A3990" w:rsidRDefault="002A3990"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45E9E8D3" w14:textId="77777777" w:rsidR="002A3990" w:rsidRDefault="002A3990">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85560693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150752230">
    <w:abstractNumId w:val="15"/>
  </w:num>
  <w:num w:numId="3" w16cid:durableId="1484737095">
    <w:abstractNumId w:val="23"/>
  </w:num>
  <w:num w:numId="4" w16cid:durableId="1899658691">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326975414">
    <w:abstractNumId w:val="7"/>
  </w:num>
  <w:num w:numId="6" w16cid:durableId="1393964086">
    <w:abstractNumId w:val="6"/>
  </w:num>
  <w:num w:numId="7" w16cid:durableId="1148324725">
    <w:abstractNumId w:val="1"/>
  </w:num>
  <w:num w:numId="8" w16cid:durableId="474417771">
    <w:abstractNumId w:val="12"/>
  </w:num>
  <w:num w:numId="9" w16cid:durableId="1689480032">
    <w:abstractNumId w:val="25"/>
  </w:num>
  <w:num w:numId="10" w16cid:durableId="1829980272">
    <w:abstractNumId w:val="2"/>
  </w:num>
  <w:num w:numId="11" w16cid:durableId="557940569">
    <w:abstractNumId w:val="18"/>
  </w:num>
  <w:num w:numId="12" w16cid:durableId="980840291">
    <w:abstractNumId w:val="3"/>
  </w:num>
  <w:num w:numId="13" w16cid:durableId="827014952">
    <w:abstractNumId w:val="17"/>
  </w:num>
  <w:num w:numId="14" w16cid:durableId="941575500">
    <w:abstractNumId w:val="8"/>
  </w:num>
  <w:num w:numId="15" w16cid:durableId="2034794364">
    <w:abstractNumId w:val="21"/>
  </w:num>
  <w:num w:numId="16" w16cid:durableId="2114931556">
    <w:abstractNumId w:val="5"/>
  </w:num>
  <w:num w:numId="17" w16cid:durableId="2131974369">
    <w:abstractNumId w:val="22"/>
  </w:num>
  <w:num w:numId="18" w16cid:durableId="1407607479">
    <w:abstractNumId w:val="14"/>
  </w:num>
  <w:num w:numId="19" w16cid:durableId="74402858">
    <w:abstractNumId w:val="28"/>
  </w:num>
  <w:num w:numId="20" w16cid:durableId="426073656">
    <w:abstractNumId w:val="11"/>
  </w:num>
  <w:num w:numId="21" w16cid:durableId="1677490974">
    <w:abstractNumId w:val="9"/>
  </w:num>
  <w:num w:numId="22" w16cid:durableId="512257413">
    <w:abstractNumId w:val="13"/>
  </w:num>
  <w:num w:numId="23" w16cid:durableId="1583951147">
    <w:abstractNumId w:val="19"/>
  </w:num>
  <w:num w:numId="24" w16cid:durableId="887493083">
    <w:abstractNumId w:val="26"/>
  </w:num>
  <w:num w:numId="25" w16cid:durableId="1125738588">
    <w:abstractNumId w:val="4"/>
  </w:num>
  <w:num w:numId="26" w16cid:durableId="1504127400">
    <w:abstractNumId w:val="16"/>
  </w:num>
  <w:num w:numId="27" w16cid:durableId="1441797477">
    <w:abstractNumId w:val="20"/>
  </w:num>
  <w:num w:numId="28" w16cid:durableId="429856646">
    <w:abstractNumId w:val="27"/>
  </w:num>
  <w:num w:numId="29" w16cid:durableId="2107189879">
    <w:abstractNumId w:val="24"/>
  </w:num>
  <w:num w:numId="30" w16cid:durableId="147344927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02CE4"/>
    <w:rsid w:val="00030174"/>
    <w:rsid w:val="00044FF0"/>
    <w:rsid w:val="0004579C"/>
    <w:rsid w:val="000536EC"/>
    <w:rsid w:val="000A47FA"/>
    <w:rsid w:val="000A65D3"/>
    <w:rsid w:val="000B1E33"/>
    <w:rsid w:val="000B5EF8"/>
    <w:rsid w:val="000D1C38"/>
    <w:rsid w:val="000D20E5"/>
    <w:rsid w:val="000D23E9"/>
    <w:rsid w:val="000D689F"/>
    <w:rsid w:val="000E7B7B"/>
    <w:rsid w:val="000E7D62"/>
    <w:rsid w:val="00103357"/>
    <w:rsid w:val="00123339"/>
    <w:rsid w:val="00123C9F"/>
    <w:rsid w:val="00126190"/>
    <w:rsid w:val="00130F17"/>
    <w:rsid w:val="001320BF"/>
    <w:rsid w:val="00135BED"/>
    <w:rsid w:val="00145385"/>
    <w:rsid w:val="00163BC4"/>
    <w:rsid w:val="00170BC5"/>
    <w:rsid w:val="00191062"/>
    <w:rsid w:val="00191A43"/>
    <w:rsid w:val="00192B72"/>
    <w:rsid w:val="00192CE6"/>
    <w:rsid w:val="001A29D8"/>
    <w:rsid w:val="001A5CAA"/>
    <w:rsid w:val="001B0427"/>
    <w:rsid w:val="001D3A51"/>
    <w:rsid w:val="001D7B62"/>
    <w:rsid w:val="001E10D2"/>
    <w:rsid w:val="001E25B4"/>
    <w:rsid w:val="001E29A6"/>
    <w:rsid w:val="001E44FE"/>
    <w:rsid w:val="001F58A2"/>
    <w:rsid w:val="00200595"/>
    <w:rsid w:val="00204835"/>
    <w:rsid w:val="00204D56"/>
    <w:rsid w:val="002130E2"/>
    <w:rsid w:val="00231920"/>
    <w:rsid w:val="0023195C"/>
    <w:rsid w:val="002416E1"/>
    <w:rsid w:val="0024282C"/>
    <w:rsid w:val="002432F0"/>
    <w:rsid w:val="002460DC"/>
    <w:rsid w:val="00250985"/>
    <w:rsid w:val="002556F6"/>
    <w:rsid w:val="002755A1"/>
    <w:rsid w:val="00276673"/>
    <w:rsid w:val="00283105"/>
    <w:rsid w:val="00284C4C"/>
    <w:rsid w:val="00287E68"/>
    <w:rsid w:val="00293318"/>
    <w:rsid w:val="00296529"/>
    <w:rsid w:val="0029726B"/>
    <w:rsid w:val="002A3990"/>
    <w:rsid w:val="002B27FB"/>
    <w:rsid w:val="002B685A"/>
    <w:rsid w:val="002C57D2"/>
    <w:rsid w:val="002E0D56"/>
    <w:rsid w:val="002F6453"/>
    <w:rsid w:val="002F728F"/>
    <w:rsid w:val="00315186"/>
    <w:rsid w:val="00321C9C"/>
    <w:rsid w:val="003244F3"/>
    <w:rsid w:val="0033343E"/>
    <w:rsid w:val="00335669"/>
    <w:rsid w:val="003512C2"/>
    <w:rsid w:val="00371FB6"/>
    <w:rsid w:val="00372059"/>
    <w:rsid w:val="003763C1"/>
    <w:rsid w:val="00376BBE"/>
    <w:rsid w:val="0039224F"/>
    <w:rsid w:val="003939D7"/>
    <w:rsid w:val="003A43A4"/>
    <w:rsid w:val="003A7E18"/>
    <w:rsid w:val="003C4C86"/>
    <w:rsid w:val="003C6258"/>
    <w:rsid w:val="003D0516"/>
    <w:rsid w:val="003E2904"/>
    <w:rsid w:val="003F2193"/>
    <w:rsid w:val="00401927"/>
    <w:rsid w:val="0041027F"/>
    <w:rsid w:val="00412475"/>
    <w:rsid w:val="00423789"/>
    <w:rsid w:val="00440F43"/>
    <w:rsid w:val="00441B6F"/>
    <w:rsid w:val="00446221"/>
    <w:rsid w:val="00450E62"/>
    <w:rsid w:val="004539DB"/>
    <w:rsid w:val="00471A80"/>
    <w:rsid w:val="0047733A"/>
    <w:rsid w:val="00484008"/>
    <w:rsid w:val="00487143"/>
    <w:rsid w:val="004A25A5"/>
    <w:rsid w:val="004D305E"/>
    <w:rsid w:val="004D4277"/>
    <w:rsid w:val="004E7D15"/>
    <w:rsid w:val="00502516"/>
    <w:rsid w:val="00505F06"/>
    <w:rsid w:val="00506828"/>
    <w:rsid w:val="0053056E"/>
    <w:rsid w:val="00554FDA"/>
    <w:rsid w:val="0056069E"/>
    <w:rsid w:val="005C784C"/>
    <w:rsid w:val="005D17F6"/>
    <w:rsid w:val="005E5539"/>
    <w:rsid w:val="00602BF5"/>
    <w:rsid w:val="00617FDD"/>
    <w:rsid w:val="00624C57"/>
    <w:rsid w:val="00633614"/>
    <w:rsid w:val="00633F68"/>
    <w:rsid w:val="00636EB2"/>
    <w:rsid w:val="006375B8"/>
    <w:rsid w:val="006646D6"/>
    <w:rsid w:val="0066510A"/>
    <w:rsid w:val="006658A9"/>
    <w:rsid w:val="00673F9F"/>
    <w:rsid w:val="00686953"/>
    <w:rsid w:val="00687DEA"/>
    <w:rsid w:val="00687E67"/>
    <w:rsid w:val="00692C6B"/>
    <w:rsid w:val="006967F7"/>
    <w:rsid w:val="006A250C"/>
    <w:rsid w:val="006A79F1"/>
    <w:rsid w:val="006B21D3"/>
    <w:rsid w:val="006B57D0"/>
    <w:rsid w:val="006C5237"/>
    <w:rsid w:val="006D30FF"/>
    <w:rsid w:val="006D6940"/>
    <w:rsid w:val="006F11EC"/>
    <w:rsid w:val="0070082C"/>
    <w:rsid w:val="00722B55"/>
    <w:rsid w:val="007322A7"/>
    <w:rsid w:val="007369E6"/>
    <w:rsid w:val="0074304E"/>
    <w:rsid w:val="00746E59"/>
    <w:rsid w:val="00754C9A"/>
    <w:rsid w:val="0075599A"/>
    <w:rsid w:val="00761D52"/>
    <w:rsid w:val="0077749E"/>
    <w:rsid w:val="00790ADA"/>
    <w:rsid w:val="007D2288"/>
    <w:rsid w:val="007E088F"/>
    <w:rsid w:val="007E37EB"/>
    <w:rsid w:val="007F7B32"/>
    <w:rsid w:val="00804BC2"/>
    <w:rsid w:val="0081240A"/>
    <w:rsid w:val="0081431A"/>
    <w:rsid w:val="00830639"/>
    <w:rsid w:val="0083216F"/>
    <w:rsid w:val="00860000"/>
    <w:rsid w:val="00863BD3"/>
    <w:rsid w:val="008641ED"/>
    <w:rsid w:val="00866D66"/>
    <w:rsid w:val="008671C6"/>
    <w:rsid w:val="008672A2"/>
    <w:rsid w:val="00870930"/>
    <w:rsid w:val="00875803"/>
    <w:rsid w:val="00897FEB"/>
    <w:rsid w:val="008A02E9"/>
    <w:rsid w:val="008B3967"/>
    <w:rsid w:val="008B459E"/>
    <w:rsid w:val="008D6D00"/>
    <w:rsid w:val="008E13AE"/>
    <w:rsid w:val="008E1506"/>
    <w:rsid w:val="008E710C"/>
    <w:rsid w:val="008F69D6"/>
    <w:rsid w:val="00902823"/>
    <w:rsid w:val="00903BE5"/>
    <w:rsid w:val="00915CA6"/>
    <w:rsid w:val="00927834"/>
    <w:rsid w:val="00941D2B"/>
    <w:rsid w:val="00947331"/>
    <w:rsid w:val="009500A6"/>
    <w:rsid w:val="00956123"/>
    <w:rsid w:val="00957C18"/>
    <w:rsid w:val="009659BA"/>
    <w:rsid w:val="00983040"/>
    <w:rsid w:val="0098373C"/>
    <w:rsid w:val="00995909"/>
    <w:rsid w:val="009B3FB9"/>
    <w:rsid w:val="009C1A90"/>
    <w:rsid w:val="009C2465"/>
    <w:rsid w:val="009D35A0"/>
    <w:rsid w:val="009D7EB7"/>
    <w:rsid w:val="009E048A"/>
    <w:rsid w:val="009E08E9"/>
    <w:rsid w:val="009E3DB9"/>
    <w:rsid w:val="009E6E35"/>
    <w:rsid w:val="009F0EDA"/>
    <w:rsid w:val="009F4E91"/>
    <w:rsid w:val="00A03B96"/>
    <w:rsid w:val="00A05B19"/>
    <w:rsid w:val="00A1134E"/>
    <w:rsid w:val="00A24E7E"/>
    <w:rsid w:val="00A258C3"/>
    <w:rsid w:val="00A347C0"/>
    <w:rsid w:val="00A443A5"/>
    <w:rsid w:val="00A50E60"/>
    <w:rsid w:val="00A51431"/>
    <w:rsid w:val="00A539AD"/>
    <w:rsid w:val="00A62FEC"/>
    <w:rsid w:val="00A94063"/>
    <w:rsid w:val="00AA6219"/>
    <w:rsid w:val="00AA74E0"/>
    <w:rsid w:val="00AB703F"/>
    <w:rsid w:val="00AC6BB8"/>
    <w:rsid w:val="00AE008F"/>
    <w:rsid w:val="00AE5DC9"/>
    <w:rsid w:val="00AF7765"/>
    <w:rsid w:val="00B01FCD"/>
    <w:rsid w:val="00B06A59"/>
    <w:rsid w:val="00B1776C"/>
    <w:rsid w:val="00B27A67"/>
    <w:rsid w:val="00B32CA5"/>
    <w:rsid w:val="00B45056"/>
    <w:rsid w:val="00B45506"/>
    <w:rsid w:val="00B45525"/>
    <w:rsid w:val="00B52583"/>
    <w:rsid w:val="00B52896"/>
    <w:rsid w:val="00B56E22"/>
    <w:rsid w:val="00B812FE"/>
    <w:rsid w:val="00B83DF7"/>
    <w:rsid w:val="00B95236"/>
    <w:rsid w:val="00B96BD9"/>
    <w:rsid w:val="00BA1B01"/>
    <w:rsid w:val="00BA2641"/>
    <w:rsid w:val="00BB37AA"/>
    <w:rsid w:val="00BC53A0"/>
    <w:rsid w:val="00BE62AD"/>
    <w:rsid w:val="00BF06AD"/>
    <w:rsid w:val="00BF121F"/>
    <w:rsid w:val="00BF1F80"/>
    <w:rsid w:val="00C0431E"/>
    <w:rsid w:val="00C166EF"/>
    <w:rsid w:val="00C17EB0"/>
    <w:rsid w:val="00C27F5F"/>
    <w:rsid w:val="00C30A0F"/>
    <w:rsid w:val="00C37E61"/>
    <w:rsid w:val="00C45579"/>
    <w:rsid w:val="00C70F1B"/>
    <w:rsid w:val="00C71A47"/>
    <w:rsid w:val="00C7464C"/>
    <w:rsid w:val="00C76957"/>
    <w:rsid w:val="00C84A9C"/>
    <w:rsid w:val="00C85588"/>
    <w:rsid w:val="00CD6755"/>
    <w:rsid w:val="00CD6856"/>
    <w:rsid w:val="00CE0089"/>
    <w:rsid w:val="00CE0764"/>
    <w:rsid w:val="00CE793C"/>
    <w:rsid w:val="00CF193C"/>
    <w:rsid w:val="00CF4157"/>
    <w:rsid w:val="00D173F1"/>
    <w:rsid w:val="00D43F2F"/>
    <w:rsid w:val="00D74CB0"/>
    <w:rsid w:val="00D779CE"/>
    <w:rsid w:val="00D8295D"/>
    <w:rsid w:val="00DC2A65"/>
    <w:rsid w:val="00DE15F0"/>
    <w:rsid w:val="00DE1AE6"/>
    <w:rsid w:val="00DE1B75"/>
    <w:rsid w:val="00DE1CFB"/>
    <w:rsid w:val="00DE5663"/>
    <w:rsid w:val="00DE78AA"/>
    <w:rsid w:val="00DF7F70"/>
    <w:rsid w:val="00E053D0"/>
    <w:rsid w:val="00E15994"/>
    <w:rsid w:val="00E3114E"/>
    <w:rsid w:val="00E31A70"/>
    <w:rsid w:val="00E35B02"/>
    <w:rsid w:val="00E66496"/>
    <w:rsid w:val="00E66B35"/>
    <w:rsid w:val="00E66E10"/>
    <w:rsid w:val="00E769F6"/>
    <w:rsid w:val="00E83865"/>
    <w:rsid w:val="00E8407C"/>
    <w:rsid w:val="00E84F3C"/>
    <w:rsid w:val="00EA012C"/>
    <w:rsid w:val="00EC6A55"/>
    <w:rsid w:val="00ED0288"/>
    <w:rsid w:val="00EE191D"/>
    <w:rsid w:val="00EE52CB"/>
    <w:rsid w:val="00EF1398"/>
    <w:rsid w:val="00EF581D"/>
    <w:rsid w:val="00EF7FD8"/>
    <w:rsid w:val="00F06F59"/>
    <w:rsid w:val="00F17988"/>
    <w:rsid w:val="00F3101E"/>
    <w:rsid w:val="00F469F0"/>
    <w:rsid w:val="00F53273"/>
    <w:rsid w:val="00F755E4"/>
    <w:rsid w:val="00F77D02"/>
    <w:rsid w:val="00F844B3"/>
    <w:rsid w:val="00FA43B7"/>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1F9010"/>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2">
    <w:name w:val="heading 2"/>
    <w:basedOn w:val="Normal"/>
    <w:next w:val="Normal"/>
    <w:link w:val="Heading2Char"/>
    <w:semiHidden/>
    <w:unhideWhenUsed/>
    <w:qFormat/>
    <w:rsid w:val="0098373C"/>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3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paragraph" w:styleId="NoSpacing">
    <w:name w:val="No Spacing"/>
    <w:uiPriority w:val="1"/>
    <w:qFormat/>
    <w:rsid w:val="004E7D15"/>
    <w:rPr>
      <w:rFonts w:asciiTheme="minorHAnsi" w:eastAsiaTheme="minorHAnsi" w:hAnsiTheme="minorHAnsi" w:cstheme="minorBidi"/>
      <w:kern w:val="2"/>
      <w:sz w:val="22"/>
      <w:szCs w:val="22"/>
      <w:lang w:val="en-IN"/>
    </w:rPr>
  </w:style>
  <w:style w:type="paragraph" w:styleId="Revision">
    <w:name w:val="Revision"/>
    <w:hidden/>
    <w:uiPriority w:val="99"/>
    <w:semiHidden/>
    <w:rsid w:val="00B27A67"/>
    <w:rPr>
      <w:rFonts w:ascii="Helvetica" w:hAnsi="Helvetica"/>
    </w:rPr>
  </w:style>
  <w:style w:type="character" w:customStyle="1" w:styleId="Heading2Char">
    <w:name w:val="Heading 2 Char"/>
    <w:basedOn w:val="DefaultParagraphFont"/>
    <w:link w:val="Heading2"/>
    <w:semiHidden/>
    <w:rsid w:val="0098373C"/>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368406380">
      <w:bodyDiv w:val="1"/>
      <w:marLeft w:val="0"/>
      <w:marRight w:val="0"/>
      <w:marTop w:val="0"/>
      <w:marBottom w:val="0"/>
      <w:divBdr>
        <w:top w:val="none" w:sz="0" w:space="0" w:color="auto"/>
        <w:left w:val="none" w:sz="0" w:space="0" w:color="auto"/>
        <w:bottom w:val="none" w:sz="0" w:space="0" w:color="auto"/>
        <w:right w:val="none" w:sz="0" w:space="0" w:color="auto"/>
      </w:divBdr>
      <w:divsChild>
        <w:div w:id="92095345">
          <w:marLeft w:val="0"/>
          <w:marRight w:val="0"/>
          <w:marTop w:val="0"/>
          <w:marBottom w:val="0"/>
          <w:divBdr>
            <w:top w:val="none" w:sz="0" w:space="0" w:color="auto"/>
            <w:left w:val="none" w:sz="0" w:space="0" w:color="auto"/>
            <w:bottom w:val="none" w:sz="0" w:space="0" w:color="auto"/>
            <w:right w:val="none" w:sz="0" w:space="0" w:color="auto"/>
          </w:divBdr>
          <w:divsChild>
            <w:div w:id="775634938">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0262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570073">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5.png"/><Relationship Id="rId26" Type="http://schemas.openxmlformats.org/officeDocument/2006/relationships/hyperlink" Target="https://doi.org/10.1007/s11183-005-0003-z" TargetMode="External"/><Relationship Id="rId39" Type="http://schemas.openxmlformats.org/officeDocument/2006/relationships/hyperlink" Target="https://doi.org/10.1111/j.1471-4159.2006.03907.x" TargetMode="External"/><Relationship Id="rId21" Type="http://schemas.openxmlformats.org/officeDocument/2006/relationships/hyperlink" Target="https://doi.org/10.1007/s11356-019-05460-z" TargetMode="External"/><Relationship Id="rId34" Type="http://schemas.openxmlformats.org/officeDocument/2006/relationships/hyperlink" Target="https://doi.org/10.1186/s12870-026-08268-5" TargetMode="External"/><Relationship Id="rId42" Type="http://schemas.openxmlformats.org/officeDocument/2006/relationships/hyperlink" Target="https://doi.org/10.1002/jsfa.2740110604" TargetMode="External"/><Relationship Id="rId47" Type="http://schemas.openxmlformats.org/officeDocument/2006/relationships/hyperlink" Target="https://doi.org/10.1007/978-981-10-2860-1_2" TargetMode="External"/><Relationship Id="rId50" Type="http://schemas.openxmlformats.org/officeDocument/2006/relationships/hyperlink" Target="https://doi.org/10.1007/s11738-009-0436-7" TargetMode="External"/><Relationship Id="rId55" Type="http://schemas.openxmlformats.org/officeDocument/2006/relationships/hyperlink" Target="https://doi.org/10.9734/ijecc/2025/v15i44804" TargetMode="External"/><Relationship Id="rId63" Type="http://schemas.openxmlformats.org/officeDocument/2006/relationships/hyperlink" Target="https://agris.fao.org/search/en/providers/122535/records/65dde911b766d82b18fafe7c" TargetMode="External"/><Relationship Id="rId68" Type="http://schemas.openxmlformats.org/officeDocument/2006/relationships/hyperlink" Target="https://doi.org/10.1016/j.envpol.2007.08.018" TargetMode="External"/><Relationship Id="rId76" Type="http://schemas.openxmlformats.org/officeDocument/2006/relationships/hyperlink" Target="https://doi.org/10.3390/foods13101435" TargetMode="External"/><Relationship Id="rId84" Type="http://schemas.openxmlformats.org/officeDocument/2006/relationships/hyperlink" Target="https://doi.org/10.1016/j.ecoenv.2020.111024" TargetMode="External"/><Relationship Id="rId89"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doi.org/10.1104/pp.59.5.1011" TargetMode="External"/><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hyperlink" Target="https://doi.org/10.1007/s11270-025-08478-x" TargetMode="External"/><Relationship Id="rId11" Type="http://schemas.openxmlformats.org/officeDocument/2006/relationships/footer" Target="footer2.xml"/><Relationship Id="rId24" Type="http://schemas.openxmlformats.org/officeDocument/2006/relationships/hyperlink" Target="https://doi.org/10.1007/s42398-018-00038-w" TargetMode="External"/><Relationship Id="rId32" Type="http://schemas.openxmlformats.org/officeDocument/2006/relationships/hyperlink" Target="https://doi.org/10.1007/s10646-023-02714-y" TargetMode="External"/><Relationship Id="rId37" Type="http://schemas.openxmlformats.org/officeDocument/2006/relationships/hyperlink" Target="https://doi.org/10.1104/pp.59.2.309" TargetMode="External"/><Relationship Id="rId40" Type="http://schemas.openxmlformats.org/officeDocument/2006/relationships/hyperlink" Target="https://doi.org/10.3390/jpm13040626" TargetMode="External"/><Relationship Id="rId45" Type="http://schemas.openxmlformats.org/officeDocument/2006/relationships/hyperlink" Target="https://doi.org/10.1016/j.ecohyd.2021.02.002" TargetMode="External"/><Relationship Id="rId53" Type="http://schemas.openxmlformats.org/officeDocument/2006/relationships/hyperlink" Target="https://doi.org/10.1016/j.biombioe.2015.07.025" TargetMode="External"/><Relationship Id="rId58" Type="http://schemas.openxmlformats.org/officeDocument/2006/relationships/hyperlink" Target="https://doi.org/10.1007/s10311-010-0297-8" TargetMode="External"/><Relationship Id="rId66" Type="http://schemas.openxmlformats.org/officeDocument/2006/relationships/hyperlink" Target="https://doi.org/10.1080/10643380801910058" TargetMode="External"/><Relationship Id="rId74" Type="http://schemas.openxmlformats.org/officeDocument/2006/relationships/hyperlink" Target="https://doi.org/10.37899/journallalifesci.v5i6.1694" TargetMode="External"/><Relationship Id="rId79" Type="http://schemas.openxmlformats.org/officeDocument/2006/relationships/hyperlink" Target="https://doi.org/10.1007/s00299-006-0199-1" TargetMode="External"/><Relationship Id="rId87" Type="http://schemas.openxmlformats.org/officeDocument/2006/relationships/hyperlink" Target="https://doi.org/10.1111/j.1469-8137.2008.02758.x" TargetMode="External"/><Relationship Id="rId5" Type="http://schemas.openxmlformats.org/officeDocument/2006/relationships/webSettings" Target="webSettings.xml"/><Relationship Id="rId61" Type="http://schemas.openxmlformats.org/officeDocument/2006/relationships/hyperlink" Target="https://doi.org/10.1007/s43615-026-00756-y" TargetMode="External"/><Relationship Id="rId82" Type="http://schemas.openxmlformats.org/officeDocument/2006/relationships/hyperlink" Target="https://doi.org/10.1111/j.1399-3054.1996.tb00465.x" TargetMode="External"/><Relationship Id="rId90" Type="http://schemas.openxmlformats.org/officeDocument/2006/relationships/theme" Target="theme/theme1.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hyperlink" Target="https://doi.org/10.1007/s12011-010-8899-3" TargetMode="External"/><Relationship Id="rId27" Type="http://schemas.openxmlformats.org/officeDocument/2006/relationships/hyperlink" Target="https://doi.org/10.1038/nprot.2007.146" TargetMode="External"/><Relationship Id="rId30" Type="http://schemas.openxmlformats.org/officeDocument/2006/relationships/hyperlink" Target="https://doi.org/10.1155/2014/752708" TargetMode="External"/><Relationship Id="rId35" Type="http://schemas.openxmlformats.org/officeDocument/2006/relationships/hyperlink" Target="https://doi.org/10.1016/j.jhazmat.2008.10.010" TargetMode="External"/><Relationship Id="rId43" Type="http://schemas.openxmlformats.org/officeDocument/2006/relationships/hyperlink" Target="https://doi.org/10.1016/j.ecoenv.2014.03.008" TargetMode="External"/><Relationship Id="rId48" Type="http://schemas.openxmlformats.org/officeDocument/2006/relationships/hyperlink" Target="https://doi.org/10.1007/s11356-018-2993-z" TargetMode="External"/><Relationship Id="rId56" Type="http://schemas.openxmlformats.org/officeDocument/2006/relationships/hyperlink" Target="https://doi.org/10.1016/j.chemosphere.2004.07.024" TargetMode="External"/><Relationship Id="rId64" Type="http://schemas.openxmlformats.org/officeDocument/2006/relationships/hyperlink" Target="https://doi.org/10.1016/j.chemosphere.2021.130750" TargetMode="External"/><Relationship Id="rId69" Type="http://schemas.openxmlformats.org/officeDocument/2006/relationships/hyperlink" Target="https://doi.org/10.1080/19443994.2014.967305" TargetMode="External"/><Relationship Id="rId77" Type="http://schemas.openxmlformats.org/officeDocument/2006/relationships/hyperlink" Target="https://www.atsdr.cdc.gov/programs/substance-priority-list.html" TargetMode="External"/><Relationship Id="rId8" Type="http://schemas.openxmlformats.org/officeDocument/2006/relationships/header" Target="header1.xml"/><Relationship Id="rId51" Type="http://schemas.openxmlformats.org/officeDocument/2006/relationships/hyperlink" Target="https://doi.org/10.2174/1386207323666200415110745" TargetMode="External"/><Relationship Id="rId72" Type="http://schemas.openxmlformats.org/officeDocument/2006/relationships/hyperlink" Target="https://doi.org/10.1016/j.biombioe.2025.108826" TargetMode="External"/><Relationship Id="rId80" Type="http://schemas.openxmlformats.org/officeDocument/2006/relationships/hyperlink" Target="https://doi.org/10.1007/s11738-008-0194-y" TargetMode="External"/><Relationship Id="rId85" Type="http://schemas.openxmlformats.org/officeDocument/2006/relationships/hyperlink" Target="https://doi.org/10.3390/ijms241512157" TargetMode="Externa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4.png"/><Relationship Id="rId25" Type="http://schemas.openxmlformats.org/officeDocument/2006/relationships/hyperlink" Target="https://www.astm.org/e1415-91r98.html" TargetMode="External"/><Relationship Id="rId33" Type="http://schemas.openxmlformats.org/officeDocument/2006/relationships/hyperlink" Target="https://doi.org/10.3390/su162210072" TargetMode="External"/><Relationship Id="rId38" Type="http://schemas.openxmlformats.org/officeDocument/2006/relationships/hyperlink" Target="https://doi.org/10.1111/j.1744-7348.2008.00299.x" TargetMode="External"/><Relationship Id="rId46" Type="http://schemas.openxmlformats.org/officeDocument/2006/relationships/hyperlink" Target="https://doi.org/10.1007/s42398-018-0009-z" TargetMode="External"/><Relationship Id="rId59" Type="http://schemas.openxmlformats.org/officeDocument/2006/relationships/hyperlink" Target="https://doi.org/10.1093/oxfordjournals.pcp.a076232" TargetMode="External"/><Relationship Id="rId67" Type="http://schemas.openxmlformats.org/officeDocument/2006/relationships/hyperlink" Target="https://doi.org/10.1007/978-981-10-2860-1_6" TargetMode="External"/><Relationship Id="rId20" Type="http://schemas.openxmlformats.org/officeDocument/2006/relationships/hyperlink" Target="https://doi.org/10.1016/S0076-6879(84)05016-3" TargetMode="External"/><Relationship Id="rId41" Type="http://schemas.openxmlformats.org/officeDocument/2006/relationships/hyperlink" Target="https://doi.org/10.1016/0003-9861(68)90654-1" TargetMode="External"/><Relationship Id="rId54" Type="http://schemas.openxmlformats.org/officeDocument/2006/relationships/hyperlink" Target="https://doi.org/10.1007/978-3-662-54130-2_4" TargetMode="External"/><Relationship Id="rId62" Type="http://schemas.openxmlformats.org/officeDocument/2006/relationships/hyperlink" Target="https://doi.org/10.3389/fpls.2017.00581" TargetMode="External"/><Relationship Id="rId70" Type="http://schemas.openxmlformats.org/officeDocument/2006/relationships/hyperlink" Target="https://doi.org/10.1023/A:1009286130324" TargetMode="External"/><Relationship Id="rId75" Type="http://schemas.openxmlformats.org/officeDocument/2006/relationships/hyperlink" Target="https://doi.org/10.1016/j.chemosphere.2005.05.017" TargetMode="External"/><Relationship Id="rId83" Type="http://schemas.openxmlformats.org/officeDocument/2006/relationships/hyperlink" Target="https://doi.org/10.5402/2011/402647" TargetMode="External"/><Relationship Id="rId88" Type="http://schemas.openxmlformats.org/officeDocument/2006/relationships/hyperlink" Target="https://doi.org/10.1080/02772248.2015.1094701"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hyperlink" Target="https://doi.org/10.1016/j.envexpbot.2011.07.002" TargetMode="External"/><Relationship Id="rId28" Type="http://schemas.openxmlformats.org/officeDocument/2006/relationships/hyperlink" Target="https://doi.org/10.1002/jpln.200420485" TargetMode="External"/><Relationship Id="rId36" Type="http://schemas.openxmlformats.org/officeDocument/2006/relationships/hyperlink" Target="https://doi.org/10.5829/idosi.gjer.2013.7.2.74175" TargetMode="External"/><Relationship Id="rId49" Type="http://schemas.openxmlformats.org/officeDocument/2006/relationships/hyperlink" Target="https://doi.org/10.1016/j.ecoenv.2018.09.023" TargetMode="External"/><Relationship Id="rId57" Type="http://schemas.openxmlformats.org/officeDocument/2006/relationships/hyperlink" Target="https://doi.org/10.3390/plants12091848" TargetMode="External"/><Relationship Id="rId10" Type="http://schemas.openxmlformats.org/officeDocument/2006/relationships/footer" Target="footer1.xml"/><Relationship Id="rId31" Type="http://schemas.openxmlformats.org/officeDocument/2006/relationships/hyperlink" Target="https://doi.org/10.1016/j.jclepro.2023.136721" TargetMode="External"/><Relationship Id="rId44" Type="http://schemas.openxmlformats.org/officeDocument/2006/relationships/hyperlink" Target="https://doi.org/10.1007/s13201-015-0376-x" TargetMode="External"/><Relationship Id="rId52" Type="http://schemas.openxmlformats.org/officeDocument/2006/relationships/hyperlink" Target="https://doi.org/10.56557/joban/2025/v17i29878" TargetMode="External"/><Relationship Id="rId60" Type="http://schemas.openxmlformats.org/officeDocument/2006/relationships/hyperlink" Target="https://doi.org/10.1016/j.apgeochem.2022.105440" TargetMode="External"/><Relationship Id="rId65" Type="http://schemas.openxmlformats.org/officeDocument/2006/relationships/hyperlink" Target="https://doi.org/10.1016/B978-0-12-387689-8.00003-5" TargetMode="External"/><Relationship Id="rId73" Type="http://schemas.openxmlformats.org/officeDocument/2006/relationships/hyperlink" Target="https://doi.org/10.1016/j.ecoenv.2024.116698" TargetMode="External"/><Relationship Id="rId78" Type="http://schemas.openxmlformats.org/officeDocument/2006/relationships/hyperlink" Target="https://etheses.whiterose.ac.uk/id/eprint/8246/" TargetMode="External"/><Relationship Id="rId81" Type="http://schemas.openxmlformats.org/officeDocument/2006/relationships/hyperlink" Target="https://doi.org/10.3390/jmse11010100" TargetMode="External"/><Relationship Id="rId86" Type="http://schemas.openxmlformats.org/officeDocument/2006/relationships/hyperlink" Target="https://doi.org/10.1016/j.jksus.2021.10165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33CDC0-911E-46BB-BBE9-8C0E3C2CA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363</TotalTime>
  <Pages>21</Pages>
  <Words>8415</Words>
  <Characters>47968</Characters>
  <Application>Microsoft Office Word</Application>
  <DocSecurity>0</DocSecurity>
  <Lines>399</Lines>
  <Paragraphs>112</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56271</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1065</cp:lastModifiedBy>
  <cp:revision>51</cp:revision>
  <cp:lastPrinted>1999-07-06T11:00:00Z</cp:lastPrinted>
  <dcterms:created xsi:type="dcterms:W3CDTF">2026-08-04T15:39:00Z</dcterms:created>
  <dcterms:modified xsi:type="dcterms:W3CDTF">2026-08-18T05:59:00Z</dcterms:modified>
</cp:coreProperties>
</file>