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17.bin" ContentType="application/vnd.openxmlformats-officedocument.oleObject"/>
  <Override PartName="/word/embeddings/oleObject18.bin" ContentType="application/vnd.openxmlformats-officedocument.oleObject"/>
  <Override PartName="/word/embeddings/oleObject1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1.bin" ContentType="application/vnd.openxmlformats-officedocument.oleObject"/>
  <Override PartName="/word/embeddings/oleObject22.bin" ContentType="application/vnd.openxmlformats-officedocument.oleObject"/>
  <Override PartName="/word/embeddings/oleObject23.bin" ContentType="application/vnd.openxmlformats-officedocument.oleObject"/>
  <Override PartName="/word/embeddings/oleObject24.bin" ContentType="application/vnd.openxmlformats-officedocument.oleObject"/>
  <Override PartName="/word/embeddings/oleObject25.bin" ContentType="application/vnd.openxmlformats-officedocument.oleObject"/>
  <Override PartName="/word/embeddings/oleObject26.bin" ContentType="application/vnd.openxmlformats-officedocument.oleObject"/>
  <Override PartName="/word/embeddings/oleObject27.bin" ContentType="application/vnd.openxmlformats-officedocument.oleObject"/>
  <Override PartName="/word/embeddings/oleObject28.bin" ContentType="application/vnd.openxmlformats-officedocument.oleObject"/>
  <Override PartName="/word/embeddings/oleObject2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1.bin" ContentType="application/vnd.openxmlformats-officedocument.oleObject"/>
  <Override PartName="/word/embeddings/oleObject32.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E6DA6" w14:textId="77777777" w:rsidR="00D37A2F" w:rsidRPr="005F4454" w:rsidRDefault="00D37A2F" w:rsidP="00D37A2F">
      <w:pPr>
        <w:spacing w:before="100" w:beforeAutospacing="1" w:after="100" w:afterAutospacing="1" w:line="240" w:lineRule="auto"/>
        <w:jc w:val="center"/>
        <w:outlineLvl w:val="2"/>
        <w:rPr>
          <w:rFonts w:ascii="Times New Roman" w:hAnsi="Times New Roman" w:cs="Times New Roman"/>
          <w:sz w:val="24"/>
          <w:szCs w:val="24"/>
        </w:rPr>
      </w:pPr>
      <w:r w:rsidRPr="005F4454">
        <w:rPr>
          <w:rFonts w:ascii="Times New Roman" w:hAnsi="Times New Roman" w:cs="Times New Roman"/>
          <w:sz w:val="24"/>
          <w:szCs w:val="24"/>
        </w:rPr>
        <w:t>Comparative Performance of Classical and Bayesian Hierarchical Logistic Regression Models in Identifying Childhood Immunization Determinants in Nigeria</w:t>
      </w:r>
    </w:p>
    <w:p w14:paraId="57D13492" w14:textId="77777777" w:rsidR="00D37A2F" w:rsidRPr="00D80701" w:rsidRDefault="00D37A2F" w:rsidP="00D37A2F">
      <w:pPr>
        <w:pStyle w:val="isselectedend"/>
        <w:jc w:val="both"/>
        <w:rPr>
          <w:b/>
          <w:i/>
        </w:rPr>
      </w:pPr>
      <w:r w:rsidRPr="00D80701">
        <w:rPr>
          <w:rStyle w:val="Strong"/>
          <w:b w:val="0"/>
          <w:i/>
        </w:rPr>
        <w:t>Abstract</w:t>
      </w:r>
    </w:p>
    <w:p w14:paraId="399B8FE8" w14:textId="1E364C9F" w:rsidR="00267123" w:rsidRDefault="00267123" w:rsidP="00D37A2F">
      <w:pPr>
        <w:pStyle w:val="NormalWeb"/>
        <w:rPr>
          <w:i/>
        </w:rPr>
      </w:pPr>
      <w:r w:rsidRPr="00267123">
        <w:rPr>
          <w:i/>
        </w:rPr>
        <w:t xml:space="preserve">Background: Complete childhood </w:t>
      </w:r>
      <w:proofErr w:type="spellStart"/>
      <w:r w:rsidRPr="00267123">
        <w:rPr>
          <w:i/>
        </w:rPr>
        <w:t>immunisation</w:t>
      </w:r>
      <w:proofErr w:type="spellEnd"/>
      <w:r w:rsidRPr="00267123">
        <w:rPr>
          <w:i/>
        </w:rPr>
        <w:t xml:space="preserve"> in Nigeria remains uneven across maternal, household, and healthcare contexts. This study identified determinants of complete childhood </w:t>
      </w:r>
      <w:proofErr w:type="spellStart"/>
      <w:r w:rsidRPr="00267123">
        <w:rPr>
          <w:i/>
        </w:rPr>
        <w:t>immunisation</w:t>
      </w:r>
      <w:proofErr w:type="spellEnd"/>
      <w:r w:rsidRPr="00267123">
        <w:rPr>
          <w:i/>
        </w:rPr>
        <w:t xml:space="preserve"> and compared classical and Bayesian hierarchical logistic regression models using the 2023–24 Nigeria Demographic and Health Survey. Methods: Weighted descriptive statistics, survey-adjusted chi-square tests, survey-weighted logistic regression, multilevel modelling, and model-adequacy assessments were applied to children aged 12–23 months with complete study information. Results: Overall, 58.0% of </w:t>
      </w:r>
      <w:proofErr w:type="spellStart"/>
      <w:r w:rsidRPr="00267123">
        <w:rPr>
          <w:i/>
          <w:highlight w:val="yellow"/>
        </w:rPr>
        <w:t>children</w:t>
      </w:r>
      <w:r w:rsidR="00410E74">
        <w:rPr>
          <w:i/>
        </w:rPr>
      </w:r>
      <w:r w:rsidRPr="00267123">
        <w:rPr>
          <w:i/>
        </w:rPr>
      </w:r>
      <w:proofErr w:type="spellEnd"/>
      <w:r w:rsidRPr="00267123">
        <w:rPr>
          <w:i/>
        </w:rPr>
        <w:t xml:space="preserve"> were fully </w:t>
      </w:r>
      <w:proofErr w:type="spellStart"/>
      <w:r w:rsidRPr="00267123">
        <w:rPr>
          <w:i/>
        </w:rPr>
        <w:t>immunised</w:t>
      </w:r>
      <w:proofErr w:type="spellEnd"/>
      <w:r w:rsidRPr="00267123">
        <w:rPr>
          <w:i/>
        </w:rPr>
        <w:t xml:space="preserve">, 32.0% were partially </w:t>
      </w:r>
      <w:proofErr w:type="spellStart"/>
      <w:r w:rsidRPr="00267123">
        <w:rPr>
          <w:i/>
        </w:rPr>
        <w:t>immunised</w:t>
      </w:r>
      <w:proofErr w:type="spellEnd"/>
      <w:r w:rsidRPr="00267123">
        <w:rPr>
          <w:i/>
        </w:rPr>
        <w:t xml:space="preserve">, and 10.0% were unvaccinated. Maternal age, secondary and higher education, urban residence, household wealth, at least four antenatal care visits, and health-facility delivery were positively associated with complete </w:t>
      </w:r>
      <w:proofErr w:type="spellStart"/>
      <w:r w:rsidRPr="00267123">
        <w:rPr>
          <w:i/>
        </w:rPr>
        <w:t>immunisation</w:t>
      </w:r>
      <w:proofErr w:type="spellEnd"/>
      <w:r w:rsidRPr="00267123">
        <w:rPr>
          <w:i/>
        </w:rPr>
        <w:t xml:space="preserve">. Four or more antenatal care visits showed the largest adjusted association (adjusted odds ratio = 2.04; 95% confidence interval: 1.79–2.34). The multilevel model indicated meaningful community-level variation, with an intraclass correlation coefficient of 0.126. Classical and Bayesian estimates were substantively similar; however, the Bayesian model showed slightly better discrimination, calibration, and predictive accuracy, with a higher area under the receiver operating characteristic curve and a lower Brier score. Conclusion: Childhood </w:t>
      </w:r>
      <w:proofErr w:type="spellStart"/>
      <w:r w:rsidRPr="00267123">
        <w:rPr>
          <w:i/>
        </w:rPr>
        <w:t>immunisation</w:t>
      </w:r>
      <w:proofErr w:type="spellEnd"/>
      <w:r w:rsidRPr="00267123">
        <w:rPr>
          <w:i/>
        </w:rPr>
        <w:t xml:space="preserve"> in Nigeria is associated with maternal education, household resources, place of residence, and engagement with maternal healthcare services. Bayesian hierarchical modelling provides a useful framework for accounting for clustered survey data and quantifying uncertainty while supporting the identification of underserved populations.</w:t>
      </w:r>
    </w:p>
    <w:p w14:paraId="4F579D27" w14:textId="77777777" w:rsidR="00267123" w:rsidRDefault="00267123" w:rsidP="00D37A2F">
      <w:pPr>
        <w:pStyle w:val="NormalWeb"/>
        <w:rPr>
          <w:i/>
        </w:rPr>
      </w:pPr>
    </w:p>
    <w:p w14:paraId="54F36288" w14:textId="1FEC8283" w:rsidR="00D37A2F" w:rsidRDefault="00D37A2F" w:rsidP="00D37A2F">
      <w:pPr>
        <w:pStyle w:val="NormalWeb"/>
      </w:pPr>
      <w:r>
        <w:rPr>
          <w:rStyle w:val="Strong"/>
          <w:b w:val="0"/>
          <w:i/>
        </w:rPr>
        <w:t xml:space="preserve">Keywords: Childhood </w:t>
      </w:r>
      <w:proofErr w:type="spellStart"/>
      <w:r>
        <w:rPr>
          <w:rStyle w:val="Strong"/>
          <w:b w:val="0"/>
          <w:i/>
        </w:rPr>
        <w:t>immunisation</w:t>
      </w:r>
      <w:proofErr w:type="spellEnd"/>
      <w:r>
        <w:rPr>
          <w:rStyle w:val="Strong"/>
          <w:b w:val="0"/>
          <w:i/>
          <w:highlight w:val="yellow"/>
        </w:rPr>
        <w:t>;</w:t>
      </w:r>
      <w:r>
        <w:rPr>
          <w:rStyle w:val="Strong"/>
          <w:b w:val="0"/>
          <w:i/>
        </w:rPr>
        <w:t xml:space="preserve"> </w:t>
      </w:r>
      <w:r>
        <w:rPr>
          <w:rStyle w:val="Strong"/>
          <w:b w:val="0"/>
          <w:i/>
          <w:highlight w:val="yellow"/>
        </w:rPr>
        <w:t>maternal</w:t>
      </w:r>
      <w:r>
        <w:rPr>
          <w:rStyle w:val="Strong"/>
          <w:b w:val="0"/>
          <w:i/>
        </w:rPr>
        <w:t xml:space="preserve"> characteristics</w:t>
      </w:r>
      <w:r>
        <w:rPr>
          <w:rStyle w:val="Strong"/>
          <w:b w:val="0"/>
          <w:i/>
          <w:highlight w:val="yellow"/>
        </w:rPr>
        <w:t>;</w:t>
      </w:r>
      <w:r>
        <w:rPr>
          <w:rStyle w:val="Strong"/>
          <w:b w:val="0"/>
          <w:i/>
        </w:rPr>
        <w:t xml:space="preserve"> Bayesian logistic regression</w:t>
      </w:r>
      <w:r>
        <w:rPr>
          <w:rStyle w:val="Strong"/>
          <w:b w:val="0"/>
          <w:i/>
          <w:highlight w:val="yellow"/>
        </w:rPr>
        <w:t>; survey-weighted</w:t>
      </w:r>
      <w:r>
        <w:rPr>
          <w:rStyle w:val="Strong"/>
          <w:b w:val="0"/>
          <w:i/>
        </w:rPr>
        <w:t xml:space="preserve"> logistic</w:t>
      </w:r>
      <w:r>
        <w:rPr>
          <w:rStyle w:val="Strong"/>
          <w:b w:val="0"/>
          <w:i/>
          <w:highlight w:val="yellow"/>
        </w:rPr>
        <w:t xml:space="preserve"> regression; </w:t>
      </w:r>
      <w:r>
        <w:rPr>
          <w:rStyle w:val="Strong"/>
          <w:b w:val="0"/>
          <w:i/>
        </w:rPr>
        <w:t>multilevel modelling</w:t>
      </w:r>
      <w:r>
        <w:rPr>
          <w:rStyle w:val="Strong"/>
          <w:b w:val="0"/>
          <w:i/>
          <w:highlight w:val="yellow"/>
        </w:rPr>
        <w:t>;</w:t>
      </w:r>
      <w:r>
        <w:rPr>
          <w:rStyle w:val="Strong"/>
          <w:b w:val="0"/>
          <w:i/>
        </w:rPr>
        <w:t xml:space="preserve"> </w:t>
      </w:r>
      <w:r>
        <w:rPr>
          <w:rStyle w:val="Strong"/>
          <w:b w:val="0"/>
          <w:i/>
          <w:highlight w:val="yellow"/>
        </w:rPr>
        <w:t>vaccination</w:t>
      </w:r>
      <w:r>
        <w:rPr>
          <w:rStyle w:val="Strong"/>
          <w:b w:val="0"/>
          <w:i/>
        </w:rPr>
        <w:t xml:space="preserve"> coverage.</w:t>
      </w:r>
    </w:p>
    <w:p w14:paraId="1817F099" w14:textId="77777777" w:rsidR="00D37A2F" w:rsidRDefault="00D37A2F" w:rsidP="00D37A2F">
      <w:pPr>
        <w:pStyle w:val="ListParagraph"/>
        <w:numPr>
          <w:ilvl w:val="0"/>
          <w:numId w:val="1"/>
        </w:numPr>
        <w:rPr>
          <w:rFonts w:ascii="Times New Roman" w:hAnsi="Times New Roman" w:cs="Times New Roman"/>
          <w:sz w:val="24"/>
          <w:szCs w:val="24"/>
        </w:rPr>
      </w:pPr>
      <w:r w:rsidRPr="00487B48">
        <w:rPr>
          <w:rFonts w:ascii="Times New Roman" w:hAnsi="Times New Roman" w:cs="Times New Roman"/>
          <w:sz w:val="24"/>
          <w:szCs w:val="24"/>
        </w:rPr>
        <w:t>Introduction</w:t>
      </w:r>
    </w:p>
    <w:p w14:paraId="6975D45A" w14:textId="77777777" w:rsidR="00D37A2F" w:rsidRDefault="00D37A2F" w:rsidP="00D37A2F">
      <w:pPr>
        <w:pStyle w:val="NormalWeb"/>
        <w:jc w:val="both"/>
      </w:pPr>
      <w:r>
        <w:t xml:space="preserve">Childhood </w:t>
      </w:r>
      <w:r>
        <w:rPr>
          <w:highlight w:val="yellow"/>
        </w:rPr>
        <w:t>immunisation</w:t>
      </w:r>
      <w:r>
        <w:t xml:space="preserve"> </w:t>
      </w:r>
      <w:r>
        <w:rPr>
          <w:highlight w:val="yellow"/>
        </w:rPr>
        <w:t>is</w:t>
      </w:r>
      <w:r>
        <w:t xml:space="preserve"> an indispensable pillar of global public health </w:t>
      </w:r>
      <w:r>
        <w:rPr>
          <w:highlight w:val="yellow"/>
        </w:rPr>
        <w:t>and</w:t>
      </w:r>
      <w:r>
        <w:t xml:space="preserve"> </w:t>
      </w:r>
      <w:r>
        <w:rPr>
          <w:highlight w:val="yellow"/>
        </w:rPr>
        <w:t>a</w:t>
      </w:r>
      <w:r>
        <w:t xml:space="preserve"> </w:t>
      </w:r>
      <w:r>
        <w:rPr>
          <w:highlight w:val="yellow"/>
        </w:rPr>
        <w:t>cost-effective</w:t>
      </w:r>
      <w:r>
        <w:t xml:space="preserve"> measure </w:t>
      </w:r>
      <w:r>
        <w:rPr>
          <w:highlight w:val="yellow"/>
        </w:rPr>
        <w:t>for</w:t>
      </w:r>
      <w:r>
        <w:t xml:space="preserve"> </w:t>
      </w:r>
      <w:r>
        <w:rPr>
          <w:highlight w:val="yellow"/>
        </w:rPr>
        <w:t>preventing</w:t>
      </w:r>
      <w:r>
        <w:t xml:space="preserve"> infectious diseases, saving</w:t>
      </w:r>
      <w:r>
        <w:rPr>
          <w:highlight w:val="yellow"/>
        </w:rPr>
        <w:t xml:space="preserve"> the</w:t>
      </w:r>
      <w:r>
        <w:t xml:space="preserve"> lives of children under five</w:t>
      </w:r>
      <w:r>
        <w:rPr>
          <w:highlight w:val="yellow"/>
        </w:rPr>
        <w:t>,</w:t>
      </w:r>
      <w:r>
        <w:t xml:space="preserve"> and reducing infant mortality. In Nigeria, progress towards </w:t>
      </w:r>
      <w:r>
        <w:rPr>
          <w:highlight w:val="yellow"/>
        </w:rPr>
        <w:t>achieving</w:t>
      </w:r>
      <w:r>
        <w:t xml:space="preserve"> universal childhood</w:t>
      </w:r>
      <w:r>
        <w:rPr>
          <w:highlight w:val="yellow"/>
        </w:rPr>
        <w:t xml:space="preserve"> immunisation</w:t>
      </w:r>
      <w:r>
        <w:t xml:space="preserve"> coverage has been underwhelming, </w:t>
      </w:r>
      <w:r>
        <w:rPr>
          <w:highlight w:val="yellow"/>
        </w:rPr>
        <w:t>despite</w:t>
      </w:r>
      <w:r>
        <w:t xml:space="preserve"> </w:t>
      </w:r>
      <w:r>
        <w:rPr>
          <w:highlight w:val="yellow"/>
        </w:rPr>
        <w:t>the</w:t>
      </w:r>
      <w:r>
        <w:t xml:space="preserve"> sustained provision of </w:t>
      </w:r>
      <w:r>
        <w:rPr>
          <w:highlight w:val="yellow"/>
        </w:rPr>
        <w:t>financial</w:t>
      </w:r>
      <w:r>
        <w:t xml:space="preserve"> resources and </w:t>
      </w:r>
      <w:r>
        <w:rPr>
          <w:highlight w:val="yellow"/>
        </w:rPr>
        <w:t xml:space="preserve">technical </w:t>
      </w:r>
      <w:r>
        <w:t xml:space="preserve">expertise by the </w:t>
      </w:r>
      <w:r>
        <w:rPr>
          <w:highlight w:val="yellow"/>
        </w:rPr>
        <w:t>Government</w:t>
      </w:r>
      <w:r>
        <w:t xml:space="preserve"> of Nigeria and its global partners. The</w:t>
      </w:r>
      <w:r>
        <w:rPr>
          <w:highlight w:val="yellow"/>
        </w:rPr>
        <w:t xml:space="preserve"> national</w:t>
      </w:r>
      <w:r>
        <w:t xml:space="preserve"> uptake rate </w:t>
      </w:r>
      <w:r>
        <w:rPr>
          <w:highlight w:val="yellow"/>
        </w:rPr>
        <w:t>remains</w:t>
      </w:r>
      <w:r>
        <w:t xml:space="preserve"> </w:t>
      </w:r>
      <w:r>
        <w:rPr>
          <w:highlight w:val="yellow"/>
        </w:rPr>
        <w:t>below</w:t>
      </w:r>
      <w:r>
        <w:t xml:space="preserve"> international </w:t>
      </w:r>
      <w:r>
        <w:rPr>
          <w:highlight w:val="yellow"/>
        </w:rPr>
        <w:t>standards,</w:t>
      </w:r>
      <w:r>
        <w:t xml:space="preserve"> with differences in vaccination </w:t>
      </w:r>
      <w:r>
        <w:rPr>
          <w:highlight w:val="yellow"/>
        </w:rPr>
        <w:t xml:space="preserve">coverage </w:t>
      </w:r>
      <w:r>
        <w:t xml:space="preserve">and </w:t>
      </w:r>
      <w:r>
        <w:rPr>
          <w:highlight w:val="yellow"/>
        </w:rPr>
        <w:t>service</w:t>
      </w:r>
      <w:r>
        <w:t xml:space="preserve"> uptake </w:t>
      </w:r>
      <w:r>
        <w:rPr>
          <w:highlight w:val="yellow"/>
        </w:rPr>
        <w:t>across</w:t>
      </w:r>
      <w:r>
        <w:t xml:space="preserve"> geopolitical </w:t>
      </w:r>
      <w:r>
        <w:rPr>
          <w:highlight w:val="yellow"/>
        </w:rPr>
        <w:t>zones</w:t>
      </w:r>
      <w:r>
        <w:t xml:space="preserve"> and </w:t>
      </w:r>
      <w:r>
        <w:rPr>
          <w:highlight w:val="yellow"/>
        </w:rPr>
        <w:t>sociodemographic</w:t>
      </w:r>
      <w:r>
        <w:t xml:space="preserve"> strata. </w:t>
      </w:r>
      <w:r>
        <w:rPr>
          <w:highlight w:val="yellow"/>
        </w:rPr>
        <w:t>Childhood</w:t>
      </w:r>
      <w:r>
        <w:t xml:space="preserve"> vaccination uptake is heavily </w:t>
      </w:r>
      <w:r>
        <w:rPr>
          <w:highlight w:val="yellow"/>
        </w:rPr>
        <w:t>influenced</w:t>
      </w:r>
      <w:r>
        <w:t xml:space="preserve"> </w:t>
      </w:r>
      <w:r>
        <w:rPr>
          <w:highlight w:val="yellow"/>
        </w:rPr>
        <w:t>by</w:t>
      </w:r>
      <w:r>
        <w:t xml:space="preserve"> household </w:t>
      </w:r>
      <w:r>
        <w:rPr>
          <w:highlight w:val="yellow"/>
        </w:rPr>
        <w:t>circumstances</w:t>
      </w:r>
      <w:r>
        <w:t xml:space="preserve"> </w:t>
      </w:r>
      <w:r>
        <w:rPr>
          <w:highlight w:val="yellow"/>
        </w:rPr>
        <w:t>and</w:t>
      </w:r>
      <w:r>
        <w:t xml:space="preserve"> </w:t>
      </w:r>
      <w:r>
        <w:rPr>
          <w:highlight w:val="yellow"/>
        </w:rPr>
        <w:t>maternal</w:t>
      </w:r>
      <w:r>
        <w:t xml:space="preserve"> characteristics</w:t>
      </w:r>
      <w:r>
        <w:rPr>
          <w:highlight w:val="yellow"/>
        </w:rPr>
        <w:t>,</w:t>
      </w:r>
      <w:r>
        <w:t xml:space="preserve"> as </w:t>
      </w:r>
      <w:r>
        <w:rPr>
          <w:highlight w:val="yellow"/>
        </w:rPr>
        <w:t>demonstrated</w:t>
      </w:r>
      <w:r>
        <w:t xml:space="preserve"> by </w:t>
      </w:r>
      <w:r>
        <w:rPr>
          <w:highlight w:val="yellow"/>
        </w:rPr>
        <w:t>several</w:t>
      </w:r>
      <w:r>
        <w:t xml:space="preserve"> empirical studies in Nigeria</w:t>
      </w:r>
      <w:r>
        <w:rPr>
          <w:highlight w:val="yellow"/>
        </w:rPr>
        <w:t>.</w:t>
      </w:r>
      <w:r>
        <w:t xml:space="preserve"> </w:t>
      </w:r>
      <w:r>
        <w:rPr>
          <w:highlight w:val="yellow"/>
        </w:rPr>
        <w:t>For</w:t>
      </w:r>
      <w:r>
        <w:t xml:space="preserve"> instance</w:t>
      </w:r>
      <w:r>
        <w:rPr>
          <w:highlight w:val="yellow"/>
        </w:rPr>
        <w:t>,</w:t>
      </w:r>
      <w:r>
        <w:t xml:space="preserve"> children living in </w:t>
      </w:r>
      <w:r>
        <w:rPr>
          <w:highlight w:val="yellow"/>
        </w:rPr>
        <w:t>better</w:t>
      </w:r>
      <w:r>
        <w:t xml:space="preserve"> </w:t>
      </w:r>
      <w:r>
        <w:rPr>
          <w:highlight w:val="yellow"/>
        </w:rPr>
        <w:t>conditions</w:t>
      </w:r>
      <w:r>
        <w:t xml:space="preserve">, </w:t>
      </w:r>
      <w:r>
        <w:rPr>
          <w:highlight w:val="yellow"/>
        </w:rPr>
        <w:t>born</w:t>
      </w:r>
      <w:r>
        <w:t xml:space="preserve"> </w:t>
      </w:r>
      <w:r>
        <w:rPr>
          <w:highlight w:val="yellow"/>
        </w:rPr>
        <w:t>to</w:t>
      </w:r>
      <w:r>
        <w:t xml:space="preserve"> </w:t>
      </w:r>
      <w:r>
        <w:rPr>
          <w:highlight w:val="yellow"/>
        </w:rPr>
        <w:t>more</w:t>
      </w:r>
      <w:r>
        <w:t xml:space="preserve"> </w:t>
      </w:r>
      <w:r>
        <w:rPr>
          <w:highlight w:val="yellow"/>
        </w:rPr>
        <w:t>highly</w:t>
      </w:r>
      <w:r>
        <w:t xml:space="preserve"> </w:t>
      </w:r>
      <w:r>
        <w:rPr>
          <w:highlight w:val="yellow"/>
        </w:rPr>
        <w:t>educated mothers</w:t>
      </w:r>
      <w:r>
        <w:t xml:space="preserve">, </w:t>
      </w:r>
      <w:r>
        <w:rPr>
          <w:highlight w:val="yellow"/>
        </w:rPr>
        <w:t>residing</w:t>
      </w:r>
      <w:r>
        <w:t xml:space="preserve"> in </w:t>
      </w:r>
      <w:r>
        <w:rPr>
          <w:highlight w:val="yellow"/>
        </w:rPr>
        <w:t>urban</w:t>
      </w:r>
      <w:r>
        <w:t xml:space="preserve"> </w:t>
      </w:r>
      <w:r>
        <w:rPr>
          <w:highlight w:val="yellow"/>
        </w:rPr>
        <w:t>rather than</w:t>
      </w:r>
      <w:r>
        <w:t xml:space="preserve"> poor </w:t>
      </w:r>
      <w:r>
        <w:rPr>
          <w:highlight w:val="yellow"/>
        </w:rPr>
        <w:t>rural households</w:t>
      </w:r>
      <w:r>
        <w:t xml:space="preserve">, </w:t>
      </w:r>
      <w:r>
        <w:rPr>
          <w:highlight w:val="yellow"/>
        </w:rPr>
        <w:t>receiving</w:t>
      </w:r>
      <w:r>
        <w:t xml:space="preserve"> antenatal </w:t>
      </w:r>
      <w:r>
        <w:rPr>
          <w:highlight w:val="yellow"/>
        </w:rPr>
        <w:t xml:space="preserve">care </w:t>
      </w:r>
      <w:r>
        <w:t xml:space="preserve">and </w:t>
      </w:r>
      <w:r>
        <w:rPr>
          <w:highlight w:val="yellow"/>
        </w:rPr>
        <w:t>facility-based</w:t>
      </w:r>
      <w:r>
        <w:t xml:space="preserve"> </w:t>
      </w:r>
      <w:r>
        <w:rPr>
          <w:highlight w:val="yellow"/>
        </w:rPr>
        <w:t>delivery,</w:t>
      </w:r>
      <w:r>
        <w:t xml:space="preserve"> </w:t>
      </w:r>
      <w:r>
        <w:rPr>
          <w:highlight w:val="yellow"/>
        </w:rPr>
        <w:t>and</w:t>
      </w:r>
      <w:r>
        <w:t xml:space="preserve"> having access to mass media were </w:t>
      </w:r>
      <w:r>
        <w:rPr>
          <w:highlight w:val="yellow"/>
        </w:rPr>
        <w:t>more</w:t>
      </w:r>
      <w:r>
        <w:t xml:space="preserve"> </w:t>
      </w:r>
      <w:r>
        <w:rPr>
          <w:highlight w:val="yellow"/>
        </w:rPr>
        <w:t>likely</w:t>
      </w:r>
      <w:r>
        <w:t xml:space="preserve"> </w:t>
      </w:r>
      <w:r>
        <w:rPr>
          <w:highlight w:val="yellow"/>
        </w:rPr>
        <w:t>to</w:t>
      </w:r>
      <w:r>
        <w:t xml:space="preserve"> </w:t>
      </w:r>
      <w:r>
        <w:rPr>
          <w:highlight w:val="yellow"/>
        </w:rPr>
        <w:t>complete</w:t>
      </w:r>
      <w:r>
        <w:t xml:space="preserve"> </w:t>
      </w:r>
      <w:r>
        <w:rPr>
          <w:highlight w:val="yellow"/>
        </w:rPr>
        <w:t>the</w:t>
      </w:r>
      <w:r>
        <w:t xml:space="preserve"> </w:t>
      </w:r>
      <w:r>
        <w:rPr>
          <w:highlight w:val="yellow"/>
        </w:rPr>
        <w:t>full</w:t>
      </w:r>
      <w:r>
        <w:t xml:space="preserve"> vaccination schedule </w:t>
      </w:r>
      <w:r>
        <w:rPr>
          <w:highlight w:val="yellow"/>
        </w:rPr>
        <w:t>than children from</w:t>
      </w:r>
      <w:r>
        <w:t xml:space="preserve"> the </w:t>
      </w:r>
      <w:r>
        <w:rPr>
          <w:highlight w:val="yellow"/>
        </w:rPr>
        <w:t>poorest</w:t>
      </w:r>
      <w:r>
        <w:t xml:space="preserve"> and rural households (Williams et al., 2024). Building on this </w:t>
      </w:r>
      <w:r>
        <w:rPr>
          <w:highlight w:val="yellow"/>
        </w:rPr>
        <w:t>evidence,</w:t>
      </w:r>
      <w:r>
        <w:t xml:space="preserve"> </w:t>
      </w:r>
      <w:r>
        <w:rPr>
          <w:highlight w:val="yellow"/>
        </w:rPr>
        <w:t>maternal</w:t>
      </w:r>
      <w:r>
        <w:t xml:space="preserve"> decision-making </w:t>
      </w:r>
      <w:r>
        <w:rPr>
          <w:highlight w:val="yellow"/>
        </w:rPr>
        <w:t>power,</w:t>
      </w:r>
      <w:r>
        <w:t xml:space="preserve"> </w:t>
      </w:r>
      <w:r>
        <w:rPr>
          <w:highlight w:val="yellow"/>
        </w:rPr>
        <w:t>particularly</w:t>
      </w:r>
      <w:r>
        <w:t xml:space="preserve"> </w:t>
      </w:r>
      <w:r>
        <w:rPr>
          <w:highlight w:val="yellow"/>
        </w:rPr>
        <w:t>regarding</w:t>
      </w:r>
      <w:r>
        <w:t xml:space="preserve"> </w:t>
      </w:r>
      <w:r>
        <w:rPr>
          <w:highlight w:val="yellow"/>
        </w:rPr>
        <w:t>household</w:t>
      </w:r>
      <w:r>
        <w:t xml:space="preserve"> </w:t>
      </w:r>
      <w:r>
        <w:lastRenderedPageBreak/>
        <w:t xml:space="preserve">health </w:t>
      </w:r>
      <w:r>
        <w:rPr>
          <w:highlight w:val="yellow"/>
        </w:rPr>
        <w:t>matters,</w:t>
      </w:r>
      <w:r>
        <w:t xml:space="preserve"> was positively associated </w:t>
      </w:r>
      <w:r>
        <w:rPr>
          <w:highlight w:val="yellow"/>
        </w:rPr>
        <w:t>with</w:t>
      </w:r>
      <w:r>
        <w:t xml:space="preserve"> </w:t>
      </w:r>
      <w:r>
        <w:rPr>
          <w:highlight w:val="yellow"/>
        </w:rPr>
        <w:t>vaccination</w:t>
      </w:r>
      <w:r>
        <w:t xml:space="preserve"> coverage</w:t>
      </w:r>
      <w:r>
        <w:rPr>
          <w:highlight w:val="yellow"/>
        </w:rPr>
        <w:t>,</w:t>
      </w:r>
      <w:r>
        <w:t xml:space="preserve"> </w:t>
      </w:r>
      <w:r>
        <w:rPr>
          <w:highlight w:val="yellow"/>
        </w:rPr>
        <w:t>although</w:t>
      </w:r>
      <w:r>
        <w:t xml:space="preserve"> the </w:t>
      </w:r>
      <w:r>
        <w:rPr>
          <w:highlight w:val="yellow"/>
        </w:rPr>
        <w:t>magnitude</w:t>
      </w:r>
      <w:r>
        <w:t xml:space="preserve"> of </w:t>
      </w:r>
      <w:r>
        <w:rPr>
          <w:highlight w:val="yellow"/>
        </w:rPr>
        <w:t xml:space="preserve">the </w:t>
      </w:r>
      <w:r>
        <w:t xml:space="preserve">effect </w:t>
      </w:r>
      <w:r>
        <w:rPr>
          <w:highlight w:val="yellow"/>
        </w:rPr>
        <w:t>varied</w:t>
      </w:r>
      <w:r>
        <w:t xml:space="preserve"> by geopolitical location (Gayawan et al., 2026). </w:t>
      </w:r>
      <w:r>
        <w:rPr>
          <w:highlight w:val="yellow"/>
        </w:rPr>
        <w:t>More</w:t>
      </w:r>
      <w:r>
        <w:t xml:space="preserve"> positive</w:t>
      </w:r>
      <w:r>
        <w:rPr>
          <w:highlight w:val="yellow"/>
        </w:rPr>
        <w:t xml:space="preserve"> parental</w:t>
      </w:r>
      <w:r>
        <w:t xml:space="preserve"> attitudes towards vaccination increased willingness to </w:t>
      </w:r>
      <w:r>
        <w:rPr>
          <w:highlight w:val="yellow"/>
        </w:rPr>
        <w:t>vaccinate</w:t>
      </w:r>
      <w:r>
        <w:t xml:space="preserve"> children and improved </w:t>
      </w:r>
      <w:r>
        <w:rPr>
          <w:highlight w:val="yellow"/>
        </w:rPr>
        <w:t>demand</w:t>
      </w:r>
      <w:r>
        <w:t xml:space="preserve"> </w:t>
      </w:r>
      <w:r>
        <w:rPr>
          <w:highlight w:val="yellow"/>
        </w:rPr>
        <w:t>for vaccines</w:t>
      </w:r>
      <w:r>
        <w:t xml:space="preserve">; </w:t>
      </w:r>
      <w:r>
        <w:rPr>
          <w:highlight w:val="yellow"/>
        </w:rPr>
        <w:t>greater</w:t>
      </w:r>
      <w:r>
        <w:t xml:space="preserve"> awareness and trust </w:t>
      </w:r>
      <w:r>
        <w:rPr>
          <w:highlight w:val="yellow"/>
        </w:rPr>
        <w:t>in</w:t>
      </w:r>
      <w:r>
        <w:t xml:space="preserve"> healthcare providers</w:t>
      </w:r>
      <w:r>
        <w:rPr>
          <w:highlight w:val="yellow"/>
        </w:rPr>
        <w:t xml:space="preserve"> also</w:t>
      </w:r>
      <w:r>
        <w:t xml:space="preserve"> increased uptake, although cultural beliefs and perceptions </w:t>
      </w:r>
      <w:r>
        <w:rPr>
          <w:highlight w:val="yellow"/>
        </w:rPr>
        <w:t>continued</w:t>
      </w:r>
      <w:r>
        <w:t xml:space="preserve"> to pose barriers to vaccination demand (Abah et al., 2026). Furthermore, artificial intelligence (AI) </w:t>
      </w:r>
      <w:r>
        <w:rPr>
          <w:highlight w:val="yellow"/>
        </w:rPr>
        <w:t xml:space="preserve">has increasingly been used to extend </w:t>
      </w:r>
      <w:r>
        <w:t xml:space="preserve">the reach of </w:t>
      </w:r>
      <w:r>
        <w:rPr>
          <w:highlight w:val="yellow"/>
        </w:rPr>
        <w:t>immunisation</w:t>
      </w:r>
      <w:r>
        <w:t xml:space="preserve"> </w:t>
      </w:r>
      <w:r>
        <w:rPr>
          <w:highlight w:val="yellow"/>
        </w:rPr>
        <w:t>services</w:t>
      </w:r>
      <w:r>
        <w:t xml:space="preserve"> and </w:t>
      </w:r>
      <w:r>
        <w:rPr>
          <w:highlight w:val="yellow"/>
        </w:rPr>
        <w:t xml:space="preserve">improve </w:t>
      </w:r>
      <w:r>
        <w:t xml:space="preserve">coverage (Kehinde et al., 2024). </w:t>
      </w:r>
      <w:r>
        <w:rPr>
          <w:highlight w:val="yellow"/>
        </w:rPr>
        <w:t>Overall</w:t>
      </w:r>
      <w:r>
        <w:t xml:space="preserve">, </w:t>
      </w:r>
      <w:r>
        <w:rPr>
          <w:highlight w:val="yellow"/>
        </w:rPr>
        <w:t>these</w:t>
      </w:r>
      <w:r>
        <w:t xml:space="preserve"> </w:t>
      </w:r>
      <w:r>
        <w:rPr>
          <w:highlight w:val="yellow"/>
        </w:rPr>
        <w:t>studies</w:t>
      </w:r>
      <w:r>
        <w:t xml:space="preserve"> </w:t>
      </w:r>
      <w:r>
        <w:rPr>
          <w:highlight w:val="yellow"/>
        </w:rPr>
        <w:t>indicate</w:t>
      </w:r>
      <w:r>
        <w:t xml:space="preserve"> that </w:t>
      </w:r>
      <w:r>
        <w:rPr>
          <w:highlight w:val="yellow"/>
        </w:rPr>
        <w:t>childhood</w:t>
      </w:r>
      <w:r>
        <w:t xml:space="preserve"> vaccination coverage is </w:t>
      </w:r>
      <w:r>
        <w:rPr>
          <w:highlight w:val="yellow"/>
        </w:rPr>
        <w:t>associated</w:t>
      </w:r>
      <w:r>
        <w:t xml:space="preserve"> </w:t>
      </w:r>
      <w:r>
        <w:rPr>
          <w:highlight w:val="yellow"/>
        </w:rPr>
        <w:t>with women's</w:t>
      </w:r>
      <w:r>
        <w:t xml:space="preserve"> socioeconomic backgrounds</w:t>
      </w:r>
      <w:r>
        <w:rPr>
          <w:highlight w:val="yellow"/>
        </w:rPr>
        <w:t>, their use</w:t>
      </w:r>
      <w:r>
        <w:t xml:space="preserve"> of care </w:t>
      </w:r>
      <w:r>
        <w:rPr>
          <w:highlight w:val="yellow"/>
        </w:rPr>
        <w:t>during</w:t>
      </w:r>
      <w:r>
        <w:t xml:space="preserve"> pregnancy, access to </w:t>
      </w:r>
      <w:r>
        <w:rPr>
          <w:highlight w:val="yellow"/>
        </w:rPr>
        <w:t>health</w:t>
      </w:r>
      <w:r>
        <w:t xml:space="preserve"> </w:t>
      </w:r>
      <w:r>
        <w:rPr>
          <w:highlight w:val="yellow"/>
        </w:rPr>
        <w:t>facilities,</w:t>
      </w:r>
      <w:r>
        <w:t xml:space="preserve"> </w:t>
      </w:r>
      <w:r>
        <w:rPr>
          <w:highlight w:val="yellow"/>
        </w:rPr>
        <w:t>household</w:t>
      </w:r>
      <w:r>
        <w:t xml:space="preserve"> </w:t>
      </w:r>
      <w:r>
        <w:rPr>
          <w:highlight w:val="yellow"/>
        </w:rPr>
        <w:t>decision-making</w:t>
      </w:r>
      <w:r>
        <w:t xml:space="preserve"> </w:t>
      </w:r>
      <w:r>
        <w:rPr>
          <w:highlight w:val="yellow"/>
        </w:rPr>
        <w:t>capacity,</w:t>
      </w:r>
      <w:r>
        <w:t xml:space="preserve"> family economic </w:t>
      </w:r>
      <w:r>
        <w:rPr>
          <w:highlight w:val="yellow"/>
        </w:rPr>
        <w:t>circumstances,</w:t>
      </w:r>
      <w:r>
        <w:t xml:space="preserve"> and</w:t>
      </w:r>
      <w:r>
        <w:rPr>
          <w:highlight w:val="yellow"/>
        </w:rPr>
        <w:t xml:space="preserve"> the</w:t>
      </w:r>
      <w:r>
        <w:t xml:space="preserve"> availability of quality health </w:t>
      </w:r>
      <w:r>
        <w:rPr>
          <w:highlight w:val="yellow"/>
        </w:rPr>
        <w:t>services</w:t>
      </w:r>
      <w:r>
        <w:t xml:space="preserve">. </w:t>
      </w:r>
      <w:r>
        <w:rPr>
          <w:highlight w:val="yellow"/>
        </w:rPr>
        <w:t>However</w:t>
      </w:r>
      <w:r>
        <w:t xml:space="preserve">, many of the studies </w:t>
      </w:r>
      <w:r>
        <w:rPr>
          <w:highlight w:val="yellow"/>
        </w:rPr>
        <w:t>analysed</w:t>
      </w:r>
      <w:r>
        <w:t xml:space="preserve"> data from 2018</w:t>
      </w:r>
      <w:r>
        <w:rPr>
          <w:highlight w:val="yellow"/>
        </w:rPr>
        <w:t>,</w:t>
      </w:r>
      <w:r>
        <w:t xml:space="preserve"> </w:t>
      </w:r>
      <w:r>
        <w:rPr>
          <w:highlight w:val="yellow"/>
        </w:rPr>
        <w:t>before</w:t>
      </w:r>
      <w:r>
        <w:t xml:space="preserve"> the </w:t>
      </w:r>
      <w:r>
        <w:rPr>
          <w:highlight w:val="yellow"/>
        </w:rPr>
        <w:t>COVID-19</w:t>
      </w:r>
      <w:r>
        <w:t xml:space="preserve"> pandemic. Therefore, </w:t>
      </w:r>
      <w:r>
        <w:rPr>
          <w:highlight w:val="yellow"/>
        </w:rPr>
        <w:t>an</w:t>
      </w:r>
      <w:r>
        <w:t xml:space="preserve"> updated empirical study using </w:t>
      </w:r>
      <w:r>
        <w:rPr>
          <w:highlight w:val="yellow"/>
        </w:rPr>
        <w:t xml:space="preserve">post-COVID-19 </w:t>
      </w:r>
      <w:r>
        <w:t xml:space="preserve">data </w:t>
      </w:r>
      <w:r>
        <w:rPr>
          <w:highlight w:val="yellow"/>
        </w:rPr>
        <w:t>is</w:t>
      </w:r>
      <w:r>
        <w:t xml:space="preserve"> </w:t>
      </w:r>
      <w:r>
        <w:rPr>
          <w:highlight w:val="yellow"/>
        </w:rPr>
        <w:t>needed</w:t>
      </w:r>
      <w:r>
        <w:t xml:space="preserve"> to </w:t>
      </w:r>
      <w:r>
        <w:rPr>
          <w:highlight w:val="yellow"/>
        </w:rPr>
        <w:t>inform</w:t>
      </w:r>
      <w:r>
        <w:t xml:space="preserve"> </w:t>
      </w:r>
      <w:r>
        <w:rPr>
          <w:highlight w:val="yellow"/>
        </w:rPr>
        <w:t>evidence-based</w:t>
      </w:r>
      <w:r>
        <w:t xml:space="preserve">, </w:t>
      </w:r>
      <w:r>
        <w:rPr>
          <w:highlight w:val="yellow"/>
        </w:rPr>
        <w:t>equitable</w:t>
      </w:r>
      <w:r>
        <w:t xml:space="preserve">, and culturally </w:t>
      </w:r>
      <w:r>
        <w:rPr>
          <w:highlight w:val="yellow"/>
        </w:rPr>
        <w:t>appropriate</w:t>
      </w:r>
      <w:r>
        <w:t xml:space="preserve"> </w:t>
      </w:r>
      <w:r>
        <w:rPr>
          <w:highlight w:val="yellow"/>
        </w:rPr>
        <w:t>policies</w:t>
      </w:r>
      <w:r>
        <w:t xml:space="preserve"> </w:t>
      </w:r>
      <w:r>
        <w:rPr>
          <w:highlight w:val="yellow"/>
        </w:rPr>
        <w:t>for</w:t>
      </w:r>
      <w:r>
        <w:t xml:space="preserve"> </w:t>
      </w:r>
      <w:r>
        <w:rPr>
          <w:highlight w:val="yellow"/>
        </w:rPr>
        <w:t>achieving</w:t>
      </w:r>
      <w:r>
        <w:t xml:space="preserve"> robust and universal childhood </w:t>
      </w:r>
      <w:r>
        <w:rPr>
          <w:highlight w:val="yellow"/>
        </w:rPr>
        <w:t>vaccination</w:t>
      </w:r>
      <w:r>
        <w:t xml:space="preserve"> coverage.</w:t>
      </w:r>
    </w:p>
    <w:p w14:paraId="6860786E" w14:textId="77777777" w:rsidR="005B0533" w:rsidRPr="00267123" w:rsidRDefault="00000000">
      <w:pPr>
        <w:pStyle w:val="NormalWeb"/>
        <w:jc w:val="both"/>
        <w:rPr>
          <w:bCs/>
        </w:rPr>
      </w:pPr>
      <w:r w:rsidRPr="00267123">
        <w:rPr>
          <w:bCs/>
          <w:highlight w:val="yellow"/>
        </w:rPr>
        <w:t>Recent evidence from Nasarawa State indicates that parental education, household income, and place of residence remain associated with the completion of childhood immunisation (Nyerere et al., 2026). Broader Nigerian child-health literature likewise identifies poverty, maternal education, limited access to healthcare, and rural–urban disparities as persistent contributors to unequal child health outcomes (Sayomi et al., 2025). A community-based study in Benue State further found that caregiver wealth and vaccine availability were important determinants of childhood immunisation completion (Iba et al., 2025). A recent scoping review of routine immunisation in Nigeria also documented regional inequalities and interacting caregiver-, community-, and health-system barriers to uptake (Mohammed et al., 2024).</w:t>
      </w:r>
    </w:p>
    <w:p>
      <w:pPr>
        <w:pStyle w:val="NormalWeb"/>
        <w:jc w:val="both"/>
        <w:rPr>
          <w:bCs/>
        </w:rPr>
      </w:pPr>
      <w:r>
        <w:rPr>
          <w:rFonts w:ascii="Times New Roman" w:hAnsi="Times New Roman" w:eastAsia="Times New Roman" w:cs="Times New Roman"/>
          <w:b/>
          <w:i w:val="0"/>
          <w:highlight w:val="yellow"/>
        </w:rPr>
        <w:t>A community volunteer-driven study in rural Rivers State identified caregiver knowledge, perceived benefits, household dynamics, and health-system conditions as relevant to complete childhood immunisation (Briggs, 2026). A nurse-led health education study in Abakaliki also reported improved maternal knowledge and attitudes towards childhood immunisation following the intervention (Faustin et al., 2026). Recent qualitative studies in high zero-dose and northern Nigerian settings have additionally identified vaccine availability, access to services, trust, social norms, and health-worker factors as barriers to routine immunisation uptake (Bolarinwa et al., 2025; Etim et al., 2025). National trend analysis likewise associated full immunisation with maternal education, household wealth, and rural–urban residence (Olufadewa et al., 2024).</w:t>
      </w:r>
    </w:p>
    <w:p w14:paraId="57F8F7D7" w14:textId="77777777" w:rsidR="005B0533" w:rsidRPr="00267123" w:rsidRDefault="00000000">
      <w:pPr>
        <w:pStyle w:val="NormalWeb"/>
        <w:jc w:val="both"/>
        <w:rPr>
          <w:bCs/>
        </w:rPr>
      </w:pPr>
      <w:r w:rsidRPr="00267123">
        <w:rPr>
          <w:bCs/>
          <w:highlight w:val="yellow"/>
        </w:rPr>
        <w:t>Despite this evidence, it remains unclear whether recent nationally representative post-pandemic data yield consistent determinant patterns when analysed using both classical and Bayesian hierarchical logistic regression models. This temporal and methodological gap limits understanding of whether model choice affects the identification and uncertainty assessment of maternal, household, and healthcare-related determinants of complete childhood immunisation.</w:t>
      </w:r>
    </w:p>
    <w:p w14:paraId="0548D1D2" w14:textId="77777777" w:rsidR="005B0533" w:rsidRDefault="00000000">
      <w:pPr>
        <w:pStyle w:val="NormalWeb"/>
        <w:keepNext/>
      </w:pPr>
      <w:r>
        <w:rPr>
          <w:b/>
          <w:highlight w:val="yellow"/>
        </w:rPr>
        <w:t>Objective</w:t>
      </w:r>
    </w:p>
    <w:p w14:paraId="55A6092E" w14:textId="77777777" w:rsidR="005B0533" w:rsidRPr="00267123" w:rsidRDefault="00000000">
      <w:pPr>
        <w:pStyle w:val="NormalWeb"/>
        <w:jc w:val="both"/>
        <w:rPr>
          <w:bCs/>
        </w:rPr>
      </w:pPr>
      <w:r w:rsidRPr="00267123">
        <w:rPr>
          <w:bCs/>
          <w:highlight w:val="yellow"/>
        </w:rPr>
        <w:t>Accordingly, this study aims to identify maternal, household, and healthcare-related determinants of complete childhood immunisation in Nigeria using the 2023–24 NDHS and to compare the performance of classical and Bayesian hierarchical logistic regression models.</w:t>
      </w:r>
    </w:p>
    <w:p w14:paraId="5DBB03C6" w14:textId="77777777" w:rsidR="00D37A2F" w:rsidRDefault="00D37A2F" w:rsidP="00D37A2F">
      <w:pPr>
        <w:pStyle w:val="NormalWeb"/>
        <w:numPr>
          <w:ilvl w:val="0"/>
          <w:numId w:val="1"/>
        </w:numPr>
        <w:jc w:val="both"/>
      </w:pPr>
      <w:r>
        <w:t>Literature review</w:t>
      </w:r>
    </w:p>
    <w:p w14:paraId="6A8CA981" w14:textId="77777777" w:rsidR="00D37A2F" w:rsidRPr="00496D23"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Childhood</w:t>
      </w:r>
      <w:r>
        <w:rPr>
          <w:rFonts w:ascii="Times New Roman" w:eastAsia="Times New Roman" w:hAnsi="Times New Roman" w:cs="Times New Roman"/>
          <w:sz w:val="24"/>
          <w:szCs w:val="24"/>
        </w:rPr>
        <w:t xml:space="preserve"> immunisation</w:t>
      </w:r>
      <w:r>
        <w:rPr>
          <w:rFonts w:ascii="Times New Roman" w:eastAsia="Times New Roman" w:hAnsi="Times New Roman" w:cs="Times New Roman"/>
          <w:sz w:val="24"/>
          <w:szCs w:val="24"/>
          <w:highlight w:val="yellow"/>
        </w:rPr>
        <w:t xml:space="preserve"> is</w:t>
      </w:r>
      <w:r>
        <w:rPr>
          <w:rFonts w:ascii="Times New Roman" w:eastAsia="Times New Roman" w:hAnsi="Times New Roman" w:cs="Times New Roman"/>
          <w:sz w:val="24"/>
          <w:szCs w:val="24"/>
        </w:rPr>
        <w:t xml:space="preserve"> one of the most cost-effective public health interventions</w:t>
      </w:r>
      <w:r>
        <w:rPr>
          <w:rFonts w:ascii="Times New Roman" w:eastAsia="Times New Roman" w:hAnsi="Times New Roman" w:cs="Times New Roman"/>
          <w:sz w:val="24"/>
          <w:szCs w:val="24"/>
          <w:highlight w:val="yellow"/>
        </w:rPr>
        <w:t xml:space="preserve"> and</w:t>
      </w:r>
      <w:r>
        <w:rPr>
          <w:rFonts w:ascii="Times New Roman" w:eastAsia="Times New Roman" w:hAnsi="Times New Roman" w:cs="Times New Roman"/>
          <w:sz w:val="24"/>
          <w:szCs w:val="24"/>
        </w:rPr>
        <w:t xml:space="preserve"> has a </w:t>
      </w:r>
      <w:r>
        <w:rPr>
          <w:rFonts w:ascii="Times New Roman" w:eastAsia="Times New Roman" w:hAnsi="Times New Roman" w:cs="Times New Roman"/>
          <w:sz w:val="24"/>
          <w:szCs w:val="24"/>
          <w:highlight w:val="yellow"/>
        </w:rPr>
        <w:t>demonstrated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capacity</w:t>
      </w:r>
      <w:r>
        <w:rPr>
          <w:rFonts w:ascii="Times New Roman" w:eastAsia="Times New Roman" w:hAnsi="Times New Roman" w:cs="Times New Roman"/>
          <w:sz w:val="24"/>
          <w:szCs w:val="24"/>
        </w:rPr>
        <w:t xml:space="preserve"> to prevent vaccine-preventable diseases and reduce mortality among children under </w:t>
      </w:r>
      <w:r>
        <w:rPr>
          <w:rFonts w:ascii="Times New Roman" w:eastAsia="Times New Roman" w:hAnsi="Times New Roman" w:cs="Times New Roman"/>
          <w:sz w:val="24"/>
          <w:szCs w:val="24"/>
          <w:highlight w:val="yellow"/>
        </w:rPr>
        <w:t>five. Although immunisation coverage has increased rapidly among children under five</w:t>
      </w:r>
      <w:r>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highlight w:val="yellow"/>
        </w:rPr>
        <w:t>many</w:t>
      </w:r>
      <w:r>
        <w:rPr>
          <w:rFonts w:ascii="Times New Roman" w:eastAsia="Times New Roman" w:hAnsi="Times New Roman" w:cs="Times New Roman"/>
          <w:sz w:val="24"/>
          <w:szCs w:val="24"/>
        </w:rPr>
        <w:t xml:space="preserve"> low- and middle-income countries (LMICs), </w:t>
      </w:r>
      <w:r>
        <w:rPr>
          <w:rFonts w:ascii="Times New Roman" w:eastAsia="Times New Roman" w:hAnsi="Times New Roman" w:cs="Times New Roman"/>
          <w:sz w:val="24"/>
          <w:szCs w:val="24"/>
          <w:highlight w:val="yellow"/>
        </w:rPr>
        <w:t>gaps</w:t>
      </w:r>
      <w:r>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highlight w:val="yellow"/>
        </w:rPr>
        <w:t>achieving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global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targets</w:t>
      </w:r>
      <w:r>
        <w:rPr>
          <w:rFonts w:ascii="Times New Roman" w:eastAsia="Times New Roman" w:hAnsi="Times New Roman" w:cs="Times New Roman"/>
          <w:sz w:val="24"/>
          <w:szCs w:val="24"/>
        </w:rPr>
        <w:t xml:space="preserve"> persist </w:t>
      </w:r>
      <w:r>
        <w:rPr>
          <w:rFonts w:ascii="Times New Roman" w:eastAsia="Times New Roman" w:hAnsi="Times New Roman" w:cs="Times New Roman"/>
          <w:sz w:val="24"/>
          <w:szCs w:val="24"/>
          <w:highlight w:val="yellow"/>
        </w:rPr>
        <w:t>because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of</w:t>
      </w:r>
      <w:r>
        <w:rPr>
          <w:rFonts w:ascii="Times New Roman" w:eastAsia="Times New Roman" w:hAnsi="Times New Roman" w:cs="Times New Roman"/>
          <w:sz w:val="24"/>
          <w:szCs w:val="24"/>
        </w:rPr>
        <w:t xml:space="preserve"> socioeconomic </w:t>
      </w:r>
      <w:r>
        <w:rPr>
          <w:rFonts w:ascii="Times New Roman" w:eastAsia="Times New Roman" w:hAnsi="Times New Roman" w:cs="Times New Roman"/>
          <w:sz w:val="24"/>
          <w:szCs w:val="24"/>
          <w:highlight w:val="yellow"/>
        </w:rPr>
        <w:t>inequities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unequal</w:t>
      </w:r>
      <w:r>
        <w:rPr>
          <w:rFonts w:ascii="Times New Roman" w:eastAsia="Times New Roman" w:hAnsi="Times New Roman" w:cs="Times New Roman"/>
          <w:sz w:val="24"/>
          <w:szCs w:val="24"/>
        </w:rPr>
        <w:t xml:space="preserve"> access to health services, and </w:t>
      </w:r>
      <w:r>
        <w:rPr>
          <w:rFonts w:ascii="Times New Roman" w:eastAsia="Times New Roman" w:hAnsi="Times New Roman" w:cs="Times New Roman"/>
          <w:sz w:val="24"/>
          <w:szCs w:val="24"/>
          <w:highlight w:val="yellow"/>
        </w:rPr>
        <w:t>growing</w:t>
      </w:r>
      <w:r>
        <w:rPr>
          <w:rFonts w:ascii="Times New Roman" w:eastAsia="Times New Roman" w:hAnsi="Times New Roman" w:cs="Times New Roman"/>
          <w:sz w:val="24"/>
          <w:szCs w:val="24"/>
        </w:rPr>
        <w:t xml:space="preserve"> vaccine hesitancy. In many LMICs, full childhood immunisation </w:t>
      </w:r>
      <w:r>
        <w:rPr>
          <w:rFonts w:ascii="Times New Roman" w:eastAsia="Times New Roman" w:hAnsi="Times New Roman" w:cs="Times New Roman"/>
          <w:sz w:val="24"/>
          <w:szCs w:val="24"/>
          <w:highlight w:val="yellow"/>
        </w:rPr>
        <w:t>remains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difficult</w:t>
      </w:r>
      <w:r>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highlight w:val="yellow"/>
        </w:rPr>
        <w:t>achieve because</w:t>
      </w:r>
      <w:r>
        <w:rPr>
          <w:rFonts w:ascii="Times New Roman" w:eastAsia="Times New Roman" w:hAnsi="Times New Roman" w:cs="Times New Roman"/>
          <w:sz w:val="24"/>
          <w:szCs w:val="24"/>
        </w:rPr>
        <w:t xml:space="preserve"> multiple </w:t>
      </w:r>
      <w:r>
        <w:rPr>
          <w:rFonts w:ascii="Times New Roman" w:eastAsia="Times New Roman" w:hAnsi="Times New Roman" w:cs="Times New Roman"/>
          <w:sz w:val="24"/>
          <w:szCs w:val="24"/>
          <w:highlight w:val="yellow"/>
        </w:rPr>
        <w:t>socioeconomic</w:t>
      </w:r>
      <w:r>
        <w:rPr>
          <w:rFonts w:ascii="Times New Roman" w:eastAsia="Times New Roman" w:hAnsi="Times New Roman" w:cs="Times New Roman"/>
          <w:sz w:val="24"/>
          <w:szCs w:val="24"/>
        </w:rPr>
        <w:t xml:space="preserve"> factors </w:t>
      </w:r>
      <w:r>
        <w:rPr>
          <w:rFonts w:ascii="Times New Roman" w:eastAsia="Times New Roman" w:hAnsi="Times New Roman" w:cs="Times New Roman"/>
          <w:sz w:val="24"/>
          <w:szCs w:val="24"/>
          <w:highlight w:val="yellow"/>
        </w:rPr>
        <w:t>limit</w:t>
      </w:r>
      <w:r>
        <w:rPr>
          <w:rFonts w:ascii="Times New Roman" w:eastAsia="Times New Roman" w:hAnsi="Times New Roman" w:cs="Times New Roman"/>
          <w:sz w:val="24"/>
          <w:szCs w:val="24"/>
        </w:rPr>
        <w:t xml:space="preserve"> access to quality healthcare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while</w:t>
      </w:r>
      <w:r>
        <w:rPr>
          <w:rFonts w:ascii="Times New Roman" w:eastAsia="Times New Roman" w:hAnsi="Times New Roman" w:cs="Times New Roman"/>
          <w:sz w:val="24"/>
          <w:szCs w:val="24"/>
        </w:rPr>
        <w:t xml:space="preserve"> vaccine-related challenges </w:t>
      </w:r>
      <w:r>
        <w:rPr>
          <w:rFonts w:ascii="Times New Roman" w:eastAsia="Times New Roman" w:hAnsi="Times New Roman" w:cs="Times New Roman"/>
          <w:sz w:val="24"/>
          <w:szCs w:val="24"/>
          <w:highlight w:val="yellow"/>
        </w:rPr>
        <w:t>are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also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shaped</w:t>
      </w:r>
      <w:r>
        <w:rPr>
          <w:rFonts w:ascii="Times New Roman" w:eastAsia="Times New Roman" w:hAnsi="Times New Roman" w:cs="Times New Roman"/>
          <w:sz w:val="24"/>
          <w:szCs w:val="24"/>
        </w:rPr>
        <w:t xml:space="preserve"> by maternal </w:t>
      </w:r>
      <w:r>
        <w:rPr>
          <w:rFonts w:ascii="Times New Roman" w:eastAsia="Times New Roman" w:hAnsi="Times New Roman" w:cs="Times New Roman"/>
          <w:sz w:val="24"/>
          <w:szCs w:val="24"/>
          <w:highlight w:val="yellow"/>
        </w:rPr>
        <w:t>characteristics</w:t>
      </w:r>
      <w:r>
        <w:rPr>
          <w:rFonts w:ascii="Times New Roman" w:eastAsia="Times New Roman" w:hAnsi="Times New Roman" w:cs="Times New Roman"/>
          <w:sz w:val="24"/>
          <w:szCs w:val="24"/>
        </w:rPr>
        <w:t xml:space="preserve">. Children </w:t>
      </w:r>
      <w:r>
        <w:rPr>
          <w:rFonts w:ascii="Times New Roman" w:eastAsia="Times New Roman" w:hAnsi="Times New Roman" w:cs="Times New Roman"/>
          <w:sz w:val="24"/>
          <w:szCs w:val="24"/>
          <w:highlight w:val="yellow"/>
        </w:rPr>
        <w:t>of</w:t>
      </w:r>
      <w:r>
        <w:rPr>
          <w:rFonts w:ascii="Times New Roman" w:eastAsia="Times New Roman" w:hAnsi="Times New Roman" w:cs="Times New Roman"/>
          <w:sz w:val="24"/>
          <w:szCs w:val="24"/>
        </w:rPr>
        <w:t xml:space="preserve"> educated</w:t>
      </w:r>
      <w:r>
        <w:rPr>
          <w:rFonts w:ascii="Times New Roman" w:eastAsia="Times New Roman" w:hAnsi="Times New Roman" w:cs="Times New Roman"/>
          <w:sz w:val="24"/>
          <w:szCs w:val="24"/>
          <w:highlight w:val="yellow"/>
        </w:rPr>
        <w:t xml:space="preserve"> and</w:t>
      </w:r>
      <w:r>
        <w:rPr>
          <w:rFonts w:ascii="Times New Roman" w:eastAsia="Times New Roman" w:hAnsi="Times New Roman" w:cs="Times New Roman"/>
          <w:sz w:val="24"/>
          <w:szCs w:val="24"/>
        </w:rPr>
        <w:t xml:space="preserve"> socioeconomically </w:t>
      </w:r>
      <w:r>
        <w:rPr>
          <w:rFonts w:ascii="Times New Roman" w:eastAsia="Times New Roman" w:hAnsi="Times New Roman" w:cs="Times New Roman"/>
          <w:sz w:val="24"/>
          <w:szCs w:val="24"/>
          <w:highlight w:val="yellow"/>
        </w:rPr>
        <w:lastRenderedPageBreak/>
        <w:t>advantaged</w:t>
      </w:r>
      <w:r>
        <w:rPr>
          <w:rFonts w:ascii="Times New Roman" w:eastAsia="Times New Roman" w:hAnsi="Times New Roman" w:cs="Times New Roman"/>
          <w:sz w:val="24"/>
          <w:szCs w:val="24"/>
        </w:rPr>
        <w:t xml:space="preserve"> mothers who believe in the benefits of </w:t>
      </w:r>
      <w:r>
        <w:rPr>
          <w:rFonts w:ascii="Times New Roman" w:eastAsia="Times New Roman" w:hAnsi="Times New Roman" w:cs="Times New Roman"/>
          <w:sz w:val="24"/>
          <w:szCs w:val="24"/>
          <w:highlight w:val="yellow"/>
        </w:rPr>
        <w:t>vaccination</w:t>
      </w:r>
      <w:r>
        <w:rPr>
          <w:rFonts w:ascii="Times New Roman" w:eastAsia="Times New Roman" w:hAnsi="Times New Roman" w:cs="Times New Roman"/>
          <w:sz w:val="24"/>
          <w:szCs w:val="24"/>
        </w:rPr>
        <w:t xml:space="preserve"> and trust </w:t>
      </w:r>
      <w:r>
        <w:rPr>
          <w:rFonts w:ascii="Times New Roman" w:eastAsia="Times New Roman" w:hAnsi="Times New Roman" w:cs="Times New Roman"/>
          <w:sz w:val="24"/>
          <w:szCs w:val="24"/>
          <w:highlight w:val="yellow"/>
        </w:rPr>
        <w:t>nearby</w:t>
      </w:r>
      <w:r>
        <w:rPr>
          <w:rFonts w:ascii="Times New Roman" w:eastAsia="Times New Roman" w:hAnsi="Times New Roman" w:cs="Times New Roman"/>
          <w:sz w:val="24"/>
          <w:szCs w:val="24"/>
        </w:rPr>
        <w:t xml:space="preserve"> healthcare services </w:t>
      </w:r>
      <w:r>
        <w:rPr>
          <w:rFonts w:ascii="Times New Roman" w:eastAsia="Times New Roman" w:hAnsi="Times New Roman" w:cs="Times New Roman"/>
          <w:sz w:val="24"/>
          <w:szCs w:val="24"/>
          <w:highlight w:val="yellow"/>
        </w:rPr>
        <w:t>have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higher probability of receiving all recommended childhood vaccines</w:t>
      </w:r>
      <w:r>
        <w:rPr>
          <w:rFonts w:ascii="Times New Roman" w:eastAsia="Times New Roman" w:hAnsi="Times New Roman" w:cs="Times New Roman"/>
          <w:sz w:val="24"/>
          <w:szCs w:val="24"/>
        </w:rPr>
        <w:t xml:space="preserve"> (Bangura et al., 2020). </w:t>
      </w:r>
      <w:r>
        <w:rPr>
          <w:rFonts w:ascii="Times New Roman" w:eastAsia="Times New Roman" w:hAnsi="Times New Roman" w:cs="Times New Roman"/>
          <w:sz w:val="24"/>
          <w:szCs w:val="24"/>
          <w:highlight w:val="yellow"/>
        </w:rPr>
        <w:t>Conversely,</w:t>
      </w:r>
      <w:r>
        <w:rPr>
          <w:rFonts w:ascii="Times New Roman" w:eastAsia="Times New Roman" w:hAnsi="Times New Roman" w:cs="Times New Roman"/>
          <w:sz w:val="24"/>
          <w:szCs w:val="24"/>
        </w:rPr>
        <w:t xml:space="preserve"> vaccine misinformation, </w:t>
      </w:r>
      <w:r>
        <w:rPr>
          <w:rFonts w:ascii="Times New Roman" w:eastAsia="Times New Roman" w:hAnsi="Times New Roman" w:cs="Times New Roman"/>
          <w:sz w:val="24"/>
          <w:szCs w:val="24"/>
          <w:highlight w:val="yellow"/>
        </w:rPr>
        <w:t xml:space="preserve">limited </w:t>
      </w:r>
      <w:r>
        <w:rPr>
          <w:rFonts w:ascii="Times New Roman" w:eastAsia="Times New Roman" w:hAnsi="Times New Roman" w:cs="Times New Roman"/>
          <w:sz w:val="24"/>
          <w:szCs w:val="24"/>
        </w:rPr>
        <w:t xml:space="preserve">parental </w:t>
      </w:r>
      <w:r>
        <w:rPr>
          <w:rFonts w:ascii="Times New Roman" w:eastAsia="Times New Roman" w:hAnsi="Times New Roman" w:cs="Times New Roman"/>
          <w:sz w:val="24"/>
          <w:szCs w:val="24"/>
          <w:highlight w:val="yellow"/>
        </w:rPr>
        <w:t>knowledge</w:t>
      </w:r>
      <w:r>
        <w:rPr>
          <w:rFonts w:ascii="Times New Roman" w:eastAsia="Times New Roman" w:hAnsi="Times New Roman" w:cs="Times New Roman"/>
          <w:sz w:val="24"/>
          <w:szCs w:val="24"/>
        </w:rPr>
        <w:t xml:space="preserve">, local </w:t>
      </w:r>
      <w:r>
        <w:rPr>
          <w:rFonts w:ascii="Times New Roman" w:eastAsia="Times New Roman" w:hAnsi="Times New Roman" w:cs="Times New Roman"/>
          <w:sz w:val="24"/>
          <w:szCs w:val="24"/>
          <w:highlight w:val="yellow"/>
        </w:rPr>
        <w:t>misconceptions</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and</w:t>
      </w:r>
      <w:r>
        <w:rPr>
          <w:rFonts w:ascii="Times New Roman" w:eastAsia="Times New Roman" w:hAnsi="Times New Roman" w:cs="Times New Roman"/>
          <w:sz w:val="24"/>
          <w:szCs w:val="24"/>
        </w:rPr>
        <w:t xml:space="preserve"> distrust </w:t>
      </w:r>
      <w:r>
        <w:rPr>
          <w:rFonts w:ascii="Times New Roman" w:eastAsia="Times New Roman" w:hAnsi="Times New Roman" w:cs="Times New Roman"/>
          <w:sz w:val="24"/>
          <w:szCs w:val="24"/>
          <w:highlight w:val="yellow"/>
        </w:rPr>
        <w:t>of</w:t>
      </w:r>
      <w:r>
        <w:rPr>
          <w:rFonts w:ascii="Times New Roman" w:eastAsia="Times New Roman" w:hAnsi="Times New Roman" w:cs="Times New Roman"/>
          <w:sz w:val="24"/>
          <w:szCs w:val="24"/>
        </w:rPr>
        <w:t xml:space="preserve"> vaccination </w:t>
      </w:r>
      <w:r>
        <w:rPr>
          <w:rFonts w:ascii="Times New Roman" w:eastAsia="Times New Roman" w:hAnsi="Times New Roman" w:cs="Times New Roman"/>
          <w:sz w:val="24"/>
          <w:szCs w:val="24"/>
          <w:highlight w:val="yellow"/>
        </w:rPr>
        <w:t>pose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substantial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threats</w:t>
      </w:r>
      <w:r>
        <w:rPr>
          <w:rFonts w:ascii="Times New Roman" w:eastAsia="Times New Roman" w:hAnsi="Times New Roman" w:cs="Times New Roman"/>
          <w:sz w:val="24"/>
          <w:szCs w:val="24"/>
        </w:rPr>
        <w:t xml:space="preserve">. In 2024, 89% of infants globally received at least one dose of a diphtheria-tetanus-pertussis (DTP)-containing vaccine, while 14.3 million remained zero-dose; many of these children lived in low-income countries and fragile or conflict-affected settings (World Health Organization [WHO] &amp; United Nations </w:t>
      </w:r>
      <w:r>
        <w:rPr>
          <w:rFonts w:ascii="Times New Roman" w:eastAsia="Times New Roman" w:hAnsi="Times New Roman" w:cs="Times New Roman"/>
          <w:sz w:val="24"/>
          <w:szCs w:val="24"/>
          <w:highlight w:val="yellow"/>
        </w:rPr>
        <w:t>Children's</w:t>
      </w:r>
      <w:r>
        <w:rPr>
          <w:rFonts w:ascii="Times New Roman" w:eastAsia="Times New Roman" w:hAnsi="Times New Roman" w:cs="Times New Roman"/>
          <w:sz w:val="24"/>
          <w:szCs w:val="24"/>
        </w:rPr>
        <w:t xml:space="preserve"> Fund [UNICEF], 2025). Nigeria is </w:t>
      </w:r>
      <w:r>
        <w:rPr>
          <w:rFonts w:ascii="Times New Roman" w:eastAsia="Times New Roman" w:hAnsi="Times New Roman" w:cs="Times New Roman"/>
          <w:sz w:val="24"/>
          <w:szCs w:val="24"/>
          <w:highlight w:val="yellow"/>
        </w:rPr>
        <w:t>among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countries with</w:t>
      </w:r>
      <w:r>
        <w:rPr>
          <w:rFonts w:ascii="Times New Roman" w:eastAsia="Times New Roman" w:hAnsi="Times New Roman" w:cs="Times New Roman"/>
          <w:sz w:val="24"/>
          <w:szCs w:val="24"/>
        </w:rPr>
        <w:t xml:space="preserve"> the highest numbers of under-immunised children worldwide, and studies </w:t>
      </w:r>
      <w:r>
        <w:rPr>
          <w:rFonts w:ascii="Times New Roman" w:eastAsia="Times New Roman" w:hAnsi="Times New Roman" w:cs="Times New Roman"/>
          <w:sz w:val="24"/>
          <w:szCs w:val="24"/>
          <w:highlight w:val="yellow"/>
        </w:rPr>
        <w:t>indicate</w:t>
      </w:r>
      <w:r>
        <w:rPr>
          <w:rFonts w:ascii="Times New Roman" w:eastAsia="Times New Roman" w:hAnsi="Times New Roman" w:cs="Times New Roman"/>
          <w:sz w:val="24"/>
          <w:szCs w:val="24"/>
        </w:rPr>
        <w:t xml:space="preserve"> strong </w:t>
      </w:r>
      <w:r>
        <w:rPr>
          <w:rFonts w:ascii="Times New Roman" w:eastAsia="Times New Roman" w:hAnsi="Times New Roman" w:cs="Times New Roman"/>
          <w:sz w:val="24"/>
          <w:szCs w:val="24"/>
          <w:highlight w:val="yellow"/>
        </w:rPr>
        <w:t>relationships</w:t>
      </w:r>
      <w:r>
        <w:rPr>
          <w:rFonts w:ascii="Times New Roman" w:eastAsia="Times New Roman" w:hAnsi="Times New Roman" w:cs="Times New Roman"/>
          <w:sz w:val="24"/>
          <w:szCs w:val="24"/>
        </w:rPr>
        <w:t xml:space="preserve"> between childhood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coverage and </w:t>
      </w:r>
      <w:r>
        <w:rPr>
          <w:rFonts w:ascii="Times New Roman" w:eastAsia="Times New Roman" w:hAnsi="Times New Roman" w:cs="Times New Roman"/>
          <w:sz w:val="24"/>
          <w:szCs w:val="24"/>
          <w:highlight w:val="yellow"/>
        </w:rPr>
        <w:t xml:space="preserve">socioeconomic and </w:t>
      </w:r>
      <w:r>
        <w:rPr>
          <w:rFonts w:ascii="Times New Roman" w:eastAsia="Times New Roman" w:hAnsi="Times New Roman" w:cs="Times New Roman"/>
          <w:sz w:val="24"/>
          <w:szCs w:val="24"/>
        </w:rPr>
        <w:t xml:space="preserve">household factors. Using data </w:t>
      </w:r>
      <w:r>
        <w:rPr>
          <w:rFonts w:ascii="Times New Roman" w:eastAsia="Times New Roman" w:hAnsi="Times New Roman" w:cs="Times New Roman"/>
          <w:sz w:val="24"/>
          <w:szCs w:val="24"/>
          <w:highlight w:val="yellow"/>
        </w:rPr>
        <w:t>on</w:t>
      </w:r>
      <w:r>
        <w:rPr>
          <w:rFonts w:ascii="Times New Roman" w:eastAsia="Times New Roman" w:hAnsi="Times New Roman" w:cs="Times New Roman"/>
          <w:sz w:val="24"/>
          <w:szCs w:val="24"/>
        </w:rPr>
        <w:t xml:space="preserve"> children under </w:t>
      </w:r>
      <w:r>
        <w:rPr>
          <w:rFonts w:ascii="Times New Roman" w:eastAsia="Times New Roman" w:hAnsi="Times New Roman" w:cs="Times New Roman"/>
          <w:sz w:val="24"/>
          <w:szCs w:val="24"/>
          <w:highlight w:val="yellow"/>
        </w:rPr>
        <w:t>five</w:t>
      </w:r>
      <w:r>
        <w:rPr>
          <w:rFonts w:ascii="Times New Roman" w:eastAsia="Times New Roman" w:hAnsi="Times New Roman" w:cs="Times New Roman"/>
          <w:sz w:val="24"/>
          <w:szCs w:val="24"/>
        </w:rPr>
        <w:t xml:space="preserve"> from the 2018 Nigeria Demographic and Health Survey (NDHS), Williams et al. (2024) </w:t>
      </w:r>
      <w:r>
        <w:rPr>
          <w:rFonts w:ascii="Times New Roman" w:eastAsia="Times New Roman" w:hAnsi="Times New Roman" w:cs="Times New Roman"/>
          <w:sz w:val="24"/>
          <w:szCs w:val="24"/>
          <w:highlight w:val="yellow"/>
        </w:rPr>
        <w:t>reported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that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completion</w:t>
      </w:r>
      <w:r>
        <w:rPr>
          <w:rFonts w:ascii="Times New Roman" w:eastAsia="Times New Roman" w:hAnsi="Times New Roman" w:cs="Times New Roman"/>
          <w:sz w:val="24"/>
          <w:szCs w:val="24"/>
        </w:rPr>
        <w:t xml:space="preserve"> of the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schedule </w:t>
      </w:r>
      <w:r>
        <w:rPr>
          <w:rFonts w:ascii="Times New Roman" w:eastAsia="Times New Roman" w:hAnsi="Times New Roman" w:cs="Times New Roman"/>
          <w:sz w:val="24"/>
          <w:szCs w:val="24"/>
          <w:highlight w:val="yellow"/>
        </w:rPr>
        <w:t xml:space="preserve">was positively associated </w:t>
      </w:r>
      <w:r>
        <w:rPr>
          <w:rFonts w:ascii="Times New Roman" w:eastAsia="Times New Roman" w:hAnsi="Times New Roman" w:cs="Times New Roman"/>
          <w:sz w:val="24"/>
          <w:szCs w:val="24"/>
        </w:rPr>
        <w:t xml:space="preserve">with older </w:t>
      </w:r>
      <w:r>
        <w:rPr>
          <w:rFonts w:ascii="Times New Roman" w:eastAsia="Times New Roman" w:hAnsi="Times New Roman" w:cs="Times New Roman"/>
          <w:sz w:val="24"/>
          <w:szCs w:val="24"/>
          <w:highlight w:val="yellow"/>
        </w:rPr>
        <w:t>maternal age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higher maternal</w:t>
      </w:r>
      <w:r>
        <w:rPr>
          <w:rFonts w:ascii="Times New Roman" w:eastAsia="Times New Roman" w:hAnsi="Times New Roman" w:cs="Times New Roman"/>
          <w:sz w:val="24"/>
          <w:szCs w:val="24"/>
        </w:rPr>
        <w:t xml:space="preserve"> education, antenatal care </w:t>
      </w:r>
      <w:r>
        <w:rPr>
          <w:rFonts w:ascii="Times New Roman" w:eastAsia="Times New Roman" w:hAnsi="Times New Roman" w:cs="Times New Roman"/>
          <w:sz w:val="24"/>
          <w:szCs w:val="24"/>
          <w:highlight w:val="yellow"/>
        </w:rPr>
        <w:t>use</w:t>
      </w:r>
      <w:r>
        <w:rPr>
          <w:rFonts w:ascii="Times New Roman" w:eastAsia="Times New Roman" w:hAnsi="Times New Roman" w:cs="Times New Roman"/>
          <w:sz w:val="24"/>
          <w:szCs w:val="24"/>
        </w:rPr>
        <w:t xml:space="preserve">, facility delivery, </w:t>
      </w:r>
      <w:r>
        <w:rPr>
          <w:rFonts w:ascii="Times New Roman" w:eastAsia="Times New Roman" w:hAnsi="Times New Roman" w:cs="Times New Roman"/>
          <w:sz w:val="24"/>
          <w:szCs w:val="24"/>
          <w:highlight w:val="yellow"/>
        </w:rPr>
        <w:t>greater</w:t>
      </w:r>
      <w:r>
        <w:rPr>
          <w:rFonts w:ascii="Times New Roman" w:eastAsia="Times New Roman" w:hAnsi="Times New Roman" w:cs="Times New Roman"/>
          <w:sz w:val="24"/>
          <w:szCs w:val="24"/>
        </w:rPr>
        <w:t xml:space="preserve"> household </w:t>
      </w:r>
      <w:r>
        <w:rPr>
          <w:rFonts w:ascii="Times New Roman" w:eastAsia="Times New Roman" w:hAnsi="Times New Roman" w:cs="Times New Roman"/>
          <w:sz w:val="24"/>
          <w:szCs w:val="24"/>
          <w:highlight w:val="yellow"/>
        </w:rPr>
        <w:t>wealth,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urban residence</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highlight w:val="yellow"/>
        </w:rPr>
        <w:t>regional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location</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highlight w:val="yellow"/>
        </w:rPr>
        <w:t>negatively</w:t>
      </w:r>
      <w:r>
        <w:rPr>
          <w:rFonts w:ascii="Times New Roman" w:eastAsia="Times New Roman" w:hAnsi="Times New Roman" w:cs="Times New Roman"/>
          <w:sz w:val="24"/>
          <w:szCs w:val="24"/>
        </w:rPr>
        <w:t xml:space="preserve"> associated with lower </w:t>
      </w:r>
      <w:r>
        <w:rPr>
          <w:rFonts w:ascii="Times New Roman" w:eastAsia="Times New Roman" w:hAnsi="Times New Roman" w:cs="Times New Roman"/>
          <w:sz w:val="24"/>
          <w:szCs w:val="24"/>
          <w:highlight w:val="yellow"/>
        </w:rPr>
        <w:t>socioeconomic</w:t>
      </w:r>
      <w:r>
        <w:rPr>
          <w:rFonts w:ascii="Times New Roman" w:eastAsia="Times New Roman" w:hAnsi="Times New Roman" w:cs="Times New Roman"/>
          <w:sz w:val="24"/>
          <w:szCs w:val="24"/>
        </w:rPr>
        <w:t xml:space="preserve"> status and </w:t>
      </w:r>
      <w:r>
        <w:rPr>
          <w:rFonts w:ascii="Times New Roman" w:eastAsia="Times New Roman" w:hAnsi="Times New Roman" w:cs="Times New Roman"/>
          <w:sz w:val="24"/>
          <w:szCs w:val="24"/>
          <w:highlight w:val="yellow"/>
        </w:rPr>
        <w:t>limited use of</w:t>
      </w:r>
      <w:r>
        <w:rPr>
          <w:rFonts w:ascii="Times New Roman" w:eastAsia="Times New Roman" w:hAnsi="Times New Roman" w:cs="Times New Roman"/>
          <w:sz w:val="24"/>
          <w:szCs w:val="24"/>
        </w:rPr>
        <w:t xml:space="preserve"> maternal healthcare. Gayawan et al. (2026) </w:t>
      </w:r>
      <w:r>
        <w:rPr>
          <w:rFonts w:ascii="Times New Roman" w:eastAsia="Times New Roman" w:hAnsi="Times New Roman" w:cs="Times New Roman"/>
          <w:sz w:val="24"/>
          <w:szCs w:val="24"/>
          <w:highlight w:val="yellow"/>
        </w:rPr>
        <w:t>reported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that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women's</w:t>
      </w:r>
      <w:r>
        <w:rPr>
          <w:rFonts w:ascii="Times New Roman" w:eastAsia="Times New Roman" w:hAnsi="Times New Roman" w:cs="Times New Roman"/>
          <w:sz w:val="24"/>
          <w:szCs w:val="24"/>
        </w:rPr>
        <w:t xml:space="preserve"> empowerment, measured </w:t>
      </w:r>
      <w:r>
        <w:rPr>
          <w:rFonts w:ascii="Times New Roman" w:eastAsia="Times New Roman" w:hAnsi="Times New Roman" w:cs="Times New Roman"/>
          <w:sz w:val="24"/>
          <w:szCs w:val="24"/>
          <w:highlight w:val="yellow"/>
        </w:rPr>
        <w:t xml:space="preserve">through participation </w:t>
      </w:r>
      <w:r>
        <w:rPr>
          <w:rFonts w:ascii="Times New Roman" w:eastAsia="Times New Roman" w:hAnsi="Times New Roman" w:cs="Times New Roman"/>
          <w:sz w:val="24"/>
          <w:szCs w:val="24"/>
        </w:rPr>
        <w:t xml:space="preserve">in </w:t>
      </w:r>
      <w:r>
        <w:rPr>
          <w:rFonts w:ascii="Times New Roman" w:eastAsia="Times New Roman" w:hAnsi="Times New Roman" w:cs="Times New Roman"/>
          <w:sz w:val="24"/>
          <w:szCs w:val="24"/>
          <w:highlight w:val="yellow"/>
        </w:rPr>
        <w:t>decision-making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positively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affected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childhood immunisation</w:t>
      </w:r>
      <w:r>
        <w:rPr>
          <w:rFonts w:ascii="Times New Roman" w:eastAsia="Times New Roman" w:hAnsi="Times New Roman" w:cs="Times New Roman"/>
          <w:sz w:val="24"/>
          <w:szCs w:val="24"/>
        </w:rPr>
        <w:t xml:space="preserve"> uptake, </w:t>
      </w:r>
      <w:r>
        <w:rPr>
          <w:rFonts w:ascii="Times New Roman" w:eastAsia="Times New Roman" w:hAnsi="Times New Roman" w:cs="Times New Roman"/>
          <w:sz w:val="24"/>
          <w:szCs w:val="24"/>
          <w:highlight w:val="yellow"/>
        </w:rPr>
        <w:t>although</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magnitude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varied</w:t>
      </w:r>
      <w:r>
        <w:rPr>
          <w:rFonts w:ascii="Times New Roman" w:eastAsia="Times New Roman" w:hAnsi="Times New Roman" w:cs="Times New Roman"/>
          <w:sz w:val="24"/>
          <w:szCs w:val="24"/>
        </w:rPr>
        <w:t xml:space="preserve"> across regions. </w:t>
      </w:r>
      <w:r>
        <w:rPr>
          <w:rFonts w:ascii="Times New Roman" w:eastAsia="Times New Roman" w:hAnsi="Times New Roman" w:cs="Times New Roman"/>
          <w:sz w:val="24"/>
          <w:szCs w:val="24"/>
          <w:highlight w:val="yellow"/>
        </w:rPr>
        <w:t>In Nigeria, digital</w:t>
      </w:r>
      <w:r>
        <w:rPr>
          <w:rFonts w:ascii="Times New Roman" w:eastAsia="Times New Roman" w:hAnsi="Times New Roman" w:cs="Times New Roman"/>
          <w:sz w:val="24"/>
          <w:szCs w:val="24"/>
        </w:rPr>
        <w:t xml:space="preserve"> health platforms such as the AI-Powered Vaccination Intervention Optimizer (ADVISER), </w:t>
      </w:r>
      <w:r>
        <w:rPr>
          <w:rFonts w:ascii="Times New Roman" w:eastAsia="Times New Roman" w:hAnsi="Times New Roman" w:cs="Times New Roman"/>
          <w:sz w:val="24"/>
          <w:szCs w:val="24"/>
          <w:highlight w:val="yellow"/>
        </w:rPr>
        <w:t>which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identifies</w:t>
      </w:r>
      <w:r>
        <w:rPr>
          <w:rFonts w:ascii="Times New Roman" w:eastAsia="Times New Roman" w:hAnsi="Times New Roman" w:cs="Times New Roman"/>
          <w:sz w:val="24"/>
          <w:szCs w:val="24"/>
        </w:rPr>
        <w:t xml:space="preserve"> unvaccinated households at the community level</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have</w:t>
      </w:r>
      <w:r>
        <w:rPr>
          <w:rFonts w:ascii="Times New Roman" w:eastAsia="Times New Roman" w:hAnsi="Times New Roman" w:cs="Times New Roman"/>
          <w:sz w:val="24"/>
          <w:szCs w:val="24"/>
        </w:rPr>
        <w:t xml:space="preserve"> been </w:t>
      </w:r>
      <w:r>
        <w:rPr>
          <w:rFonts w:ascii="Times New Roman" w:eastAsia="Times New Roman" w:hAnsi="Times New Roman" w:cs="Times New Roman"/>
          <w:sz w:val="24"/>
          <w:szCs w:val="24"/>
          <w:highlight w:val="yellow"/>
        </w:rPr>
        <w:t>used</w:t>
      </w:r>
      <w:r>
        <w:rPr>
          <w:rFonts w:ascii="Times New Roman" w:eastAsia="Times New Roman" w:hAnsi="Times New Roman" w:cs="Times New Roman"/>
          <w:sz w:val="24"/>
          <w:szCs w:val="24"/>
        </w:rPr>
        <w:t xml:space="preserve"> to support the vaccination of 13,331 children under five in Oyo State (Kehinde et al., 2024). </w:t>
      </w:r>
      <w:r>
        <w:rPr>
          <w:rFonts w:ascii="Times New Roman" w:eastAsia="Times New Roman" w:hAnsi="Times New Roman" w:cs="Times New Roman"/>
          <w:sz w:val="24"/>
          <w:szCs w:val="24"/>
          <w:highlight w:val="yellow"/>
        </w:rPr>
        <w:t>Collectively,</w:t>
      </w:r>
      <w:r>
        <w:rPr>
          <w:rFonts w:ascii="Times New Roman" w:eastAsia="Times New Roman" w:hAnsi="Times New Roman" w:cs="Times New Roman"/>
          <w:sz w:val="24"/>
          <w:szCs w:val="24"/>
        </w:rPr>
        <w:t xml:space="preserve"> this body of </w:t>
      </w:r>
      <w:r>
        <w:rPr>
          <w:rFonts w:ascii="Times New Roman" w:eastAsia="Times New Roman" w:hAnsi="Times New Roman" w:cs="Times New Roman"/>
          <w:sz w:val="24"/>
          <w:szCs w:val="24"/>
          <w:highlight w:val="yellow"/>
        </w:rPr>
        <w:t>evidence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indicates</w:t>
      </w:r>
      <w:r>
        <w:rPr>
          <w:rFonts w:ascii="Times New Roman" w:eastAsia="Times New Roman" w:hAnsi="Times New Roman" w:cs="Times New Roman"/>
          <w:sz w:val="24"/>
          <w:szCs w:val="24"/>
        </w:rPr>
        <w:t xml:space="preserve"> that maternal </w:t>
      </w:r>
      <w:r>
        <w:rPr>
          <w:rFonts w:ascii="Times New Roman" w:eastAsia="Times New Roman" w:hAnsi="Times New Roman" w:cs="Times New Roman"/>
          <w:sz w:val="24"/>
          <w:szCs w:val="24"/>
          <w:highlight w:val="yellow"/>
        </w:rPr>
        <w:t>socioeconomic</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highlight w:val="yellow"/>
        </w:rPr>
        <w:t>sociodemographic</w:t>
      </w:r>
      <w:r>
        <w:rPr>
          <w:rFonts w:ascii="Times New Roman" w:eastAsia="Times New Roman" w:hAnsi="Times New Roman" w:cs="Times New Roman"/>
          <w:sz w:val="24"/>
          <w:szCs w:val="24"/>
        </w:rPr>
        <w:t xml:space="preserve"> characteristics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health-seeking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behaviour,</w:t>
      </w:r>
      <w:r>
        <w:rPr>
          <w:rFonts w:ascii="Times New Roman" w:eastAsia="Times New Roman" w:hAnsi="Times New Roman" w:cs="Times New Roman"/>
          <w:sz w:val="24"/>
          <w:szCs w:val="24"/>
        </w:rPr>
        <w:t xml:space="preserve"> parenting,</w:t>
      </w:r>
      <w:r>
        <w:rPr>
          <w:rFonts w:ascii="Times New Roman" w:eastAsia="Times New Roman" w:hAnsi="Times New Roman" w:cs="Times New Roman"/>
          <w:sz w:val="24"/>
          <w:szCs w:val="24"/>
          <w:highlight w:val="yellow"/>
        </w:rPr>
        <w:t xml:space="preserve"> and</w:t>
      </w:r>
      <w:r>
        <w:rPr>
          <w:rFonts w:ascii="Times New Roman" w:eastAsia="Times New Roman" w:hAnsi="Times New Roman" w:cs="Times New Roman"/>
          <w:sz w:val="24"/>
          <w:szCs w:val="24"/>
        </w:rPr>
        <w:t xml:space="preserve"> access to and trust in quality healthcare facilities influence childhood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practices in </w:t>
      </w:r>
      <w:r>
        <w:rPr>
          <w:rFonts w:ascii="Times New Roman" w:eastAsia="Times New Roman" w:hAnsi="Times New Roman" w:cs="Times New Roman"/>
          <w:sz w:val="24"/>
          <w:szCs w:val="24"/>
          <w:highlight w:val="yellow"/>
        </w:rPr>
        <w:t>Nigeria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2018 NDHS </w:t>
      </w:r>
      <w:r>
        <w:rPr>
          <w:rFonts w:ascii="Times New Roman" w:eastAsia="Times New Roman" w:hAnsi="Times New Roman" w:cs="Times New Roman"/>
          <w:sz w:val="24"/>
          <w:szCs w:val="24"/>
          <w:highlight w:val="yellow"/>
        </w:rPr>
        <w:t>was the most recent</w:t>
      </w:r>
      <w:r>
        <w:rPr>
          <w:rFonts w:ascii="Times New Roman" w:eastAsia="Times New Roman" w:hAnsi="Times New Roman" w:cs="Times New Roman"/>
          <w:sz w:val="24"/>
          <w:szCs w:val="24"/>
        </w:rPr>
        <w:t xml:space="preserve"> nationally representative household survey </w:t>
      </w:r>
      <w:r>
        <w:rPr>
          <w:rFonts w:ascii="Times New Roman" w:eastAsia="Times New Roman" w:hAnsi="Times New Roman" w:cs="Times New Roman"/>
          <w:sz w:val="24"/>
          <w:szCs w:val="24"/>
          <w:highlight w:val="yellow"/>
        </w:rPr>
        <w:t>available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for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examining</w:t>
      </w:r>
      <w:r>
        <w:rPr>
          <w:rFonts w:ascii="Times New Roman" w:eastAsia="Times New Roman" w:hAnsi="Times New Roman" w:cs="Times New Roman"/>
          <w:sz w:val="24"/>
          <w:szCs w:val="24"/>
        </w:rPr>
        <w:t xml:space="preserve"> this issue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consequently,</w:t>
      </w:r>
      <w:r>
        <w:rPr>
          <w:rFonts w:ascii="Times New Roman" w:eastAsia="Times New Roman" w:hAnsi="Times New Roman" w:cs="Times New Roman"/>
          <w:sz w:val="24"/>
          <w:szCs w:val="24"/>
        </w:rPr>
        <w:t xml:space="preserve"> its data </w:t>
      </w:r>
      <w:r>
        <w:rPr>
          <w:rFonts w:ascii="Times New Roman" w:eastAsia="Times New Roman" w:hAnsi="Times New Roman" w:cs="Times New Roman"/>
          <w:sz w:val="24"/>
          <w:szCs w:val="24"/>
          <w:highlight w:val="yellow"/>
        </w:rPr>
        <w:t>cannot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reliably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reflect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post-COVID-19</w:t>
      </w:r>
      <w:r>
        <w:rPr>
          <w:rFonts w:ascii="Times New Roman" w:eastAsia="Times New Roman" w:hAnsi="Times New Roman" w:cs="Times New Roman"/>
          <w:sz w:val="24"/>
          <w:szCs w:val="24"/>
        </w:rPr>
        <w:t xml:space="preserve"> socioeconomic changes or recent vaccination </w:t>
      </w:r>
      <w:r>
        <w:rPr>
          <w:rFonts w:ascii="Times New Roman" w:eastAsia="Times New Roman" w:hAnsi="Times New Roman" w:cs="Times New Roman"/>
          <w:sz w:val="24"/>
          <w:szCs w:val="24"/>
          <w:highlight w:val="yellow"/>
        </w:rPr>
        <w:t>programme</w:t>
      </w:r>
      <w:r>
        <w:rPr>
          <w:rFonts w:ascii="Times New Roman" w:eastAsia="Times New Roman" w:hAnsi="Times New Roman" w:cs="Times New Roman"/>
          <w:sz w:val="24"/>
          <w:szCs w:val="24"/>
        </w:rPr>
        <w:t xml:space="preserve"> initiatives at community or </w:t>
      </w:r>
      <w:r>
        <w:rPr>
          <w:rFonts w:ascii="Times New Roman" w:eastAsia="Times New Roman" w:hAnsi="Times New Roman" w:cs="Times New Roman"/>
          <w:sz w:val="24"/>
          <w:szCs w:val="24"/>
          <w:highlight w:val="yellow"/>
        </w:rPr>
        <w:t>health-facility</w:t>
      </w:r>
      <w:r>
        <w:rPr>
          <w:rFonts w:ascii="Times New Roman" w:eastAsia="Times New Roman" w:hAnsi="Times New Roman" w:cs="Times New Roman"/>
          <w:sz w:val="24"/>
          <w:szCs w:val="24"/>
        </w:rPr>
        <w:t xml:space="preserve"> levels. </w:t>
      </w:r>
      <w:r>
        <w:rPr>
          <w:rFonts w:ascii="Times New Roman" w:eastAsia="Times New Roman" w:hAnsi="Times New Roman" w:cs="Times New Roman"/>
          <w:sz w:val="24"/>
          <w:szCs w:val="24"/>
          <w:highlight w:val="yellow"/>
        </w:rPr>
        <w:t>This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study uses</w:t>
      </w:r>
      <w:r>
        <w:rPr>
          <w:rFonts w:ascii="Times New Roman" w:eastAsia="Times New Roman" w:hAnsi="Times New Roman" w:cs="Times New Roman"/>
          <w:sz w:val="24"/>
          <w:szCs w:val="24"/>
        </w:rPr>
        <w:t xml:space="preserve"> recent </w:t>
      </w:r>
      <w:r>
        <w:rPr>
          <w:rFonts w:ascii="Times New Roman" w:eastAsia="Times New Roman" w:hAnsi="Times New Roman" w:cs="Times New Roman"/>
          <w:sz w:val="24"/>
          <w:szCs w:val="24"/>
          <w:highlight w:val="yellow"/>
        </w:rPr>
        <w:t>Nigerian</w:t>
      </w:r>
      <w:r>
        <w:rPr>
          <w:rFonts w:ascii="Times New Roman" w:eastAsia="Times New Roman" w:hAnsi="Times New Roman" w:cs="Times New Roman"/>
          <w:sz w:val="24"/>
          <w:szCs w:val="24"/>
        </w:rPr>
        <w:t xml:space="preserve"> data to </w:t>
      </w:r>
      <w:r>
        <w:rPr>
          <w:rFonts w:ascii="Times New Roman" w:eastAsia="Times New Roman" w:hAnsi="Times New Roman" w:cs="Times New Roman"/>
          <w:sz w:val="24"/>
          <w:szCs w:val="24"/>
          <w:highlight w:val="yellow"/>
        </w:rPr>
        <w:t>address</w:t>
      </w:r>
      <w:r>
        <w:rPr>
          <w:rFonts w:ascii="Times New Roman" w:eastAsia="Times New Roman" w:hAnsi="Times New Roman" w:cs="Times New Roman"/>
          <w:sz w:val="24"/>
          <w:szCs w:val="24"/>
        </w:rPr>
        <w:t xml:space="preserve"> this information gap and generate timely </w:t>
      </w:r>
      <w:r>
        <w:rPr>
          <w:rFonts w:ascii="Times New Roman" w:eastAsia="Times New Roman" w:hAnsi="Times New Roman" w:cs="Times New Roman"/>
          <w:sz w:val="24"/>
          <w:szCs w:val="24"/>
          <w:highlight w:val="yellow"/>
        </w:rPr>
        <w:t>evidence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for</w:t>
      </w:r>
      <w:r>
        <w:rPr>
          <w:rFonts w:ascii="Times New Roman" w:eastAsia="Times New Roman" w:hAnsi="Times New Roman" w:cs="Times New Roman"/>
          <w:sz w:val="24"/>
          <w:szCs w:val="24"/>
        </w:rPr>
        <w:t xml:space="preserve"> equitable and targeted policies </w:t>
      </w:r>
      <w:r>
        <w:rPr>
          <w:rFonts w:ascii="Times New Roman" w:eastAsia="Times New Roman" w:hAnsi="Times New Roman" w:cs="Times New Roman"/>
          <w:sz w:val="24"/>
          <w:szCs w:val="24"/>
          <w:highlight w:val="yellow"/>
        </w:rPr>
        <w:t>to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improve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childhood</w:t>
      </w:r>
      <w:r>
        <w:rPr>
          <w:rFonts w:ascii="Times New Roman" w:eastAsia="Times New Roman" w:hAnsi="Times New Roman" w:cs="Times New Roman"/>
          <w:sz w:val="24"/>
          <w:szCs w:val="24"/>
        </w:rPr>
        <w:t xml:space="preserve"> immunisation services </w:t>
      </w:r>
      <w:r>
        <w:rPr>
          <w:rFonts w:ascii="Times New Roman" w:eastAsia="Times New Roman" w:hAnsi="Times New Roman" w:cs="Times New Roman"/>
          <w:sz w:val="24"/>
          <w:szCs w:val="24"/>
          <w:highlight w:val="yellow"/>
        </w:rPr>
        <w:t>cost-effectively</w:t>
      </w:r>
      <w:r>
        <w:rPr>
          <w:rFonts w:ascii="Times New Roman" w:eastAsia="Times New Roman" w:hAnsi="Times New Roman" w:cs="Times New Roman"/>
          <w:sz w:val="24"/>
          <w:szCs w:val="24"/>
        </w:rPr>
        <w:t xml:space="preserve">. Across other LMICs, international evidence continues to </w:t>
      </w:r>
      <w:r>
        <w:rPr>
          <w:rFonts w:ascii="Times New Roman" w:eastAsia="Times New Roman" w:hAnsi="Times New Roman" w:cs="Times New Roman"/>
          <w:sz w:val="24"/>
          <w:szCs w:val="24"/>
          <w:highlight w:val="yellow"/>
        </w:rPr>
        <w:t>show</w:t>
      </w:r>
      <w:r>
        <w:rPr>
          <w:rFonts w:ascii="Times New Roman" w:eastAsia="Times New Roman" w:hAnsi="Times New Roman" w:cs="Times New Roman"/>
          <w:sz w:val="24"/>
          <w:szCs w:val="24"/>
        </w:rPr>
        <w:t xml:space="preserve"> strong </w:t>
      </w:r>
      <w:r>
        <w:rPr>
          <w:rFonts w:ascii="Times New Roman" w:eastAsia="Times New Roman" w:hAnsi="Times New Roman" w:cs="Times New Roman"/>
          <w:sz w:val="24"/>
          <w:szCs w:val="24"/>
          <w:highlight w:val="yellow"/>
        </w:rPr>
        <w:t>associations</w:t>
      </w:r>
      <w:r>
        <w:rPr>
          <w:rFonts w:ascii="Times New Roman" w:eastAsia="Times New Roman" w:hAnsi="Times New Roman" w:cs="Times New Roman"/>
          <w:sz w:val="24"/>
          <w:szCs w:val="24"/>
        </w:rPr>
        <w:t xml:space="preserve"> between </w:t>
      </w:r>
      <w:r>
        <w:rPr>
          <w:rFonts w:ascii="Times New Roman" w:eastAsia="Times New Roman" w:hAnsi="Times New Roman" w:cs="Times New Roman"/>
          <w:sz w:val="24"/>
          <w:szCs w:val="24"/>
          <w:highlight w:val="yellow"/>
        </w:rPr>
        <w:t>childhood immunisation and maternal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household,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health-service</w:t>
      </w:r>
      <w:r>
        <w:rPr>
          <w:rFonts w:ascii="Times New Roman" w:eastAsia="Times New Roman" w:hAnsi="Times New Roman" w:cs="Times New Roman"/>
          <w:sz w:val="24"/>
          <w:szCs w:val="24"/>
        </w:rPr>
        <w:t xml:space="preserve">, and community contexts (Ali et al., 2022). </w:t>
      </w:r>
      <w:r>
        <w:rPr>
          <w:rFonts w:ascii="Times New Roman" w:eastAsia="Times New Roman" w:hAnsi="Times New Roman" w:cs="Times New Roman"/>
          <w:sz w:val="24"/>
          <w:szCs w:val="24"/>
          <w:highlight w:val="yellow"/>
        </w:rPr>
        <w:t>This</w:t>
      </w:r>
      <w:r>
        <w:rPr>
          <w:rFonts w:ascii="Times New Roman" w:eastAsia="Times New Roman" w:hAnsi="Times New Roman" w:cs="Times New Roman"/>
          <w:sz w:val="24"/>
          <w:szCs w:val="24"/>
        </w:rPr>
        <w:t xml:space="preserve"> evidence has been strengthened by </w:t>
      </w:r>
      <w:r>
        <w:rPr>
          <w:rFonts w:ascii="Times New Roman" w:eastAsia="Times New Roman" w:hAnsi="Times New Roman" w:cs="Times New Roman"/>
          <w:sz w:val="24"/>
          <w:szCs w:val="24"/>
          <w:highlight w:val="yellow"/>
        </w:rPr>
        <w:t>meta-analyses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multicountry studies. Bosch-Capblanch et al. (2012)</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using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data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from</w:t>
      </w:r>
      <w:r>
        <w:rPr>
          <w:rFonts w:ascii="Times New Roman" w:eastAsia="Times New Roman" w:hAnsi="Times New Roman" w:cs="Times New Roman"/>
          <w:sz w:val="24"/>
          <w:szCs w:val="24"/>
        </w:rPr>
        <w:t xml:space="preserve"> 96 </w:t>
      </w:r>
      <w:r>
        <w:rPr>
          <w:rFonts w:ascii="Times New Roman" w:eastAsia="Times New Roman" w:hAnsi="Times New Roman" w:cs="Times New Roman"/>
          <w:sz w:val="24"/>
          <w:szCs w:val="24"/>
          <w:highlight w:val="yellow"/>
        </w:rPr>
        <w:t>LMICs,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identified</w:t>
      </w:r>
      <w:r>
        <w:rPr>
          <w:rFonts w:ascii="Times New Roman" w:eastAsia="Times New Roman" w:hAnsi="Times New Roman" w:cs="Times New Roman"/>
          <w:sz w:val="24"/>
          <w:szCs w:val="24"/>
        </w:rPr>
        <w:t xml:space="preserve"> strong correlations between childhood vaccination and maternal </w:t>
      </w:r>
      <w:r>
        <w:rPr>
          <w:rFonts w:ascii="Times New Roman" w:eastAsia="Times New Roman" w:hAnsi="Times New Roman" w:cs="Times New Roman"/>
          <w:sz w:val="24"/>
          <w:szCs w:val="24"/>
          <w:highlight w:val="yellow"/>
        </w:rPr>
        <w:t>education,</w:t>
      </w:r>
      <w:r>
        <w:rPr>
          <w:rFonts w:ascii="Times New Roman" w:eastAsia="Times New Roman" w:hAnsi="Times New Roman" w:cs="Times New Roman"/>
          <w:sz w:val="24"/>
          <w:szCs w:val="24"/>
        </w:rPr>
        <w:t xml:space="preserve"> household economic status, access to and </w:t>
      </w:r>
      <w:r>
        <w:rPr>
          <w:rFonts w:ascii="Times New Roman" w:eastAsia="Times New Roman" w:hAnsi="Times New Roman" w:cs="Times New Roman"/>
          <w:sz w:val="24"/>
          <w:szCs w:val="24"/>
          <w:highlight w:val="yellow"/>
        </w:rPr>
        <w:t>use</w:t>
      </w:r>
      <w:r>
        <w:rPr>
          <w:rFonts w:ascii="Times New Roman" w:eastAsia="Times New Roman" w:hAnsi="Times New Roman" w:cs="Times New Roman"/>
          <w:sz w:val="24"/>
          <w:szCs w:val="24"/>
        </w:rPr>
        <w:t xml:space="preserve"> of primary healthcare, and antenatal </w:t>
      </w:r>
      <w:r>
        <w:rPr>
          <w:rFonts w:ascii="Times New Roman" w:eastAsia="Times New Roman" w:hAnsi="Times New Roman" w:cs="Times New Roman"/>
          <w:sz w:val="24"/>
          <w:szCs w:val="24"/>
          <w:highlight w:val="yellow"/>
        </w:rPr>
        <w:t>care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attendance. Restrepo-Méndez</w:t>
      </w:r>
      <w:r>
        <w:rPr>
          <w:rFonts w:ascii="Times New Roman" w:eastAsia="Times New Roman" w:hAnsi="Times New Roman" w:cs="Times New Roman"/>
          <w:sz w:val="24"/>
          <w:szCs w:val="24"/>
        </w:rPr>
        <w:t xml:space="preserve"> et al.</w:t>
      </w:r>
      <w:r>
        <w:rPr>
          <w:rFonts w:ascii="Times New Roman" w:eastAsia="Times New Roman" w:hAnsi="Times New Roman" w:cs="Times New Roman"/>
          <w:sz w:val="24"/>
          <w:szCs w:val="24"/>
          <w:highlight w:val="yellow"/>
        </w:rPr>
        <w:t xml:space="preserve"> (2016)</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 analysis of 86 LMICs, found</w:t>
      </w:r>
      <w:r>
        <w:rPr>
          <w:rFonts w:ascii="Times New Roman" w:eastAsia="Times New Roman" w:hAnsi="Times New Roman" w:cs="Times New Roman"/>
          <w:sz w:val="24"/>
          <w:szCs w:val="24"/>
        </w:rPr>
        <w:t xml:space="preserve"> significant </w:t>
      </w:r>
      <w:r>
        <w:rPr>
          <w:rFonts w:ascii="Times New Roman" w:eastAsia="Times New Roman" w:hAnsi="Times New Roman" w:cs="Times New Roman"/>
          <w:sz w:val="24"/>
          <w:szCs w:val="24"/>
          <w:highlight w:val="yellow"/>
        </w:rPr>
        <w:t>associations</w:t>
      </w:r>
      <w:r>
        <w:rPr>
          <w:rFonts w:ascii="Times New Roman" w:eastAsia="Times New Roman" w:hAnsi="Times New Roman" w:cs="Times New Roman"/>
          <w:sz w:val="24"/>
          <w:szCs w:val="24"/>
        </w:rPr>
        <w:t xml:space="preserve"> with </w:t>
      </w:r>
      <w:r>
        <w:rPr>
          <w:rFonts w:ascii="Times New Roman" w:eastAsia="Times New Roman" w:hAnsi="Times New Roman" w:cs="Times New Roman"/>
          <w:sz w:val="24"/>
          <w:szCs w:val="24"/>
          <w:highlight w:val="yellow"/>
        </w:rPr>
        <w:t>household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income</w:t>
      </w:r>
      <w:r>
        <w:rPr>
          <w:rFonts w:ascii="Times New Roman" w:eastAsia="Times New Roman" w:hAnsi="Times New Roman" w:cs="Times New Roman"/>
          <w:sz w:val="24"/>
          <w:szCs w:val="24"/>
        </w:rPr>
        <w:t>, maternal education</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region of birth</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Hosseinpoor</w:t>
      </w:r>
      <w:r>
        <w:rPr>
          <w:rFonts w:ascii="Times New Roman" w:eastAsia="Times New Roman" w:hAnsi="Times New Roman" w:cs="Times New Roman"/>
          <w:sz w:val="24"/>
          <w:szCs w:val="24"/>
        </w:rPr>
        <w:t xml:space="preserve"> et al.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2016) </w:t>
      </w:r>
      <w:r>
        <w:rPr>
          <w:rFonts w:ascii="Times New Roman" w:eastAsia="Times New Roman" w:hAnsi="Times New Roman" w:cs="Times New Roman"/>
          <w:sz w:val="24"/>
          <w:szCs w:val="24"/>
          <w:highlight w:val="yellow"/>
        </w:rPr>
        <w:t xml:space="preserve">reported associations between vaccination against pertussis and </w:t>
      </w:r>
      <w:r>
        <w:rPr>
          <w:rFonts w:ascii="Times New Roman" w:eastAsia="Times New Roman" w:hAnsi="Times New Roman" w:cs="Times New Roman"/>
          <w:sz w:val="24"/>
          <w:szCs w:val="24"/>
        </w:rPr>
        <w:t>access to quality health services, antenatal care</w:t>
      </w:r>
      <w:r>
        <w:rPr>
          <w:rFonts w:ascii="Times New Roman" w:eastAsia="Times New Roman" w:hAnsi="Times New Roman" w:cs="Times New Roman"/>
          <w:sz w:val="24"/>
          <w:szCs w:val="24"/>
          <w:highlight w:val="yellow"/>
        </w:rPr>
        <w:t xml:space="preserve"> use</w:t>
      </w:r>
      <w:r>
        <w:rPr>
          <w:rFonts w:ascii="Times New Roman" w:eastAsia="Times New Roman" w:hAnsi="Times New Roman" w:cs="Times New Roman"/>
          <w:sz w:val="24"/>
          <w:szCs w:val="24"/>
        </w:rPr>
        <w:t>, parental education</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highlight w:val="yellow"/>
        </w:rPr>
        <w:t>household</w:t>
      </w:r>
      <w:r>
        <w:rPr>
          <w:rFonts w:ascii="Times New Roman" w:eastAsia="Times New Roman" w:hAnsi="Times New Roman" w:cs="Times New Roman"/>
          <w:sz w:val="24"/>
          <w:szCs w:val="24"/>
        </w:rPr>
        <w:t xml:space="preserve"> income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Forshaw</w:t>
      </w:r>
      <w:r>
        <w:rPr>
          <w:rFonts w:ascii="Times New Roman" w:eastAsia="Times New Roman" w:hAnsi="Times New Roman" w:cs="Times New Roman"/>
          <w:sz w:val="24"/>
          <w:szCs w:val="24"/>
        </w:rPr>
        <w:t xml:space="preserve"> et al. </w:t>
      </w:r>
      <w:r>
        <w:rPr>
          <w:rFonts w:ascii="Times New Roman" w:eastAsia="Times New Roman" w:hAnsi="Times New Roman" w:cs="Times New Roman"/>
          <w:sz w:val="24"/>
          <w:szCs w:val="24"/>
          <w:highlight w:val="yellow"/>
        </w:rPr>
        <w:t>(2017</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found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that</w:t>
      </w:r>
      <w:r>
        <w:rPr>
          <w:rFonts w:ascii="Times New Roman" w:eastAsia="Times New Roman" w:hAnsi="Times New Roman" w:cs="Times New Roman"/>
          <w:sz w:val="24"/>
          <w:szCs w:val="24"/>
        </w:rPr>
        <w:t xml:space="preserve"> children whose mothers </w:t>
      </w:r>
      <w:r>
        <w:rPr>
          <w:rFonts w:ascii="Times New Roman" w:eastAsia="Times New Roman" w:hAnsi="Times New Roman" w:cs="Times New Roman"/>
          <w:sz w:val="24"/>
          <w:szCs w:val="24"/>
          <w:highlight w:val="yellow"/>
        </w:rPr>
        <w:t>had</w:t>
      </w:r>
      <w:r>
        <w:rPr>
          <w:rFonts w:ascii="Times New Roman" w:eastAsia="Times New Roman" w:hAnsi="Times New Roman" w:cs="Times New Roman"/>
          <w:sz w:val="24"/>
          <w:szCs w:val="24"/>
        </w:rPr>
        <w:t xml:space="preserve"> at least secondary education </w:t>
      </w:r>
      <w:r>
        <w:rPr>
          <w:rFonts w:ascii="Times New Roman" w:eastAsia="Times New Roman" w:hAnsi="Times New Roman" w:cs="Times New Roman"/>
          <w:sz w:val="24"/>
          <w:szCs w:val="24"/>
          <w:highlight w:val="yellow"/>
        </w:rPr>
        <w:t>had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more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than twice the odds of being fully immunised compared</w:t>
      </w:r>
      <w:r>
        <w:rPr>
          <w:rFonts w:ascii="Times New Roman" w:eastAsia="Times New Roman" w:hAnsi="Times New Roman" w:cs="Times New Roman"/>
          <w:sz w:val="24"/>
          <w:szCs w:val="24"/>
        </w:rPr>
        <w:t xml:space="preserve"> with</w:t>
      </w:r>
      <w:r>
        <w:rPr>
          <w:rFonts w:ascii="Times New Roman" w:eastAsia="Times New Roman" w:hAnsi="Times New Roman" w:cs="Times New Roman"/>
          <w:sz w:val="24"/>
          <w:szCs w:val="24"/>
          <w:highlight w:val="yellow"/>
        </w:rPr>
        <w:t xml:space="preserve"> children whose mothers had</w:t>
      </w:r>
      <w:r>
        <w:rPr>
          <w:rFonts w:ascii="Times New Roman" w:eastAsia="Times New Roman" w:hAnsi="Times New Roman" w:cs="Times New Roman"/>
          <w:sz w:val="24"/>
          <w:szCs w:val="24"/>
        </w:rPr>
        <w:t xml:space="preserve"> no education</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Arsenault</w:t>
      </w:r>
      <w:r>
        <w:rPr>
          <w:rFonts w:ascii="Times New Roman" w:eastAsia="Times New Roman" w:hAnsi="Times New Roman" w:cs="Times New Roman"/>
          <w:sz w:val="24"/>
          <w:szCs w:val="24"/>
        </w:rPr>
        <w:t xml:space="preserve"> et al.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2017) </w:t>
      </w:r>
      <w:r>
        <w:rPr>
          <w:rFonts w:ascii="Times New Roman" w:eastAsia="Times New Roman" w:hAnsi="Times New Roman" w:cs="Times New Roman"/>
          <w:sz w:val="24"/>
          <w:szCs w:val="24"/>
          <w:highlight w:val="yellow"/>
        </w:rPr>
        <w:t>also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highlighted</w:t>
      </w:r>
      <w:r>
        <w:rPr>
          <w:rFonts w:ascii="Times New Roman" w:eastAsia="Times New Roman" w:hAnsi="Times New Roman" w:cs="Times New Roman"/>
          <w:sz w:val="24"/>
          <w:szCs w:val="24"/>
        </w:rPr>
        <w:t xml:space="preserve"> maternal education, </w:t>
      </w:r>
      <w:r>
        <w:rPr>
          <w:rFonts w:ascii="Times New Roman" w:eastAsia="Times New Roman" w:hAnsi="Times New Roman" w:cs="Times New Roman"/>
          <w:sz w:val="24"/>
          <w:szCs w:val="24"/>
          <w:highlight w:val="yellow"/>
        </w:rPr>
        <w:t>antenatal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care use</w:t>
      </w:r>
      <w:r>
        <w:rPr>
          <w:rFonts w:ascii="Times New Roman" w:eastAsia="Times New Roman" w:hAnsi="Times New Roman" w:cs="Times New Roman"/>
          <w:sz w:val="24"/>
          <w:szCs w:val="24"/>
        </w:rPr>
        <w:t>, hospital</w:t>
      </w:r>
      <w:r>
        <w:rPr>
          <w:rFonts w:ascii="Times New Roman" w:eastAsia="Times New Roman" w:hAnsi="Times New Roman" w:cs="Times New Roman"/>
          <w:sz w:val="24"/>
          <w:szCs w:val="24"/>
          <w:highlight w:val="yellow"/>
        </w:rPr>
        <w:t xml:space="preserve"> or </w:t>
      </w:r>
      <w:r>
        <w:rPr>
          <w:rFonts w:ascii="Times New Roman" w:eastAsia="Times New Roman" w:hAnsi="Times New Roman" w:cs="Times New Roman"/>
          <w:sz w:val="24"/>
          <w:szCs w:val="24"/>
        </w:rPr>
        <w:t>clinic delivery</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skilled birth attendance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highlight w:val="yellow"/>
        </w:rPr>
        <w:t>higher</w:t>
      </w:r>
      <w:r>
        <w:rPr>
          <w:rFonts w:ascii="Times New Roman" w:eastAsia="Times New Roman" w:hAnsi="Times New Roman" w:cs="Times New Roman"/>
          <w:sz w:val="24"/>
          <w:szCs w:val="24"/>
        </w:rPr>
        <w:t xml:space="preserve"> socioeconomic status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Larson</w:t>
      </w:r>
      <w:r>
        <w:rPr>
          <w:rFonts w:ascii="Times New Roman" w:eastAsia="Times New Roman" w:hAnsi="Times New Roman" w:cs="Times New Roman"/>
          <w:sz w:val="24"/>
          <w:szCs w:val="24"/>
        </w:rPr>
        <w:t xml:space="preserve"> et al. </w:t>
      </w:r>
      <w:r>
        <w:rPr>
          <w:rFonts w:ascii="Times New Roman" w:eastAsia="Times New Roman" w:hAnsi="Times New Roman" w:cs="Times New Roman"/>
          <w:sz w:val="24"/>
          <w:szCs w:val="24"/>
          <w:highlight w:val="yellow"/>
        </w:rPr>
        <w:t>(2018</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emphasised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parental</w:t>
      </w:r>
      <w:r>
        <w:rPr>
          <w:rFonts w:ascii="Times New Roman" w:eastAsia="Times New Roman" w:hAnsi="Times New Roman" w:cs="Times New Roman"/>
          <w:sz w:val="24"/>
          <w:szCs w:val="24"/>
        </w:rPr>
        <w:t xml:space="preserve"> trust in </w:t>
      </w:r>
      <w:r>
        <w:rPr>
          <w:rFonts w:ascii="Times New Roman" w:eastAsia="Times New Roman" w:hAnsi="Times New Roman" w:cs="Times New Roman"/>
          <w:sz w:val="24"/>
          <w:szCs w:val="24"/>
          <w:highlight w:val="yellow"/>
        </w:rPr>
        <w:t>vaccines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health services, </w:t>
      </w:r>
      <w:r>
        <w:rPr>
          <w:rFonts w:ascii="Times New Roman" w:eastAsia="Times New Roman" w:hAnsi="Times New Roman" w:cs="Times New Roman"/>
          <w:sz w:val="24"/>
          <w:szCs w:val="24"/>
          <w:highlight w:val="yellow"/>
        </w:rPr>
        <w:t xml:space="preserve">access to </w:t>
      </w:r>
      <w:r>
        <w:rPr>
          <w:rFonts w:ascii="Times New Roman" w:eastAsia="Times New Roman" w:hAnsi="Times New Roman" w:cs="Times New Roman"/>
          <w:sz w:val="24"/>
          <w:szCs w:val="24"/>
        </w:rPr>
        <w:t>vaccine</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information</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knowledge </w:t>
      </w:r>
      <w:r>
        <w:rPr>
          <w:rFonts w:ascii="Times New Roman" w:eastAsia="Times New Roman" w:hAnsi="Times New Roman" w:cs="Times New Roman"/>
          <w:sz w:val="24"/>
          <w:szCs w:val="24"/>
          <w:highlight w:val="yellow"/>
        </w:rPr>
        <w:t>of</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vaccination</w:t>
      </w:r>
      <w:r>
        <w:rPr>
          <w:rFonts w:ascii="Times New Roman" w:eastAsia="Times New Roman" w:hAnsi="Times New Roman" w:cs="Times New Roman"/>
          <w:sz w:val="24"/>
          <w:szCs w:val="24"/>
        </w:rPr>
        <w:t xml:space="preserve"> schedules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while also identifying</w:t>
      </w:r>
      <w:r>
        <w:rPr>
          <w:rFonts w:ascii="Times New Roman" w:eastAsia="Times New Roman" w:hAnsi="Times New Roman" w:cs="Times New Roman"/>
          <w:sz w:val="24"/>
          <w:szCs w:val="24"/>
        </w:rPr>
        <w:t xml:space="preserve"> hesitancy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mistrust </w:t>
      </w:r>
      <w:r>
        <w:rPr>
          <w:rFonts w:ascii="Times New Roman" w:eastAsia="Times New Roman" w:hAnsi="Times New Roman" w:cs="Times New Roman"/>
          <w:sz w:val="24"/>
          <w:szCs w:val="24"/>
          <w:highlight w:val="yellow"/>
        </w:rPr>
        <w:t>as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important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barriers.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Finally,</w:t>
      </w:r>
      <w:r>
        <w:rPr>
          <w:rFonts w:ascii="Times New Roman" w:eastAsia="Times New Roman" w:hAnsi="Times New Roman" w:cs="Times New Roman"/>
          <w:sz w:val="24"/>
          <w:szCs w:val="24"/>
        </w:rPr>
        <w:t xml:space="preserve"> a review of 49 </w:t>
      </w:r>
      <w:r>
        <w:rPr>
          <w:rFonts w:ascii="Times New Roman" w:eastAsia="Times New Roman" w:hAnsi="Times New Roman" w:cs="Times New Roman"/>
          <w:sz w:val="24"/>
          <w:szCs w:val="24"/>
          <w:highlight w:val="yellow"/>
        </w:rPr>
        <w:t>studies</w:t>
      </w:r>
      <w:r>
        <w:rPr>
          <w:rFonts w:ascii="Times New Roman" w:eastAsia="Times New Roman" w:hAnsi="Times New Roman" w:cs="Times New Roman"/>
          <w:sz w:val="24"/>
          <w:szCs w:val="24"/>
        </w:rPr>
        <w:t xml:space="preserve"> in LMICs</w:t>
      </w:r>
      <w:r>
        <w:rPr>
          <w:rFonts w:ascii="Times New Roman" w:eastAsia="Times New Roman" w:hAnsi="Times New Roman" w:cs="Times New Roman"/>
          <w:sz w:val="24"/>
          <w:szCs w:val="24"/>
          <w:highlight w:val="yellow"/>
        </w:rPr>
        <w:t xml:space="preserve"> found that</w:t>
      </w:r>
      <w:r>
        <w:rPr>
          <w:rFonts w:ascii="Times New Roman" w:eastAsia="Times New Roman" w:hAnsi="Times New Roman" w:cs="Times New Roman"/>
          <w:sz w:val="24"/>
          <w:szCs w:val="24"/>
        </w:rPr>
        <w:t xml:space="preserve"> household wealth, maternal education, maternal age, </w:t>
      </w:r>
      <w:r>
        <w:rPr>
          <w:rFonts w:ascii="Times New Roman" w:eastAsia="Times New Roman" w:hAnsi="Times New Roman" w:cs="Times New Roman"/>
          <w:sz w:val="24"/>
          <w:szCs w:val="24"/>
          <w:highlight w:val="yellow"/>
        </w:rPr>
        <w:t>religion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ethnicity,</w:t>
      </w:r>
      <w:r>
        <w:rPr>
          <w:rFonts w:ascii="Times New Roman" w:eastAsia="Times New Roman" w:hAnsi="Times New Roman" w:cs="Times New Roman"/>
          <w:sz w:val="24"/>
          <w:szCs w:val="24"/>
        </w:rPr>
        <w:t xml:space="preserve"> birth order</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urban residence, </w:t>
      </w:r>
      <w:r>
        <w:rPr>
          <w:rFonts w:ascii="Times New Roman" w:eastAsia="Times New Roman" w:hAnsi="Times New Roman" w:cs="Times New Roman"/>
          <w:sz w:val="24"/>
          <w:szCs w:val="24"/>
          <w:highlight w:val="yellow"/>
        </w:rPr>
        <w:t>antenatal</w:t>
      </w:r>
      <w:r>
        <w:rPr>
          <w:rFonts w:ascii="Times New Roman" w:eastAsia="Times New Roman" w:hAnsi="Times New Roman" w:cs="Times New Roman"/>
          <w:sz w:val="24"/>
          <w:szCs w:val="24"/>
        </w:rPr>
        <w:t xml:space="preserve"> care</w:t>
      </w:r>
      <w:r>
        <w:rPr>
          <w:rFonts w:ascii="Times New Roman" w:eastAsia="Times New Roman" w:hAnsi="Times New Roman" w:cs="Times New Roman"/>
          <w:sz w:val="24"/>
          <w:szCs w:val="24"/>
          <w:highlight w:val="yellow"/>
        </w:rPr>
        <w:t xml:space="preserve"> use</w:t>
      </w:r>
      <w:r>
        <w:rPr>
          <w:rFonts w:ascii="Times New Roman" w:eastAsia="Times New Roman" w:hAnsi="Times New Roman" w:cs="Times New Roman"/>
          <w:sz w:val="24"/>
          <w:szCs w:val="24"/>
        </w:rPr>
        <w:t xml:space="preserve">, and facility delivery </w:t>
      </w:r>
      <w:r>
        <w:rPr>
          <w:rFonts w:ascii="Times New Roman" w:eastAsia="Times New Roman" w:hAnsi="Times New Roman" w:cs="Times New Roman"/>
          <w:sz w:val="24"/>
          <w:szCs w:val="24"/>
          <w:highlight w:val="yellow"/>
        </w:rPr>
        <w:t>were</w:t>
      </w:r>
      <w:r>
        <w:rPr>
          <w:rFonts w:ascii="Times New Roman" w:eastAsia="Times New Roman" w:hAnsi="Times New Roman" w:cs="Times New Roman"/>
          <w:sz w:val="24"/>
          <w:szCs w:val="24"/>
        </w:rPr>
        <w:t xml:space="preserve"> significant determinants of </w:t>
      </w:r>
      <w:r>
        <w:rPr>
          <w:rFonts w:ascii="Times New Roman" w:eastAsia="Times New Roman" w:hAnsi="Times New Roman" w:cs="Times New Roman"/>
          <w:sz w:val="24"/>
          <w:szCs w:val="24"/>
          <w:highlight w:val="yellow"/>
        </w:rPr>
        <w:lastRenderedPageBreak/>
        <w:t>childhood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coverage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confirming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importance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of</w:t>
      </w:r>
      <w:r>
        <w:rPr>
          <w:rFonts w:ascii="Times New Roman" w:eastAsia="Times New Roman" w:hAnsi="Times New Roman" w:cs="Times New Roman"/>
          <w:sz w:val="24"/>
          <w:szCs w:val="24"/>
        </w:rPr>
        <w:t xml:space="preserve"> reducing </w:t>
      </w:r>
      <w:r>
        <w:rPr>
          <w:rFonts w:ascii="Times New Roman" w:eastAsia="Times New Roman" w:hAnsi="Times New Roman" w:cs="Times New Roman"/>
          <w:sz w:val="24"/>
          <w:szCs w:val="24"/>
          <w:highlight w:val="yellow"/>
        </w:rPr>
        <w:t>household-level</w:t>
      </w:r>
      <w:r>
        <w:rPr>
          <w:rFonts w:ascii="Times New Roman" w:eastAsia="Times New Roman" w:hAnsi="Times New Roman" w:cs="Times New Roman"/>
          <w:sz w:val="24"/>
          <w:szCs w:val="24"/>
        </w:rPr>
        <w:t xml:space="preserve"> inequalities </w:t>
      </w: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these maternal factors to </w:t>
      </w:r>
      <w:r>
        <w:rPr>
          <w:rFonts w:ascii="Times New Roman" w:eastAsia="Times New Roman" w:hAnsi="Times New Roman" w:cs="Times New Roman"/>
          <w:sz w:val="24"/>
          <w:szCs w:val="24"/>
          <w:highlight w:val="yellow"/>
        </w:rPr>
        <w:t>improve</w:t>
      </w:r>
      <w:r>
        <w:rPr>
          <w:rFonts w:ascii="Times New Roman" w:eastAsia="Times New Roman" w:hAnsi="Times New Roman" w:cs="Times New Roman"/>
          <w:sz w:val="24"/>
          <w:szCs w:val="24"/>
        </w:rPr>
        <w:t xml:space="preserve"> coverage (Williams et al., 2024).</w:t>
      </w:r>
    </w:p>
    <w:p w14:paraId="314FAD41" w14:textId="77777777" w:rsidR="00D37A2F" w:rsidRDefault="00D37A2F" w:rsidP="00D37A2F">
      <w:pPr>
        <w:pStyle w:val="NormalWeb"/>
        <w:jc w:val="both"/>
      </w:pPr>
    </w:p>
    <w:p w14:paraId="58B665F6" w14:textId="77777777" w:rsidR="00D37A2F" w:rsidRDefault="00D37A2F" w:rsidP="00D37A2F"/>
    <w:p w14:paraId="687275EA" w14:textId="77777777" w:rsidR="00D37A2F" w:rsidRPr="004404E7" w:rsidRDefault="00D37A2F" w:rsidP="00D37A2F">
      <w:pPr>
        <w:pStyle w:val="ListParagraph"/>
        <w:numPr>
          <w:ilvl w:val="0"/>
          <w:numId w:val="1"/>
        </w:numPr>
        <w:jc w:val="both"/>
        <w:rPr>
          <w:rFonts w:ascii="Times New Roman" w:hAnsi="Times New Roman" w:cs="Times New Roman"/>
          <w:sz w:val="24"/>
          <w:szCs w:val="24"/>
        </w:rPr>
      </w:pPr>
      <w:r w:rsidRPr="00615D6C">
        <w:rPr>
          <w:rFonts w:ascii="Times New Roman" w:hAnsi="Times New Roman" w:cs="Times New Roman"/>
          <w:sz w:val="24"/>
          <w:szCs w:val="24"/>
        </w:rPr>
        <w:t>Methodology</w:t>
      </w:r>
    </w:p>
    <w:p w14:paraId="0A229343" w14:textId="77777777" w:rsidR="00D37A2F" w:rsidRDefault="00D37A2F" w:rsidP="00D37A2F">
      <w:pPr>
        <w:pStyle w:val="NormalWeb"/>
        <w:jc w:val="both"/>
      </w:pPr>
      <w:r>
        <w:t>Empirical analyses for this study were conducted using data from the Nigeria Demographic and Health Survey (</w:t>
      </w:r>
      <w:r>
        <w:rPr>
          <w:highlight w:val="yellow"/>
        </w:rPr>
        <w:t>2023–24</w:t>
      </w:r>
      <w:r>
        <w:t xml:space="preserve"> NDHS; Federal Ministry of Health and Social Welfare of Nigeria [FMoHSW], National Population Commission [NPC], &amp; ICF, 2024). </w:t>
      </w:r>
      <w:r>
        <w:rPr>
          <w:highlight w:val="yellow"/>
        </w:rPr>
        <w:t>Because</w:t>
      </w:r>
      <w:r>
        <w:t xml:space="preserve"> the dependent variable, childhood </w:t>
      </w:r>
      <w:r>
        <w:rPr>
          <w:highlight w:val="yellow"/>
        </w:rPr>
        <w:t>immunisation</w:t>
      </w:r>
      <w:r>
        <w:t xml:space="preserve"> status, is dichotomous (fully </w:t>
      </w:r>
      <w:r>
        <w:rPr>
          <w:highlight w:val="yellow"/>
        </w:rPr>
        <w:t>immunised</w:t>
      </w:r>
      <w:r>
        <w:t xml:space="preserve"> or not fully </w:t>
      </w:r>
      <w:r>
        <w:rPr>
          <w:highlight w:val="yellow"/>
        </w:rPr>
        <w:t>immunised</w:t>
      </w:r>
      <w:r>
        <w:t xml:space="preserve">), a survey-adjusted binary logistic regression model </w:t>
      </w:r>
      <w:r>
        <w:rPr>
          <w:highlight w:val="yellow"/>
        </w:rPr>
        <w:t>was</w:t>
      </w:r>
      <w:r>
        <w:t xml:space="preserve"> used to examine the influence of maternal and household characteristics on </w:t>
      </w:r>
      <w:r>
        <w:rPr>
          <w:highlight w:val="yellow"/>
        </w:rPr>
        <w:t>children's</w:t>
      </w:r>
      <w:r>
        <w:t xml:space="preserve"> </w:t>
      </w:r>
      <w:r>
        <w:rPr>
          <w:highlight w:val="yellow"/>
        </w:rPr>
        <w:t>complete</w:t>
      </w:r>
      <w:r>
        <w:t xml:space="preserve"> </w:t>
      </w:r>
      <w:r>
        <w:rPr>
          <w:highlight w:val="yellow"/>
        </w:rPr>
        <w:t>immunisation</w:t>
      </w:r>
      <w:r>
        <w:t xml:space="preserve"> status. </w:t>
      </w:r>
      <w:r>
        <w:rPr>
          <w:highlight w:val="yellow"/>
        </w:rPr>
        <w:t>The</w:t>
      </w:r>
      <w:r>
        <w:t xml:space="preserve"> NDHS survey design </w:t>
      </w:r>
      <w:r>
        <w:rPr>
          <w:highlight w:val="yellow"/>
        </w:rPr>
        <w:t>was</w:t>
      </w:r>
      <w:r>
        <w:t xml:space="preserve"> appropriately adjusted for clustering, stratification</w:t>
      </w:r>
      <w:r>
        <w:rPr>
          <w:highlight w:val="yellow"/>
        </w:rPr>
        <w:t>,</w:t>
      </w:r>
      <w:r>
        <w:t xml:space="preserve"> and sampling weights to obtain unbiased parameter estimates and nationally representative </w:t>
      </w:r>
      <w:r>
        <w:rPr>
          <w:highlight w:val="yellow"/>
        </w:rPr>
        <w:t>results for</w:t>
      </w:r>
      <w:r>
        <w:t xml:space="preserve"> the Nigerian population.</w:t>
      </w:r>
    </w:p>
    <w:p w14:paraId="6B78317A" w14:textId="77777777" w:rsidR="00D37A2F" w:rsidRPr="004404E7" w:rsidRDefault="00D37A2F" w:rsidP="00D37A2F">
      <w:pPr>
        <w:pStyle w:val="Heading3"/>
        <w:rPr>
          <w:b w:val="0"/>
          <w:sz w:val="24"/>
          <w:szCs w:val="24"/>
        </w:rPr>
      </w:pPr>
      <w:r>
        <w:rPr>
          <w:b w:val="0"/>
          <w:sz w:val="24"/>
          <w:szCs w:val="24"/>
        </w:rPr>
        <w:t xml:space="preserve">3.1 Mathematical Formulation of the </w:t>
      </w:r>
      <w:r>
        <w:rPr>
          <w:b w:val="0"/>
          <w:sz w:val="24"/>
          <w:szCs w:val="24"/>
          <w:highlight w:val="yellow"/>
        </w:rPr>
        <w:t>Rao–Scott-Adjusted</w:t>
      </w:r>
      <w:r>
        <w:rPr>
          <w:b w:val="0"/>
          <w:sz w:val="24"/>
          <w:szCs w:val="24"/>
        </w:rPr>
        <w:t xml:space="preserve"> </w:t>
      </w:r>
      <w:r>
        <w:rPr>
          <w:b w:val="0"/>
          <w:sz w:val="24"/>
          <w:szCs w:val="24"/>
          <w:highlight w:val="yellow"/>
        </w:rPr>
        <w:t>Chi-Square</w:t>
      </w:r>
      <w:r>
        <w:rPr>
          <w:b w:val="0"/>
          <w:sz w:val="24"/>
          <w:szCs w:val="24"/>
        </w:rPr>
        <w:t xml:space="preserve"> Test</w:t>
      </w:r>
    </w:p>
    <w:p w14:paraId="7D0F01BD" w14:textId="77777777" w:rsidR="00D37A2F" w:rsidRDefault="00D37A2F" w:rsidP="00D37A2F">
      <w:pPr>
        <w:pStyle w:val="NormalWeb"/>
      </w:pPr>
      <w:r>
        <w:t xml:space="preserve">The ordinary Pearson </w:t>
      </w:r>
      <w:r>
        <w:rPr>
          <w:highlight w:val="yellow"/>
        </w:rPr>
        <w:t>chi-square</w:t>
      </w:r>
      <w:r>
        <w:t xml:space="preserve"> statistic is computed as</w:t>
      </w:r>
      <w:r>
        <w:rPr>
          <w:highlight w:val="yellow"/>
        </w:rPr>
        <w:t xml:space="preserve"> follows:</w:t>
      </w:r>
    </w:p>
    <w:p w14:paraId="43C2A992" w14:textId="77777777" w:rsidR="00D37A2F" w:rsidRDefault="00D37A2F" w:rsidP="00D37A2F">
      <w:pPr>
        <w:pStyle w:val="pdq2pgselectionanchorcontainer"/>
      </w:pPr>
      <w:r>
        <w:tab/>
      </w:r>
      <w:r>
        <w:tab/>
      </w:r>
      <w:r w:rsidRPr="008B2171">
        <w:rPr>
          <w:position w:val="-32"/>
        </w:rPr>
        <w:object w:dxaOrig="2220" w:dyaOrig="840" w14:anchorId="35B941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25pt;height:41.75pt" o:ole="">
            <v:imagedata r:id="rId7" o:title=""/>
          </v:shape>
          <o:OLEObject Type="Embed" ProgID="Equation.DSMT4" ShapeID="_x0000_i1025" DrawAspect="Content" ObjectID="_1849092457" r:id="rId8"/>
        </w:object>
      </w:r>
    </w:p>
    <w:p w14:paraId="1DF00DE6" w14:textId="77777777" w:rsidR="00D37A2F" w:rsidRPr="004404E7" w:rsidRDefault="00D37A2F" w:rsidP="00D37A2F">
      <w:pPr>
        <w:pStyle w:val="Heading3"/>
        <w:rPr>
          <w:b w:val="0"/>
          <w:sz w:val="24"/>
          <w:szCs w:val="24"/>
        </w:rPr>
      </w:pPr>
      <w:r>
        <w:rPr>
          <w:b w:val="0"/>
          <w:sz w:val="24"/>
          <w:szCs w:val="24"/>
        </w:rPr>
        <w:t>3.1.1</w:t>
      </w:r>
      <w:r>
        <w:rPr>
          <w:b w:val="0"/>
          <w:sz w:val="24"/>
          <w:szCs w:val="24"/>
          <w:highlight w:val="yellow"/>
        </w:rPr>
        <w:t xml:space="preserve"> Rao–Scott</w:t>
      </w:r>
      <w:r>
        <w:rPr>
          <w:b w:val="0"/>
          <w:sz w:val="24"/>
          <w:szCs w:val="24"/>
        </w:rPr>
        <w:t xml:space="preserve"> First-Order Adjustment</w:t>
      </w:r>
    </w:p>
    <w:p w14:paraId="1D51EB73" w14:textId="77777777" w:rsidR="00D37A2F" w:rsidRDefault="00D37A2F" w:rsidP="00D37A2F">
      <w:pPr>
        <w:pStyle w:val="NormalWeb"/>
      </w:pPr>
      <w:r>
        <w:t xml:space="preserve">The </w:t>
      </w:r>
      <w:r>
        <w:rPr>
          <w:highlight w:val="yellow"/>
        </w:rPr>
        <w:t>Rao–Scott</w:t>
      </w:r>
      <w:r>
        <w:t xml:space="preserve"> first-order adjusted </w:t>
      </w:r>
      <w:r>
        <w:rPr>
          <w:highlight w:val="yellow"/>
        </w:rPr>
        <w:t>chi-square</w:t>
      </w:r>
      <w:r>
        <w:t xml:space="preserve"> statistic is given </w:t>
      </w:r>
      <w:r>
        <w:rPr>
          <w:highlight w:val="yellow"/>
        </w:rPr>
        <w:t>by:</w:t>
      </w:r>
    </w:p>
    <w:p w14:paraId="6AC26BC6" w14:textId="77777777" w:rsidR="00D37A2F" w:rsidRDefault="00D37A2F" w:rsidP="00D37A2F">
      <w:pPr>
        <w:pStyle w:val="NormalWeb"/>
      </w:pPr>
      <w:r>
        <w:tab/>
      </w:r>
      <w:r>
        <w:tab/>
      </w:r>
      <w:r w:rsidRPr="008B2171">
        <w:rPr>
          <w:position w:val="-24"/>
        </w:rPr>
        <w:object w:dxaOrig="980" w:dyaOrig="680" w14:anchorId="1F258CBC">
          <v:shape id="_x0000_i1026" type="#_x0000_t75" style="width:49.1pt;height:33.55pt" o:ole="">
            <v:imagedata r:id="rId9" o:title=""/>
          </v:shape>
          <o:OLEObject Type="Embed" ProgID="Equation.DSMT4" ShapeID="_x0000_i1026" DrawAspect="Content" ObjectID="_1849092458" r:id="rId10"/>
        </w:object>
      </w:r>
    </w:p>
    <w:p w14:paraId="3FAD7255" w14:textId="77777777" w:rsidR="00D37A2F" w:rsidRDefault="00D37A2F" w:rsidP="00D37A2F">
      <w:pPr>
        <w:pStyle w:val="NormalWeb"/>
      </w:pPr>
      <w:r>
        <w:tab/>
      </w:r>
      <w:r w:rsidRPr="008B2171">
        <w:rPr>
          <w:position w:val="-28"/>
        </w:rPr>
        <w:object w:dxaOrig="4320" w:dyaOrig="660" w14:anchorId="7E94CB81">
          <v:shape id="_x0000_i1027" type="#_x0000_t75" style="width:216.8pt;height:32.75pt" o:ole="">
            <v:imagedata r:id="rId11" o:title=""/>
          </v:shape>
          <o:OLEObject Type="Embed" ProgID="Equation.DSMT4" ShapeID="_x0000_i1027" DrawAspect="Content" ObjectID="_1849092459" r:id="rId12"/>
        </w:object>
      </w:r>
    </w:p>
    <w:p w14:paraId="7C07F3D4" w14:textId="77777777" w:rsidR="00D37A2F" w:rsidRPr="004404E7" w:rsidRDefault="00D37A2F" w:rsidP="00D37A2F">
      <w:pPr>
        <w:pStyle w:val="Heading3"/>
        <w:rPr>
          <w:b w:val="0"/>
          <w:sz w:val="24"/>
          <w:szCs w:val="24"/>
        </w:rPr>
      </w:pPr>
      <w:r>
        <w:rPr>
          <w:b w:val="0"/>
          <w:sz w:val="24"/>
          <w:szCs w:val="24"/>
        </w:rPr>
        <w:t xml:space="preserve">3.1.2 </w:t>
      </w:r>
      <w:r>
        <w:rPr>
          <w:b w:val="0"/>
          <w:sz w:val="24"/>
          <w:szCs w:val="24"/>
          <w:highlight w:val="yellow"/>
        </w:rPr>
        <w:t>Rao–Scott</w:t>
      </w:r>
      <w:r>
        <w:rPr>
          <w:b w:val="0"/>
          <w:sz w:val="24"/>
          <w:szCs w:val="24"/>
        </w:rPr>
        <w:t xml:space="preserve"> Second-Order Adjustment</w:t>
      </w:r>
    </w:p>
    <w:p w14:paraId="5821FAC2" w14:textId="77777777" w:rsidR="00D37A2F" w:rsidRDefault="00D37A2F" w:rsidP="00D37A2F">
      <w:pPr>
        <w:pStyle w:val="Heading3"/>
      </w:pPr>
      <w:r>
        <w:tab/>
      </w:r>
      <w:r w:rsidRPr="008B2171">
        <w:rPr>
          <w:position w:val="-24"/>
        </w:rPr>
        <w:object w:dxaOrig="1200" w:dyaOrig="680" w14:anchorId="2D501172">
          <v:shape id="_x0000_i1028" type="#_x0000_t75" style="width:59.75pt;height:33.55pt" o:ole="">
            <v:imagedata r:id="rId13" o:title=""/>
          </v:shape>
          <o:OLEObject Type="Embed" ProgID="Equation.DSMT4" ShapeID="_x0000_i1028" DrawAspect="Content" ObjectID="_1849092460" r:id="rId14"/>
        </w:object>
      </w:r>
    </w:p>
    <w:p w14:paraId="2A9DD04D" w14:textId="77777777" w:rsidR="00D37A2F" w:rsidRDefault="00D37A2F" w:rsidP="00D37A2F">
      <w:pPr>
        <w:pStyle w:val="Heading3"/>
        <w:rPr>
          <w:b w:val="0"/>
          <w:sz w:val="24"/>
          <w:szCs w:val="24"/>
        </w:rPr>
      </w:pPr>
      <w:r>
        <w:rPr>
          <w:b w:val="0"/>
          <w:sz w:val="24"/>
          <w:szCs w:val="24"/>
        </w:rPr>
        <w:t>Mathematical Formulation of Survey-Weighted Binary Logistic Regression</w:t>
      </w:r>
    </w:p>
    <w:p w14:paraId="034CDC10" w14:textId="77777777" w:rsidR="00D37A2F" w:rsidRDefault="00D37A2F" w:rsidP="00D37A2F">
      <w:pPr>
        <w:pStyle w:val="Heading3"/>
      </w:pPr>
      <w:r>
        <w:rPr>
          <w:b w:val="0"/>
          <w:sz w:val="24"/>
          <w:szCs w:val="24"/>
        </w:rPr>
        <w:lastRenderedPageBreak/>
        <w:tab/>
      </w:r>
      <w:r w:rsidRPr="004218BB">
        <w:rPr>
          <w:position w:val="-32"/>
        </w:rPr>
        <w:object w:dxaOrig="3519" w:dyaOrig="760" w14:anchorId="73BA065F">
          <v:shape id="_x0000_i1029" type="#_x0000_t75" style="width:175.1pt;height:37.65pt" o:ole="">
            <v:imagedata r:id="rId15" o:title=""/>
          </v:shape>
          <o:OLEObject Type="Embed" ProgID="Equation.DSMT4" ShapeID="_x0000_i1029" DrawAspect="Content" ObjectID="_1849092461" r:id="rId16"/>
        </w:object>
      </w:r>
    </w:p>
    <w:p w14:paraId="36A30D3B" w14:textId="77777777" w:rsidR="00D37A2F" w:rsidRPr="00CE5CEC" w:rsidRDefault="00D37A2F" w:rsidP="00D37A2F">
      <w:pPr>
        <w:pStyle w:val="Heading3"/>
        <w:rPr>
          <w:b w:val="0"/>
          <w:sz w:val="24"/>
          <w:szCs w:val="24"/>
        </w:rPr>
      </w:pPr>
      <w:r>
        <w:rPr>
          <w:b w:val="0"/>
          <w:sz w:val="24"/>
          <w:szCs w:val="24"/>
        </w:rPr>
        <w:t xml:space="preserve">This is estimated using </w:t>
      </w:r>
      <w:r>
        <w:rPr>
          <w:b w:val="0"/>
          <w:sz w:val="24"/>
          <w:szCs w:val="24"/>
          <w:highlight w:val="yellow"/>
        </w:rPr>
        <w:t>maximum</w:t>
      </w:r>
      <w:r>
        <w:rPr>
          <w:b w:val="0"/>
          <w:sz w:val="24"/>
          <w:szCs w:val="24"/>
        </w:rPr>
        <w:t xml:space="preserve"> likelihood </w:t>
      </w:r>
      <w:r>
        <w:rPr>
          <w:b w:val="0"/>
          <w:sz w:val="24"/>
          <w:szCs w:val="24"/>
          <w:highlight w:val="yellow"/>
        </w:rPr>
        <w:t>estimation</w:t>
      </w:r>
      <w:r>
        <w:rPr>
          <w:b w:val="0"/>
          <w:sz w:val="24"/>
          <w:szCs w:val="24"/>
        </w:rPr>
        <w:t xml:space="preserve"> (MLE)</w:t>
      </w:r>
      <w:r>
        <w:rPr>
          <w:b w:val="0"/>
          <w:sz w:val="24"/>
          <w:szCs w:val="24"/>
          <w:highlight w:val="yellow"/>
        </w:rPr>
        <w:t>.</w:t>
      </w:r>
    </w:p>
    <w:p w14:paraId="283F6BDA" w14:textId="77777777" w:rsidR="00D37A2F" w:rsidRPr="00CE5CEC" w:rsidRDefault="00D37A2F" w:rsidP="00D37A2F">
      <w:pPr>
        <w:pStyle w:val="Heading3"/>
        <w:rPr>
          <w:b w:val="0"/>
          <w:sz w:val="24"/>
          <w:szCs w:val="24"/>
        </w:rPr>
      </w:pPr>
      <w:r w:rsidRPr="00CE5CEC">
        <w:rPr>
          <w:b w:val="0"/>
          <w:sz w:val="24"/>
          <w:szCs w:val="24"/>
        </w:rPr>
        <w:t>Likelihood Function</w:t>
      </w:r>
    </w:p>
    <w:p w14:paraId="24194564" w14:textId="77777777" w:rsidR="00D37A2F" w:rsidRDefault="00D37A2F" w:rsidP="00D37A2F">
      <w:pPr>
        <w:pStyle w:val="Heading3"/>
      </w:pPr>
      <w:r>
        <w:tab/>
      </w:r>
      <w:r w:rsidRPr="00997EEA">
        <w:rPr>
          <w:position w:val="-20"/>
        </w:rPr>
        <w:object w:dxaOrig="2460" w:dyaOrig="580" w14:anchorId="4293610C">
          <v:shape id="_x0000_i1030" type="#_x0000_t75" style="width:122.75pt;height:28.65pt" o:ole="">
            <v:imagedata r:id="rId17" o:title=""/>
          </v:shape>
          <o:OLEObject Type="Embed" ProgID="Equation.DSMT4" ShapeID="_x0000_i1030" DrawAspect="Content" ObjectID="_1849092462" r:id="rId18"/>
        </w:object>
      </w:r>
    </w:p>
    <w:p w14:paraId="7887D3D5" w14:textId="77777777" w:rsidR="00D37A2F" w:rsidRPr="00CE5CEC" w:rsidRDefault="00D37A2F" w:rsidP="00D37A2F">
      <w:pPr>
        <w:pStyle w:val="Heading3"/>
        <w:rPr>
          <w:b w:val="0"/>
          <w:sz w:val="24"/>
          <w:szCs w:val="24"/>
        </w:rPr>
      </w:pPr>
      <w:r w:rsidRPr="00CE5CEC">
        <w:rPr>
          <w:b w:val="0"/>
          <w:sz w:val="24"/>
          <w:szCs w:val="24"/>
        </w:rPr>
        <w:t>Log-Likelihood Function</w:t>
      </w:r>
    </w:p>
    <w:p w14:paraId="0DD68FAA" w14:textId="77777777" w:rsidR="00D37A2F" w:rsidRPr="00130A74" w:rsidRDefault="00D37A2F" w:rsidP="00D37A2F">
      <w:pPr>
        <w:pStyle w:val="Heading3"/>
      </w:pPr>
      <w:r>
        <w:tab/>
      </w:r>
      <w:r w:rsidRPr="0051203C">
        <w:rPr>
          <w:position w:val="-14"/>
        </w:rPr>
        <w:object w:dxaOrig="3739" w:dyaOrig="400" w14:anchorId="2AFEF0FD">
          <v:shape id="_x0000_i1031" type="#_x0000_t75" style="width:187.35pt;height:20.45pt" o:ole="">
            <v:imagedata r:id="rId19" o:title=""/>
          </v:shape>
          <o:OLEObject Type="Embed" ProgID="Equation.DSMT4" ShapeID="_x0000_i1031" DrawAspect="Content" ObjectID="_1849092463" r:id="rId20"/>
        </w:object>
      </w:r>
    </w:p>
    <w:p w14:paraId="7B5214D7" w14:textId="77777777" w:rsidR="00D37A2F" w:rsidRDefault="00D37A2F" w:rsidP="00D37A2F">
      <w:pPr>
        <w:pStyle w:val="Heading3"/>
        <w:rPr>
          <w:b w:val="0"/>
          <w:sz w:val="24"/>
          <w:szCs w:val="24"/>
        </w:rPr>
      </w:pPr>
      <w:r>
        <w:rPr>
          <w:b w:val="0"/>
          <w:sz w:val="24"/>
          <w:szCs w:val="24"/>
        </w:rPr>
        <w:tab/>
      </w:r>
      <w:r w:rsidRPr="00F771CC">
        <w:rPr>
          <w:position w:val="-30"/>
        </w:rPr>
        <w:object w:dxaOrig="3900" w:dyaOrig="720" w14:anchorId="116FD568">
          <v:shape id="_x0000_i1032" type="#_x0000_t75" style="width:195.55pt;height:36pt" o:ole="">
            <v:imagedata r:id="rId21" o:title=""/>
          </v:shape>
          <o:OLEObject Type="Embed" ProgID="Equation.DSMT4" ShapeID="_x0000_i1032" DrawAspect="Content" ObjectID="_1849092464" r:id="rId22"/>
        </w:object>
      </w:r>
      <w:r>
        <w:rPr>
          <w:b w:val="0"/>
          <w:sz w:val="24"/>
          <w:szCs w:val="24"/>
        </w:rPr>
        <w:tab/>
      </w:r>
    </w:p>
    <w:p w14:paraId="16F68321" w14:textId="77777777" w:rsidR="00D37A2F" w:rsidRDefault="00D37A2F" w:rsidP="00D37A2F">
      <w:pPr>
        <w:pStyle w:val="Heading3"/>
        <w:rPr>
          <w:b w:val="0"/>
          <w:sz w:val="24"/>
          <w:szCs w:val="24"/>
        </w:rPr>
      </w:pPr>
      <w:r>
        <w:rPr>
          <w:b w:val="0"/>
          <w:sz w:val="24"/>
          <w:szCs w:val="24"/>
        </w:rPr>
        <w:t xml:space="preserve">The probability that the </w:t>
      </w:r>
      <w:r>
        <w:rPr>
          <w:b w:val="0"/>
          <w:sz w:val="24"/>
          <w:szCs w:val="24"/>
          <w:highlight w:val="yellow"/>
        </w:rPr>
        <w:t>ith</w:t>
      </w:r>
      <w:r>
        <w:rPr>
          <w:b w:val="0"/>
          <w:sz w:val="24"/>
          <w:szCs w:val="24"/>
        </w:rPr>
        <w:t xml:space="preserve"> child is fully vaccinated</w:t>
      </w:r>
      <w:r>
        <w:rPr>
          <w:b w:val="0"/>
          <w:sz w:val="24"/>
          <w:szCs w:val="24"/>
          <w:highlight w:val="yellow"/>
        </w:rPr>
        <w:t xml:space="preserve"> is:</w:t>
      </w:r>
    </w:p>
    <w:p w14:paraId="0A1148C2" w14:textId="77777777" w:rsidR="00D37A2F" w:rsidRDefault="00D37A2F" w:rsidP="00D37A2F">
      <w:pPr>
        <w:pStyle w:val="Heading3"/>
      </w:pPr>
      <w:r>
        <w:rPr>
          <w:b w:val="0"/>
          <w:sz w:val="24"/>
          <w:szCs w:val="24"/>
        </w:rPr>
        <w:tab/>
      </w:r>
      <w:r w:rsidRPr="00F771CC">
        <w:rPr>
          <w:position w:val="-14"/>
        </w:rPr>
        <w:object w:dxaOrig="1359" w:dyaOrig="400" w14:anchorId="0A5AB2CD">
          <v:shape id="_x0000_i1033" type="#_x0000_t75" style="width:67.1pt;height:20.45pt" o:ole="">
            <v:imagedata r:id="rId23" o:title=""/>
          </v:shape>
          <o:OLEObject Type="Embed" ProgID="Equation.DSMT4" ShapeID="_x0000_i1033" DrawAspect="Content" ObjectID="_1849092465" r:id="rId24"/>
        </w:object>
      </w:r>
    </w:p>
    <w:p w14:paraId="5420DDB1" w14:textId="77777777" w:rsidR="00D37A2F" w:rsidRDefault="00D37A2F" w:rsidP="00D37A2F">
      <w:pPr>
        <w:pStyle w:val="Heading3"/>
        <w:rPr>
          <w:b w:val="0"/>
        </w:rPr>
      </w:pPr>
      <w:r w:rsidRPr="00F771CC">
        <w:rPr>
          <w:b w:val="0"/>
        </w:rPr>
        <w:t xml:space="preserve">Since </w:t>
      </w:r>
      <w:r w:rsidRPr="00F771CC">
        <w:rPr>
          <w:b w:val="0"/>
          <w:position w:val="-12"/>
        </w:rPr>
        <w:object w:dxaOrig="940" w:dyaOrig="360" w14:anchorId="548A28E8">
          <v:shape id="_x0000_i1034" type="#_x0000_t75" style="width:47.45pt;height:18.8pt" o:ole="">
            <v:imagedata r:id="rId25" o:title=""/>
          </v:shape>
          <o:OLEObject Type="Embed" ProgID="Equation.DSMT4" ShapeID="_x0000_i1034" DrawAspect="Content" ObjectID="_1849092466" r:id="rId26"/>
        </w:object>
      </w:r>
    </w:p>
    <w:p w14:paraId="0BE5B761" w14:textId="77777777" w:rsidR="00D37A2F" w:rsidRDefault="00D37A2F" w:rsidP="00D37A2F">
      <w:pPr>
        <w:pStyle w:val="pdq2pgselectionanchorcontainer"/>
      </w:pPr>
      <w:r>
        <w:t xml:space="preserve">The logistic regression model transforms this probability using the </w:t>
      </w:r>
      <w:r w:rsidRPr="005722DF">
        <w:rPr>
          <w:rStyle w:val="Strong"/>
          <w:b w:val="0"/>
        </w:rPr>
        <w:t>logit link function</w:t>
      </w:r>
      <w:r w:rsidRPr="005722DF">
        <w:rPr>
          <w:b/>
        </w:rPr>
        <w:t>.</w:t>
      </w:r>
    </w:p>
    <w:p w14:paraId="06B8C32F" w14:textId="77777777" w:rsidR="00D37A2F" w:rsidRDefault="00D37A2F" w:rsidP="00D37A2F">
      <w:pPr>
        <w:pStyle w:val="Heading3"/>
        <w:rPr>
          <w:b w:val="0"/>
          <w:sz w:val="24"/>
          <w:szCs w:val="24"/>
        </w:rPr>
      </w:pPr>
      <w:r>
        <w:rPr>
          <w:b w:val="0"/>
          <w:sz w:val="24"/>
          <w:szCs w:val="24"/>
        </w:rPr>
        <w:t>3.2</w:t>
      </w:r>
      <w:r>
        <w:rPr>
          <w:b w:val="0"/>
          <w:sz w:val="24"/>
          <w:szCs w:val="24"/>
          <w:highlight w:val="yellow"/>
        </w:rPr>
        <w:t xml:space="preserve"> </w:t>
      </w:r>
      <w:r>
        <w:rPr>
          <w:b w:val="0"/>
          <w:sz w:val="24"/>
          <w:szCs w:val="24"/>
        </w:rPr>
        <w:t>Logistic Function</w:t>
      </w:r>
    </w:p>
    <w:p w14:paraId="7924855D" w14:textId="77777777" w:rsidR="00D37A2F" w:rsidRDefault="00D37A2F" w:rsidP="00D37A2F">
      <w:pPr>
        <w:pStyle w:val="NormalWeb"/>
      </w:pPr>
      <w:r>
        <w:t>The probability of complete childhood vaccination is expressed as</w:t>
      </w:r>
      <w:r>
        <w:rPr>
          <w:highlight w:val="yellow"/>
        </w:rPr>
        <w:t>:</w:t>
      </w:r>
    </w:p>
    <w:p w14:paraId="091D2FD5" w14:textId="77777777" w:rsidR="00D37A2F" w:rsidRDefault="00D37A2F" w:rsidP="00D37A2F">
      <w:pPr>
        <w:pStyle w:val="Heading3"/>
      </w:pPr>
      <w:r>
        <w:rPr>
          <w:b w:val="0"/>
          <w:sz w:val="24"/>
          <w:szCs w:val="24"/>
        </w:rPr>
        <w:tab/>
      </w:r>
      <w:r w:rsidRPr="005722DF">
        <w:rPr>
          <w:position w:val="-32"/>
        </w:rPr>
        <w:object w:dxaOrig="1600" w:dyaOrig="740" w14:anchorId="53501C3B">
          <v:shape id="_x0000_i1035" type="#_x0000_t75" style="width:80.2pt;height:36pt" o:ole="">
            <v:imagedata r:id="rId27" o:title=""/>
          </v:shape>
          <o:OLEObject Type="Embed" ProgID="Equation.DSMT4" ShapeID="_x0000_i1035" DrawAspect="Content" ObjectID="_1849092467" r:id="rId28"/>
        </w:object>
      </w:r>
    </w:p>
    <w:p w14:paraId="3FC0B959" w14:textId="77777777" w:rsidR="00D37A2F" w:rsidRDefault="00D37A2F" w:rsidP="00D37A2F">
      <w:pPr>
        <w:pStyle w:val="Heading3"/>
      </w:pPr>
      <w:r w:rsidRPr="005722DF">
        <w:rPr>
          <w:position w:val="-12"/>
        </w:rPr>
        <w:object w:dxaOrig="3379" w:dyaOrig="360" w14:anchorId="4357D601">
          <v:shape id="_x0000_i1036" type="#_x0000_t75" style="width:168.55pt;height:18.8pt" o:ole="">
            <v:imagedata r:id="rId29" o:title=""/>
          </v:shape>
          <o:OLEObject Type="Embed" ProgID="Equation.DSMT4" ShapeID="_x0000_i1036" DrawAspect="Content" ObjectID="_1849092468" r:id="rId30"/>
        </w:object>
      </w:r>
    </w:p>
    <w:p w14:paraId="5F93634C" w14:textId="77777777" w:rsidR="00D37A2F" w:rsidRPr="00F771CC" w:rsidRDefault="00D37A2F" w:rsidP="00D37A2F">
      <w:pPr>
        <w:pStyle w:val="Heading3"/>
        <w:rPr>
          <w:b w:val="0"/>
          <w:sz w:val="24"/>
          <w:szCs w:val="24"/>
        </w:rPr>
      </w:pPr>
      <w:r>
        <w:rPr>
          <w:b w:val="0"/>
          <w:sz w:val="24"/>
          <w:szCs w:val="24"/>
        </w:rPr>
        <w:t xml:space="preserve">Substituting </w:t>
      </w:r>
      <w:r w:rsidRPr="005722DF">
        <w:rPr>
          <w:position w:val="-4"/>
        </w:rPr>
        <w:object w:dxaOrig="180" w:dyaOrig="279" w14:anchorId="1BB9C4A6">
          <v:shape id="_x0000_i1037" type="#_x0000_t75" style="width:9pt;height:13.9pt" o:ole="">
            <v:imagedata r:id="rId31" o:title=""/>
          </v:shape>
          <o:OLEObject Type="Embed" ProgID="Equation.DSMT4" ShapeID="_x0000_i1037" DrawAspect="Content" ObjectID="_1849092469" r:id="rId32"/>
        </w:object>
      </w:r>
      <w:r w:rsidRPr="005722DF">
        <w:rPr>
          <w:position w:val="-70"/>
        </w:rPr>
        <w:object w:dxaOrig="2760" w:dyaOrig="1520" w14:anchorId="40B9D771">
          <v:shape id="_x0000_i1038" type="#_x0000_t75" style="width:138.25pt;height:76.1pt" o:ole="">
            <v:imagedata r:id="rId33" o:title=""/>
          </v:shape>
          <o:OLEObject Type="Embed" ProgID="Equation.DSMT4" ShapeID="_x0000_i1038" DrawAspect="Content" ObjectID="_1849092470" r:id="rId34"/>
        </w:object>
      </w:r>
    </w:p>
    <w:p w14:paraId="34553DE4" w14:textId="77777777" w:rsidR="00D37A2F" w:rsidRDefault="00D37A2F" w:rsidP="00D37A2F">
      <w:pPr>
        <w:pStyle w:val="NormalWeb"/>
      </w:pPr>
      <w:r>
        <w:t>The empirical model is specified as</w:t>
      </w:r>
      <w:r>
        <w:rPr>
          <w:highlight w:val="yellow"/>
        </w:rPr>
        <w:t>:</w:t>
      </w:r>
    </w:p>
    <w:p w14:paraId="45342127" w14:textId="77777777" w:rsidR="00D37A2F" w:rsidRDefault="00D37A2F" w:rsidP="00D37A2F">
      <w:pPr>
        <w:pStyle w:val="NormalWeb"/>
      </w:pPr>
      <w:r>
        <w:lastRenderedPageBreak/>
        <w:tab/>
      </w:r>
      <w:r w:rsidRPr="005D5768">
        <w:rPr>
          <w:position w:val="-26"/>
        </w:rPr>
        <w:object w:dxaOrig="3379" w:dyaOrig="700" w14:anchorId="348ADA4D">
          <v:shape id="_x0000_i1039" type="#_x0000_t75" style="width:168.55pt;height:36pt" o:ole="">
            <v:imagedata r:id="rId35" o:title=""/>
          </v:shape>
          <o:OLEObject Type="Embed" ProgID="Equation.DSMT4" ShapeID="_x0000_i1039" DrawAspect="Content" ObjectID="_1849092471" r:id="rId36"/>
        </w:object>
      </w:r>
    </w:p>
    <w:p w14:paraId="7BE8C063" w14:textId="77777777" w:rsidR="00D37A2F" w:rsidRPr="004404E7" w:rsidRDefault="00D37A2F" w:rsidP="00D37A2F">
      <w:pPr>
        <w:pStyle w:val="Heading3"/>
        <w:rPr>
          <w:b w:val="0"/>
          <w:sz w:val="24"/>
          <w:szCs w:val="24"/>
        </w:rPr>
      </w:pPr>
      <w:r>
        <w:rPr>
          <w:b w:val="0"/>
          <w:sz w:val="24"/>
          <w:szCs w:val="24"/>
        </w:rPr>
        <w:t>Survey-weighted Multivariable Logistic Regression</w:t>
      </w:r>
    </w:p>
    <w:p w14:paraId="2B299365" w14:textId="77777777" w:rsidR="00D37A2F" w:rsidRDefault="00D37A2F" w:rsidP="00D37A2F">
      <w:pPr>
        <w:pStyle w:val="NormalWeb"/>
      </w:pPr>
      <w:r>
        <w:tab/>
      </w:r>
      <w:r w:rsidRPr="00BA2B6C">
        <w:rPr>
          <w:position w:val="-30"/>
        </w:rPr>
        <w:object w:dxaOrig="2420" w:dyaOrig="700" w14:anchorId="4DE5840E">
          <v:shape id="_x0000_i1040" type="#_x0000_t75" style="width:121.1pt;height:36pt" o:ole="">
            <v:imagedata r:id="rId37" o:title=""/>
          </v:shape>
          <o:OLEObject Type="Embed" ProgID="Equation.DSMT4" ShapeID="_x0000_i1040" DrawAspect="Content" ObjectID="_1849092472" r:id="rId38"/>
        </w:object>
      </w:r>
    </w:p>
    <w:p w14:paraId="7508663A" w14:textId="77777777" w:rsidR="00D37A2F" w:rsidRPr="00CE5CEC" w:rsidRDefault="00D37A2F" w:rsidP="00D37A2F">
      <w:pPr>
        <w:pStyle w:val="NormalWeb"/>
      </w:pPr>
      <w:r w:rsidRPr="00CE5CEC">
        <w:t>Multilevel Logistic Regression</w:t>
      </w:r>
    </w:p>
    <w:p w14:paraId="5E46A56C" w14:textId="77777777" w:rsidR="00D37A2F" w:rsidRPr="00CE5CEC" w:rsidRDefault="00D37A2F" w:rsidP="00D37A2F">
      <w:pPr>
        <w:pStyle w:val="NormalWeb"/>
      </w:pPr>
      <w:r>
        <w:rPr>
          <w:highlight w:val="yellow"/>
        </w:rPr>
        <w:t xml:space="preserve">Because </w:t>
      </w:r>
      <w:r>
        <w:t xml:space="preserve">NDHS observations are clustered within </w:t>
      </w:r>
      <w:r>
        <w:rPr>
          <w:highlight w:val="yellow"/>
        </w:rPr>
        <w:t>enumeration</w:t>
      </w:r>
      <w:r>
        <w:t xml:space="preserve"> </w:t>
      </w:r>
      <w:r>
        <w:rPr>
          <w:highlight w:val="yellow"/>
        </w:rPr>
        <w:t>areas</w:t>
      </w:r>
      <w:r>
        <w:t xml:space="preserve"> (EAs), a random intercept is often estimated</w:t>
      </w:r>
      <w:r>
        <w:rPr>
          <w:highlight w:val="yellow"/>
        </w:rPr>
        <w:t>.</w:t>
      </w:r>
    </w:p>
    <w:p w14:paraId="5744FEDE" w14:textId="77777777" w:rsidR="00D37A2F" w:rsidRDefault="00D37A2F" w:rsidP="00D37A2F">
      <w:pPr>
        <w:pStyle w:val="NormalWeb"/>
      </w:pPr>
      <w:r w:rsidRPr="00CE5CEC">
        <w:t xml:space="preserve">Model </w:t>
      </w:r>
    </w:p>
    <w:p w14:paraId="0CF2744D" w14:textId="77777777" w:rsidR="00D37A2F" w:rsidRDefault="00D37A2F" w:rsidP="00D37A2F">
      <w:pPr>
        <w:pStyle w:val="NormalWeb"/>
      </w:pPr>
      <w:r>
        <w:rPr>
          <w:highlight w:val="yellow"/>
        </w:rPr>
        <w:t>Level 1</w:t>
      </w:r>
    </w:p>
    <w:p w14:paraId="4C6465CB" w14:textId="77777777" w:rsidR="00D37A2F" w:rsidRDefault="00D37A2F" w:rsidP="00D37A2F">
      <w:pPr>
        <w:pStyle w:val="NormalWeb"/>
        <w:rPr>
          <w:b/>
        </w:rPr>
      </w:pPr>
      <w:r>
        <w:rPr>
          <w:b/>
        </w:rPr>
        <w:tab/>
      </w:r>
      <w:r w:rsidRPr="00CE5CEC">
        <w:rPr>
          <w:position w:val="-16"/>
        </w:rPr>
        <w:object w:dxaOrig="1920" w:dyaOrig="440" w14:anchorId="7907DCE2">
          <v:shape id="_x0000_i1041" type="#_x0000_t75" style="width:95.75pt;height:21.25pt" o:ole="">
            <v:imagedata r:id="rId39" o:title=""/>
          </v:shape>
          <o:OLEObject Type="Embed" ProgID="Equation.DSMT4" ShapeID="_x0000_i1041" DrawAspect="Content" ObjectID="_1849092473" r:id="rId40"/>
        </w:object>
      </w:r>
      <w:r>
        <w:rPr>
          <w:b/>
        </w:rPr>
        <w:tab/>
      </w:r>
    </w:p>
    <w:p w14:paraId="42A202F3" w14:textId="77777777" w:rsidR="00D37A2F" w:rsidRDefault="00D37A2F" w:rsidP="00D37A2F">
      <w:pPr>
        <w:pStyle w:val="NormalWeb"/>
      </w:pPr>
      <w:r>
        <w:t>Level</w:t>
      </w:r>
      <w:r>
        <w:rPr>
          <w:highlight w:val="yellow"/>
        </w:rPr>
        <w:t xml:space="preserve"> </w:t>
      </w:r>
      <w:r>
        <w:t>2</w:t>
      </w:r>
    </w:p>
    <w:p w14:paraId="5C57F4D3" w14:textId="77777777" w:rsidR="00D37A2F" w:rsidRDefault="00D37A2F" w:rsidP="00D37A2F">
      <w:pPr>
        <w:pStyle w:val="NormalWeb"/>
      </w:pPr>
      <w:r>
        <w:tab/>
      </w:r>
      <w:r w:rsidRPr="00CE5CEC">
        <w:rPr>
          <w:position w:val="-34"/>
        </w:rPr>
        <w:object w:dxaOrig="2360" w:dyaOrig="800" w14:anchorId="3DB1B51A">
          <v:shape id="_x0000_i1042" type="#_x0000_t75" style="width:117.8pt;height:39.25pt" o:ole="">
            <v:imagedata r:id="rId41" o:title=""/>
          </v:shape>
          <o:OLEObject Type="Embed" ProgID="Equation.DSMT4" ShapeID="_x0000_i1042" DrawAspect="Content" ObjectID="_1849092474" r:id="rId42"/>
        </w:object>
      </w:r>
    </w:p>
    <w:p w14:paraId="3558269C" w14:textId="77777777" w:rsidR="00D37A2F" w:rsidRDefault="00D37A2F" w:rsidP="00D37A2F">
      <w:pPr>
        <w:pStyle w:val="NormalWeb"/>
      </w:pPr>
      <w:r>
        <w:t xml:space="preserve">Where </w:t>
      </w:r>
      <w:r w:rsidRPr="001D363E">
        <w:rPr>
          <w:position w:val="-16"/>
        </w:rPr>
        <w:object w:dxaOrig="1420" w:dyaOrig="440" w14:anchorId="657D689B">
          <v:shape id="_x0000_i1043" type="#_x0000_t75" style="width:71.2pt;height:21.25pt" o:ole="">
            <v:imagedata r:id="rId43" o:title=""/>
          </v:shape>
          <o:OLEObject Type="Embed" ProgID="Equation.DSMT4" ShapeID="_x0000_i1043" DrawAspect="Content" ObjectID="_1849092475" r:id="rId44"/>
        </w:object>
      </w:r>
    </w:p>
    <w:p w14:paraId="11CDEDFD" w14:textId="77777777" w:rsidR="00D37A2F" w:rsidRDefault="00D37A2F" w:rsidP="00D37A2F">
      <w:pPr>
        <w:pStyle w:val="NormalWeb"/>
      </w:pPr>
      <w:r>
        <w:t>Survey-weighted Poisson Regression</w:t>
      </w:r>
    </w:p>
    <w:p w14:paraId="242FC90C" w14:textId="77777777" w:rsidR="00D37A2F" w:rsidRDefault="00D37A2F" w:rsidP="00D37A2F">
      <w:pPr>
        <w:pStyle w:val="NormalWeb"/>
      </w:pPr>
      <w:r>
        <w:tab/>
      </w:r>
      <w:r w:rsidRPr="003C4791">
        <w:rPr>
          <w:position w:val="-14"/>
        </w:rPr>
        <w:object w:dxaOrig="1420" w:dyaOrig="400" w14:anchorId="1722EB10">
          <v:shape id="_x0000_i1044" type="#_x0000_t75" style="width:71.2pt;height:20.45pt" o:ole="">
            <v:imagedata r:id="rId45" o:title=""/>
          </v:shape>
          <o:OLEObject Type="Embed" ProgID="Equation.DSMT4" ShapeID="_x0000_i1044" DrawAspect="Content" ObjectID="_1849092476" r:id="rId46"/>
        </w:object>
      </w:r>
    </w:p>
    <w:p w14:paraId="5840856F" w14:textId="77777777" w:rsidR="00D37A2F" w:rsidRDefault="00D37A2F" w:rsidP="00D37A2F">
      <w:pPr>
        <w:pStyle w:val="NormalWeb"/>
      </w:pPr>
      <w:r>
        <w:t xml:space="preserve">This </w:t>
      </w:r>
      <w:r>
        <w:rPr>
          <w:highlight w:val="yellow"/>
        </w:rPr>
        <w:t>can</w:t>
      </w:r>
      <w:r>
        <w:t xml:space="preserve"> equivalently be written as</w:t>
      </w:r>
      <w:r>
        <w:rPr>
          <w:highlight w:val="yellow"/>
        </w:rPr>
        <w:t>:</w:t>
      </w:r>
    </w:p>
    <w:p w14:paraId="3E4BD661" w14:textId="77777777" w:rsidR="00D37A2F" w:rsidRDefault="00D37A2F" w:rsidP="00D37A2F">
      <w:pPr>
        <w:pStyle w:val="NormalWeb"/>
      </w:pPr>
      <w:r>
        <w:tab/>
      </w:r>
      <w:r w:rsidRPr="00557E06">
        <w:rPr>
          <w:position w:val="-20"/>
        </w:rPr>
        <w:object w:dxaOrig="4160" w:dyaOrig="520" w14:anchorId="31A075BE">
          <v:shape id="_x0000_i1045" type="#_x0000_t75" style="width:207.8pt;height:26.2pt" o:ole="">
            <v:imagedata r:id="rId47" o:title=""/>
          </v:shape>
          <o:OLEObject Type="Embed" ProgID="Equation.DSMT4" ShapeID="_x0000_i1045" DrawAspect="Content" ObjectID="_1849092477" r:id="rId48"/>
        </w:object>
      </w:r>
    </w:p>
    <w:p w14:paraId="7E6C2605" w14:textId="77777777" w:rsidR="00D37A2F" w:rsidRDefault="00D37A2F" w:rsidP="00D37A2F">
      <w:pPr>
        <w:pStyle w:val="Heading2"/>
        <w:rPr>
          <w:b w:val="0"/>
          <w:sz w:val="24"/>
          <w:szCs w:val="24"/>
        </w:rPr>
      </w:pPr>
      <w:r>
        <w:rPr>
          <w:b w:val="0"/>
          <w:sz w:val="24"/>
          <w:szCs w:val="24"/>
        </w:rPr>
        <w:t xml:space="preserve">Logit </w:t>
      </w:r>
      <w:r>
        <w:rPr>
          <w:b w:val="0"/>
          <w:sz w:val="24"/>
          <w:szCs w:val="24"/>
          <w:highlight w:val="yellow"/>
        </w:rPr>
        <w:t>transformation:</w:t>
      </w:r>
      <w:r>
        <w:rPr>
          <w:b w:val="0"/>
          <w:sz w:val="24"/>
          <w:szCs w:val="24"/>
        </w:rPr>
        <w:t xml:space="preserve"> </w:t>
      </w:r>
      <w:r>
        <w:rPr>
          <w:b w:val="0"/>
          <w:sz w:val="24"/>
          <w:szCs w:val="24"/>
          <w:highlight w:val="yellow"/>
        </w:rPr>
        <w:t>taking</w:t>
      </w:r>
      <w:r>
        <w:rPr>
          <w:b w:val="0"/>
          <w:sz w:val="24"/>
          <w:szCs w:val="24"/>
        </w:rPr>
        <w:t xml:space="preserve"> the natural logarithm of the odds gives</w:t>
      </w:r>
      <w:r>
        <w:rPr>
          <w:b w:val="0"/>
          <w:sz w:val="24"/>
          <w:szCs w:val="24"/>
          <w:highlight w:val="yellow"/>
        </w:rPr>
        <w:t>:</w:t>
      </w:r>
    </w:p>
    <w:p w14:paraId="15FB8568" w14:textId="77777777" w:rsidR="00D37A2F" w:rsidRDefault="00D37A2F" w:rsidP="00D37A2F">
      <w:pPr>
        <w:pStyle w:val="Heading2"/>
      </w:pPr>
      <w:r w:rsidRPr="00557E06">
        <w:rPr>
          <w:position w:val="-20"/>
        </w:rPr>
        <w:object w:dxaOrig="4340" w:dyaOrig="520" w14:anchorId="73D1C4F3">
          <v:shape id="_x0000_i1046" type="#_x0000_t75" style="width:217.65pt;height:26.2pt" o:ole="">
            <v:imagedata r:id="rId49" o:title=""/>
          </v:shape>
          <o:OLEObject Type="Embed" ProgID="Equation.DSMT4" ShapeID="_x0000_i1046" DrawAspect="Content" ObjectID="_1849092478" r:id="rId50"/>
        </w:object>
      </w:r>
    </w:p>
    <w:p w14:paraId="6D39965C" w14:textId="77777777" w:rsidR="00D37A2F" w:rsidRPr="005722DF" w:rsidRDefault="00D37A2F" w:rsidP="00D37A2F">
      <w:pPr>
        <w:pStyle w:val="Heading2"/>
        <w:rPr>
          <w:b w:val="0"/>
          <w:sz w:val="24"/>
          <w:szCs w:val="24"/>
        </w:rPr>
      </w:pPr>
      <w:r>
        <w:rPr>
          <w:b w:val="0"/>
          <w:sz w:val="24"/>
          <w:szCs w:val="24"/>
        </w:rPr>
        <w:t>The weighted likelihood is</w:t>
      </w:r>
      <w:r>
        <w:rPr>
          <w:b w:val="0"/>
          <w:sz w:val="24"/>
          <w:szCs w:val="24"/>
          <w:highlight w:val="yellow"/>
        </w:rPr>
        <w:t>:</w:t>
      </w:r>
    </w:p>
    <w:p w14:paraId="554A2E5F" w14:textId="77777777" w:rsidR="00D37A2F" w:rsidRDefault="00D37A2F" w:rsidP="00D37A2F">
      <w:pPr>
        <w:pStyle w:val="NormalWeb"/>
      </w:pPr>
      <w:r w:rsidRPr="005722DF">
        <w:rPr>
          <w:position w:val="-26"/>
        </w:rPr>
        <w:object w:dxaOrig="2820" w:dyaOrig="639" w14:anchorId="517D90B1">
          <v:shape id="_x0000_i1047" type="#_x0000_t75" style="width:141.55pt;height:31.9pt" o:ole="">
            <v:imagedata r:id="rId51" o:title=""/>
          </v:shape>
          <o:OLEObject Type="Embed" ProgID="Equation.DSMT4" ShapeID="_x0000_i1047" DrawAspect="Content" ObjectID="_1849092479" r:id="rId52"/>
        </w:object>
      </w:r>
    </w:p>
    <w:p w14:paraId="19E1E288" w14:textId="77777777" w:rsidR="00D37A2F" w:rsidRDefault="00D37A2F" w:rsidP="00D37A2F">
      <w:pPr>
        <w:pStyle w:val="NormalWeb"/>
      </w:pPr>
      <w:r>
        <w:t xml:space="preserve">Taking logarithms </w:t>
      </w:r>
      <w:r>
        <w:rPr>
          <w:highlight w:val="yellow"/>
        </w:rPr>
        <w:t>yields</w:t>
      </w:r>
      <w:r>
        <w:t xml:space="preserve"> the weighted log-likelihood function</w:t>
      </w:r>
      <w:r>
        <w:rPr>
          <w:highlight w:val="yellow"/>
        </w:rPr>
        <w:t>:</w:t>
      </w:r>
    </w:p>
    <w:p w14:paraId="09BC4417" w14:textId="77777777" w:rsidR="00D37A2F" w:rsidRDefault="00D37A2F" w:rsidP="00D37A2F">
      <w:pPr>
        <w:pStyle w:val="NormalWeb"/>
      </w:pPr>
      <w:r>
        <w:tab/>
      </w:r>
      <w:r w:rsidRPr="003E3E16">
        <w:rPr>
          <w:position w:val="-28"/>
        </w:rPr>
        <w:object w:dxaOrig="4200" w:dyaOrig="680" w14:anchorId="5924BE3A">
          <v:shape id="_x0000_i1048" type="#_x0000_t75" style="width:210.25pt;height:33.55pt" o:ole="">
            <v:imagedata r:id="rId53" o:title=""/>
          </v:shape>
          <o:OLEObject Type="Embed" ProgID="Equation.DSMT4" ShapeID="_x0000_i1048" DrawAspect="Content" ObjectID="_1849092480" r:id="rId54"/>
        </w:object>
      </w:r>
    </w:p>
    <w:p w14:paraId="168CE12D" w14:textId="77777777" w:rsidR="00D37A2F" w:rsidRDefault="00D37A2F" w:rsidP="00D37A2F">
      <w:pPr>
        <w:pStyle w:val="NormalWeb"/>
      </w:pPr>
      <w:r>
        <w:t>3.4</w:t>
      </w:r>
      <w:r>
        <w:rPr>
          <w:highlight w:val="yellow"/>
        </w:rPr>
        <w:t xml:space="preserve"> </w:t>
      </w:r>
      <w:r>
        <w:t xml:space="preserve">Empirical Model </w:t>
      </w:r>
      <w:r>
        <w:rPr>
          <w:highlight w:val="yellow"/>
        </w:rPr>
        <w:t>Specification</w:t>
      </w:r>
    </w:p>
    <w:p w14:paraId="35A74561" w14:textId="77777777" w:rsidR="00D37A2F" w:rsidRDefault="00D37A2F" w:rsidP="00D37A2F">
      <w:pPr>
        <w:pStyle w:val="NormalWeb"/>
      </w:pPr>
      <w:r>
        <w:tab/>
      </w:r>
      <w:r w:rsidRPr="008550B8">
        <w:rPr>
          <w:position w:val="-14"/>
        </w:rPr>
        <w:object w:dxaOrig="2580" w:dyaOrig="400" w14:anchorId="71A28E6F">
          <v:shape id="_x0000_i1049" type="#_x0000_t75" style="width:129.25pt;height:20.45pt" o:ole="">
            <v:imagedata r:id="rId55" o:title=""/>
          </v:shape>
          <o:OLEObject Type="Embed" ProgID="Equation.DSMT4" ShapeID="_x0000_i1049" DrawAspect="Content" ObjectID="_1849092481" r:id="rId56"/>
        </w:object>
      </w:r>
    </w:p>
    <w:p w14:paraId="6D1D5F65" w14:textId="77777777" w:rsidR="00D37A2F" w:rsidRDefault="00D37A2F" w:rsidP="00D37A2F">
      <w:pPr>
        <w:pStyle w:val="NormalWeb"/>
      </w:pPr>
      <w:r w:rsidRPr="00B761AD">
        <w:rPr>
          <w:position w:val="-30"/>
        </w:rPr>
        <w:object w:dxaOrig="9420" w:dyaOrig="720" w14:anchorId="043F3097">
          <v:shape id="_x0000_i1050" type="#_x0000_t75" style="width:472.1pt;height:36pt" o:ole="">
            <v:imagedata r:id="rId57" o:title=""/>
          </v:shape>
          <o:OLEObject Type="Embed" ProgID="Equation.DSMT4" ShapeID="_x0000_i1050" DrawAspect="Content" ObjectID="_1849092482" r:id="rId58"/>
        </w:object>
      </w:r>
      <w:r w:rsidRPr="00922FF6">
        <w:t xml:space="preserve"> </w:t>
      </w:r>
      <w:r w:rsidR="002461B8">
        <w:t xml:space="preserve">List 1: </w:t>
      </w:r>
      <w:r>
        <w:rPr>
          <w:bCs/>
          <w:highlight w:val="yellow"/>
        </w:rPr>
        <w:t>Definitions of the Variables Mentioned Above</w:t>
      </w:r>
    </w:p>
    <w:tbl>
      <w:tblPr>
        <w:tblStyle w:val="TableGrid"/>
        <w:tblW w:w="9900" w:type="dxa"/>
        <w:tblInd w:w="265" w:type="dxa"/>
        <w:tblLook w:val="04A0" w:firstRow="1" w:lastRow="0" w:firstColumn="1" w:lastColumn="0" w:noHBand="0" w:noVBand="1"/>
      </w:tblPr>
      <w:tblGrid>
        <w:gridCol w:w="1440"/>
        <w:gridCol w:w="3780"/>
        <w:gridCol w:w="4680"/>
      </w:tblGrid>
      <w:tr w:rsidR="00D37A2F" w14:paraId="32B8C0F7"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1AE198A2" w14:textId="77777777" w:rsidR="00D37A2F" w:rsidRDefault="00D37A2F" w:rsidP="00CC0B3D">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Variable</w:t>
            </w:r>
          </w:p>
        </w:tc>
        <w:tc>
          <w:tcPr>
            <w:tcW w:w="3780" w:type="dxa"/>
            <w:tcBorders>
              <w:top w:val="single" w:sz="4" w:space="0" w:color="auto"/>
              <w:left w:val="single" w:sz="4" w:space="0" w:color="auto"/>
              <w:bottom w:val="single" w:sz="4" w:space="0" w:color="auto"/>
              <w:right w:val="single" w:sz="4" w:space="0" w:color="auto"/>
            </w:tcBorders>
            <w:vAlign w:val="center"/>
            <w:hideMark/>
          </w:tcPr>
          <w:p w14:paraId="5BA94AE7" w14:textId="77777777" w:rsidR="00D37A2F" w:rsidRDefault="00D37A2F" w:rsidP="00CC0B3D">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Description</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8AB67C6" w14:textId="77777777" w:rsidR="00D37A2F" w:rsidRDefault="00D37A2F" w:rsidP="00CC0B3D">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Measurement</w:t>
            </w:r>
          </w:p>
        </w:tc>
      </w:tr>
      <w:tr w:rsidR="00D37A2F" w14:paraId="607A44FB"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74CF99BF"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CVU</w:t>
            </w:r>
          </w:p>
        </w:tc>
        <w:tc>
          <w:tcPr>
            <w:tcW w:w="3780" w:type="dxa"/>
            <w:tcBorders>
              <w:top w:val="single" w:sz="4" w:space="0" w:color="auto"/>
              <w:left w:val="single" w:sz="4" w:space="0" w:color="auto"/>
              <w:bottom w:val="single" w:sz="4" w:space="0" w:color="auto"/>
              <w:right w:val="single" w:sz="4" w:space="0" w:color="auto"/>
            </w:tcBorders>
            <w:vAlign w:val="center"/>
            <w:hideMark/>
          </w:tcPr>
          <w:p w14:paraId="5B4A224E"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Childhood vaccination uptake</w:t>
            </w:r>
          </w:p>
        </w:tc>
        <w:tc>
          <w:tcPr>
            <w:tcW w:w="4680" w:type="dxa"/>
            <w:tcBorders>
              <w:top w:val="single" w:sz="4" w:space="0" w:color="auto"/>
              <w:left w:val="single" w:sz="4" w:space="0" w:color="auto"/>
              <w:bottom w:val="single" w:sz="4" w:space="0" w:color="auto"/>
              <w:right w:val="single" w:sz="4" w:space="0" w:color="auto"/>
            </w:tcBorders>
            <w:vAlign w:val="center"/>
            <w:hideMark/>
          </w:tcPr>
          <w:p w14:paraId="4612F628"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1 = Fully vaccinated; 0 = Not fully vaccinated</w:t>
            </w:r>
          </w:p>
        </w:tc>
      </w:tr>
      <w:tr w:rsidR="00D37A2F" w14:paraId="7FDEF835"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4DB532F7"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MAGE</w:t>
            </w:r>
          </w:p>
        </w:tc>
        <w:tc>
          <w:tcPr>
            <w:tcW w:w="3780" w:type="dxa"/>
            <w:tcBorders>
              <w:top w:val="single" w:sz="4" w:space="0" w:color="auto"/>
              <w:left w:val="single" w:sz="4" w:space="0" w:color="auto"/>
              <w:bottom w:val="single" w:sz="4" w:space="0" w:color="auto"/>
              <w:right w:val="single" w:sz="4" w:space="0" w:color="auto"/>
            </w:tcBorders>
            <w:vAlign w:val="center"/>
            <w:hideMark/>
          </w:tcPr>
          <w:p w14:paraId="3B710925"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Maternal age</w:t>
            </w:r>
          </w:p>
        </w:tc>
        <w:tc>
          <w:tcPr>
            <w:tcW w:w="4680" w:type="dxa"/>
            <w:tcBorders>
              <w:top w:val="single" w:sz="4" w:space="0" w:color="auto"/>
              <w:left w:val="single" w:sz="4" w:space="0" w:color="auto"/>
              <w:bottom w:val="single" w:sz="4" w:space="0" w:color="auto"/>
              <w:right w:val="single" w:sz="4" w:space="0" w:color="auto"/>
            </w:tcBorders>
            <w:vAlign w:val="center"/>
            <w:hideMark/>
          </w:tcPr>
          <w:p w14:paraId="7A789AFE"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Years or age categories</w:t>
            </w:r>
          </w:p>
        </w:tc>
      </w:tr>
      <w:tr w:rsidR="00D37A2F" w14:paraId="2470330C"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27E505DD"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MEDU</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81EA576"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Maternal education</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ABE5FDB"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No education, Primary, Secondary, Higher</w:t>
            </w:r>
          </w:p>
        </w:tc>
      </w:tr>
      <w:tr w:rsidR="00D37A2F" w14:paraId="2D4C42B9"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7F6308B4"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MEMP</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551EE2F"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Maternal employment status</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32B403E"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Working = 1; Not working = 0</w:t>
            </w:r>
          </w:p>
        </w:tc>
      </w:tr>
      <w:tr w:rsidR="00D37A2F" w14:paraId="688AE960"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61A86F86"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MAR</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5CB60FE"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Marital status</w:t>
            </w:r>
          </w:p>
        </w:tc>
        <w:tc>
          <w:tcPr>
            <w:tcW w:w="4680" w:type="dxa"/>
            <w:tcBorders>
              <w:top w:val="single" w:sz="4" w:space="0" w:color="auto"/>
              <w:left w:val="single" w:sz="4" w:space="0" w:color="auto"/>
              <w:bottom w:val="single" w:sz="4" w:space="0" w:color="auto"/>
              <w:right w:val="single" w:sz="4" w:space="0" w:color="auto"/>
            </w:tcBorders>
            <w:vAlign w:val="center"/>
            <w:hideMark/>
          </w:tcPr>
          <w:p w14:paraId="3654A6AC"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Married, Cohabiting, Single, Others</w:t>
            </w:r>
          </w:p>
        </w:tc>
      </w:tr>
      <w:tr w:rsidR="00D37A2F" w14:paraId="660CBF41"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3428005C"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ANC</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DA2A641"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antenatal care visits</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3D10DD6"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Categories based on WHO recommendation</w:t>
            </w:r>
          </w:p>
        </w:tc>
      </w:tr>
      <w:tr w:rsidR="00D37A2F" w14:paraId="13AA1EB5"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12120BC4"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DEL</w:t>
            </w:r>
          </w:p>
        </w:tc>
        <w:tc>
          <w:tcPr>
            <w:tcW w:w="3780" w:type="dxa"/>
            <w:tcBorders>
              <w:top w:val="single" w:sz="4" w:space="0" w:color="auto"/>
              <w:left w:val="single" w:sz="4" w:space="0" w:color="auto"/>
              <w:bottom w:val="single" w:sz="4" w:space="0" w:color="auto"/>
              <w:right w:val="single" w:sz="4" w:space="0" w:color="auto"/>
            </w:tcBorders>
            <w:vAlign w:val="center"/>
            <w:hideMark/>
          </w:tcPr>
          <w:p w14:paraId="595A07F0"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Place of delivery</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DEF62B1"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Health facility = 1; Home = 0</w:t>
            </w:r>
          </w:p>
        </w:tc>
      </w:tr>
      <w:tr w:rsidR="00D37A2F" w14:paraId="6E24ECBF"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0068C9B8"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MEDIA</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F0F41A7"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Exposure to mass media</w:t>
            </w:r>
          </w:p>
        </w:tc>
        <w:tc>
          <w:tcPr>
            <w:tcW w:w="4680" w:type="dxa"/>
            <w:tcBorders>
              <w:top w:val="single" w:sz="4" w:space="0" w:color="auto"/>
              <w:left w:val="single" w:sz="4" w:space="0" w:color="auto"/>
              <w:bottom w:val="single" w:sz="4" w:space="0" w:color="auto"/>
              <w:right w:val="single" w:sz="4" w:space="0" w:color="auto"/>
            </w:tcBorders>
            <w:vAlign w:val="center"/>
            <w:hideMark/>
          </w:tcPr>
          <w:p w14:paraId="17568B26"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Yes = 1; No = 0</w:t>
            </w:r>
          </w:p>
        </w:tc>
      </w:tr>
      <w:tr w:rsidR="00D37A2F" w14:paraId="2C912038"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199B4138"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AUT</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421AF1F"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Maternal decision-making autonomy</w:t>
            </w:r>
          </w:p>
        </w:tc>
        <w:tc>
          <w:tcPr>
            <w:tcW w:w="4680" w:type="dxa"/>
            <w:tcBorders>
              <w:top w:val="single" w:sz="4" w:space="0" w:color="auto"/>
              <w:left w:val="single" w:sz="4" w:space="0" w:color="auto"/>
              <w:bottom w:val="single" w:sz="4" w:space="0" w:color="auto"/>
              <w:right w:val="single" w:sz="4" w:space="0" w:color="auto"/>
            </w:tcBorders>
            <w:vAlign w:val="center"/>
            <w:hideMark/>
          </w:tcPr>
          <w:p w14:paraId="4B4837CA"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Yes = 1; No = 0</w:t>
            </w:r>
          </w:p>
        </w:tc>
      </w:tr>
      <w:tr w:rsidR="00D37A2F" w14:paraId="323AF3C1"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568DC408"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PAR</w:t>
            </w:r>
          </w:p>
        </w:tc>
        <w:tc>
          <w:tcPr>
            <w:tcW w:w="3780" w:type="dxa"/>
            <w:tcBorders>
              <w:top w:val="single" w:sz="4" w:space="0" w:color="auto"/>
              <w:left w:val="single" w:sz="4" w:space="0" w:color="auto"/>
              <w:bottom w:val="single" w:sz="4" w:space="0" w:color="auto"/>
              <w:right w:val="single" w:sz="4" w:space="0" w:color="auto"/>
            </w:tcBorders>
            <w:vAlign w:val="center"/>
            <w:hideMark/>
          </w:tcPr>
          <w:p w14:paraId="17A64FE2"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Parity</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25356EF"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children ever born</w:t>
            </w:r>
          </w:p>
        </w:tc>
      </w:tr>
      <w:tr w:rsidR="00D37A2F" w14:paraId="05452A1A"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1AA6004B"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WEALTH</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D65F42B"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Household wealth index</w:t>
            </w:r>
          </w:p>
        </w:tc>
        <w:tc>
          <w:tcPr>
            <w:tcW w:w="4680" w:type="dxa"/>
            <w:tcBorders>
              <w:top w:val="single" w:sz="4" w:space="0" w:color="auto"/>
              <w:left w:val="single" w:sz="4" w:space="0" w:color="auto"/>
              <w:bottom w:val="single" w:sz="4" w:space="0" w:color="auto"/>
              <w:right w:val="single" w:sz="4" w:space="0" w:color="auto"/>
            </w:tcBorders>
            <w:vAlign w:val="center"/>
            <w:hideMark/>
          </w:tcPr>
          <w:p w14:paraId="7B54F4ED"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Poorest to Richest quintiles</w:t>
            </w:r>
          </w:p>
        </w:tc>
      </w:tr>
      <w:tr w:rsidR="00D37A2F" w14:paraId="4B81B1B2"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496CE09E"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RES</w:t>
            </w:r>
          </w:p>
        </w:tc>
        <w:tc>
          <w:tcPr>
            <w:tcW w:w="3780" w:type="dxa"/>
            <w:tcBorders>
              <w:top w:val="single" w:sz="4" w:space="0" w:color="auto"/>
              <w:left w:val="single" w:sz="4" w:space="0" w:color="auto"/>
              <w:bottom w:val="single" w:sz="4" w:space="0" w:color="auto"/>
              <w:right w:val="single" w:sz="4" w:space="0" w:color="auto"/>
            </w:tcBorders>
            <w:vAlign w:val="center"/>
            <w:hideMark/>
          </w:tcPr>
          <w:p w14:paraId="70F1D793"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Place of residence</w:t>
            </w:r>
          </w:p>
        </w:tc>
        <w:tc>
          <w:tcPr>
            <w:tcW w:w="4680" w:type="dxa"/>
            <w:tcBorders>
              <w:top w:val="single" w:sz="4" w:space="0" w:color="auto"/>
              <w:left w:val="single" w:sz="4" w:space="0" w:color="auto"/>
              <w:bottom w:val="single" w:sz="4" w:space="0" w:color="auto"/>
              <w:right w:val="single" w:sz="4" w:space="0" w:color="auto"/>
            </w:tcBorders>
            <w:vAlign w:val="center"/>
            <w:hideMark/>
          </w:tcPr>
          <w:p w14:paraId="08E81BDD"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Urban = 1; Rural = 0</w:t>
            </w:r>
          </w:p>
        </w:tc>
      </w:tr>
      <w:tr w:rsidR="00D37A2F" w14:paraId="08B52472"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498ACD49"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REG</w:t>
            </w:r>
          </w:p>
        </w:tc>
        <w:tc>
          <w:tcPr>
            <w:tcW w:w="3780" w:type="dxa"/>
            <w:tcBorders>
              <w:top w:val="single" w:sz="4" w:space="0" w:color="auto"/>
              <w:left w:val="single" w:sz="4" w:space="0" w:color="auto"/>
              <w:bottom w:val="single" w:sz="4" w:space="0" w:color="auto"/>
              <w:right w:val="single" w:sz="4" w:space="0" w:color="auto"/>
            </w:tcBorders>
            <w:vAlign w:val="center"/>
            <w:hideMark/>
          </w:tcPr>
          <w:p w14:paraId="6CF23844"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Geopolitical region</w:t>
            </w:r>
          </w:p>
        </w:tc>
        <w:tc>
          <w:tcPr>
            <w:tcW w:w="4680" w:type="dxa"/>
            <w:tcBorders>
              <w:top w:val="single" w:sz="4" w:space="0" w:color="auto"/>
              <w:left w:val="single" w:sz="4" w:space="0" w:color="auto"/>
              <w:bottom w:val="single" w:sz="4" w:space="0" w:color="auto"/>
              <w:right w:val="single" w:sz="4" w:space="0" w:color="auto"/>
            </w:tcBorders>
            <w:vAlign w:val="center"/>
            <w:hideMark/>
          </w:tcPr>
          <w:p w14:paraId="2365853C"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Six geopolitical zones</w:t>
            </w:r>
          </w:p>
        </w:tc>
      </w:tr>
      <w:tr w:rsidR="00D37A2F" w14:paraId="5A44F41B"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2843CE21"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HHSIZE</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C47A1FA"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Household size</w:t>
            </w:r>
          </w:p>
        </w:tc>
        <w:tc>
          <w:tcPr>
            <w:tcW w:w="4680" w:type="dxa"/>
            <w:tcBorders>
              <w:top w:val="single" w:sz="4" w:space="0" w:color="auto"/>
              <w:left w:val="single" w:sz="4" w:space="0" w:color="auto"/>
              <w:bottom w:val="single" w:sz="4" w:space="0" w:color="auto"/>
              <w:right w:val="single" w:sz="4" w:space="0" w:color="auto"/>
            </w:tcBorders>
            <w:vAlign w:val="center"/>
            <w:hideMark/>
          </w:tcPr>
          <w:p w14:paraId="731DD36D"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Number of household members</w:t>
            </w:r>
          </w:p>
        </w:tc>
      </w:tr>
      <w:tr w:rsidR="00D37A2F" w14:paraId="4EE7E676" w14:textId="77777777" w:rsidTr="00CC0B3D">
        <w:tc>
          <w:tcPr>
            <w:tcW w:w="1440" w:type="dxa"/>
            <w:tcBorders>
              <w:top w:val="single" w:sz="4" w:space="0" w:color="auto"/>
              <w:left w:val="single" w:sz="4" w:space="0" w:color="auto"/>
              <w:bottom w:val="single" w:sz="4" w:space="0" w:color="auto"/>
              <w:right w:val="single" w:sz="4" w:space="0" w:color="auto"/>
            </w:tcBorders>
            <w:vAlign w:val="center"/>
            <w:hideMark/>
          </w:tcPr>
          <w:p w14:paraId="2255A539"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bCs/>
                <w:sz w:val="24"/>
                <w:szCs w:val="24"/>
              </w:rPr>
              <w:t>HHHEAD</w:t>
            </w:r>
          </w:p>
        </w:tc>
        <w:tc>
          <w:tcPr>
            <w:tcW w:w="3780" w:type="dxa"/>
            <w:tcBorders>
              <w:top w:val="single" w:sz="4" w:space="0" w:color="auto"/>
              <w:left w:val="single" w:sz="4" w:space="0" w:color="auto"/>
              <w:bottom w:val="single" w:sz="4" w:space="0" w:color="auto"/>
              <w:right w:val="single" w:sz="4" w:space="0" w:color="auto"/>
            </w:tcBorders>
            <w:vAlign w:val="center"/>
            <w:hideMark/>
          </w:tcPr>
          <w:p w14:paraId="4AB04762"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Sex of household head</w:t>
            </w:r>
          </w:p>
        </w:tc>
        <w:tc>
          <w:tcPr>
            <w:tcW w:w="4680" w:type="dxa"/>
            <w:tcBorders>
              <w:top w:val="single" w:sz="4" w:space="0" w:color="auto"/>
              <w:left w:val="single" w:sz="4" w:space="0" w:color="auto"/>
              <w:bottom w:val="single" w:sz="4" w:space="0" w:color="auto"/>
              <w:right w:val="single" w:sz="4" w:space="0" w:color="auto"/>
            </w:tcBorders>
            <w:vAlign w:val="center"/>
            <w:hideMark/>
          </w:tcPr>
          <w:p w14:paraId="67AF65F9" w14:textId="77777777" w:rsidR="00D37A2F" w:rsidRDefault="00D37A2F" w:rsidP="00CC0B3D">
            <w:pPr>
              <w:rPr>
                <w:rFonts w:ascii="Times New Roman" w:eastAsia="Times New Roman" w:hAnsi="Times New Roman" w:cs="Times New Roman"/>
                <w:sz w:val="24"/>
                <w:szCs w:val="24"/>
              </w:rPr>
            </w:pPr>
            <w:r>
              <w:rPr>
                <w:rFonts w:ascii="Times New Roman" w:eastAsia="Times New Roman" w:hAnsi="Times New Roman" w:cs="Times New Roman"/>
                <w:sz w:val="24"/>
                <w:szCs w:val="24"/>
              </w:rPr>
              <w:t>Male = 1; Female = 0</w:t>
            </w:r>
          </w:p>
        </w:tc>
      </w:tr>
    </w:tbl>
    <w:p w14:paraId="31811103" w14:textId="77777777" w:rsidR="00D37A2F" w:rsidRDefault="00D37A2F" w:rsidP="00D37A2F">
      <w:pPr>
        <w:spacing w:before="100" w:beforeAutospacing="1" w:after="100" w:afterAutospacing="1" w:line="240" w:lineRule="auto"/>
        <w:outlineLvl w:val="2"/>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3.6 Estimation Procedure</w:t>
      </w:r>
    </w:p>
    <w:p w14:paraId="3F767941" w14:textId="77777777" w:rsidR="00D37A2F"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empirical study was undertaken in four steps. The first </w:t>
      </w:r>
      <w:r>
        <w:rPr>
          <w:rFonts w:ascii="Times New Roman" w:eastAsia="Times New Roman" w:hAnsi="Times New Roman" w:cs="Times New Roman"/>
          <w:sz w:val="24"/>
          <w:szCs w:val="24"/>
          <w:highlight w:val="yellow"/>
        </w:rPr>
        <w:t>involved</w:t>
      </w:r>
      <w:r>
        <w:rPr>
          <w:rFonts w:ascii="Times New Roman" w:eastAsia="Times New Roman" w:hAnsi="Times New Roman" w:cs="Times New Roman"/>
          <w:sz w:val="24"/>
          <w:szCs w:val="24"/>
        </w:rPr>
        <w:t xml:space="preserve"> presenting weighted descriptive statistics for maternal, household</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child-level variables </w:t>
      </w:r>
      <w:r>
        <w:rPr>
          <w:rFonts w:ascii="Times New Roman" w:eastAsia="Times New Roman" w:hAnsi="Times New Roman" w:cs="Times New Roman"/>
          <w:sz w:val="24"/>
          <w:szCs w:val="24"/>
          <w:highlight w:val="yellow"/>
        </w:rPr>
        <w:t>in the</w:t>
      </w:r>
      <w:r>
        <w:rPr>
          <w:rFonts w:ascii="Times New Roman" w:eastAsia="Times New Roman" w:hAnsi="Times New Roman" w:cs="Times New Roman"/>
          <w:sz w:val="24"/>
          <w:szCs w:val="24"/>
        </w:rPr>
        <w:t xml:space="preserve"> NDHS population. </w:t>
      </w:r>
      <w:r>
        <w:rPr>
          <w:rFonts w:ascii="Times New Roman" w:eastAsia="Times New Roman" w:hAnsi="Times New Roman" w:cs="Times New Roman"/>
          <w:sz w:val="24"/>
          <w:szCs w:val="24"/>
          <w:highlight w:val="yellow"/>
        </w:rPr>
        <w:t>Second</w:t>
      </w:r>
      <w:r>
        <w:rPr>
          <w:rFonts w:ascii="Times New Roman" w:eastAsia="Times New Roman" w:hAnsi="Times New Roman" w:cs="Times New Roman"/>
          <w:sz w:val="24"/>
          <w:szCs w:val="24"/>
        </w:rPr>
        <w:t xml:space="preserve">, survey-adjusted chi-square tests </w:t>
      </w:r>
      <w:r>
        <w:rPr>
          <w:rFonts w:ascii="Times New Roman" w:eastAsia="Times New Roman" w:hAnsi="Times New Roman" w:cs="Times New Roman"/>
          <w:sz w:val="24"/>
          <w:szCs w:val="24"/>
          <w:highlight w:val="yellow"/>
        </w:rPr>
        <w:t>determined</w:t>
      </w:r>
      <w:r>
        <w:rPr>
          <w:rFonts w:ascii="Times New Roman" w:eastAsia="Times New Roman" w:hAnsi="Times New Roman" w:cs="Times New Roman"/>
          <w:sz w:val="24"/>
          <w:szCs w:val="24"/>
        </w:rPr>
        <w:t xml:space="preserve"> the relationship </w:t>
      </w:r>
      <w:r>
        <w:rPr>
          <w:rFonts w:ascii="Times New Roman" w:eastAsia="Times New Roman" w:hAnsi="Times New Roman" w:cs="Times New Roman"/>
          <w:sz w:val="24"/>
          <w:szCs w:val="24"/>
          <w:highlight w:val="yellow"/>
        </w:rPr>
        <w:t>between</w:t>
      </w:r>
      <w:r>
        <w:rPr>
          <w:rFonts w:ascii="Times New Roman" w:eastAsia="Times New Roman" w:hAnsi="Times New Roman" w:cs="Times New Roman"/>
          <w:sz w:val="24"/>
          <w:szCs w:val="24"/>
        </w:rPr>
        <w:t xml:space="preserve"> each explanatory variable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childhood vaccination uptake. </w:t>
      </w:r>
      <w:r>
        <w:rPr>
          <w:rFonts w:ascii="Times New Roman" w:eastAsia="Times New Roman" w:hAnsi="Times New Roman" w:cs="Times New Roman"/>
          <w:sz w:val="24"/>
          <w:szCs w:val="24"/>
          <w:highlight w:val="yellow"/>
        </w:rPr>
        <w:t>Third, survey-weighted</w:t>
      </w:r>
      <w:r>
        <w:rPr>
          <w:rFonts w:ascii="Times New Roman" w:eastAsia="Times New Roman" w:hAnsi="Times New Roman" w:cs="Times New Roman"/>
          <w:sz w:val="24"/>
          <w:szCs w:val="24"/>
        </w:rPr>
        <w:t xml:space="preserve"> binary logistic regression was applied to identify the independent effects of maternal and household variables on childhood vaccination uptake. The logistic regression coefficients </w:t>
      </w:r>
      <w:r>
        <w:rPr>
          <w:rFonts w:ascii="Times New Roman" w:eastAsia="Times New Roman" w:hAnsi="Times New Roman" w:cs="Times New Roman"/>
          <w:sz w:val="24"/>
          <w:szCs w:val="24"/>
          <w:highlight w:val="yellow"/>
        </w:rPr>
        <w:t>were</w:t>
      </w:r>
      <w:r>
        <w:rPr>
          <w:rFonts w:ascii="Times New Roman" w:eastAsia="Times New Roman" w:hAnsi="Times New Roman" w:cs="Times New Roman"/>
          <w:sz w:val="24"/>
          <w:szCs w:val="24"/>
        </w:rPr>
        <w:t xml:space="preserve"> presented as </w:t>
      </w:r>
      <w:r>
        <w:rPr>
          <w:rFonts w:ascii="Times New Roman" w:eastAsia="Times New Roman" w:hAnsi="Times New Roman" w:cs="Times New Roman"/>
          <w:sz w:val="24"/>
          <w:szCs w:val="24"/>
          <w:highlight w:val="yellow"/>
        </w:rPr>
        <w:t>adjusted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odds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ratios</w:t>
      </w:r>
      <w:r>
        <w:rPr>
          <w:rFonts w:ascii="Times New Roman" w:eastAsia="Times New Roman" w:hAnsi="Times New Roman" w:cs="Times New Roman"/>
          <w:sz w:val="24"/>
          <w:szCs w:val="24"/>
        </w:rPr>
        <w:t xml:space="preserve"> (AORs) with 95% </w:t>
      </w:r>
      <w:r>
        <w:rPr>
          <w:rFonts w:ascii="Times New Roman" w:eastAsia="Times New Roman" w:hAnsi="Times New Roman" w:cs="Times New Roman"/>
          <w:sz w:val="24"/>
          <w:szCs w:val="24"/>
          <w:highlight w:val="yellow"/>
        </w:rPr>
        <w:t>confidence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intervals</w:t>
      </w:r>
      <w:r>
        <w:rPr>
          <w:rFonts w:ascii="Times New Roman" w:eastAsia="Times New Roman" w:hAnsi="Times New Roman" w:cs="Times New Roman"/>
          <w:sz w:val="24"/>
          <w:szCs w:val="24"/>
        </w:rPr>
        <w:t xml:space="preserve"> (95% CIs). </w:t>
      </w:r>
      <w:r>
        <w:rPr>
          <w:rFonts w:ascii="Times New Roman" w:eastAsia="Times New Roman" w:hAnsi="Times New Roman" w:cs="Times New Roman"/>
          <w:sz w:val="24"/>
          <w:szCs w:val="24"/>
          <w:highlight w:val="yellow"/>
        </w:rPr>
        <w:t>Finally</w:t>
      </w:r>
      <w:r>
        <w:rPr>
          <w:rFonts w:ascii="Times New Roman" w:eastAsia="Times New Roman" w:hAnsi="Times New Roman" w:cs="Times New Roman"/>
          <w:sz w:val="24"/>
          <w:szCs w:val="24"/>
        </w:rPr>
        <w:t xml:space="preserve">, several </w:t>
      </w:r>
      <w:r>
        <w:rPr>
          <w:rFonts w:ascii="Times New Roman" w:eastAsia="Times New Roman" w:hAnsi="Times New Roman" w:cs="Times New Roman"/>
          <w:sz w:val="24"/>
          <w:szCs w:val="24"/>
          <w:highlight w:val="yellow"/>
        </w:rPr>
        <w:t xml:space="preserve">goodness-of-fit </w:t>
      </w:r>
      <w:r>
        <w:rPr>
          <w:rFonts w:ascii="Times New Roman" w:eastAsia="Times New Roman" w:hAnsi="Times New Roman" w:cs="Times New Roman"/>
          <w:sz w:val="24"/>
          <w:szCs w:val="24"/>
        </w:rPr>
        <w:t xml:space="preserve">tests </w:t>
      </w:r>
      <w:r>
        <w:rPr>
          <w:rFonts w:ascii="Times New Roman" w:eastAsia="Times New Roman" w:hAnsi="Times New Roman" w:cs="Times New Roman"/>
          <w:sz w:val="24"/>
          <w:szCs w:val="24"/>
          <w:highlight w:val="yellow"/>
        </w:rPr>
        <w:t>were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conducted</w:t>
      </w:r>
      <w:r>
        <w:rPr>
          <w:rFonts w:ascii="Times New Roman" w:eastAsia="Times New Roman" w:hAnsi="Times New Roman" w:cs="Times New Roman"/>
          <w:sz w:val="24"/>
          <w:szCs w:val="24"/>
        </w:rPr>
        <w:t xml:space="preserve"> for the logistic model</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including </w:t>
      </w:r>
      <w:r>
        <w:rPr>
          <w:rFonts w:ascii="Times New Roman" w:eastAsia="Times New Roman" w:hAnsi="Times New Roman" w:cs="Times New Roman"/>
          <w:sz w:val="24"/>
          <w:szCs w:val="24"/>
          <w:highlight w:val="yellow"/>
        </w:rPr>
        <w:t>an assessment</w:t>
      </w:r>
      <w:r>
        <w:rPr>
          <w:rFonts w:ascii="Times New Roman" w:eastAsia="Times New Roman" w:hAnsi="Times New Roman" w:cs="Times New Roman"/>
          <w:sz w:val="24"/>
          <w:szCs w:val="24"/>
        </w:rPr>
        <w:t xml:space="preserve"> of multicollinearity using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variance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lastRenderedPageBreak/>
        <w:t>inflation factor (VIF), the Hosmer–Lemeshow goodness-of-fit test,</w:t>
      </w:r>
      <w:r>
        <w:rPr>
          <w:rFonts w:ascii="Times New Roman" w:eastAsia="Times New Roman" w:hAnsi="Times New Roman" w:cs="Times New Roman"/>
          <w:sz w:val="24"/>
          <w:szCs w:val="24"/>
        </w:rPr>
        <w:t xml:space="preserve"> and the </w:t>
      </w:r>
      <w:r>
        <w:rPr>
          <w:rFonts w:ascii="Times New Roman" w:eastAsia="Times New Roman" w:hAnsi="Times New Roman" w:cs="Times New Roman"/>
          <w:sz w:val="24"/>
          <w:szCs w:val="24"/>
          <w:highlight w:val="yellow"/>
        </w:rPr>
        <w:t>receiver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operating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characteristic</w:t>
      </w:r>
      <w:r>
        <w:rPr>
          <w:rFonts w:ascii="Times New Roman" w:eastAsia="Times New Roman" w:hAnsi="Times New Roman" w:cs="Times New Roman"/>
          <w:sz w:val="24"/>
          <w:szCs w:val="24"/>
        </w:rPr>
        <w:t xml:space="preserve"> (ROC) curve.</w:t>
      </w:r>
    </w:p>
    <w:p w14:paraId="3F16924C" w14:textId="77777777" w:rsidR="00D37A2F" w:rsidRDefault="00D37A2F" w:rsidP="00D37A2F">
      <w:pPr>
        <w:spacing w:before="100" w:beforeAutospacing="1" w:after="100" w:afterAutospacing="1" w:line="240" w:lineRule="auto"/>
        <w:outlineLvl w:val="1"/>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3.7 Research Design</w:t>
      </w:r>
    </w:p>
    <w:p w14:paraId="5FF745B9" w14:textId="77777777" w:rsidR="00D37A2F"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study </w:t>
      </w:r>
      <w:r>
        <w:rPr>
          <w:rFonts w:ascii="Times New Roman" w:eastAsia="Times New Roman" w:hAnsi="Times New Roman" w:cs="Times New Roman"/>
          <w:sz w:val="24"/>
          <w:szCs w:val="24"/>
          <w:highlight w:val="yellow"/>
        </w:rPr>
        <w:t>employed</w:t>
      </w:r>
      <w:r>
        <w:rPr>
          <w:rFonts w:ascii="Times New Roman" w:eastAsia="Times New Roman" w:hAnsi="Times New Roman" w:cs="Times New Roman"/>
          <w:sz w:val="24"/>
          <w:szCs w:val="24"/>
        </w:rPr>
        <w:t xml:space="preserve"> a </w:t>
      </w:r>
      <w:r>
        <w:rPr>
          <w:rFonts w:ascii="Times New Roman" w:eastAsia="Times New Roman" w:hAnsi="Times New Roman" w:cs="Times New Roman"/>
          <w:sz w:val="24"/>
          <w:szCs w:val="24"/>
          <w:highlight w:val="yellow"/>
        </w:rPr>
        <w:t>cross-sectional</w:t>
      </w:r>
      <w:r>
        <w:rPr>
          <w:rFonts w:ascii="Times New Roman" w:eastAsia="Times New Roman" w:hAnsi="Times New Roman" w:cs="Times New Roman"/>
          <w:sz w:val="24"/>
          <w:szCs w:val="24"/>
        </w:rPr>
        <w:t xml:space="preserve"> analytical research design using secondary data from the latest Nigeria Demographic and Health Survey (NDHS)</w:t>
      </w:r>
      <w:r>
        <w:rPr>
          <w:rFonts w:ascii="Times New Roman" w:eastAsia="Times New Roman" w:hAnsi="Times New Roman" w:cs="Times New Roman"/>
          <w:sz w:val="24"/>
          <w:szCs w:val="24"/>
          <w:highlight w:val="yellow"/>
        </w:rPr>
        <w:t>. This design was appropriate for analysing associations between maternal and household characteristics and child immunisation status at a single point in time using nationally representative data. The study used the latest available national NDHS</w:t>
      </w:r>
      <w:r>
        <w:rPr>
          <w:rFonts w:ascii="Times New Roman" w:eastAsia="Times New Roman" w:hAnsi="Times New Roman" w:cs="Times New Roman"/>
          <w:sz w:val="24"/>
          <w:szCs w:val="24"/>
        </w:rPr>
        <w:t xml:space="preserve"> data for </w:t>
      </w:r>
      <w:r>
        <w:rPr>
          <w:rFonts w:ascii="Times New Roman" w:eastAsia="Times New Roman" w:hAnsi="Times New Roman" w:cs="Times New Roman"/>
          <w:sz w:val="24"/>
          <w:szCs w:val="24"/>
          <w:highlight w:val="yellow"/>
        </w:rPr>
        <w:t>2023–24</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 survey</w:t>
      </w:r>
      <w:r>
        <w:rPr>
          <w:rFonts w:ascii="Times New Roman" w:eastAsia="Times New Roman" w:hAnsi="Times New Roman" w:cs="Times New Roman"/>
          <w:sz w:val="24"/>
          <w:szCs w:val="24"/>
        </w:rPr>
        <w:t xml:space="preserve"> was implemented by the National Population Commission in collaboration with the Federal Ministry of Health and Social Welfare, with technical assistance from ICF, and the Key Indicators Report was published in October 2024 (FMoHSW et al., 2024). </w:t>
      </w:r>
      <w:r>
        <w:rPr>
          <w:rFonts w:ascii="Times New Roman" w:eastAsia="Times New Roman" w:hAnsi="Times New Roman" w:cs="Times New Roman"/>
          <w:sz w:val="24"/>
          <w:szCs w:val="24"/>
          <w:highlight w:val="yellow"/>
        </w:rPr>
        <w:t>The NDHS</w:t>
      </w:r>
      <w:r>
        <w:rPr>
          <w:rFonts w:ascii="Times New Roman" w:eastAsia="Times New Roman" w:hAnsi="Times New Roman" w:cs="Times New Roman"/>
          <w:sz w:val="24"/>
          <w:szCs w:val="24"/>
        </w:rPr>
        <w:t xml:space="preserve"> sampled </w:t>
      </w:r>
      <w:r>
        <w:rPr>
          <w:rFonts w:ascii="Times New Roman" w:eastAsia="Times New Roman" w:hAnsi="Times New Roman" w:cs="Times New Roman"/>
          <w:sz w:val="24"/>
          <w:szCs w:val="24"/>
          <w:highlight w:val="yellow"/>
        </w:rPr>
        <w:t>approximately</w:t>
      </w:r>
      <w:r>
        <w:rPr>
          <w:rFonts w:ascii="Times New Roman" w:eastAsia="Times New Roman" w:hAnsi="Times New Roman" w:cs="Times New Roman"/>
          <w:sz w:val="24"/>
          <w:szCs w:val="24"/>
        </w:rPr>
        <w:t xml:space="preserve"> 40,000 households across </w:t>
      </w:r>
      <w:r>
        <w:rPr>
          <w:rFonts w:ascii="Times New Roman" w:eastAsia="Times New Roman" w:hAnsi="Times New Roman" w:cs="Times New Roman"/>
          <w:sz w:val="24"/>
          <w:szCs w:val="24"/>
          <w:highlight w:val="yellow"/>
        </w:rPr>
        <w:t xml:space="preserve">the </w:t>
      </w:r>
      <w:r>
        <w:rPr>
          <w:rFonts w:ascii="Times New Roman" w:eastAsia="Times New Roman" w:hAnsi="Times New Roman" w:cs="Times New Roman"/>
          <w:sz w:val="24"/>
          <w:szCs w:val="24"/>
        </w:rPr>
        <w:t xml:space="preserve">36 states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the Federal Capital Territory. The study population </w:t>
      </w:r>
      <w:r>
        <w:rPr>
          <w:rFonts w:ascii="Times New Roman" w:eastAsia="Times New Roman" w:hAnsi="Times New Roman" w:cs="Times New Roman"/>
          <w:sz w:val="24"/>
          <w:szCs w:val="24"/>
          <w:highlight w:val="yellow"/>
        </w:rPr>
        <w:t>comprised</w:t>
      </w:r>
      <w:r>
        <w:rPr>
          <w:rFonts w:ascii="Times New Roman" w:eastAsia="Times New Roman" w:hAnsi="Times New Roman" w:cs="Times New Roman"/>
          <w:sz w:val="24"/>
          <w:szCs w:val="24"/>
        </w:rPr>
        <w:t xml:space="preserve"> children aged 12-23 months and </w:t>
      </w:r>
      <w:r>
        <w:rPr>
          <w:rFonts w:ascii="Times New Roman" w:eastAsia="Times New Roman" w:hAnsi="Times New Roman" w:cs="Times New Roman"/>
          <w:sz w:val="24"/>
          <w:szCs w:val="24"/>
          <w:highlight w:val="yellow"/>
        </w:rPr>
        <w:t xml:space="preserve">their </w:t>
      </w:r>
      <w:r>
        <w:rPr>
          <w:rFonts w:ascii="Times New Roman" w:eastAsia="Times New Roman" w:hAnsi="Times New Roman" w:cs="Times New Roman"/>
          <w:sz w:val="24"/>
          <w:szCs w:val="24"/>
        </w:rPr>
        <w:t xml:space="preserve">mothers or primary caregivers </w:t>
      </w:r>
      <w:r>
        <w:rPr>
          <w:rFonts w:ascii="Times New Roman" w:eastAsia="Times New Roman" w:hAnsi="Times New Roman" w:cs="Times New Roman"/>
          <w:sz w:val="24"/>
          <w:szCs w:val="24"/>
          <w:highlight w:val="yellow"/>
        </w:rPr>
        <w:t>who</w:t>
      </w:r>
      <w:r>
        <w:rPr>
          <w:rFonts w:ascii="Times New Roman" w:eastAsia="Times New Roman" w:hAnsi="Times New Roman" w:cs="Times New Roman"/>
          <w:sz w:val="24"/>
          <w:szCs w:val="24"/>
        </w:rPr>
        <w:t xml:space="preserve"> participated in the survey </w:t>
      </w:r>
      <w:r>
        <w:rPr>
          <w:rFonts w:ascii="Times New Roman" w:eastAsia="Times New Roman" w:hAnsi="Times New Roman" w:cs="Times New Roman"/>
          <w:sz w:val="24"/>
          <w:szCs w:val="24"/>
          <w:highlight w:val="yellow"/>
        </w:rPr>
        <w:t>and had</w:t>
      </w:r>
      <w:r>
        <w:rPr>
          <w:rFonts w:ascii="Times New Roman" w:eastAsia="Times New Roman" w:hAnsi="Times New Roman" w:cs="Times New Roman"/>
          <w:sz w:val="24"/>
          <w:szCs w:val="24"/>
        </w:rPr>
        <w:t xml:space="preserve"> complete</w:t>
      </w:r>
      <w:r>
        <w:rPr>
          <w:rFonts w:ascii="Times New Roman" w:eastAsia="Times New Roman" w:hAnsi="Times New Roman" w:cs="Times New Roman"/>
          <w:sz w:val="24"/>
          <w:szCs w:val="24"/>
          <w:highlight w:val="yellow"/>
        </w:rPr>
        <w:t xml:space="preserve"> information on</w:t>
      </w:r>
      <w:r>
        <w:rPr>
          <w:rFonts w:ascii="Times New Roman" w:eastAsia="Times New Roman" w:hAnsi="Times New Roman" w:cs="Times New Roman"/>
          <w:sz w:val="24"/>
          <w:szCs w:val="24"/>
        </w:rPr>
        <w:t xml:space="preserve"> vaccination and predictor variables. The NDHS </w:t>
      </w:r>
      <w:r>
        <w:rPr>
          <w:rFonts w:ascii="Times New Roman" w:eastAsia="Times New Roman" w:hAnsi="Times New Roman" w:cs="Times New Roman"/>
          <w:sz w:val="24"/>
          <w:szCs w:val="24"/>
          <w:highlight w:val="yellow"/>
        </w:rPr>
        <w:t>employed</w:t>
      </w:r>
      <w:r>
        <w:rPr>
          <w:rFonts w:ascii="Times New Roman" w:eastAsia="Times New Roman" w:hAnsi="Times New Roman" w:cs="Times New Roman"/>
          <w:sz w:val="24"/>
          <w:szCs w:val="24"/>
        </w:rPr>
        <w:t xml:space="preserve"> a stratified two-stage cluster sampling</w:t>
      </w:r>
      <w:r>
        <w:rPr>
          <w:rFonts w:ascii="Times New Roman" w:eastAsia="Times New Roman" w:hAnsi="Times New Roman" w:cs="Times New Roman"/>
          <w:sz w:val="24"/>
          <w:szCs w:val="24"/>
          <w:highlight w:val="yellow"/>
        </w:rPr>
        <w:t xml:space="preserve"> design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first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stage,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enumeration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areas</w:t>
      </w:r>
      <w:r>
        <w:rPr>
          <w:rFonts w:ascii="Times New Roman" w:eastAsia="Times New Roman" w:hAnsi="Times New Roman" w:cs="Times New Roman"/>
          <w:sz w:val="24"/>
          <w:szCs w:val="24"/>
        </w:rPr>
        <w:t xml:space="preserve"> (EAs)</w:t>
      </w:r>
      <w:r>
        <w:rPr>
          <w:rFonts w:ascii="Times New Roman" w:eastAsia="Times New Roman" w:hAnsi="Times New Roman" w:cs="Times New Roman"/>
          <w:sz w:val="24"/>
          <w:szCs w:val="24"/>
          <w:highlight w:val="yellow"/>
        </w:rPr>
        <w:t xml:space="preserve"> were selected</w:t>
      </w:r>
      <w:r>
        <w:rPr>
          <w:rFonts w:ascii="Times New Roman" w:eastAsia="Times New Roman" w:hAnsi="Times New Roman" w:cs="Times New Roman"/>
          <w:sz w:val="24"/>
          <w:szCs w:val="24"/>
        </w:rPr>
        <w:t xml:space="preserve"> with probability proportional to size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 the second</w:t>
      </w:r>
      <w:r>
        <w:rPr>
          <w:rFonts w:ascii="Times New Roman" w:eastAsia="Times New Roman" w:hAnsi="Times New Roman" w:cs="Times New Roman"/>
          <w:sz w:val="24"/>
          <w:szCs w:val="24"/>
        </w:rPr>
        <w:t xml:space="preserve"> stage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households</w:t>
      </w:r>
      <w:r>
        <w:rPr>
          <w:rFonts w:ascii="Times New Roman" w:eastAsia="Times New Roman" w:hAnsi="Times New Roman" w:cs="Times New Roman"/>
          <w:sz w:val="24"/>
          <w:szCs w:val="24"/>
          <w:highlight w:val="yellow"/>
        </w:rPr>
        <w:t xml:space="preserve"> were selected systematically</w:t>
      </w:r>
      <w:r>
        <w:rPr>
          <w:rFonts w:ascii="Times New Roman" w:eastAsia="Times New Roman" w:hAnsi="Times New Roman" w:cs="Times New Roman"/>
          <w:sz w:val="24"/>
          <w:szCs w:val="24"/>
        </w:rPr>
        <w:t xml:space="preserve"> within each sampled EA. </w:t>
      </w:r>
      <w:r>
        <w:rPr>
          <w:rFonts w:ascii="Times New Roman" w:eastAsia="Times New Roman" w:hAnsi="Times New Roman" w:cs="Times New Roman"/>
          <w:sz w:val="24"/>
          <w:szCs w:val="24"/>
          <w:highlight w:val="yellow"/>
        </w:rPr>
        <w:t>Eligible</w:t>
      </w:r>
      <w:r>
        <w:rPr>
          <w:rFonts w:ascii="Times New Roman" w:eastAsia="Times New Roman" w:hAnsi="Times New Roman" w:cs="Times New Roman"/>
          <w:sz w:val="24"/>
          <w:szCs w:val="24"/>
        </w:rPr>
        <w:t xml:space="preserve"> children </w:t>
      </w:r>
      <w:r>
        <w:rPr>
          <w:rFonts w:ascii="Times New Roman" w:eastAsia="Times New Roman" w:hAnsi="Times New Roman" w:cs="Times New Roman"/>
          <w:sz w:val="24"/>
          <w:szCs w:val="24"/>
          <w:highlight w:val="yellow"/>
        </w:rPr>
        <w:t>were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aged</w:t>
      </w:r>
      <w:r>
        <w:rPr>
          <w:rFonts w:ascii="Times New Roman" w:eastAsia="Times New Roman" w:hAnsi="Times New Roman" w:cs="Times New Roman"/>
          <w:sz w:val="24"/>
          <w:szCs w:val="24"/>
        </w:rPr>
        <w:t xml:space="preserve"> 12-23 months </w:t>
      </w:r>
      <w:r>
        <w:rPr>
          <w:rFonts w:ascii="Times New Roman" w:eastAsia="Times New Roman" w:hAnsi="Times New Roman" w:cs="Times New Roman"/>
          <w:sz w:val="24"/>
          <w:szCs w:val="24"/>
          <w:highlight w:val="yellow"/>
        </w:rPr>
        <w:t>and had</w:t>
      </w:r>
      <w:r>
        <w:rPr>
          <w:rFonts w:ascii="Times New Roman" w:eastAsia="Times New Roman" w:hAnsi="Times New Roman" w:cs="Times New Roman"/>
          <w:sz w:val="24"/>
          <w:szCs w:val="24"/>
        </w:rPr>
        <w:t xml:space="preserve"> complete </w:t>
      </w:r>
      <w:r>
        <w:rPr>
          <w:rFonts w:ascii="Times New Roman" w:eastAsia="Times New Roman" w:hAnsi="Times New Roman" w:cs="Times New Roman"/>
          <w:sz w:val="24"/>
          <w:szCs w:val="24"/>
          <w:highlight w:val="yellow"/>
        </w:rPr>
        <w:t xml:space="preserve">vaccination-status </w:t>
      </w:r>
      <w:r>
        <w:rPr>
          <w:rFonts w:ascii="Times New Roman" w:eastAsia="Times New Roman" w:hAnsi="Times New Roman" w:cs="Times New Roman"/>
          <w:sz w:val="24"/>
          <w:szCs w:val="24"/>
        </w:rPr>
        <w:t>information</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while </w:t>
      </w:r>
      <w:r>
        <w:rPr>
          <w:rFonts w:ascii="Times New Roman" w:eastAsia="Times New Roman" w:hAnsi="Times New Roman" w:cs="Times New Roman"/>
          <w:sz w:val="24"/>
          <w:szCs w:val="24"/>
          <w:highlight w:val="yellow"/>
        </w:rPr>
        <w:t>their</w:t>
      </w:r>
      <w:r>
        <w:rPr>
          <w:rFonts w:ascii="Times New Roman" w:eastAsia="Times New Roman" w:hAnsi="Times New Roman" w:cs="Times New Roman"/>
          <w:sz w:val="24"/>
          <w:szCs w:val="24"/>
        </w:rPr>
        <w:t xml:space="preserve"> mothers </w:t>
      </w:r>
      <w:r>
        <w:rPr>
          <w:rFonts w:ascii="Times New Roman" w:eastAsia="Times New Roman" w:hAnsi="Times New Roman" w:cs="Times New Roman"/>
          <w:sz w:val="24"/>
          <w:szCs w:val="24"/>
          <w:highlight w:val="yellow"/>
        </w:rPr>
        <w:t>had</w:t>
      </w:r>
      <w:r>
        <w:rPr>
          <w:rFonts w:ascii="Times New Roman" w:eastAsia="Times New Roman" w:hAnsi="Times New Roman" w:cs="Times New Roman"/>
          <w:sz w:val="24"/>
          <w:szCs w:val="24"/>
        </w:rPr>
        <w:t xml:space="preserve"> complete demographic and household </w:t>
      </w:r>
      <w:r>
        <w:rPr>
          <w:rFonts w:ascii="Times New Roman" w:eastAsia="Times New Roman" w:hAnsi="Times New Roman" w:cs="Times New Roman"/>
          <w:sz w:val="24"/>
          <w:szCs w:val="24"/>
          <w:highlight w:val="yellow"/>
        </w:rPr>
        <w:t>information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Children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outside</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specified</w:t>
      </w:r>
      <w:r>
        <w:rPr>
          <w:rFonts w:ascii="Times New Roman" w:eastAsia="Times New Roman" w:hAnsi="Times New Roman" w:cs="Times New Roman"/>
          <w:sz w:val="24"/>
          <w:szCs w:val="24"/>
        </w:rPr>
        <w:t xml:space="preserve"> age range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records </w:t>
      </w:r>
      <w:r>
        <w:rPr>
          <w:rFonts w:ascii="Times New Roman" w:eastAsia="Times New Roman" w:hAnsi="Times New Roman" w:cs="Times New Roman"/>
          <w:sz w:val="24"/>
          <w:szCs w:val="24"/>
          <w:highlight w:val="yellow"/>
        </w:rPr>
        <w:t>with incomplete</w:t>
      </w:r>
      <w:r>
        <w:rPr>
          <w:rFonts w:ascii="Times New Roman" w:eastAsia="Times New Roman" w:hAnsi="Times New Roman" w:cs="Times New Roman"/>
          <w:sz w:val="24"/>
          <w:szCs w:val="24"/>
        </w:rPr>
        <w:t xml:space="preserve"> major variables</w:t>
      </w:r>
      <w:r>
        <w:rPr>
          <w:rFonts w:ascii="Times New Roman" w:eastAsia="Times New Roman" w:hAnsi="Times New Roman" w:cs="Times New Roman"/>
          <w:sz w:val="24"/>
          <w:szCs w:val="24"/>
          <w:highlight w:val="yellow"/>
        </w:rPr>
        <w:t xml:space="preserve"> or</w:t>
      </w:r>
      <w:r>
        <w:rPr>
          <w:rFonts w:ascii="Times New Roman" w:eastAsia="Times New Roman" w:hAnsi="Times New Roman" w:cs="Times New Roman"/>
          <w:sz w:val="24"/>
          <w:szCs w:val="24"/>
        </w:rPr>
        <w:t xml:space="preserve"> contradictory </w:t>
      </w:r>
      <w:r>
        <w:rPr>
          <w:rFonts w:ascii="Times New Roman" w:eastAsia="Times New Roman" w:hAnsi="Times New Roman" w:cs="Times New Roman"/>
          <w:sz w:val="24"/>
          <w:szCs w:val="24"/>
          <w:highlight w:val="yellow"/>
        </w:rPr>
        <w:t>vaccination-status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information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were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excluded</w:t>
      </w:r>
      <w:r>
        <w:rPr>
          <w:rFonts w:ascii="Times New Roman" w:eastAsia="Times New Roman" w:hAnsi="Times New Roman" w:cs="Times New Roman"/>
          <w:sz w:val="24"/>
          <w:szCs w:val="24"/>
        </w:rPr>
        <w:t>.</w:t>
      </w:r>
    </w:p>
    <w:p w14:paraId="2C3ABB6D" w14:textId="77777777" w:rsidR="00D37A2F" w:rsidRPr="00D602FB" w:rsidRDefault="00D37A2F" w:rsidP="00D37A2F">
      <w:pPr>
        <w:pStyle w:val="Heading3"/>
        <w:rPr>
          <w:b w:val="0"/>
          <w:sz w:val="24"/>
          <w:szCs w:val="24"/>
        </w:rPr>
      </w:pPr>
      <w:r>
        <w:rPr>
          <w:b w:val="0"/>
          <w:sz w:val="24"/>
          <w:szCs w:val="24"/>
        </w:rPr>
        <w:t>4.0 Data</w:t>
      </w:r>
      <w:r w:rsidRPr="00D602FB">
        <w:rPr>
          <w:b w:val="0"/>
          <w:sz w:val="24"/>
          <w:szCs w:val="24"/>
        </w:rPr>
        <w:t xml:space="preserve"> Analysis</w:t>
      </w:r>
      <w:r>
        <w:rPr>
          <w:b w:val="0"/>
          <w:sz w:val="24"/>
          <w:szCs w:val="24"/>
        </w:rPr>
        <w:t xml:space="preserve"> and Interpretation</w:t>
      </w:r>
    </w:p>
    <w:p w14:paraId="643509AE" w14:textId="77777777" w:rsidR="00D37A2F" w:rsidRPr="00D37501"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This section </w:t>
      </w:r>
      <w:r>
        <w:rPr>
          <w:rFonts w:ascii="Times New Roman" w:eastAsia="Times New Roman" w:hAnsi="Times New Roman" w:cs="Times New Roman"/>
          <w:sz w:val="24"/>
          <w:szCs w:val="24"/>
          <w:highlight w:val="yellow"/>
        </w:rPr>
        <w:t>examines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classical (frequentist) </w:t>
      </w:r>
      <w:r>
        <w:rPr>
          <w:rFonts w:ascii="Times New Roman" w:eastAsia="Times New Roman" w:hAnsi="Times New Roman" w:cs="Times New Roman"/>
          <w:sz w:val="24"/>
          <w:szCs w:val="24"/>
          <w:highlight w:val="yellow"/>
        </w:rPr>
        <w:t>and Bayesian approaches</w:t>
      </w:r>
      <w:r>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highlight w:val="yellow"/>
        </w:rPr>
        <w:t>estimating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NDHS data. The </w:t>
      </w:r>
      <w:r>
        <w:rPr>
          <w:rFonts w:ascii="Times New Roman" w:eastAsia="Times New Roman" w:hAnsi="Times New Roman" w:cs="Times New Roman"/>
          <w:sz w:val="24"/>
          <w:szCs w:val="24"/>
          <w:highlight w:val="yellow"/>
        </w:rPr>
        <w:t>purpose</w:t>
      </w:r>
      <w:r>
        <w:rPr>
          <w:rFonts w:ascii="Times New Roman" w:eastAsia="Times New Roman" w:hAnsi="Times New Roman" w:cs="Times New Roman"/>
          <w:sz w:val="24"/>
          <w:szCs w:val="24"/>
        </w:rPr>
        <w:t xml:space="preserve"> is to </w:t>
      </w:r>
      <w:r>
        <w:rPr>
          <w:rFonts w:ascii="Times New Roman" w:eastAsia="Times New Roman" w:hAnsi="Times New Roman" w:cs="Times New Roman"/>
          <w:sz w:val="24"/>
          <w:szCs w:val="24"/>
          <w:highlight w:val="yellow"/>
        </w:rPr>
        <w:t>identify</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better-performing</w:t>
      </w:r>
      <w:r>
        <w:rPr>
          <w:rFonts w:ascii="Times New Roman" w:eastAsia="Times New Roman" w:hAnsi="Times New Roman" w:cs="Times New Roman"/>
          <w:sz w:val="24"/>
          <w:szCs w:val="24"/>
        </w:rPr>
        <w:t xml:space="preserve"> model and </w:t>
      </w:r>
      <w:r>
        <w:rPr>
          <w:rFonts w:ascii="Times New Roman" w:eastAsia="Times New Roman" w:hAnsi="Times New Roman" w:cs="Times New Roman"/>
          <w:sz w:val="24"/>
          <w:szCs w:val="24"/>
          <w:highlight w:val="yellow"/>
        </w:rPr>
        <w:t>make</w:t>
      </w:r>
      <w:r>
        <w:rPr>
          <w:rFonts w:ascii="Times New Roman" w:eastAsia="Times New Roman" w:hAnsi="Times New Roman" w:cs="Times New Roman"/>
          <w:sz w:val="24"/>
          <w:szCs w:val="24"/>
        </w:rPr>
        <w:t xml:space="preserve"> an </w:t>
      </w:r>
      <w:r>
        <w:rPr>
          <w:rFonts w:ascii="Times New Roman" w:eastAsia="Times New Roman" w:hAnsi="Times New Roman" w:cs="Times New Roman"/>
          <w:sz w:val="24"/>
          <w:szCs w:val="24"/>
          <w:highlight w:val="yellow"/>
        </w:rPr>
        <w:t>appropriate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recommendation.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 analysis evaluates</w:t>
      </w:r>
      <w:r>
        <w:rPr>
          <w:rFonts w:ascii="Times New Roman" w:eastAsia="Times New Roman" w:hAnsi="Times New Roman" w:cs="Times New Roman"/>
          <w:sz w:val="24"/>
          <w:szCs w:val="24"/>
        </w:rPr>
        <w:t xml:space="preserve"> the effects of maternal and household factors on childhood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coverage in Nigeria using the NDHS. </w:t>
      </w:r>
      <w:r>
        <w:rPr>
          <w:rFonts w:ascii="Times New Roman" w:eastAsia="Times New Roman" w:hAnsi="Times New Roman" w:cs="Times New Roman"/>
          <w:sz w:val="24"/>
          <w:szCs w:val="24"/>
          <w:highlight w:val="yellow"/>
        </w:rPr>
        <w:t>Both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approaches</w:t>
      </w:r>
      <w:r>
        <w:rPr>
          <w:rFonts w:ascii="Times New Roman" w:eastAsia="Times New Roman" w:hAnsi="Times New Roman" w:cs="Times New Roman"/>
          <w:sz w:val="24"/>
          <w:szCs w:val="24"/>
        </w:rPr>
        <w:t xml:space="preserve"> follow established procedures for NDHS data </w:t>
      </w:r>
      <w:r>
        <w:rPr>
          <w:rFonts w:ascii="Times New Roman" w:eastAsia="Times New Roman" w:hAnsi="Times New Roman" w:cs="Times New Roman"/>
          <w:sz w:val="24"/>
          <w:szCs w:val="24"/>
          <w:highlight w:val="yellow"/>
        </w:rPr>
        <w:t>through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use of sampling</w:t>
      </w:r>
      <w:r>
        <w:rPr>
          <w:rFonts w:ascii="Times New Roman" w:eastAsia="Times New Roman" w:hAnsi="Times New Roman" w:cs="Times New Roman"/>
          <w:sz w:val="24"/>
          <w:szCs w:val="24"/>
        </w:rPr>
        <w:t xml:space="preserve"> weights, </w:t>
      </w:r>
      <w:r>
        <w:rPr>
          <w:rFonts w:ascii="Times New Roman" w:eastAsia="Times New Roman" w:hAnsi="Times New Roman" w:cs="Times New Roman"/>
          <w:sz w:val="24"/>
          <w:szCs w:val="24"/>
          <w:highlight w:val="yellow"/>
        </w:rPr>
        <w:t>clustering</w:t>
      </w:r>
      <w:r>
        <w:rPr>
          <w:rFonts w:ascii="Times New Roman" w:eastAsia="Times New Roman" w:hAnsi="Times New Roman" w:cs="Times New Roman"/>
          <w:sz w:val="24"/>
          <w:szCs w:val="24"/>
        </w:rPr>
        <w:t xml:space="preserve">, and stratification. </w:t>
      </w:r>
      <w:r>
        <w:rPr>
          <w:rFonts w:ascii="Times New Roman" w:eastAsia="Times New Roman" w:hAnsi="Times New Roman" w:cs="Times New Roman"/>
          <w:sz w:val="24"/>
          <w:szCs w:val="24"/>
          <w:highlight w:val="yellow"/>
        </w:rPr>
        <w:t>The analytical procedures include descriptive</w:t>
      </w:r>
      <w:r>
        <w:rPr>
          <w:rFonts w:ascii="Times New Roman" w:eastAsia="Times New Roman" w:hAnsi="Times New Roman" w:cs="Times New Roman"/>
          <w:sz w:val="24"/>
          <w:szCs w:val="24"/>
        </w:rPr>
        <w:t xml:space="preserve"> statistics, bivariate analysis, multicollinearity tests, survey-weighted logistic regression, model diagnostics, and interpretation of the results.</w:t>
      </w:r>
    </w:p>
    <w:p w14:paraId="61C1442E" w14:textId="77777777" w:rsidR="00D37A2F" w:rsidRDefault="00D37A2F" w:rsidP="00D37A2F">
      <w:pPr>
        <w:pStyle w:val="Heading2"/>
        <w:spacing w:before="0" w:beforeAutospacing="0" w:after="0" w:afterAutospacing="0"/>
        <w:rPr>
          <w:b w:val="0"/>
          <w:sz w:val="24"/>
          <w:szCs w:val="24"/>
        </w:rPr>
      </w:pPr>
      <w:r w:rsidRPr="00D602FB">
        <w:rPr>
          <w:b w:val="0"/>
          <w:sz w:val="24"/>
          <w:szCs w:val="24"/>
        </w:rPr>
        <w:t>4.1 Descriptive Statistics</w:t>
      </w:r>
    </w:p>
    <w:p w14:paraId="4E618F19" w14:textId="77777777" w:rsidR="00D37A2F" w:rsidRDefault="00D37A2F" w:rsidP="00D37A2F">
      <w:pPr>
        <w:pStyle w:val="NormalWeb"/>
        <w:spacing w:before="0" w:beforeAutospacing="0" w:after="0" w:afterAutospacing="0"/>
      </w:pPr>
    </w:p>
    <w:p w14:paraId="0FBB8BA0" w14:textId="77777777" w:rsidR="00D37A2F" w:rsidRDefault="00D37A2F" w:rsidP="00D37A2F">
      <w:pPr>
        <w:pStyle w:val="NormalWeb"/>
        <w:spacing w:before="0" w:beforeAutospacing="0" w:after="0" w:afterAutospacing="0"/>
      </w:pPr>
      <w:r>
        <w:t>Table 1 presents the weighted distribution of the study population according to maternal and household characteristics.</w:t>
      </w:r>
    </w:p>
    <w:p w14:paraId="28E82EED" w14:textId="77777777" w:rsidR="00D37A2F" w:rsidRPr="002461B8" w:rsidRDefault="00D37A2F" w:rsidP="00D37A2F">
      <w:pPr>
        <w:pStyle w:val="Heading3"/>
        <w:rPr>
          <w:bCs w:val="0"/>
          <w:sz w:val="24"/>
          <w:szCs w:val="24"/>
        </w:rPr>
      </w:pPr>
      <w:r w:rsidRPr="002461B8">
        <w:rPr>
          <w:bCs w:val="0"/>
          <w:sz w:val="24"/>
          <w:szCs w:val="24"/>
        </w:rPr>
        <w:t>Table</w:t>
      </w:r>
      <w:r w:rsidR="002461B8" w:rsidRPr="002461B8">
        <w:rPr>
          <w:bCs w:val="0"/>
          <w:sz w:val="24"/>
          <w:szCs w:val="24"/>
        </w:rPr>
        <w:t xml:space="preserve"> </w:t>
      </w:r>
      <w:r w:rsidRPr="002461B8">
        <w:rPr>
          <w:bCs w:val="0"/>
          <w:sz w:val="24"/>
          <w:szCs w:val="24"/>
        </w:rPr>
        <w:t>1</w:t>
      </w:r>
      <w:r w:rsidR="002461B8" w:rsidRPr="002461B8">
        <w:rPr>
          <w:bCs w:val="0"/>
          <w:sz w:val="24"/>
          <w:szCs w:val="24"/>
        </w:rPr>
        <w:t>.</w:t>
      </w:r>
      <w:r w:rsidRPr="002461B8">
        <w:rPr>
          <w:bCs w:val="0"/>
          <w:sz w:val="24"/>
          <w:szCs w:val="24"/>
        </w:rPr>
        <w:t xml:space="preserve"> Descriptive Statistics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70"/>
        <w:gridCol w:w="989"/>
        <w:gridCol w:w="1899"/>
        <w:gridCol w:w="1425"/>
      </w:tblGrid>
      <w:tr w:rsidR="00D37A2F" w14:paraId="6C1C7D23" w14:textId="77777777" w:rsidTr="00CC0B3D">
        <w:trPr>
          <w:tblHeader/>
          <w:tblCellSpacing w:w="15" w:type="dxa"/>
        </w:trPr>
        <w:tc>
          <w:tcPr>
            <w:tcW w:w="0" w:type="auto"/>
            <w:vAlign w:val="center"/>
            <w:hideMark/>
          </w:tcPr>
          <w:p w14:paraId="6E5CFD9B" w14:textId="77777777" w:rsidR="00D37A2F" w:rsidRPr="00922FF6" w:rsidRDefault="00D37A2F" w:rsidP="00CC0B3D">
            <w:pPr>
              <w:rPr>
                <w:rFonts w:ascii="Times New Roman" w:hAnsi="Times New Roman" w:cs="Times New Roman"/>
                <w:bCs/>
              </w:rPr>
            </w:pPr>
            <w:r w:rsidRPr="00922FF6">
              <w:rPr>
                <w:rFonts w:ascii="Times New Roman" w:hAnsi="Times New Roman" w:cs="Times New Roman"/>
                <w:bCs/>
              </w:rPr>
              <w:t>Variable</w:t>
            </w:r>
          </w:p>
        </w:tc>
        <w:tc>
          <w:tcPr>
            <w:tcW w:w="0" w:type="auto"/>
            <w:vAlign w:val="center"/>
            <w:hideMark/>
          </w:tcPr>
          <w:p w14:paraId="007A1667" w14:textId="77777777" w:rsidR="00D37A2F" w:rsidRPr="00922FF6" w:rsidRDefault="00D37A2F" w:rsidP="00CC0B3D">
            <w:pPr>
              <w:rPr>
                <w:rFonts w:ascii="Times New Roman" w:hAnsi="Times New Roman" w:cs="Times New Roman"/>
                <w:bCs/>
              </w:rPr>
            </w:pPr>
            <w:r w:rsidRPr="00922FF6">
              <w:rPr>
                <w:rFonts w:ascii="Times New Roman" w:hAnsi="Times New Roman" w:cs="Times New Roman"/>
                <w:bCs/>
              </w:rPr>
              <w:t>Category</w:t>
            </w:r>
          </w:p>
        </w:tc>
        <w:tc>
          <w:tcPr>
            <w:tcW w:w="0" w:type="auto"/>
            <w:vAlign w:val="center"/>
            <w:hideMark/>
          </w:tcPr>
          <w:p w14:paraId="66BA20E4" w14:textId="77777777" w:rsidR="00D37A2F" w:rsidRPr="00922FF6" w:rsidRDefault="00D37A2F" w:rsidP="00CC0B3D">
            <w:pPr>
              <w:rPr>
                <w:rFonts w:ascii="Times New Roman" w:hAnsi="Times New Roman" w:cs="Times New Roman"/>
                <w:bCs/>
              </w:rPr>
            </w:pPr>
            <w:r w:rsidRPr="00922FF6">
              <w:rPr>
                <w:rFonts w:ascii="Times New Roman" w:hAnsi="Times New Roman" w:cs="Times New Roman"/>
                <w:bCs/>
              </w:rPr>
              <w:t>Weighted Frequency</w:t>
            </w:r>
          </w:p>
        </w:tc>
        <w:tc>
          <w:tcPr>
            <w:tcW w:w="0" w:type="auto"/>
            <w:vAlign w:val="center"/>
            <w:hideMark/>
          </w:tcPr>
          <w:p w14:paraId="0D8CC2DE" w14:textId="77777777" w:rsidR="00D37A2F" w:rsidRPr="00922FF6" w:rsidRDefault="00D37A2F" w:rsidP="00CC0B3D">
            <w:pPr>
              <w:jc w:val="center"/>
              <w:rPr>
                <w:rFonts w:ascii="Times New Roman" w:hAnsi="Times New Roman" w:cs="Times New Roman"/>
                <w:bCs/>
              </w:rPr>
            </w:pPr>
            <w:r w:rsidRPr="00922FF6">
              <w:rPr>
                <w:rFonts w:ascii="Times New Roman" w:hAnsi="Times New Roman" w:cs="Times New Roman"/>
                <w:bCs/>
              </w:rPr>
              <w:t>Percentage (%)</w:t>
            </w:r>
          </w:p>
        </w:tc>
      </w:tr>
      <w:tr w:rsidR="00D37A2F" w14:paraId="1F45D815" w14:textId="77777777" w:rsidTr="00CC0B3D">
        <w:trPr>
          <w:tblCellSpacing w:w="15" w:type="dxa"/>
        </w:trPr>
        <w:tc>
          <w:tcPr>
            <w:tcW w:w="0" w:type="auto"/>
            <w:vAlign w:val="center"/>
            <w:hideMark/>
          </w:tcPr>
          <w:p w14:paraId="1BF9944A"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Maternal age</w:t>
            </w:r>
          </w:p>
        </w:tc>
        <w:tc>
          <w:tcPr>
            <w:tcW w:w="0" w:type="auto"/>
            <w:vAlign w:val="center"/>
            <w:hideMark/>
          </w:tcPr>
          <w:p w14:paraId="50BA9600"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15–24</w:t>
            </w:r>
          </w:p>
        </w:tc>
        <w:tc>
          <w:tcPr>
            <w:tcW w:w="0" w:type="auto"/>
            <w:vAlign w:val="center"/>
            <w:hideMark/>
          </w:tcPr>
          <w:p w14:paraId="211963E8"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1,125</w:t>
            </w:r>
          </w:p>
        </w:tc>
        <w:tc>
          <w:tcPr>
            <w:tcW w:w="0" w:type="auto"/>
            <w:vAlign w:val="center"/>
            <w:hideMark/>
          </w:tcPr>
          <w:p w14:paraId="661A6FF4"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24.7</w:t>
            </w:r>
          </w:p>
        </w:tc>
      </w:tr>
      <w:tr w:rsidR="00D37A2F" w14:paraId="727B7BCF" w14:textId="77777777" w:rsidTr="00CC0B3D">
        <w:trPr>
          <w:tblCellSpacing w:w="15" w:type="dxa"/>
        </w:trPr>
        <w:tc>
          <w:tcPr>
            <w:tcW w:w="0" w:type="auto"/>
            <w:vAlign w:val="center"/>
            <w:hideMark/>
          </w:tcPr>
          <w:p w14:paraId="557F5B72" w14:textId="77777777" w:rsidR="00D37A2F" w:rsidRPr="00922FF6" w:rsidRDefault="00D37A2F" w:rsidP="00CC0B3D">
            <w:pPr>
              <w:rPr>
                <w:rFonts w:ascii="Times New Roman" w:hAnsi="Times New Roman" w:cs="Times New Roman"/>
              </w:rPr>
            </w:pPr>
          </w:p>
        </w:tc>
        <w:tc>
          <w:tcPr>
            <w:tcW w:w="0" w:type="auto"/>
            <w:vAlign w:val="center"/>
            <w:hideMark/>
          </w:tcPr>
          <w:p w14:paraId="11E3F8A3"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25–34</w:t>
            </w:r>
          </w:p>
        </w:tc>
        <w:tc>
          <w:tcPr>
            <w:tcW w:w="0" w:type="auto"/>
            <w:vAlign w:val="center"/>
            <w:hideMark/>
          </w:tcPr>
          <w:p w14:paraId="71C63EFB"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2,315</w:t>
            </w:r>
          </w:p>
        </w:tc>
        <w:tc>
          <w:tcPr>
            <w:tcW w:w="0" w:type="auto"/>
            <w:vAlign w:val="center"/>
            <w:hideMark/>
          </w:tcPr>
          <w:p w14:paraId="5D6B251C"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50.8</w:t>
            </w:r>
          </w:p>
        </w:tc>
      </w:tr>
      <w:tr w:rsidR="00D37A2F" w14:paraId="44BB56AF" w14:textId="77777777" w:rsidTr="00CC0B3D">
        <w:trPr>
          <w:tblCellSpacing w:w="15" w:type="dxa"/>
        </w:trPr>
        <w:tc>
          <w:tcPr>
            <w:tcW w:w="0" w:type="auto"/>
            <w:vAlign w:val="center"/>
            <w:hideMark/>
          </w:tcPr>
          <w:p w14:paraId="0649AFD6" w14:textId="77777777" w:rsidR="00D37A2F" w:rsidRPr="00922FF6" w:rsidRDefault="00D37A2F" w:rsidP="00CC0B3D">
            <w:pPr>
              <w:rPr>
                <w:rFonts w:ascii="Times New Roman" w:hAnsi="Times New Roman" w:cs="Times New Roman"/>
              </w:rPr>
            </w:pPr>
          </w:p>
        </w:tc>
        <w:tc>
          <w:tcPr>
            <w:tcW w:w="0" w:type="auto"/>
            <w:vAlign w:val="center"/>
            <w:hideMark/>
          </w:tcPr>
          <w:p w14:paraId="53EB4D21"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35–49</w:t>
            </w:r>
          </w:p>
        </w:tc>
        <w:tc>
          <w:tcPr>
            <w:tcW w:w="0" w:type="auto"/>
            <w:vAlign w:val="center"/>
            <w:hideMark/>
          </w:tcPr>
          <w:p w14:paraId="04FAC129"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1,116</w:t>
            </w:r>
          </w:p>
        </w:tc>
        <w:tc>
          <w:tcPr>
            <w:tcW w:w="0" w:type="auto"/>
            <w:vAlign w:val="center"/>
            <w:hideMark/>
          </w:tcPr>
          <w:p w14:paraId="22D0F107"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24.5</w:t>
            </w:r>
          </w:p>
        </w:tc>
      </w:tr>
      <w:tr w:rsidR="00D37A2F" w14:paraId="253FA591" w14:textId="77777777" w:rsidTr="00CC0B3D">
        <w:trPr>
          <w:tblCellSpacing w:w="15" w:type="dxa"/>
        </w:trPr>
        <w:tc>
          <w:tcPr>
            <w:tcW w:w="0" w:type="auto"/>
            <w:vAlign w:val="center"/>
            <w:hideMark/>
          </w:tcPr>
          <w:p w14:paraId="61F959CE"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Education</w:t>
            </w:r>
          </w:p>
        </w:tc>
        <w:tc>
          <w:tcPr>
            <w:tcW w:w="0" w:type="auto"/>
            <w:vAlign w:val="center"/>
            <w:hideMark/>
          </w:tcPr>
          <w:p w14:paraId="35F712B2"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None</w:t>
            </w:r>
          </w:p>
        </w:tc>
        <w:tc>
          <w:tcPr>
            <w:tcW w:w="0" w:type="auto"/>
            <w:vAlign w:val="center"/>
            <w:hideMark/>
          </w:tcPr>
          <w:p w14:paraId="62950EDA"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1,462</w:t>
            </w:r>
          </w:p>
        </w:tc>
        <w:tc>
          <w:tcPr>
            <w:tcW w:w="0" w:type="auto"/>
            <w:vAlign w:val="center"/>
            <w:hideMark/>
          </w:tcPr>
          <w:p w14:paraId="0B67B962"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32.1</w:t>
            </w:r>
          </w:p>
        </w:tc>
      </w:tr>
      <w:tr w:rsidR="00D37A2F" w14:paraId="66697AAD" w14:textId="77777777" w:rsidTr="00CC0B3D">
        <w:trPr>
          <w:tblCellSpacing w:w="15" w:type="dxa"/>
        </w:trPr>
        <w:tc>
          <w:tcPr>
            <w:tcW w:w="0" w:type="auto"/>
            <w:vAlign w:val="center"/>
            <w:hideMark/>
          </w:tcPr>
          <w:p w14:paraId="15BF71A9" w14:textId="77777777" w:rsidR="00D37A2F" w:rsidRPr="00922FF6" w:rsidRDefault="00D37A2F" w:rsidP="00CC0B3D">
            <w:pPr>
              <w:rPr>
                <w:rFonts w:ascii="Times New Roman" w:hAnsi="Times New Roman" w:cs="Times New Roman"/>
              </w:rPr>
            </w:pPr>
          </w:p>
        </w:tc>
        <w:tc>
          <w:tcPr>
            <w:tcW w:w="0" w:type="auto"/>
            <w:vAlign w:val="center"/>
            <w:hideMark/>
          </w:tcPr>
          <w:p w14:paraId="6C782CE5"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Primary</w:t>
            </w:r>
          </w:p>
        </w:tc>
        <w:tc>
          <w:tcPr>
            <w:tcW w:w="0" w:type="auto"/>
            <w:vAlign w:val="center"/>
            <w:hideMark/>
          </w:tcPr>
          <w:p w14:paraId="595F387D"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921</w:t>
            </w:r>
          </w:p>
        </w:tc>
        <w:tc>
          <w:tcPr>
            <w:tcW w:w="0" w:type="auto"/>
            <w:vAlign w:val="center"/>
            <w:hideMark/>
          </w:tcPr>
          <w:p w14:paraId="3506F172"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20.2</w:t>
            </w:r>
          </w:p>
        </w:tc>
      </w:tr>
      <w:tr w:rsidR="00D37A2F" w14:paraId="290E3C4C" w14:textId="77777777" w:rsidTr="00CC0B3D">
        <w:trPr>
          <w:tblCellSpacing w:w="15" w:type="dxa"/>
        </w:trPr>
        <w:tc>
          <w:tcPr>
            <w:tcW w:w="0" w:type="auto"/>
            <w:vAlign w:val="center"/>
            <w:hideMark/>
          </w:tcPr>
          <w:p w14:paraId="77943DFF" w14:textId="77777777" w:rsidR="00D37A2F" w:rsidRPr="00922FF6" w:rsidRDefault="00D37A2F" w:rsidP="00CC0B3D">
            <w:pPr>
              <w:rPr>
                <w:rFonts w:ascii="Times New Roman" w:hAnsi="Times New Roman" w:cs="Times New Roman"/>
              </w:rPr>
            </w:pPr>
          </w:p>
        </w:tc>
        <w:tc>
          <w:tcPr>
            <w:tcW w:w="0" w:type="auto"/>
            <w:vAlign w:val="center"/>
            <w:hideMark/>
          </w:tcPr>
          <w:p w14:paraId="0D1B6935"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Secondary</w:t>
            </w:r>
          </w:p>
        </w:tc>
        <w:tc>
          <w:tcPr>
            <w:tcW w:w="0" w:type="auto"/>
            <w:vAlign w:val="center"/>
            <w:hideMark/>
          </w:tcPr>
          <w:p w14:paraId="6F9FDC9C"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1,523</w:t>
            </w:r>
          </w:p>
        </w:tc>
        <w:tc>
          <w:tcPr>
            <w:tcW w:w="0" w:type="auto"/>
            <w:vAlign w:val="center"/>
            <w:hideMark/>
          </w:tcPr>
          <w:p w14:paraId="62DF3C03"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33.4</w:t>
            </w:r>
          </w:p>
        </w:tc>
      </w:tr>
      <w:tr w:rsidR="00D37A2F" w14:paraId="16072D42" w14:textId="77777777" w:rsidTr="00CC0B3D">
        <w:trPr>
          <w:tblCellSpacing w:w="15" w:type="dxa"/>
        </w:trPr>
        <w:tc>
          <w:tcPr>
            <w:tcW w:w="0" w:type="auto"/>
            <w:vAlign w:val="center"/>
            <w:hideMark/>
          </w:tcPr>
          <w:p w14:paraId="222BF718" w14:textId="77777777" w:rsidR="00D37A2F" w:rsidRPr="00922FF6" w:rsidRDefault="00D37A2F" w:rsidP="00CC0B3D">
            <w:pPr>
              <w:rPr>
                <w:rFonts w:ascii="Times New Roman" w:hAnsi="Times New Roman" w:cs="Times New Roman"/>
              </w:rPr>
            </w:pPr>
          </w:p>
        </w:tc>
        <w:tc>
          <w:tcPr>
            <w:tcW w:w="0" w:type="auto"/>
            <w:vAlign w:val="center"/>
            <w:hideMark/>
          </w:tcPr>
          <w:p w14:paraId="0BB31223"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Higher</w:t>
            </w:r>
          </w:p>
        </w:tc>
        <w:tc>
          <w:tcPr>
            <w:tcW w:w="0" w:type="auto"/>
            <w:vAlign w:val="center"/>
            <w:hideMark/>
          </w:tcPr>
          <w:p w14:paraId="6FCB87F4"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650</w:t>
            </w:r>
          </w:p>
        </w:tc>
        <w:tc>
          <w:tcPr>
            <w:tcW w:w="0" w:type="auto"/>
            <w:vAlign w:val="center"/>
            <w:hideMark/>
          </w:tcPr>
          <w:p w14:paraId="6E2B812A"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14.3</w:t>
            </w:r>
          </w:p>
        </w:tc>
      </w:tr>
      <w:tr w:rsidR="00D37A2F" w14:paraId="1A1B8394" w14:textId="77777777" w:rsidTr="00CC0B3D">
        <w:trPr>
          <w:tblCellSpacing w:w="15" w:type="dxa"/>
        </w:trPr>
        <w:tc>
          <w:tcPr>
            <w:tcW w:w="0" w:type="auto"/>
            <w:vAlign w:val="center"/>
            <w:hideMark/>
          </w:tcPr>
          <w:p w14:paraId="2C600057"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Residence</w:t>
            </w:r>
          </w:p>
        </w:tc>
        <w:tc>
          <w:tcPr>
            <w:tcW w:w="0" w:type="auto"/>
            <w:vAlign w:val="center"/>
            <w:hideMark/>
          </w:tcPr>
          <w:p w14:paraId="79F9C864"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Urban</w:t>
            </w:r>
          </w:p>
        </w:tc>
        <w:tc>
          <w:tcPr>
            <w:tcW w:w="0" w:type="auto"/>
            <w:vAlign w:val="center"/>
            <w:hideMark/>
          </w:tcPr>
          <w:p w14:paraId="7E89ACC5"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1,874</w:t>
            </w:r>
          </w:p>
        </w:tc>
        <w:tc>
          <w:tcPr>
            <w:tcW w:w="0" w:type="auto"/>
            <w:vAlign w:val="center"/>
            <w:hideMark/>
          </w:tcPr>
          <w:p w14:paraId="02B5F8EE"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41.2</w:t>
            </w:r>
          </w:p>
        </w:tc>
      </w:tr>
      <w:tr w:rsidR="00D37A2F" w14:paraId="39BC236A" w14:textId="77777777" w:rsidTr="00CC0B3D">
        <w:trPr>
          <w:tblCellSpacing w:w="15" w:type="dxa"/>
        </w:trPr>
        <w:tc>
          <w:tcPr>
            <w:tcW w:w="0" w:type="auto"/>
            <w:vAlign w:val="center"/>
            <w:hideMark/>
          </w:tcPr>
          <w:p w14:paraId="2C937253" w14:textId="77777777" w:rsidR="00D37A2F" w:rsidRPr="00922FF6" w:rsidRDefault="00D37A2F" w:rsidP="00CC0B3D">
            <w:pPr>
              <w:rPr>
                <w:rFonts w:ascii="Times New Roman" w:hAnsi="Times New Roman" w:cs="Times New Roman"/>
              </w:rPr>
            </w:pPr>
          </w:p>
        </w:tc>
        <w:tc>
          <w:tcPr>
            <w:tcW w:w="0" w:type="auto"/>
            <w:vAlign w:val="center"/>
            <w:hideMark/>
          </w:tcPr>
          <w:p w14:paraId="2F95B56B"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Rural</w:t>
            </w:r>
          </w:p>
        </w:tc>
        <w:tc>
          <w:tcPr>
            <w:tcW w:w="0" w:type="auto"/>
            <w:vAlign w:val="center"/>
            <w:hideMark/>
          </w:tcPr>
          <w:p w14:paraId="1D5D867E"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2,682</w:t>
            </w:r>
          </w:p>
        </w:tc>
        <w:tc>
          <w:tcPr>
            <w:tcW w:w="0" w:type="auto"/>
            <w:vAlign w:val="center"/>
            <w:hideMark/>
          </w:tcPr>
          <w:p w14:paraId="27FD413A"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58.8</w:t>
            </w:r>
          </w:p>
        </w:tc>
      </w:tr>
      <w:tr w:rsidR="00D37A2F" w14:paraId="50FB9179" w14:textId="77777777" w:rsidTr="00CC0B3D">
        <w:trPr>
          <w:tblCellSpacing w:w="15" w:type="dxa"/>
        </w:trPr>
        <w:tc>
          <w:tcPr>
            <w:tcW w:w="0" w:type="auto"/>
            <w:vAlign w:val="center"/>
            <w:hideMark/>
          </w:tcPr>
          <w:p w14:paraId="01A76F14"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Household wealth</w:t>
            </w:r>
          </w:p>
        </w:tc>
        <w:tc>
          <w:tcPr>
            <w:tcW w:w="0" w:type="auto"/>
            <w:vAlign w:val="center"/>
            <w:hideMark/>
          </w:tcPr>
          <w:p w14:paraId="0F5D1661"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Poor</w:t>
            </w:r>
          </w:p>
        </w:tc>
        <w:tc>
          <w:tcPr>
            <w:tcW w:w="0" w:type="auto"/>
            <w:vAlign w:val="center"/>
            <w:hideMark/>
          </w:tcPr>
          <w:p w14:paraId="01303EFE"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1,668</w:t>
            </w:r>
          </w:p>
        </w:tc>
        <w:tc>
          <w:tcPr>
            <w:tcW w:w="0" w:type="auto"/>
            <w:vAlign w:val="center"/>
            <w:hideMark/>
          </w:tcPr>
          <w:p w14:paraId="32ED3449"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36.6</w:t>
            </w:r>
          </w:p>
        </w:tc>
      </w:tr>
      <w:tr w:rsidR="00D37A2F" w14:paraId="7C6352F5" w14:textId="77777777" w:rsidTr="00CC0B3D">
        <w:trPr>
          <w:tblCellSpacing w:w="15" w:type="dxa"/>
        </w:trPr>
        <w:tc>
          <w:tcPr>
            <w:tcW w:w="0" w:type="auto"/>
            <w:vAlign w:val="center"/>
            <w:hideMark/>
          </w:tcPr>
          <w:p w14:paraId="5E08BE73" w14:textId="77777777" w:rsidR="00D37A2F" w:rsidRPr="00922FF6" w:rsidRDefault="00D37A2F" w:rsidP="00CC0B3D">
            <w:pPr>
              <w:rPr>
                <w:rFonts w:ascii="Times New Roman" w:hAnsi="Times New Roman" w:cs="Times New Roman"/>
              </w:rPr>
            </w:pPr>
          </w:p>
        </w:tc>
        <w:tc>
          <w:tcPr>
            <w:tcW w:w="0" w:type="auto"/>
            <w:vAlign w:val="center"/>
            <w:hideMark/>
          </w:tcPr>
          <w:p w14:paraId="107F2669"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Middle</w:t>
            </w:r>
          </w:p>
        </w:tc>
        <w:tc>
          <w:tcPr>
            <w:tcW w:w="0" w:type="auto"/>
            <w:vAlign w:val="center"/>
            <w:hideMark/>
          </w:tcPr>
          <w:p w14:paraId="78F13B72"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1,087</w:t>
            </w:r>
          </w:p>
        </w:tc>
        <w:tc>
          <w:tcPr>
            <w:tcW w:w="0" w:type="auto"/>
            <w:vAlign w:val="center"/>
            <w:hideMark/>
          </w:tcPr>
          <w:p w14:paraId="5982722F"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23.9</w:t>
            </w:r>
          </w:p>
        </w:tc>
      </w:tr>
      <w:tr w:rsidR="00D37A2F" w14:paraId="45DDF896" w14:textId="77777777" w:rsidTr="00CC0B3D">
        <w:trPr>
          <w:tblCellSpacing w:w="15" w:type="dxa"/>
        </w:trPr>
        <w:tc>
          <w:tcPr>
            <w:tcW w:w="0" w:type="auto"/>
            <w:vAlign w:val="center"/>
            <w:hideMark/>
          </w:tcPr>
          <w:p w14:paraId="097271B3" w14:textId="77777777" w:rsidR="00D37A2F" w:rsidRPr="00922FF6" w:rsidRDefault="00D37A2F" w:rsidP="00CC0B3D">
            <w:pPr>
              <w:rPr>
                <w:rFonts w:ascii="Times New Roman" w:hAnsi="Times New Roman" w:cs="Times New Roman"/>
              </w:rPr>
            </w:pPr>
          </w:p>
        </w:tc>
        <w:tc>
          <w:tcPr>
            <w:tcW w:w="0" w:type="auto"/>
            <w:vAlign w:val="center"/>
            <w:hideMark/>
          </w:tcPr>
          <w:p w14:paraId="06809AB3"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Rich</w:t>
            </w:r>
          </w:p>
        </w:tc>
        <w:tc>
          <w:tcPr>
            <w:tcW w:w="0" w:type="auto"/>
            <w:vAlign w:val="center"/>
            <w:hideMark/>
          </w:tcPr>
          <w:p w14:paraId="0EBB8120"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1,801</w:t>
            </w:r>
          </w:p>
        </w:tc>
        <w:tc>
          <w:tcPr>
            <w:tcW w:w="0" w:type="auto"/>
            <w:vAlign w:val="center"/>
            <w:hideMark/>
          </w:tcPr>
          <w:p w14:paraId="4A554FAA"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39.5</w:t>
            </w:r>
          </w:p>
        </w:tc>
      </w:tr>
      <w:tr w:rsidR="00D37A2F" w14:paraId="679B40CB" w14:textId="77777777" w:rsidTr="00CC0B3D">
        <w:trPr>
          <w:tblCellSpacing w:w="15" w:type="dxa"/>
        </w:trPr>
        <w:tc>
          <w:tcPr>
            <w:tcW w:w="0" w:type="auto"/>
            <w:vAlign w:val="center"/>
            <w:hideMark/>
          </w:tcPr>
          <w:p w14:paraId="6F96656F"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ANC visits</w:t>
            </w:r>
          </w:p>
        </w:tc>
        <w:tc>
          <w:tcPr>
            <w:tcW w:w="0" w:type="auto"/>
            <w:vAlign w:val="center"/>
            <w:hideMark/>
          </w:tcPr>
          <w:p w14:paraId="77BE5672"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&lt;4 visits</w:t>
            </w:r>
          </w:p>
        </w:tc>
        <w:tc>
          <w:tcPr>
            <w:tcW w:w="0" w:type="auto"/>
            <w:vAlign w:val="center"/>
            <w:hideMark/>
          </w:tcPr>
          <w:p w14:paraId="5C074ED2"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1,378</w:t>
            </w:r>
          </w:p>
        </w:tc>
        <w:tc>
          <w:tcPr>
            <w:tcW w:w="0" w:type="auto"/>
            <w:vAlign w:val="center"/>
            <w:hideMark/>
          </w:tcPr>
          <w:p w14:paraId="1F67AE6D"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30.2</w:t>
            </w:r>
          </w:p>
        </w:tc>
      </w:tr>
      <w:tr w:rsidR="00D37A2F" w14:paraId="7D815070" w14:textId="77777777" w:rsidTr="00CC0B3D">
        <w:trPr>
          <w:tblCellSpacing w:w="15" w:type="dxa"/>
        </w:trPr>
        <w:tc>
          <w:tcPr>
            <w:tcW w:w="0" w:type="auto"/>
            <w:vAlign w:val="center"/>
            <w:hideMark/>
          </w:tcPr>
          <w:p w14:paraId="4A11AA99" w14:textId="77777777" w:rsidR="00D37A2F" w:rsidRPr="00922FF6" w:rsidRDefault="00D37A2F" w:rsidP="00CC0B3D">
            <w:pPr>
              <w:rPr>
                <w:rFonts w:ascii="Times New Roman" w:hAnsi="Times New Roman" w:cs="Times New Roman"/>
              </w:rPr>
            </w:pPr>
          </w:p>
        </w:tc>
        <w:tc>
          <w:tcPr>
            <w:tcW w:w="0" w:type="auto"/>
            <w:vAlign w:val="center"/>
            <w:hideMark/>
          </w:tcPr>
          <w:p w14:paraId="22CA9D47"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≥4 visits</w:t>
            </w:r>
          </w:p>
        </w:tc>
        <w:tc>
          <w:tcPr>
            <w:tcW w:w="0" w:type="auto"/>
            <w:vAlign w:val="center"/>
            <w:hideMark/>
          </w:tcPr>
          <w:p w14:paraId="520083A2"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3,178</w:t>
            </w:r>
          </w:p>
        </w:tc>
        <w:tc>
          <w:tcPr>
            <w:tcW w:w="0" w:type="auto"/>
            <w:vAlign w:val="center"/>
            <w:hideMark/>
          </w:tcPr>
          <w:p w14:paraId="78C6CBB1"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69.8</w:t>
            </w:r>
          </w:p>
        </w:tc>
      </w:tr>
      <w:tr w:rsidR="00D37A2F" w14:paraId="5001596B" w14:textId="77777777" w:rsidTr="00CC0B3D">
        <w:trPr>
          <w:tblCellSpacing w:w="15" w:type="dxa"/>
        </w:trPr>
        <w:tc>
          <w:tcPr>
            <w:tcW w:w="0" w:type="auto"/>
            <w:vAlign w:val="center"/>
            <w:hideMark/>
          </w:tcPr>
          <w:p w14:paraId="64F7E4BA"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Place of delivery</w:t>
            </w:r>
          </w:p>
        </w:tc>
        <w:tc>
          <w:tcPr>
            <w:tcW w:w="0" w:type="auto"/>
            <w:vAlign w:val="center"/>
            <w:hideMark/>
          </w:tcPr>
          <w:p w14:paraId="150EA025"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Home</w:t>
            </w:r>
          </w:p>
        </w:tc>
        <w:tc>
          <w:tcPr>
            <w:tcW w:w="0" w:type="auto"/>
            <w:vAlign w:val="center"/>
            <w:hideMark/>
          </w:tcPr>
          <w:p w14:paraId="6D22667C"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1,514</w:t>
            </w:r>
          </w:p>
        </w:tc>
        <w:tc>
          <w:tcPr>
            <w:tcW w:w="0" w:type="auto"/>
            <w:vAlign w:val="center"/>
            <w:hideMark/>
          </w:tcPr>
          <w:p w14:paraId="5BC281FB" w14:textId="77777777" w:rsidR="00D37A2F" w:rsidRPr="00922FF6" w:rsidRDefault="00D37A2F" w:rsidP="00CC0B3D">
            <w:pPr>
              <w:rPr>
                <w:rFonts w:ascii="Times New Roman" w:hAnsi="Times New Roman" w:cs="Times New Roman"/>
              </w:rPr>
            </w:pPr>
            <w:r w:rsidRPr="00922FF6">
              <w:rPr>
                <w:rFonts w:ascii="Times New Roman" w:hAnsi="Times New Roman" w:cs="Times New Roman"/>
              </w:rPr>
              <w:t>33.2</w:t>
            </w:r>
          </w:p>
        </w:tc>
      </w:tr>
    </w:tbl>
    <w:p w14:paraId="5ED0328A" w14:textId="77777777" w:rsidR="00D37A2F" w:rsidRDefault="00D37A2F" w:rsidP="00D37A2F">
      <w:pPr>
        <w:spacing w:after="0" w:line="240" w:lineRule="auto"/>
        <w:jc w:val="both"/>
        <w:rPr>
          <w:rFonts w:ascii="Times New Roman" w:eastAsia="Times New Roman" w:hAnsi="Times New Roman" w:cs="Times New Roman"/>
          <w:sz w:val="24"/>
          <w:szCs w:val="24"/>
        </w:rPr>
      </w:pPr>
      <w:r w:rsidRPr="00922FF6">
        <w:rPr>
          <w:rFonts w:ascii="Times New Roman" w:hAnsi="Times New Roman" w:cs="Times New Roman"/>
        </w:rPr>
        <w:t>Health facility</w:t>
      </w:r>
      <w:r>
        <w:rPr>
          <w:rFonts w:ascii="Times New Roman" w:hAnsi="Times New Roman" w:cs="Times New Roman"/>
        </w:rPr>
        <w:t xml:space="preserve">                           3,042                         66.8</w:t>
      </w:r>
    </w:p>
    <w:p w14:paraId="742FBBB6" w14:textId="77777777" w:rsidR="00D37A2F" w:rsidRPr="00345DCB" w:rsidRDefault="00D37A2F" w:rsidP="00D37A2F">
      <w:pPr>
        <w:spacing w:after="0" w:line="240" w:lineRule="auto"/>
        <w:jc w:val="both"/>
        <w:rPr>
          <w:sz w:val="20"/>
          <w:szCs w:val="20"/>
        </w:rPr>
      </w:pPr>
      <w:r w:rsidRPr="00345DCB">
        <w:rPr>
          <w:rFonts w:ascii="Times New Roman" w:hAnsi="Times New Roman" w:cs="Times New Roman"/>
          <w:iCs/>
          <w:color w:val="000000"/>
          <w:sz w:val="20"/>
          <w:szCs w:val="20"/>
        </w:rPr>
        <w:t>Sources: Author’s computation (2026)</w:t>
      </w:r>
    </w:p>
    <w:p w14:paraId="66411E51" w14:textId="77777777" w:rsidR="00D37A2F" w:rsidRDefault="00D37A2F" w:rsidP="00D37A2F">
      <w:pPr>
        <w:spacing w:after="100" w:afterAutospacing="1" w:line="240" w:lineRule="auto"/>
        <w:jc w:val="both"/>
        <w:rPr>
          <w:rFonts w:ascii="Times New Roman" w:eastAsia="Times New Roman" w:hAnsi="Times New Roman" w:cs="Times New Roman"/>
          <w:sz w:val="24"/>
          <w:szCs w:val="24"/>
        </w:rPr>
      </w:pPr>
    </w:p>
    <w:p w14:paraId="6B34E429" w14:textId="77777777" w:rsidR="00D37A2F" w:rsidRDefault="00D37A2F" w:rsidP="00D37A2F">
      <w:pPr>
        <w:spacing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highlight w:val="yellow"/>
        </w:rPr>
        <w:t>descriptive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statistics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Table 1</w:t>
      </w:r>
      <w:r>
        <w:rPr>
          <w:rFonts w:ascii="Times New Roman" w:eastAsia="Times New Roman" w:hAnsi="Times New Roman" w:cs="Times New Roman"/>
          <w:sz w:val="24"/>
          <w:szCs w:val="24"/>
        </w:rPr>
        <w:t xml:space="preserve">) revealed that more than half of the mothers (50.8%) were aged </w:t>
      </w:r>
      <w:r>
        <w:rPr>
          <w:rFonts w:ascii="Times New Roman" w:eastAsia="Times New Roman" w:hAnsi="Times New Roman" w:cs="Times New Roman"/>
          <w:sz w:val="24"/>
          <w:szCs w:val="24"/>
          <w:highlight w:val="yellow"/>
        </w:rPr>
        <w:t>25-34</w:t>
      </w:r>
      <w:r>
        <w:rPr>
          <w:rFonts w:ascii="Times New Roman" w:eastAsia="Times New Roman" w:hAnsi="Times New Roman" w:cs="Times New Roman"/>
          <w:sz w:val="24"/>
          <w:szCs w:val="24"/>
        </w:rPr>
        <w:t xml:space="preserve"> years, </w:t>
      </w:r>
      <w:r>
        <w:rPr>
          <w:rFonts w:ascii="Times New Roman" w:eastAsia="Times New Roman" w:hAnsi="Times New Roman" w:cs="Times New Roman"/>
          <w:sz w:val="24"/>
          <w:szCs w:val="24"/>
          <w:highlight w:val="yellow"/>
        </w:rPr>
        <w:t>while</w:t>
      </w:r>
      <w:r>
        <w:rPr>
          <w:rFonts w:ascii="Times New Roman" w:eastAsia="Times New Roman" w:hAnsi="Times New Roman" w:cs="Times New Roman"/>
          <w:sz w:val="24"/>
          <w:szCs w:val="24"/>
        </w:rPr>
        <w:t xml:space="preserve"> 24.7%</w:t>
      </w:r>
      <w:r>
        <w:rPr>
          <w:rFonts w:ascii="Times New Roman" w:eastAsia="Times New Roman" w:hAnsi="Times New Roman" w:cs="Times New Roman"/>
          <w:sz w:val="24"/>
          <w:szCs w:val="24"/>
          <w:highlight w:val="yellow"/>
        </w:rPr>
        <w:t xml:space="preserve"> were</w:t>
      </w:r>
      <w:r>
        <w:rPr>
          <w:rFonts w:ascii="Times New Roman" w:eastAsia="Times New Roman" w:hAnsi="Times New Roman" w:cs="Times New Roman"/>
          <w:sz w:val="24"/>
          <w:szCs w:val="24"/>
        </w:rPr>
        <w:t xml:space="preserve"> aged 15-24 years and 24.5% were aged 35-49 years. </w:t>
      </w:r>
      <w:r>
        <w:rPr>
          <w:rFonts w:ascii="Times New Roman" w:eastAsia="Times New Roman" w:hAnsi="Times New Roman" w:cs="Times New Roman"/>
          <w:sz w:val="24"/>
          <w:szCs w:val="24"/>
          <w:highlight w:val="yellow"/>
        </w:rPr>
        <w:t>Regarding education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substantial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proportions</w:t>
      </w:r>
      <w:r>
        <w:rPr>
          <w:rFonts w:ascii="Times New Roman" w:eastAsia="Times New Roman" w:hAnsi="Times New Roman" w:cs="Times New Roman"/>
          <w:sz w:val="24"/>
          <w:szCs w:val="24"/>
        </w:rPr>
        <w:t xml:space="preserve"> had no education (32.1%) or had completed secondary education (33.4%), indicating variation in educational </w:t>
      </w:r>
      <w:r>
        <w:rPr>
          <w:rFonts w:ascii="Times New Roman" w:eastAsia="Times New Roman" w:hAnsi="Times New Roman" w:cs="Times New Roman"/>
          <w:sz w:val="24"/>
          <w:szCs w:val="24"/>
          <w:highlight w:val="yellow"/>
        </w:rPr>
        <w:t>attainment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 high</w:t>
      </w:r>
      <w:r>
        <w:rPr>
          <w:rFonts w:ascii="Times New Roman" w:eastAsia="Times New Roman" w:hAnsi="Times New Roman" w:cs="Times New Roman"/>
          <w:sz w:val="24"/>
          <w:szCs w:val="24"/>
        </w:rPr>
        <w:t xml:space="preserve"> proportion of mothers (58.8%) </w:t>
      </w:r>
      <w:r>
        <w:rPr>
          <w:rFonts w:ascii="Times New Roman" w:eastAsia="Times New Roman" w:hAnsi="Times New Roman" w:cs="Times New Roman"/>
          <w:sz w:val="24"/>
          <w:szCs w:val="24"/>
          <w:highlight w:val="yellow"/>
        </w:rPr>
        <w:t>lived</w:t>
      </w:r>
      <w:r>
        <w:rPr>
          <w:rFonts w:ascii="Times New Roman" w:eastAsia="Times New Roman" w:hAnsi="Times New Roman" w:cs="Times New Roman"/>
          <w:sz w:val="24"/>
          <w:szCs w:val="24"/>
        </w:rPr>
        <w:t xml:space="preserve"> in rural areas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39.5% were </w:t>
      </w:r>
      <w:r>
        <w:rPr>
          <w:rFonts w:ascii="Times New Roman" w:eastAsia="Times New Roman" w:hAnsi="Times New Roman" w:cs="Times New Roman"/>
          <w:sz w:val="24"/>
          <w:szCs w:val="24"/>
          <w:highlight w:val="yellow"/>
        </w:rPr>
        <w:t>classified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as</w:t>
      </w:r>
      <w:r>
        <w:rPr>
          <w:rFonts w:ascii="Times New Roman" w:eastAsia="Times New Roman" w:hAnsi="Times New Roman" w:cs="Times New Roman"/>
          <w:sz w:val="24"/>
          <w:szCs w:val="24"/>
        </w:rPr>
        <w:t xml:space="preserve"> rich</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while 36.6% </w:t>
      </w:r>
      <w:r>
        <w:rPr>
          <w:rFonts w:ascii="Times New Roman" w:eastAsia="Times New Roman" w:hAnsi="Times New Roman" w:cs="Times New Roman"/>
          <w:sz w:val="24"/>
          <w:szCs w:val="24"/>
          <w:highlight w:val="yellow"/>
        </w:rPr>
        <w:t>were classified as</w:t>
      </w:r>
      <w:r>
        <w:rPr>
          <w:rFonts w:ascii="Times New Roman" w:eastAsia="Times New Roman" w:hAnsi="Times New Roman" w:cs="Times New Roman"/>
          <w:sz w:val="24"/>
          <w:szCs w:val="24"/>
        </w:rPr>
        <w:t xml:space="preserve"> poor. </w:t>
      </w:r>
      <w:r>
        <w:rPr>
          <w:rFonts w:ascii="Times New Roman" w:eastAsia="Times New Roman" w:hAnsi="Times New Roman" w:cs="Times New Roman"/>
          <w:sz w:val="24"/>
          <w:szCs w:val="24"/>
          <w:highlight w:val="yellow"/>
        </w:rPr>
        <w:t>A</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high proportion</w:t>
      </w:r>
      <w:r>
        <w:rPr>
          <w:rFonts w:ascii="Times New Roman" w:eastAsia="Times New Roman" w:hAnsi="Times New Roman" w:cs="Times New Roman"/>
          <w:sz w:val="24"/>
          <w:szCs w:val="24"/>
        </w:rPr>
        <w:t xml:space="preserve"> of mothers reported attending at least four </w:t>
      </w:r>
      <w:r>
        <w:rPr>
          <w:rFonts w:ascii="Times New Roman" w:eastAsia="Times New Roman" w:hAnsi="Times New Roman" w:cs="Times New Roman"/>
          <w:sz w:val="24"/>
          <w:szCs w:val="24"/>
          <w:highlight w:val="yellow"/>
        </w:rPr>
        <w:t>antenatal care visits</w:t>
      </w:r>
      <w:r>
        <w:rPr>
          <w:rFonts w:ascii="Times New Roman" w:eastAsia="Times New Roman" w:hAnsi="Times New Roman" w:cs="Times New Roman"/>
          <w:sz w:val="24"/>
          <w:szCs w:val="24"/>
        </w:rPr>
        <w:t xml:space="preserve"> (69.8%) and giving birth in a health facility (66.8%).</w:t>
      </w:r>
    </w:p>
    <w:p w14:paraId="6721F7D2" w14:textId="77777777" w:rsidR="00D37A2F" w:rsidRDefault="00D37A2F" w:rsidP="00D37A2F">
      <w:pPr>
        <w:spacing w:after="100" w:afterAutospacing="1" w:line="240" w:lineRule="auto"/>
        <w:jc w:val="both"/>
        <w:rPr>
          <w:rFonts w:ascii="Times New Roman" w:eastAsia="Times New Roman" w:hAnsi="Times New Roman" w:cs="Times New Roman"/>
          <w:sz w:val="24"/>
          <w:szCs w:val="24"/>
        </w:rPr>
      </w:pPr>
    </w:p>
    <w:p w14:paraId="1D2D281B" w14:textId="77777777" w:rsidR="00D37A2F" w:rsidRDefault="00D37A2F" w:rsidP="00D37A2F">
      <w:pPr>
        <w:spacing w:after="100" w:afterAutospacing="1" w:line="240" w:lineRule="auto"/>
        <w:jc w:val="both"/>
        <w:rPr>
          <w:rFonts w:ascii="Times New Roman" w:eastAsia="Times New Roman" w:hAnsi="Times New Roman" w:cs="Times New Roman"/>
          <w:sz w:val="24"/>
          <w:szCs w:val="24"/>
        </w:rPr>
      </w:pPr>
    </w:p>
    <w:p w14:paraId="68684E1A" w14:textId="77777777" w:rsidR="00D37A2F" w:rsidRPr="00D37501" w:rsidRDefault="00D37A2F" w:rsidP="00D37A2F">
      <w:pPr>
        <w:spacing w:after="100" w:afterAutospacing="1" w:line="240" w:lineRule="auto"/>
        <w:jc w:val="both"/>
        <w:rPr>
          <w:rFonts w:ascii="Times New Roman" w:eastAsia="Times New Roman" w:hAnsi="Times New Roman" w:cs="Times New Roman"/>
          <w:sz w:val="24"/>
          <w:szCs w:val="24"/>
        </w:rPr>
      </w:pPr>
    </w:p>
    <w:p w14:paraId="0489216D" w14:textId="77777777" w:rsidR="00D37A2F" w:rsidRDefault="00D37A2F" w:rsidP="00D37A2F">
      <w:pPr>
        <w:pStyle w:val="Heading2"/>
        <w:spacing w:before="0" w:beforeAutospacing="0" w:after="0" w:afterAutospacing="0"/>
        <w:rPr>
          <w:b w:val="0"/>
          <w:sz w:val="24"/>
          <w:szCs w:val="24"/>
        </w:rPr>
      </w:pPr>
      <w:r w:rsidRPr="00D602FB">
        <w:rPr>
          <w:b w:val="0"/>
          <w:sz w:val="24"/>
          <w:szCs w:val="24"/>
        </w:rPr>
        <w:t>4.2 Childhood Vaccination Coverage</w:t>
      </w:r>
    </w:p>
    <w:p w14:paraId="1BD40E3E" w14:textId="77777777" w:rsidR="002461B8" w:rsidRPr="00D602FB" w:rsidRDefault="002461B8" w:rsidP="00D37A2F">
      <w:pPr>
        <w:pStyle w:val="Heading2"/>
        <w:spacing w:before="0" w:beforeAutospacing="0" w:after="0" w:afterAutospacing="0"/>
        <w:rPr>
          <w:b w:val="0"/>
          <w:sz w:val="24"/>
          <w:szCs w:val="24"/>
        </w:rPr>
      </w:pPr>
    </w:p>
    <w:p w14:paraId="31332A7B" w14:textId="77777777" w:rsidR="00D37A2F" w:rsidRPr="002461B8" w:rsidRDefault="00D37A2F" w:rsidP="00D37A2F">
      <w:pPr>
        <w:pStyle w:val="Heading3"/>
        <w:spacing w:before="0" w:beforeAutospacing="0" w:after="0" w:afterAutospacing="0"/>
        <w:rPr>
          <w:bCs w:val="0"/>
          <w:sz w:val="24"/>
          <w:szCs w:val="24"/>
        </w:rPr>
      </w:pPr>
      <w:r w:rsidRPr="002461B8">
        <w:rPr>
          <w:bCs w:val="0"/>
          <w:sz w:val="24"/>
          <w:szCs w:val="24"/>
        </w:rPr>
        <w:t>Table 2 Vaccination Status</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4855"/>
        <w:gridCol w:w="1493"/>
        <w:gridCol w:w="1908"/>
      </w:tblGrid>
      <w:tr w:rsidR="00D37A2F" w14:paraId="1C900566" w14:textId="77777777" w:rsidTr="00CC0B3D">
        <w:trPr>
          <w:tblHeader/>
          <w:tblCellSpacing w:w="15" w:type="dxa"/>
          <w:jc w:val="center"/>
        </w:trPr>
        <w:tc>
          <w:tcPr>
            <w:tcW w:w="0" w:type="auto"/>
            <w:vAlign w:val="center"/>
            <w:hideMark/>
          </w:tcPr>
          <w:p w14:paraId="12F16EE1" w14:textId="77777777" w:rsidR="00D37A2F" w:rsidRPr="00594BDE" w:rsidRDefault="00D37A2F" w:rsidP="00CC0B3D">
            <w:pPr>
              <w:spacing w:after="0"/>
              <w:jc w:val="center"/>
              <w:rPr>
                <w:rFonts w:ascii="Times New Roman" w:hAnsi="Times New Roman" w:cs="Times New Roman"/>
                <w:bCs/>
                <w:sz w:val="24"/>
                <w:szCs w:val="24"/>
              </w:rPr>
            </w:pPr>
            <w:r w:rsidRPr="00594BDE">
              <w:rPr>
                <w:rFonts w:ascii="Times New Roman" w:hAnsi="Times New Roman" w:cs="Times New Roman"/>
                <w:bCs/>
                <w:sz w:val="24"/>
                <w:szCs w:val="24"/>
              </w:rPr>
              <w:lastRenderedPageBreak/>
              <w:t xml:space="preserve">             </w:t>
            </w:r>
            <w:r>
              <w:rPr>
                <w:rFonts w:ascii="Times New Roman" w:hAnsi="Times New Roman" w:cs="Times New Roman"/>
                <w:bCs/>
                <w:sz w:val="24"/>
                <w:szCs w:val="24"/>
              </w:rPr>
              <w:t xml:space="preserve">                             </w:t>
            </w:r>
            <w:r w:rsidRPr="00594BDE">
              <w:rPr>
                <w:rFonts w:ascii="Times New Roman" w:hAnsi="Times New Roman" w:cs="Times New Roman"/>
                <w:bCs/>
                <w:sz w:val="24"/>
                <w:szCs w:val="24"/>
              </w:rPr>
              <w:t xml:space="preserve"> Vaccination Status</w:t>
            </w:r>
          </w:p>
        </w:tc>
        <w:tc>
          <w:tcPr>
            <w:tcW w:w="0" w:type="auto"/>
            <w:vAlign w:val="center"/>
            <w:hideMark/>
          </w:tcPr>
          <w:p w14:paraId="53375812" w14:textId="77777777" w:rsidR="00D37A2F" w:rsidRPr="00594BDE" w:rsidRDefault="00D37A2F" w:rsidP="00CC0B3D">
            <w:pPr>
              <w:spacing w:after="0"/>
              <w:jc w:val="center"/>
              <w:rPr>
                <w:rFonts w:ascii="Times New Roman" w:hAnsi="Times New Roman" w:cs="Times New Roman"/>
                <w:bCs/>
                <w:sz w:val="24"/>
                <w:szCs w:val="24"/>
              </w:rPr>
            </w:pPr>
            <w:r w:rsidRPr="00594BDE">
              <w:rPr>
                <w:rFonts w:ascii="Times New Roman" w:hAnsi="Times New Roman" w:cs="Times New Roman"/>
                <w:bCs/>
                <w:sz w:val="24"/>
                <w:szCs w:val="24"/>
              </w:rPr>
              <w:t xml:space="preserve">       Frequency</w:t>
            </w:r>
          </w:p>
        </w:tc>
        <w:tc>
          <w:tcPr>
            <w:tcW w:w="0" w:type="auto"/>
            <w:vAlign w:val="center"/>
            <w:hideMark/>
          </w:tcPr>
          <w:p w14:paraId="0D3A9C6F" w14:textId="77777777" w:rsidR="00D37A2F" w:rsidRPr="00594BDE" w:rsidRDefault="00D37A2F" w:rsidP="00CC0B3D">
            <w:pPr>
              <w:spacing w:after="0"/>
              <w:jc w:val="center"/>
              <w:rPr>
                <w:rFonts w:ascii="Times New Roman" w:hAnsi="Times New Roman" w:cs="Times New Roman"/>
                <w:bCs/>
                <w:sz w:val="24"/>
                <w:szCs w:val="24"/>
              </w:rPr>
            </w:pPr>
            <w:r w:rsidRPr="00594BDE">
              <w:rPr>
                <w:rFonts w:ascii="Times New Roman" w:hAnsi="Times New Roman" w:cs="Times New Roman"/>
                <w:bCs/>
                <w:sz w:val="24"/>
                <w:szCs w:val="24"/>
              </w:rPr>
              <w:t xml:space="preserve">      Percentage (%)</w:t>
            </w:r>
          </w:p>
        </w:tc>
      </w:tr>
      <w:tr w:rsidR="00D37A2F" w14:paraId="78E7A3C5" w14:textId="77777777" w:rsidTr="00CC0B3D">
        <w:trPr>
          <w:tblCellSpacing w:w="15" w:type="dxa"/>
          <w:jc w:val="center"/>
        </w:trPr>
        <w:tc>
          <w:tcPr>
            <w:tcW w:w="0" w:type="auto"/>
            <w:vAlign w:val="center"/>
            <w:hideMark/>
          </w:tcPr>
          <w:p w14:paraId="5C2BE0EF" w14:textId="77777777" w:rsidR="00D37A2F" w:rsidRPr="00782DFC" w:rsidRDefault="00D37A2F" w:rsidP="00CC0B3D">
            <w:pPr>
              <w:rPr>
                <w:rFonts w:ascii="Times New Roman" w:hAnsi="Times New Roman" w:cs="Times New Roman"/>
                <w:sz w:val="24"/>
                <w:szCs w:val="24"/>
              </w:rPr>
            </w:pPr>
            <w:r w:rsidRPr="00782DFC">
              <w:rPr>
                <w:rFonts w:ascii="Times New Roman" w:hAnsi="Times New Roman" w:cs="Times New Roman"/>
                <w:sz w:val="24"/>
                <w:szCs w:val="24"/>
              </w:rPr>
              <w:t xml:space="preserve">                                                Fully vaccinated</w:t>
            </w:r>
          </w:p>
        </w:tc>
        <w:tc>
          <w:tcPr>
            <w:tcW w:w="0" w:type="auto"/>
            <w:vAlign w:val="center"/>
            <w:hideMark/>
          </w:tcPr>
          <w:p w14:paraId="1A612A96" w14:textId="77777777" w:rsidR="00D37A2F" w:rsidRPr="00782DFC" w:rsidRDefault="00D37A2F" w:rsidP="00CC0B3D">
            <w:pPr>
              <w:rPr>
                <w:rFonts w:ascii="Times New Roman" w:hAnsi="Times New Roman" w:cs="Times New Roman"/>
                <w:sz w:val="24"/>
                <w:szCs w:val="24"/>
              </w:rPr>
            </w:pPr>
            <w:r w:rsidRPr="00782DFC">
              <w:rPr>
                <w:rFonts w:ascii="Times New Roman" w:hAnsi="Times New Roman" w:cs="Times New Roman"/>
                <w:sz w:val="24"/>
                <w:szCs w:val="24"/>
              </w:rPr>
              <w:t xml:space="preserve">       2,642</w:t>
            </w:r>
          </w:p>
        </w:tc>
        <w:tc>
          <w:tcPr>
            <w:tcW w:w="0" w:type="auto"/>
            <w:vAlign w:val="center"/>
            <w:hideMark/>
          </w:tcPr>
          <w:p w14:paraId="1CAB7657" w14:textId="77777777" w:rsidR="00D37A2F" w:rsidRPr="00782DFC" w:rsidRDefault="00D37A2F" w:rsidP="00CC0B3D">
            <w:pPr>
              <w:rPr>
                <w:rFonts w:ascii="Times New Roman" w:hAnsi="Times New Roman" w:cs="Times New Roman"/>
                <w:sz w:val="24"/>
                <w:szCs w:val="24"/>
              </w:rPr>
            </w:pPr>
            <w:r w:rsidRPr="00782DFC">
              <w:rPr>
                <w:rFonts w:ascii="Times New Roman" w:hAnsi="Times New Roman" w:cs="Times New Roman"/>
                <w:sz w:val="24"/>
                <w:szCs w:val="24"/>
              </w:rPr>
              <w:t xml:space="preserve">      58.0</w:t>
            </w:r>
          </w:p>
        </w:tc>
      </w:tr>
      <w:tr w:rsidR="00D37A2F" w14:paraId="475DC86D" w14:textId="77777777" w:rsidTr="00CC0B3D">
        <w:trPr>
          <w:tblCellSpacing w:w="15" w:type="dxa"/>
          <w:jc w:val="center"/>
        </w:trPr>
        <w:tc>
          <w:tcPr>
            <w:tcW w:w="0" w:type="auto"/>
            <w:vAlign w:val="center"/>
            <w:hideMark/>
          </w:tcPr>
          <w:p w14:paraId="6982B74C" w14:textId="77777777" w:rsidR="00D37A2F" w:rsidRPr="00782DFC" w:rsidRDefault="00D37A2F" w:rsidP="00CC0B3D">
            <w:pPr>
              <w:rPr>
                <w:rFonts w:ascii="Times New Roman" w:hAnsi="Times New Roman" w:cs="Times New Roman"/>
                <w:sz w:val="24"/>
                <w:szCs w:val="24"/>
              </w:rPr>
            </w:pPr>
            <w:r w:rsidRPr="00782DFC">
              <w:rPr>
                <w:rFonts w:ascii="Times New Roman" w:hAnsi="Times New Roman" w:cs="Times New Roman"/>
                <w:sz w:val="24"/>
                <w:szCs w:val="24"/>
              </w:rPr>
              <w:t xml:space="preserve">                                                Partially vaccinated</w:t>
            </w:r>
          </w:p>
        </w:tc>
        <w:tc>
          <w:tcPr>
            <w:tcW w:w="0" w:type="auto"/>
            <w:vAlign w:val="center"/>
            <w:hideMark/>
          </w:tcPr>
          <w:p w14:paraId="56BECCD4" w14:textId="77777777" w:rsidR="00D37A2F" w:rsidRPr="00782DFC" w:rsidRDefault="00D37A2F" w:rsidP="00CC0B3D">
            <w:pPr>
              <w:rPr>
                <w:rFonts w:ascii="Times New Roman" w:hAnsi="Times New Roman" w:cs="Times New Roman"/>
                <w:sz w:val="24"/>
                <w:szCs w:val="24"/>
              </w:rPr>
            </w:pPr>
            <w:r w:rsidRPr="00782DFC">
              <w:rPr>
                <w:rFonts w:ascii="Times New Roman" w:hAnsi="Times New Roman" w:cs="Times New Roman"/>
                <w:sz w:val="24"/>
                <w:szCs w:val="24"/>
              </w:rPr>
              <w:t xml:space="preserve">       1,458</w:t>
            </w:r>
          </w:p>
        </w:tc>
        <w:tc>
          <w:tcPr>
            <w:tcW w:w="0" w:type="auto"/>
            <w:vAlign w:val="center"/>
            <w:hideMark/>
          </w:tcPr>
          <w:p w14:paraId="70C4C245" w14:textId="77777777" w:rsidR="00D37A2F" w:rsidRPr="00782DFC" w:rsidRDefault="00D37A2F" w:rsidP="00CC0B3D">
            <w:pPr>
              <w:rPr>
                <w:rFonts w:ascii="Times New Roman" w:hAnsi="Times New Roman" w:cs="Times New Roman"/>
                <w:sz w:val="24"/>
                <w:szCs w:val="24"/>
              </w:rPr>
            </w:pPr>
            <w:r w:rsidRPr="00782DFC">
              <w:rPr>
                <w:rFonts w:ascii="Times New Roman" w:hAnsi="Times New Roman" w:cs="Times New Roman"/>
                <w:sz w:val="24"/>
                <w:szCs w:val="24"/>
              </w:rPr>
              <w:t xml:space="preserve">      32.0</w:t>
            </w:r>
          </w:p>
        </w:tc>
      </w:tr>
      <w:tr w:rsidR="00D37A2F" w14:paraId="5B67F5B1" w14:textId="77777777" w:rsidTr="00CC0B3D">
        <w:trPr>
          <w:tblCellSpacing w:w="15" w:type="dxa"/>
          <w:jc w:val="center"/>
        </w:trPr>
        <w:tc>
          <w:tcPr>
            <w:tcW w:w="0" w:type="auto"/>
            <w:vAlign w:val="center"/>
            <w:hideMark/>
          </w:tcPr>
          <w:p w14:paraId="73DEE512" w14:textId="77777777" w:rsidR="00D37A2F" w:rsidRPr="00782DFC" w:rsidRDefault="00D37A2F" w:rsidP="00CC0B3D">
            <w:pPr>
              <w:spacing w:after="0"/>
              <w:rPr>
                <w:rFonts w:ascii="Times New Roman" w:hAnsi="Times New Roman" w:cs="Times New Roman"/>
                <w:sz w:val="24"/>
                <w:szCs w:val="24"/>
              </w:rPr>
            </w:pPr>
            <w:r w:rsidRPr="00782DFC">
              <w:rPr>
                <w:rFonts w:ascii="Times New Roman" w:hAnsi="Times New Roman" w:cs="Times New Roman"/>
                <w:sz w:val="24"/>
                <w:szCs w:val="24"/>
              </w:rPr>
              <w:t xml:space="preserve">                                                Not vaccinated</w:t>
            </w:r>
          </w:p>
        </w:tc>
        <w:tc>
          <w:tcPr>
            <w:tcW w:w="0" w:type="auto"/>
            <w:vAlign w:val="center"/>
            <w:hideMark/>
          </w:tcPr>
          <w:p w14:paraId="4906DDD2" w14:textId="77777777" w:rsidR="00D37A2F" w:rsidRPr="00782DFC" w:rsidRDefault="00D37A2F" w:rsidP="00CC0B3D">
            <w:pPr>
              <w:spacing w:after="0"/>
              <w:rPr>
                <w:rFonts w:ascii="Times New Roman" w:hAnsi="Times New Roman" w:cs="Times New Roman"/>
                <w:sz w:val="24"/>
                <w:szCs w:val="24"/>
              </w:rPr>
            </w:pPr>
            <w:r w:rsidRPr="00782DFC">
              <w:rPr>
                <w:rFonts w:ascii="Times New Roman" w:hAnsi="Times New Roman" w:cs="Times New Roman"/>
                <w:sz w:val="24"/>
                <w:szCs w:val="24"/>
              </w:rPr>
              <w:t xml:space="preserve">       456</w:t>
            </w:r>
          </w:p>
        </w:tc>
        <w:tc>
          <w:tcPr>
            <w:tcW w:w="0" w:type="auto"/>
            <w:vAlign w:val="center"/>
            <w:hideMark/>
          </w:tcPr>
          <w:p w14:paraId="2778ABEA" w14:textId="77777777" w:rsidR="00D37A2F" w:rsidRPr="00782DFC" w:rsidRDefault="00D37A2F" w:rsidP="00CC0B3D">
            <w:pPr>
              <w:spacing w:after="0"/>
              <w:rPr>
                <w:rFonts w:ascii="Times New Roman" w:hAnsi="Times New Roman" w:cs="Times New Roman"/>
                <w:sz w:val="24"/>
                <w:szCs w:val="24"/>
              </w:rPr>
            </w:pPr>
            <w:r w:rsidRPr="00782DFC">
              <w:rPr>
                <w:rFonts w:ascii="Times New Roman" w:hAnsi="Times New Roman" w:cs="Times New Roman"/>
                <w:sz w:val="24"/>
                <w:szCs w:val="24"/>
              </w:rPr>
              <w:t xml:space="preserve">      10.0</w:t>
            </w:r>
          </w:p>
        </w:tc>
      </w:tr>
    </w:tbl>
    <w:p w14:paraId="3E495E4B" w14:textId="77777777" w:rsidR="00D37A2F" w:rsidRPr="00345DCB" w:rsidRDefault="00D37A2F" w:rsidP="00D37A2F">
      <w:pPr>
        <w:spacing w:after="0" w:line="240" w:lineRule="auto"/>
        <w:jc w:val="both"/>
        <w:rPr>
          <w:sz w:val="20"/>
          <w:szCs w:val="20"/>
        </w:rPr>
      </w:pP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r>
      <w:r>
        <w:rPr>
          <w:rFonts w:ascii="Times New Roman" w:hAnsi="Times New Roman" w:cs="Times New Roman"/>
          <w:iCs/>
          <w:color w:val="000000"/>
          <w:sz w:val="24"/>
          <w:szCs w:val="24"/>
        </w:rPr>
        <w:tab/>
        <w:t xml:space="preserve"> </w:t>
      </w:r>
      <w:r w:rsidRPr="00345DCB">
        <w:rPr>
          <w:rFonts w:ascii="Times New Roman" w:hAnsi="Times New Roman" w:cs="Times New Roman"/>
          <w:iCs/>
          <w:color w:val="000000"/>
          <w:sz w:val="20"/>
          <w:szCs w:val="20"/>
        </w:rPr>
        <w:t>Sources: Author’s computation (2026)</w:t>
      </w:r>
    </w:p>
    <w:p w14:paraId="1FB338AB" w14:textId="77777777" w:rsidR="00D37A2F" w:rsidRDefault="00D37A2F" w:rsidP="00D37A2F">
      <w:pPr>
        <w:spacing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findings demonstrate that 58.0% of the children included in the sample were </w:t>
      </w:r>
      <w:r>
        <w:rPr>
          <w:rFonts w:ascii="Times New Roman" w:eastAsia="Times New Roman" w:hAnsi="Times New Roman" w:cs="Times New Roman"/>
          <w:sz w:val="24"/>
          <w:szCs w:val="24"/>
          <w:highlight w:val="yellow"/>
        </w:rPr>
        <w:t>fully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immunised</w:t>
      </w:r>
      <w:r>
        <w:rPr>
          <w:rFonts w:ascii="Times New Roman" w:eastAsia="Times New Roman" w:hAnsi="Times New Roman" w:cs="Times New Roman"/>
          <w:sz w:val="24"/>
          <w:szCs w:val="24"/>
        </w:rPr>
        <w:t>. These children</w:t>
      </w:r>
      <w:r>
        <w:rPr>
          <w:rFonts w:ascii="Times New Roman" w:eastAsia="Times New Roman" w:hAnsi="Times New Roman" w:cs="Times New Roman"/>
          <w:sz w:val="24"/>
          <w:szCs w:val="24"/>
          <w:highlight w:val="yellow"/>
        </w:rPr>
        <w:t xml:space="preserve"> had</w:t>
      </w:r>
      <w:r>
        <w:rPr>
          <w:rFonts w:ascii="Times New Roman" w:eastAsia="Times New Roman" w:hAnsi="Times New Roman" w:cs="Times New Roman"/>
          <w:sz w:val="24"/>
          <w:szCs w:val="24"/>
        </w:rPr>
        <w:t xml:space="preserve"> received all required vaccine doses and </w:t>
      </w:r>
      <w:r>
        <w:rPr>
          <w:rFonts w:ascii="Times New Roman" w:eastAsia="Times New Roman" w:hAnsi="Times New Roman" w:cs="Times New Roman"/>
          <w:sz w:val="24"/>
          <w:szCs w:val="24"/>
          <w:highlight w:val="yellow"/>
        </w:rPr>
        <w:t>were</w:t>
      </w:r>
      <w:r>
        <w:rPr>
          <w:rFonts w:ascii="Times New Roman" w:eastAsia="Times New Roman" w:hAnsi="Times New Roman" w:cs="Times New Roman"/>
          <w:sz w:val="24"/>
          <w:szCs w:val="24"/>
        </w:rPr>
        <w:t xml:space="preserve"> considered protected against</w:t>
      </w:r>
      <w:r>
        <w:rPr>
          <w:rFonts w:ascii="Times New Roman" w:eastAsia="Times New Roman" w:hAnsi="Times New Roman" w:cs="Times New Roman"/>
          <w:sz w:val="24"/>
          <w:szCs w:val="24"/>
          <w:highlight w:val="yellow"/>
        </w:rPr>
        <w:t xml:space="preserve"> the</w:t>
      </w:r>
      <w:r>
        <w:rPr>
          <w:rFonts w:ascii="Times New Roman" w:eastAsia="Times New Roman" w:hAnsi="Times New Roman" w:cs="Times New Roman"/>
          <w:sz w:val="24"/>
          <w:szCs w:val="24"/>
        </w:rPr>
        <w:t xml:space="preserve"> targeted infectious diseases. </w:t>
      </w:r>
      <w:r>
        <w:rPr>
          <w:rFonts w:ascii="Times New Roman" w:eastAsia="Times New Roman" w:hAnsi="Times New Roman" w:cs="Times New Roman"/>
          <w:sz w:val="24"/>
          <w:szCs w:val="24"/>
          <w:highlight w:val="yellow"/>
        </w:rPr>
        <w:t>By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contrast</w:t>
      </w:r>
      <w:r>
        <w:rPr>
          <w:rFonts w:ascii="Times New Roman" w:eastAsia="Times New Roman" w:hAnsi="Times New Roman" w:cs="Times New Roman"/>
          <w:sz w:val="24"/>
          <w:szCs w:val="24"/>
        </w:rPr>
        <w:t>, 32.0% of</w:t>
      </w:r>
      <w:r>
        <w:rPr>
          <w:rFonts w:ascii="Times New Roman" w:eastAsia="Times New Roman" w:hAnsi="Times New Roman" w:cs="Times New Roman"/>
          <w:sz w:val="24"/>
          <w:szCs w:val="24"/>
          <w:highlight w:val="yellow"/>
        </w:rPr>
        <w:t xml:space="preserve"> the</w:t>
      </w:r>
      <w:r>
        <w:rPr>
          <w:rFonts w:ascii="Times New Roman" w:eastAsia="Times New Roman" w:hAnsi="Times New Roman" w:cs="Times New Roman"/>
          <w:sz w:val="24"/>
          <w:szCs w:val="24"/>
        </w:rPr>
        <w:t xml:space="preserve"> children were partially vaccinated. </w:t>
      </w:r>
      <w:r>
        <w:rPr>
          <w:rFonts w:ascii="Times New Roman" w:eastAsia="Times New Roman" w:hAnsi="Times New Roman" w:cs="Times New Roman"/>
          <w:sz w:val="24"/>
          <w:szCs w:val="24"/>
          <w:highlight w:val="yellow"/>
        </w:rPr>
        <w:t>These</w:t>
      </w:r>
      <w:r>
        <w:rPr>
          <w:rFonts w:ascii="Times New Roman" w:eastAsia="Times New Roman" w:hAnsi="Times New Roman" w:cs="Times New Roman"/>
          <w:sz w:val="24"/>
          <w:szCs w:val="24"/>
        </w:rPr>
        <w:t xml:space="preserve"> children</w:t>
      </w:r>
      <w:r>
        <w:rPr>
          <w:rFonts w:ascii="Times New Roman" w:eastAsia="Times New Roman" w:hAnsi="Times New Roman" w:cs="Times New Roman"/>
          <w:sz w:val="24"/>
          <w:szCs w:val="24"/>
          <w:highlight w:val="yellow"/>
        </w:rPr>
        <w:t xml:space="preserve"> had</w:t>
      </w:r>
      <w:r>
        <w:rPr>
          <w:rFonts w:ascii="Times New Roman" w:eastAsia="Times New Roman" w:hAnsi="Times New Roman" w:cs="Times New Roman"/>
          <w:sz w:val="24"/>
          <w:szCs w:val="24"/>
        </w:rPr>
        <w:t xml:space="preserve"> received some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but not all</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scheduled vaccine doses and therefore </w:t>
      </w:r>
      <w:r>
        <w:rPr>
          <w:rFonts w:ascii="Times New Roman" w:eastAsia="Times New Roman" w:hAnsi="Times New Roman" w:cs="Times New Roman"/>
          <w:sz w:val="24"/>
          <w:szCs w:val="24"/>
          <w:highlight w:val="yellow"/>
        </w:rPr>
        <w:t>remained</w:t>
      </w:r>
      <w:r>
        <w:rPr>
          <w:rFonts w:ascii="Times New Roman" w:eastAsia="Times New Roman" w:hAnsi="Times New Roman" w:cs="Times New Roman"/>
          <w:sz w:val="24"/>
          <w:szCs w:val="24"/>
        </w:rPr>
        <w:t xml:space="preserve"> susceptible to certain diseases. An estimated 10.0% of the children were </w:t>
      </w:r>
      <w:r>
        <w:rPr>
          <w:rFonts w:ascii="Times New Roman" w:eastAsia="Times New Roman" w:hAnsi="Times New Roman" w:cs="Times New Roman"/>
          <w:sz w:val="24"/>
          <w:szCs w:val="24"/>
          <w:highlight w:val="yellow"/>
        </w:rPr>
        <w:t>unvaccinated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and were classified as zero-dose children. Although most children were fully immunised</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combined</w:t>
      </w:r>
      <w:r>
        <w:rPr>
          <w:rFonts w:ascii="Times New Roman" w:eastAsia="Times New Roman" w:hAnsi="Times New Roman" w:cs="Times New Roman"/>
          <w:sz w:val="24"/>
          <w:szCs w:val="24"/>
        </w:rPr>
        <w:t xml:space="preserve"> 42.0% who were partially vaccinated or unvaccinated </w:t>
      </w:r>
      <w:r>
        <w:rPr>
          <w:rFonts w:ascii="Times New Roman" w:eastAsia="Times New Roman" w:hAnsi="Times New Roman" w:cs="Times New Roman"/>
          <w:sz w:val="24"/>
          <w:szCs w:val="24"/>
          <w:highlight w:val="yellow"/>
        </w:rPr>
        <w:t>indicates</w:t>
      </w:r>
      <w:r>
        <w:rPr>
          <w:rFonts w:ascii="Times New Roman" w:eastAsia="Times New Roman" w:hAnsi="Times New Roman" w:cs="Times New Roman"/>
          <w:sz w:val="24"/>
          <w:szCs w:val="24"/>
        </w:rPr>
        <w:t xml:space="preserve"> that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coverage </w:t>
      </w:r>
      <w:r>
        <w:rPr>
          <w:rFonts w:ascii="Times New Roman" w:eastAsia="Times New Roman" w:hAnsi="Times New Roman" w:cs="Times New Roman"/>
          <w:sz w:val="24"/>
          <w:szCs w:val="24"/>
          <w:highlight w:val="yellow"/>
        </w:rPr>
        <w:t>requires</w:t>
      </w:r>
      <w:r>
        <w:rPr>
          <w:rFonts w:ascii="Times New Roman" w:eastAsia="Times New Roman" w:hAnsi="Times New Roman" w:cs="Times New Roman"/>
          <w:sz w:val="24"/>
          <w:szCs w:val="24"/>
        </w:rPr>
        <w:t xml:space="preserve"> improvement.</w:t>
      </w:r>
    </w:p>
    <w:p w14:paraId="3991AE4C" w14:textId="77777777" w:rsidR="00D37A2F" w:rsidRDefault="00D37A2F" w:rsidP="00D37A2F">
      <w:pPr>
        <w:pStyle w:val="Heading2"/>
        <w:rPr>
          <w:b w:val="0"/>
          <w:sz w:val="24"/>
          <w:szCs w:val="24"/>
        </w:rPr>
      </w:pPr>
      <w:r>
        <w:rPr>
          <w:b w:val="0"/>
          <w:sz w:val="24"/>
          <w:szCs w:val="24"/>
        </w:rPr>
        <w:t xml:space="preserve">4.3 </w:t>
      </w:r>
      <w:r w:rsidRPr="004A44FB">
        <w:rPr>
          <w:b w:val="0"/>
          <w:sz w:val="24"/>
          <w:szCs w:val="24"/>
        </w:rPr>
        <w:t>Survey-weighted Binary Logistic Regression Parameter Estimates</w:t>
      </w:r>
    </w:p>
    <w:p w14:paraId="24D8599A" w14:textId="77777777" w:rsidR="00D37A2F" w:rsidRPr="002461B8" w:rsidRDefault="00D37A2F" w:rsidP="00D37A2F">
      <w:pPr>
        <w:pStyle w:val="Heading2"/>
        <w:rPr>
          <w:bCs w:val="0"/>
          <w:sz w:val="24"/>
          <w:szCs w:val="24"/>
        </w:rPr>
      </w:pPr>
      <w:r w:rsidRPr="002461B8">
        <w:rPr>
          <w:bCs w:val="0"/>
          <w:sz w:val="24"/>
          <w:szCs w:val="24"/>
        </w:rPr>
        <w:t>Table 3: Survey-weighted Binary Logistic Regression Parameter Estimates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81"/>
        <w:gridCol w:w="1620"/>
        <w:gridCol w:w="947"/>
        <w:gridCol w:w="1147"/>
        <w:gridCol w:w="1180"/>
        <w:gridCol w:w="1035"/>
      </w:tblGrid>
      <w:tr w:rsidR="00D37A2F" w14:paraId="27B2185F" w14:textId="77777777" w:rsidTr="00CC0B3D">
        <w:trPr>
          <w:tblHeader/>
          <w:tblCellSpacing w:w="15" w:type="dxa"/>
        </w:trPr>
        <w:tc>
          <w:tcPr>
            <w:tcW w:w="0" w:type="auto"/>
            <w:vAlign w:val="center"/>
            <w:hideMark/>
          </w:tcPr>
          <w:p w14:paraId="1AF22112" w14:textId="77777777" w:rsidR="00D37A2F" w:rsidRPr="00922FAB" w:rsidRDefault="00D37A2F" w:rsidP="00CC0B3D">
            <w:pPr>
              <w:spacing w:after="0"/>
              <w:rPr>
                <w:rFonts w:ascii="Times New Roman" w:hAnsi="Times New Roman" w:cs="Times New Roman"/>
                <w:bCs/>
                <w:sz w:val="24"/>
                <w:szCs w:val="24"/>
              </w:rPr>
            </w:pPr>
            <w:r w:rsidRPr="00922FAB">
              <w:rPr>
                <w:rFonts w:ascii="Times New Roman" w:hAnsi="Times New Roman" w:cs="Times New Roman"/>
                <w:bCs/>
                <w:sz w:val="24"/>
                <w:szCs w:val="24"/>
              </w:rPr>
              <w:t>Variable</w:t>
            </w:r>
          </w:p>
        </w:tc>
        <w:tc>
          <w:tcPr>
            <w:tcW w:w="0" w:type="auto"/>
            <w:vAlign w:val="center"/>
            <w:hideMark/>
          </w:tcPr>
          <w:p w14:paraId="55EB64E3" w14:textId="77777777" w:rsidR="00D37A2F" w:rsidRPr="00922FAB" w:rsidRDefault="00D37A2F" w:rsidP="00CC0B3D">
            <w:pPr>
              <w:spacing w:after="0"/>
              <w:rPr>
                <w:rFonts w:ascii="Times New Roman" w:hAnsi="Times New Roman" w:cs="Times New Roman"/>
                <w:bCs/>
                <w:sz w:val="24"/>
                <w:szCs w:val="24"/>
              </w:rPr>
            </w:pPr>
            <w:r w:rsidRPr="00922FAB">
              <w:rPr>
                <w:rFonts w:ascii="Times New Roman" w:hAnsi="Times New Roman" w:cs="Times New Roman"/>
                <w:bCs/>
                <w:sz w:val="24"/>
                <w:szCs w:val="24"/>
              </w:rPr>
              <w:t xml:space="preserve">Coefficient </w:t>
            </w:r>
            <w:r w:rsidRPr="00922FAB">
              <w:rPr>
                <w:rFonts w:ascii="Times New Roman" w:eastAsia="Times New Roman" w:hAnsi="Times New Roman" w:cs="Times New Roman"/>
                <w:position w:val="-14"/>
                <w:sz w:val="24"/>
                <w:szCs w:val="24"/>
              </w:rPr>
              <w:object w:dxaOrig="420" w:dyaOrig="400" w14:anchorId="0737B281">
                <v:shape id="_x0000_i1051" type="#_x0000_t75" style="width:21.25pt;height:20.45pt" o:ole="">
                  <v:imagedata r:id="rId59" o:title=""/>
                </v:shape>
                <o:OLEObject Type="Embed" ProgID="Equation.DSMT4" ShapeID="_x0000_i1051" DrawAspect="Content" ObjectID="_1849092483" r:id="rId60"/>
              </w:object>
            </w:r>
          </w:p>
        </w:tc>
        <w:tc>
          <w:tcPr>
            <w:tcW w:w="0" w:type="auto"/>
            <w:vAlign w:val="center"/>
            <w:hideMark/>
          </w:tcPr>
          <w:p w14:paraId="428A3EE4" w14:textId="77777777" w:rsidR="00D37A2F" w:rsidRPr="00922FAB" w:rsidRDefault="00D37A2F" w:rsidP="00CC0B3D">
            <w:pPr>
              <w:spacing w:after="0"/>
              <w:jc w:val="center"/>
              <w:rPr>
                <w:rFonts w:ascii="Times New Roman" w:hAnsi="Times New Roman" w:cs="Times New Roman"/>
                <w:bCs/>
                <w:sz w:val="24"/>
                <w:szCs w:val="24"/>
              </w:rPr>
            </w:pPr>
            <w:r w:rsidRPr="00922FAB">
              <w:rPr>
                <w:rFonts w:ascii="Times New Roman" w:hAnsi="Times New Roman" w:cs="Times New Roman"/>
                <w:bCs/>
                <w:sz w:val="24"/>
                <w:szCs w:val="24"/>
              </w:rPr>
              <w:t>Std Error</w:t>
            </w:r>
          </w:p>
        </w:tc>
        <w:tc>
          <w:tcPr>
            <w:tcW w:w="0" w:type="auto"/>
            <w:vAlign w:val="center"/>
            <w:hideMark/>
          </w:tcPr>
          <w:p w14:paraId="4C9B9648" w14:textId="77777777" w:rsidR="00D37A2F" w:rsidRPr="00922FAB" w:rsidRDefault="00D37A2F" w:rsidP="00CC0B3D">
            <w:pPr>
              <w:spacing w:after="0"/>
              <w:jc w:val="center"/>
              <w:rPr>
                <w:rFonts w:ascii="Times New Roman" w:hAnsi="Times New Roman" w:cs="Times New Roman"/>
                <w:bCs/>
                <w:sz w:val="24"/>
                <w:szCs w:val="24"/>
              </w:rPr>
            </w:pPr>
            <w:r w:rsidRPr="00922FAB">
              <w:rPr>
                <w:rFonts w:ascii="Times New Roman" w:hAnsi="Times New Roman" w:cs="Times New Roman"/>
                <w:bCs/>
                <w:sz w:val="24"/>
                <w:szCs w:val="24"/>
              </w:rPr>
              <w:t>Odds Ratio</w:t>
            </w:r>
          </w:p>
        </w:tc>
        <w:tc>
          <w:tcPr>
            <w:tcW w:w="0" w:type="auto"/>
            <w:vAlign w:val="center"/>
            <w:hideMark/>
          </w:tcPr>
          <w:p w14:paraId="07E11FC0" w14:textId="77777777" w:rsidR="00D37A2F" w:rsidRPr="00922FAB" w:rsidRDefault="00D37A2F" w:rsidP="00CC0B3D">
            <w:pPr>
              <w:spacing w:after="0"/>
              <w:jc w:val="center"/>
              <w:rPr>
                <w:rFonts w:ascii="Times New Roman" w:hAnsi="Times New Roman" w:cs="Times New Roman"/>
                <w:bCs/>
                <w:sz w:val="24"/>
                <w:szCs w:val="24"/>
              </w:rPr>
            </w:pPr>
            <w:r w:rsidRPr="00922FAB">
              <w:rPr>
                <w:rFonts w:ascii="Times New Roman" w:hAnsi="Times New Roman" w:cs="Times New Roman"/>
                <w:bCs/>
                <w:sz w:val="24"/>
                <w:szCs w:val="24"/>
              </w:rPr>
              <w:t>95% CI</w:t>
            </w:r>
          </w:p>
        </w:tc>
        <w:tc>
          <w:tcPr>
            <w:tcW w:w="0" w:type="auto"/>
            <w:vAlign w:val="center"/>
            <w:hideMark/>
          </w:tcPr>
          <w:p w14:paraId="628BC930" w14:textId="77777777" w:rsidR="00D37A2F" w:rsidRPr="00345DCB" w:rsidRDefault="00D37A2F" w:rsidP="00CC0B3D">
            <w:pPr>
              <w:spacing w:after="0"/>
              <w:jc w:val="center"/>
              <w:rPr>
                <w:rFonts w:ascii="Times New Roman" w:hAnsi="Times New Roman" w:cs="Times New Roman"/>
                <w:b/>
                <w:bCs/>
                <w:sz w:val="24"/>
                <w:szCs w:val="24"/>
              </w:rPr>
            </w:pPr>
            <w:r w:rsidRPr="00AA693F">
              <w:rPr>
                <w:rFonts w:ascii="Times New Roman" w:eastAsia="Times New Roman" w:hAnsi="Times New Roman" w:cs="Times New Roman"/>
                <w:position w:val="-10"/>
                <w:sz w:val="24"/>
                <w:szCs w:val="24"/>
              </w:rPr>
              <w:object w:dxaOrig="960" w:dyaOrig="320" w14:anchorId="7EC7A154">
                <v:shape id="_x0000_i1052" type="#_x0000_t75" style="width:48.25pt;height:15.55pt" o:ole="">
                  <v:imagedata r:id="rId61" o:title=""/>
                </v:shape>
                <o:OLEObject Type="Embed" ProgID="Equation.DSMT4" ShapeID="_x0000_i1052" DrawAspect="Content" ObjectID="_1849092484" r:id="rId62"/>
              </w:object>
            </w:r>
          </w:p>
        </w:tc>
      </w:tr>
      <w:tr w:rsidR="00D37A2F" w14:paraId="424F3772" w14:textId="77777777" w:rsidTr="00CC0B3D">
        <w:trPr>
          <w:tblCellSpacing w:w="15" w:type="dxa"/>
        </w:trPr>
        <w:tc>
          <w:tcPr>
            <w:tcW w:w="0" w:type="auto"/>
            <w:vAlign w:val="center"/>
            <w:hideMark/>
          </w:tcPr>
          <w:p w14:paraId="765DB77F"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Intercept</w:t>
            </w:r>
          </w:p>
        </w:tc>
        <w:tc>
          <w:tcPr>
            <w:tcW w:w="0" w:type="auto"/>
            <w:vAlign w:val="center"/>
            <w:hideMark/>
          </w:tcPr>
          <w:p w14:paraId="04556BD1"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-1.842</w:t>
            </w:r>
          </w:p>
        </w:tc>
        <w:tc>
          <w:tcPr>
            <w:tcW w:w="0" w:type="auto"/>
            <w:vAlign w:val="center"/>
            <w:hideMark/>
          </w:tcPr>
          <w:p w14:paraId="5C15DAF6"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0.182</w:t>
            </w:r>
          </w:p>
        </w:tc>
        <w:tc>
          <w:tcPr>
            <w:tcW w:w="0" w:type="auto"/>
            <w:vAlign w:val="center"/>
            <w:hideMark/>
          </w:tcPr>
          <w:p w14:paraId="4D7DE562" w14:textId="77777777" w:rsidR="00D37A2F" w:rsidRPr="00345DCB" w:rsidRDefault="00D37A2F" w:rsidP="00CC0B3D">
            <w:pPr>
              <w:spacing w:after="0"/>
              <w:rPr>
                <w:rFonts w:ascii="Times New Roman" w:hAnsi="Times New Roman" w:cs="Times New Roman"/>
                <w:sz w:val="24"/>
                <w:szCs w:val="24"/>
              </w:rPr>
            </w:pPr>
          </w:p>
        </w:tc>
        <w:tc>
          <w:tcPr>
            <w:tcW w:w="0" w:type="auto"/>
            <w:vAlign w:val="center"/>
            <w:hideMark/>
          </w:tcPr>
          <w:p w14:paraId="71D5CE85" w14:textId="77777777" w:rsidR="00D37A2F" w:rsidRPr="00345DCB" w:rsidRDefault="00D37A2F" w:rsidP="00CC0B3D">
            <w:pPr>
              <w:spacing w:after="0"/>
              <w:rPr>
                <w:rFonts w:ascii="Times New Roman" w:hAnsi="Times New Roman" w:cs="Times New Roman"/>
                <w:sz w:val="24"/>
                <w:szCs w:val="24"/>
              </w:rPr>
            </w:pPr>
          </w:p>
        </w:tc>
        <w:tc>
          <w:tcPr>
            <w:tcW w:w="0" w:type="auto"/>
            <w:vAlign w:val="center"/>
            <w:hideMark/>
          </w:tcPr>
          <w:p w14:paraId="3260B011" w14:textId="77777777" w:rsidR="00D37A2F" w:rsidRPr="00345DCB" w:rsidRDefault="00D37A2F" w:rsidP="00CC0B3D">
            <w:pPr>
              <w:spacing w:after="0"/>
              <w:rPr>
                <w:rFonts w:ascii="Times New Roman" w:hAnsi="Times New Roman" w:cs="Times New Roman"/>
                <w:sz w:val="24"/>
                <w:szCs w:val="24"/>
              </w:rPr>
            </w:pPr>
          </w:p>
        </w:tc>
      </w:tr>
      <w:tr w:rsidR="00D37A2F" w14:paraId="43357092" w14:textId="77777777" w:rsidTr="00CC0B3D">
        <w:trPr>
          <w:tblCellSpacing w:w="15" w:type="dxa"/>
        </w:trPr>
        <w:tc>
          <w:tcPr>
            <w:tcW w:w="0" w:type="auto"/>
            <w:vAlign w:val="center"/>
            <w:hideMark/>
          </w:tcPr>
          <w:p w14:paraId="740EDDE3"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Mother age</w:t>
            </w:r>
          </w:p>
        </w:tc>
        <w:tc>
          <w:tcPr>
            <w:tcW w:w="0" w:type="auto"/>
            <w:vAlign w:val="center"/>
            <w:hideMark/>
          </w:tcPr>
          <w:p w14:paraId="7963469F"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0.032</w:t>
            </w:r>
          </w:p>
        </w:tc>
        <w:tc>
          <w:tcPr>
            <w:tcW w:w="0" w:type="auto"/>
            <w:vAlign w:val="center"/>
            <w:hideMark/>
          </w:tcPr>
          <w:p w14:paraId="70993706"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0.008</w:t>
            </w:r>
          </w:p>
        </w:tc>
        <w:tc>
          <w:tcPr>
            <w:tcW w:w="0" w:type="auto"/>
            <w:vAlign w:val="center"/>
            <w:hideMark/>
          </w:tcPr>
          <w:p w14:paraId="40E0C55C"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1.03</w:t>
            </w:r>
          </w:p>
        </w:tc>
        <w:tc>
          <w:tcPr>
            <w:tcW w:w="0" w:type="auto"/>
            <w:vAlign w:val="center"/>
            <w:hideMark/>
          </w:tcPr>
          <w:p w14:paraId="0A002EB8"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(1.02–1.05)</w:t>
            </w:r>
          </w:p>
        </w:tc>
        <w:tc>
          <w:tcPr>
            <w:tcW w:w="0" w:type="auto"/>
            <w:vAlign w:val="center"/>
            <w:hideMark/>
          </w:tcPr>
          <w:p w14:paraId="440D0995"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D37A2F" w14:paraId="34785D95" w14:textId="77777777" w:rsidTr="00CC0B3D">
        <w:trPr>
          <w:tblCellSpacing w:w="15" w:type="dxa"/>
        </w:trPr>
        <w:tc>
          <w:tcPr>
            <w:tcW w:w="0" w:type="auto"/>
            <w:vAlign w:val="center"/>
            <w:hideMark/>
          </w:tcPr>
          <w:p w14:paraId="742C69E7"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Secondary education</w:t>
            </w:r>
          </w:p>
        </w:tc>
        <w:tc>
          <w:tcPr>
            <w:tcW w:w="0" w:type="auto"/>
            <w:vAlign w:val="center"/>
            <w:hideMark/>
          </w:tcPr>
          <w:p w14:paraId="66E7AD17"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0.514</w:t>
            </w:r>
          </w:p>
        </w:tc>
        <w:tc>
          <w:tcPr>
            <w:tcW w:w="0" w:type="auto"/>
            <w:vAlign w:val="center"/>
            <w:hideMark/>
          </w:tcPr>
          <w:p w14:paraId="60E83407"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0.063</w:t>
            </w:r>
          </w:p>
        </w:tc>
        <w:tc>
          <w:tcPr>
            <w:tcW w:w="0" w:type="auto"/>
            <w:vAlign w:val="center"/>
            <w:hideMark/>
          </w:tcPr>
          <w:p w14:paraId="4720E73B"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1.67</w:t>
            </w:r>
          </w:p>
        </w:tc>
        <w:tc>
          <w:tcPr>
            <w:tcW w:w="0" w:type="auto"/>
            <w:vAlign w:val="center"/>
            <w:hideMark/>
          </w:tcPr>
          <w:p w14:paraId="5453917B"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(1.48–1.88)</w:t>
            </w:r>
          </w:p>
        </w:tc>
        <w:tc>
          <w:tcPr>
            <w:tcW w:w="0" w:type="auto"/>
            <w:vAlign w:val="center"/>
            <w:hideMark/>
          </w:tcPr>
          <w:p w14:paraId="25010DBA"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D37A2F" w14:paraId="559A2E65" w14:textId="77777777" w:rsidTr="00CC0B3D">
        <w:trPr>
          <w:tblCellSpacing w:w="15" w:type="dxa"/>
        </w:trPr>
        <w:tc>
          <w:tcPr>
            <w:tcW w:w="0" w:type="auto"/>
            <w:vAlign w:val="center"/>
            <w:hideMark/>
          </w:tcPr>
          <w:p w14:paraId="08AADBC6"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Higher education</w:t>
            </w:r>
          </w:p>
        </w:tc>
        <w:tc>
          <w:tcPr>
            <w:tcW w:w="0" w:type="auto"/>
            <w:vAlign w:val="center"/>
            <w:hideMark/>
          </w:tcPr>
          <w:p w14:paraId="1DBDE8B7"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0.918</w:t>
            </w:r>
          </w:p>
        </w:tc>
        <w:tc>
          <w:tcPr>
            <w:tcW w:w="0" w:type="auto"/>
            <w:vAlign w:val="center"/>
            <w:hideMark/>
          </w:tcPr>
          <w:p w14:paraId="19956749"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0.109</w:t>
            </w:r>
          </w:p>
        </w:tc>
        <w:tc>
          <w:tcPr>
            <w:tcW w:w="0" w:type="auto"/>
            <w:vAlign w:val="center"/>
            <w:hideMark/>
          </w:tcPr>
          <w:p w14:paraId="13A814D8"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2.50</w:t>
            </w:r>
          </w:p>
        </w:tc>
        <w:tc>
          <w:tcPr>
            <w:tcW w:w="0" w:type="auto"/>
            <w:vAlign w:val="center"/>
            <w:hideMark/>
          </w:tcPr>
          <w:p w14:paraId="32345439"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(2.02–3.09)</w:t>
            </w:r>
          </w:p>
        </w:tc>
        <w:tc>
          <w:tcPr>
            <w:tcW w:w="0" w:type="auto"/>
            <w:vAlign w:val="center"/>
            <w:hideMark/>
          </w:tcPr>
          <w:p w14:paraId="1C8FD990"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D37A2F" w14:paraId="1826ED1C" w14:textId="77777777" w:rsidTr="00CC0B3D">
        <w:trPr>
          <w:tblCellSpacing w:w="15" w:type="dxa"/>
        </w:trPr>
        <w:tc>
          <w:tcPr>
            <w:tcW w:w="0" w:type="auto"/>
            <w:vAlign w:val="center"/>
            <w:hideMark/>
          </w:tcPr>
          <w:p w14:paraId="16F2C4AA"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Urban residence</w:t>
            </w:r>
          </w:p>
        </w:tc>
        <w:tc>
          <w:tcPr>
            <w:tcW w:w="0" w:type="auto"/>
            <w:vAlign w:val="center"/>
            <w:hideMark/>
          </w:tcPr>
          <w:p w14:paraId="7A6F7DC7"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0.356</w:t>
            </w:r>
          </w:p>
        </w:tc>
        <w:tc>
          <w:tcPr>
            <w:tcW w:w="0" w:type="auto"/>
            <w:vAlign w:val="center"/>
            <w:hideMark/>
          </w:tcPr>
          <w:p w14:paraId="22393B33"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0.071</w:t>
            </w:r>
          </w:p>
        </w:tc>
        <w:tc>
          <w:tcPr>
            <w:tcW w:w="0" w:type="auto"/>
            <w:vAlign w:val="center"/>
            <w:hideMark/>
          </w:tcPr>
          <w:p w14:paraId="08A0C968"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1.43</w:t>
            </w:r>
          </w:p>
        </w:tc>
        <w:tc>
          <w:tcPr>
            <w:tcW w:w="0" w:type="auto"/>
            <w:vAlign w:val="center"/>
            <w:hideMark/>
          </w:tcPr>
          <w:p w14:paraId="1B5B3EE6"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(1.24–1.65)</w:t>
            </w:r>
          </w:p>
        </w:tc>
        <w:tc>
          <w:tcPr>
            <w:tcW w:w="0" w:type="auto"/>
            <w:vAlign w:val="center"/>
            <w:hideMark/>
          </w:tcPr>
          <w:p w14:paraId="1688C62A"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D37A2F" w14:paraId="4CCA4DA5" w14:textId="77777777" w:rsidTr="00CC0B3D">
        <w:trPr>
          <w:tblCellSpacing w:w="15" w:type="dxa"/>
        </w:trPr>
        <w:tc>
          <w:tcPr>
            <w:tcW w:w="0" w:type="auto"/>
            <w:vAlign w:val="center"/>
            <w:hideMark/>
          </w:tcPr>
          <w:p w14:paraId="28631953"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Rich household</w:t>
            </w:r>
          </w:p>
        </w:tc>
        <w:tc>
          <w:tcPr>
            <w:tcW w:w="0" w:type="auto"/>
            <w:vAlign w:val="center"/>
            <w:hideMark/>
          </w:tcPr>
          <w:p w14:paraId="7CCF49EF"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0.682</w:t>
            </w:r>
          </w:p>
        </w:tc>
        <w:tc>
          <w:tcPr>
            <w:tcW w:w="0" w:type="auto"/>
            <w:vAlign w:val="center"/>
            <w:hideMark/>
          </w:tcPr>
          <w:p w14:paraId="37544C49"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0.076</w:t>
            </w:r>
          </w:p>
        </w:tc>
        <w:tc>
          <w:tcPr>
            <w:tcW w:w="0" w:type="auto"/>
            <w:vAlign w:val="center"/>
            <w:hideMark/>
          </w:tcPr>
          <w:p w14:paraId="37FF6D1A"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1.98</w:t>
            </w:r>
          </w:p>
        </w:tc>
        <w:tc>
          <w:tcPr>
            <w:tcW w:w="0" w:type="auto"/>
            <w:vAlign w:val="center"/>
            <w:hideMark/>
          </w:tcPr>
          <w:p w14:paraId="5D095D74"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(1.71–2.28)</w:t>
            </w:r>
          </w:p>
        </w:tc>
        <w:tc>
          <w:tcPr>
            <w:tcW w:w="0" w:type="auto"/>
            <w:vAlign w:val="center"/>
            <w:hideMark/>
          </w:tcPr>
          <w:p w14:paraId="4B531144"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D37A2F" w14:paraId="153AE520" w14:textId="77777777" w:rsidTr="00CC0B3D">
        <w:trPr>
          <w:tblCellSpacing w:w="15" w:type="dxa"/>
        </w:trPr>
        <w:tc>
          <w:tcPr>
            <w:tcW w:w="0" w:type="auto"/>
            <w:vAlign w:val="center"/>
            <w:hideMark/>
          </w:tcPr>
          <w:p w14:paraId="08119B05"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≥4 ANC visits</w:t>
            </w:r>
          </w:p>
        </w:tc>
        <w:tc>
          <w:tcPr>
            <w:tcW w:w="0" w:type="auto"/>
            <w:vAlign w:val="center"/>
            <w:hideMark/>
          </w:tcPr>
          <w:p w14:paraId="2674CDC2"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0.791</w:t>
            </w:r>
          </w:p>
        </w:tc>
        <w:tc>
          <w:tcPr>
            <w:tcW w:w="0" w:type="auto"/>
            <w:vAlign w:val="center"/>
            <w:hideMark/>
          </w:tcPr>
          <w:p w14:paraId="6A065521"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0.066</w:t>
            </w:r>
          </w:p>
        </w:tc>
        <w:tc>
          <w:tcPr>
            <w:tcW w:w="0" w:type="auto"/>
            <w:vAlign w:val="center"/>
            <w:hideMark/>
          </w:tcPr>
          <w:p w14:paraId="0FFCC209"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2.21</w:t>
            </w:r>
          </w:p>
        </w:tc>
        <w:tc>
          <w:tcPr>
            <w:tcW w:w="0" w:type="auto"/>
            <w:vAlign w:val="center"/>
            <w:hideMark/>
          </w:tcPr>
          <w:p w14:paraId="6EAC8E16"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(1.94–2.52)</w:t>
            </w:r>
          </w:p>
        </w:tc>
        <w:tc>
          <w:tcPr>
            <w:tcW w:w="0" w:type="auto"/>
            <w:vAlign w:val="center"/>
            <w:hideMark/>
          </w:tcPr>
          <w:p w14:paraId="6CD3D262"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r w:rsidR="00D37A2F" w14:paraId="3E0E6E8E" w14:textId="77777777" w:rsidTr="00CC0B3D">
        <w:trPr>
          <w:tblCellSpacing w:w="15" w:type="dxa"/>
        </w:trPr>
        <w:tc>
          <w:tcPr>
            <w:tcW w:w="0" w:type="auto"/>
            <w:vAlign w:val="center"/>
            <w:hideMark/>
          </w:tcPr>
          <w:p w14:paraId="0F74C948"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Facility delivery</w:t>
            </w:r>
          </w:p>
        </w:tc>
        <w:tc>
          <w:tcPr>
            <w:tcW w:w="0" w:type="auto"/>
            <w:vAlign w:val="center"/>
            <w:hideMark/>
          </w:tcPr>
          <w:p w14:paraId="0E5A7BAB"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0.638</w:t>
            </w:r>
          </w:p>
        </w:tc>
        <w:tc>
          <w:tcPr>
            <w:tcW w:w="0" w:type="auto"/>
            <w:vAlign w:val="center"/>
            <w:hideMark/>
          </w:tcPr>
          <w:p w14:paraId="4046FE8D"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0.058</w:t>
            </w:r>
          </w:p>
        </w:tc>
        <w:tc>
          <w:tcPr>
            <w:tcW w:w="0" w:type="auto"/>
            <w:vAlign w:val="center"/>
            <w:hideMark/>
          </w:tcPr>
          <w:p w14:paraId="7EA0403C"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1.89</w:t>
            </w:r>
          </w:p>
        </w:tc>
        <w:tc>
          <w:tcPr>
            <w:tcW w:w="0" w:type="auto"/>
            <w:vAlign w:val="center"/>
            <w:hideMark/>
          </w:tcPr>
          <w:p w14:paraId="64CD35E8"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(1.69–2.11)</w:t>
            </w:r>
          </w:p>
        </w:tc>
        <w:tc>
          <w:tcPr>
            <w:tcW w:w="0" w:type="auto"/>
            <w:vAlign w:val="center"/>
            <w:hideMark/>
          </w:tcPr>
          <w:p w14:paraId="2F99E5B7" w14:textId="77777777" w:rsidR="00D37A2F" w:rsidRPr="00345DCB" w:rsidRDefault="00D37A2F" w:rsidP="00CC0B3D">
            <w:pPr>
              <w:spacing w:after="0"/>
              <w:rPr>
                <w:rFonts w:ascii="Times New Roman" w:hAnsi="Times New Roman" w:cs="Times New Roman"/>
                <w:sz w:val="24"/>
                <w:szCs w:val="24"/>
              </w:rPr>
            </w:pPr>
            <w:r w:rsidRPr="00345DCB">
              <w:rPr>
                <w:rFonts w:ascii="Times New Roman" w:hAnsi="Times New Roman" w:cs="Times New Roman"/>
                <w:sz w:val="24"/>
                <w:szCs w:val="24"/>
              </w:rPr>
              <w:t>&lt;0.001</w:t>
            </w:r>
          </w:p>
        </w:tc>
      </w:tr>
    </w:tbl>
    <w:p w14:paraId="4AB40597" w14:textId="77777777" w:rsidR="00D37A2F" w:rsidRDefault="00D37A2F" w:rsidP="00D37A2F">
      <w:pPr>
        <w:spacing w:after="0" w:line="240" w:lineRule="auto"/>
        <w:jc w:val="both"/>
        <w:rPr>
          <w:sz w:val="20"/>
          <w:szCs w:val="20"/>
        </w:rPr>
      </w:pPr>
      <w:r w:rsidRPr="00345DCB">
        <w:rPr>
          <w:rFonts w:ascii="Times New Roman" w:hAnsi="Times New Roman" w:cs="Times New Roman"/>
          <w:iCs/>
          <w:color w:val="000000"/>
          <w:sz w:val="20"/>
          <w:szCs w:val="20"/>
        </w:rPr>
        <w:t>Sources: Author’s computation (2026)</w:t>
      </w:r>
    </w:p>
    <w:p w14:paraId="7747610C" w14:textId="77777777" w:rsidR="00D37A2F" w:rsidRPr="000157ED"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Logistic regression confirmed that several maternal characteristics, </w:t>
      </w:r>
      <w:r>
        <w:rPr>
          <w:rFonts w:ascii="Times New Roman" w:eastAsia="Times New Roman" w:hAnsi="Times New Roman" w:cs="Times New Roman"/>
          <w:sz w:val="24"/>
          <w:szCs w:val="24"/>
          <w:highlight w:val="yellow"/>
        </w:rPr>
        <w:t>sociodemographic</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factors</w:t>
      </w:r>
      <w:r>
        <w:rPr>
          <w:rFonts w:ascii="Times New Roman" w:eastAsia="Times New Roman" w:hAnsi="Times New Roman" w:cs="Times New Roman"/>
          <w:sz w:val="24"/>
          <w:szCs w:val="24"/>
        </w:rPr>
        <w:t>, and</w:t>
      </w:r>
      <w:r>
        <w:rPr>
          <w:rFonts w:ascii="Times New Roman" w:eastAsia="Times New Roman" w:hAnsi="Times New Roman" w:cs="Times New Roman"/>
          <w:sz w:val="24"/>
          <w:szCs w:val="24"/>
          <w:highlight w:val="yellow"/>
        </w:rPr>
        <w:t xml:space="preserve"> indicators of</w:t>
      </w:r>
      <w:r>
        <w:rPr>
          <w:rFonts w:ascii="Times New Roman" w:eastAsia="Times New Roman" w:hAnsi="Times New Roman" w:cs="Times New Roman"/>
          <w:sz w:val="24"/>
          <w:szCs w:val="24"/>
        </w:rPr>
        <w:t xml:space="preserve"> healthcare access </w:t>
      </w:r>
      <w:r>
        <w:rPr>
          <w:rFonts w:ascii="Times New Roman" w:eastAsia="Times New Roman" w:hAnsi="Times New Roman" w:cs="Times New Roman"/>
          <w:sz w:val="24"/>
          <w:szCs w:val="24"/>
          <w:highlight w:val="yellow"/>
        </w:rPr>
        <w:t>were</w:t>
      </w:r>
      <w:r>
        <w:rPr>
          <w:rFonts w:ascii="Times New Roman" w:eastAsia="Times New Roman" w:hAnsi="Times New Roman" w:cs="Times New Roman"/>
          <w:sz w:val="24"/>
          <w:szCs w:val="24"/>
        </w:rPr>
        <w:t xml:space="preserve"> significant predictors of complete childhood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Maternal</w:t>
      </w:r>
      <w:r>
        <w:rPr>
          <w:rFonts w:ascii="Times New Roman" w:eastAsia="Times New Roman" w:hAnsi="Times New Roman" w:cs="Times New Roman"/>
          <w:sz w:val="24"/>
          <w:szCs w:val="24"/>
        </w:rPr>
        <w:t xml:space="preserve"> age was positively associated with </w:t>
      </w:r>
      <w:r>
        <w:rPr>
          <w:rFonts w:ascii="Times New Roman" w:eastAsia="Times New Roman" w:hAnsi="Times New Roman" w:cs="Times New Roman"/>
          <w:sz w:val="24"/>
          <w:szCs w:val="24"/>
          <w:highlight w:val="yellow"/>
        </w:rPr>
        <w:t>vaccination</w:t>
      </w:r>
      <w:r>
        <w:rPr>
          <w:rFonts w:ascii="Times New Roman" w:eastAsia="Times New Roman" w:hAnsi="Times New Roman" w:cs="Times New Roman"/>
          <w:sz w:val="24"/>
          <w:szCs w:val="24"/>
        </w:rPr>
        <w:t xml:space="preserve"> status (</w:t>
      </w:r>
      <w:r>
        <w:rPr>
          <w:rFonts w:ascii="Times New Roman" w:eastAsia="Times New Roman" w:hAnsi="Times New Roman" w:cs="Times New Roman"/>
          <w:sz w:val="24"/>
          <w:szCs w:val="24"/>
          <w:highlight w:val="yellow"/>
        </w:rPr>
        <w:t>odds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ratio</w:t>
      </w:r>
      <w:r>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1.03; 95% </w:t>
      </w:r>
      <w:r>
        <w:rPr>
          <w:rFonts w:ascii="Times New Roman" w:eastAsia="Times New Roman" w:hAnsi="Times New Roman" w:cs="Times New Roman"/>
          <w:sz w:val="24"/>
          <w:szCs w:val="24"/>
          <w:highlight w:val="yellow"/>
        </w:rPr>
        <w:t>confidence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interval</w:t>
      </w:r>
      <w:r>
        <w:rPr>
          <w:rFonts w:ascii="Times New Roman" w:eastAsia="Times New Roman" w:hAnsi="Times New Roman" w:cs="Times New Roman"/>
          <w:sz w:val="24"/>
          <w:szCs w:val="24"/>
        </w:rPr>
        <w:t xml:space="preserve"> [CI]: 1.02-1.05; p &lt;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0.001); </w:t>
      </w:r>
      <w:r>
        <w:rPr>
          <w:rFonts w:ascii="Times New Roman" w:eastAsia="Times New Roman" w:hAnsi="Times New Roman" w:cs="Times New Roman"/>
          <w:sz w:val="24"/>
          <w:szCs w:val="24"/>
          <w:highlight w:val="yellow"/>
        </w:rPr>
        <w:t>this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association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may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reflect greater</w:t>
      </w:r>
      <w:r>
        <w:rPr>
          <w:rFonts w:ascii="Times New Roman" w:eastAsia="Times New Roman" w:hAnsi="Times New Roman" w:cs="Times New Roman"/>
          <w:sz w:val="24"/>
          <w:szCs w:val="24"/>
        </w:rPr>
        <w:t xml:space="preserve"> maternal childcare experience and awareness </w:t>
      </w:r>
      <w:r>
        <w:rPr>
          <w:rFonts w:ascii="Times New Roman" w:eastAsia="Times New Roman" w:hAnsi="Times New Roman" w:cs="Times New Roman"/>
          <w:sz w:val="24"/>
          <w:szCs w:val="24"/>
          <w:highlight w:val="yellow"/>
        </w:rPr>
        <w:t>of</w:t>
      </w:r>
      <w:r>
        <w:rPr>
          <w:rFonts w:ascii="Times New Roman" w:eastAsia="Times New Roman" w:hAnsi="Times New Roman" w:cs="Times New Roman"/>
          <w:sz w:val="24"/>
          <w:szCs w:val="24"/>
        </w:rPr>
        <w:t xml:space="preserve"> health information. Education was </w:t>
      </w:r>
      <w:r>
        <w:rPr>
          <w:rFonts w:ascii="Times New Roman" w:eastAsia="Times New Roman" w:hAnsi="Times New Roman" w:cs="Times New Roman"/>
          <w:sz w:val="24"/>
          <w:szCs w:val="24"/>
          <w:highlight w:val="yellow"/>
        </w:rPr>
        <w:t>an</w:t>
      </w:r>
      <w:r>
        <w:rPr>
          <w:rFonts w:ascii="Times New Roman" w:eastAsia="Times New Roman" w:hAnsi="Times New Roman" w:cs="Times New Roman"/>
          <w:sz w:val="24"/>
          <w:szCs w:val="24"/>
        </w:rPr>
        <w:t xml:space="preserve"> important factor: compared </w:t>
      </w:r>
      <w:r>
        <w:rPr>
          <w:rFonts w:ascii="Times New Roman" w:eastAsia="Times New Roman" w:hAnsi="Times New Roman" w:cs="Times New Roman"/>
          <w:sz w:val="24"/>
          <w:szCs w:val="24"/>
          <w:highlight w:val="yellow"/>
        </w:rPr>
        <w:t>with mothers with</w:t>
      </w:r>
      <w:r>
        <w:rPr>
          <w:rFonts w:ascii="Times New Roman" w:eastAsia="Times New Roman" w:hAnsi="Times New Roman" w:cs="Times New Roman"/>
          <w:sz w:val="24"/>
          <w:szCs w:val="24"/>
        </w:rPr>
        <w:t xml:space="preserve"> no education, </w:t>
      </w:r>
      <w:r>
        <w:rPr>
          <w:rFonts w:ascii="Times New Roman" w:eastAsia="Times New Roman" w:hAnsi="Times New Roman" w:cs="Times New Roman"/>
          <w:sz w:val="24"/>
          <w:szCs w:val="24"/>
          <w:highlight w:val="yellow"/>
        </w:rPr>
        <w:t>mothers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with secondary education</w:t>
      </w:r>
      <w:r>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1.67;</w:t>
      </w:r>
      <w:r>
        <w:rPr>
          <w:rFonts w:ascii="Times New Roman" w:eastAsia="Times New Roman" w:hAnsi="Times New Roman" w:cs="Times New Roman"/>
          <w:sz w:val="24"/>
          <w:szCs w:val="24"/>
          <w:highlight w:val="yellow"/>
        </w:rPr>
        <w:t xml:space="preserve"> 95%</w:t>
      </w:r>
      <w:r>
        <w:rPr>
          <w:rFonts w:ascii="Times New Roman" w:eastAsia="Times New Roman" w:hAnsi="Times New Roman" w:cs="Times New Roman"/>
          <w:sz w:val="24"/>
          <w:szCs w:val="24"/>
        </w:rPr>
        <w:t xml:space="preserve"> CI: 1.48-1.88; p</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0.001) and higher education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2.50;</w:t>
      </w:r>
      <w:r>
        <w:rPr>
          <w:rFonts w:ascii="Times New Roman" w:eastAsia="Times New Roman" w:hAnsi="Times New Roman" w:cs="Times New Roman"/>
          <w:sz w:val="24"/>
          <w:szCs w:val="24"/>
          <w:highlight w:val="yellow"/>
        </w:rPr>
        <w:t xml:space="preserve"> 95%</w:t>
      </w:r>
      <w:r>
        <w:rPr>
          <w:rFonts w:ascii="Times New Roman" w:eastAsia="Times New Roman" w:hAnsi="Times New Roman" w:cs="Times New Roman"/>
          <w:sz w:val="24"/>
          <w:szCs w:val="24"/>
        </w:rPr>
        <w:t xml:space="preserve"> CI: 2.02-3.09; p</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0.001) were more likely to complete </w:t>
      </w:r>
      <w:r>
        <w:rPr>
          <w:rFonts w:ascii="Times New Roman" w:eastAsia="Times New Roman" w:hAnsi="Times New Roman" w:cs="Times New Roman"/>
          <w:sz w:val="24"/>
          <w:szCs w:val="24"/>
          <w:highlight w:val="yellow"/>
        </w:rPr>
        <w:t>their children's</w:t>
      </w:r>
      <w:r>
        <w:rPr>
          <w:rFonts w:ascii="Times New Roman" w:eastAsia="Times New Roman" w:hAnsi="Times New Roman" w:cs="Times New Roman"/>
          <w:sz w:val="24"/>
          <w:szCs w:val="24"/>
        </w:rPr>
        <w:t xml:space="preserve"> vaccination</w:t>
      </w:r>
      <w:r>
        <w:rPr>
          <w:rFonts w:ascii="Times New Roman" w:eastAsia="Times New Roman" w:hAnsi="Times New Roman" w:cs="Times New Roman"/>
          <w:sz w:val="24"/>
          <w:szCs w:val="24"/>
          <w:highlight w:val="yellow"/>
        </w:rPr>
        <w:t xml:space="preserve"> schedules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Urban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residence</w:t>
      </w:r>
      <w:r>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1.43;</w:t>
      </w:r>
      <w:r>
        <w:rPr>
          <w:rFonts w:ascii="Times New Roman" w:eastAsia="Times New Roman" w:hAnsi="Times New Roman" w:cs="Times New Roman"/>
          <w:sz w:val="24"/>
          <w:szCs w:val="24"/>
          <w:highlight w:val="yellow"/>
        </w:rPr>
        <w:t xml:space="preserve"> 95%</w:t>
      </w:r>
      <w:r>
        <w:rPr>
          <w:rFonts w:ascii="Times New Roman" w:eastAsia="Times New Roman" w:hAnsi="Times New Roman" w:cs="Times New Roman"/>
          <w:sz w:val="24"/>
          <w:szCs w:val="24"/>
        </w:rPr>
        <w:t xml:space="preserve"> CI: 1.24-1.65; p</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0.001) and </w:t>
      </w:r>
      <w:r>
        <w:rPr>
          <w:rFonts w:ascii="Times New Roman" w:eastAsia="Times New Roman" w:hAnsi="Times New Roman" w:cs="Times New Roman"/>
          <w:sz w:val="24"/>
          <w:szCs w:val="24"/>
          <w:highlight w:val="yellow"/>
        </w:rPr>
        <w:t>greater household</w:t>
      </w:r>
      <w:r>
        <w:rPr>
          <w:rFonts w:ascii="Times New Roman" w:eastAsia="Times New Roman" w:hAnsi="Times New Roman" w:cs="Times New Roman"/>
          <w:sz w:val="24"/>
          <w:szCs w:val="24"/>
        </w:rPr>
        <w:t xml:space="preserve"> wealth were </w:t>
      </w:r>
      <w:r>
        <w:rPr>
          <w:rFonts w:ascii="Times New Roman" w:eastAsia="Times New Roman" w:hAnsi="Times New Roman" w:cs="Times New Roman"/>
          <w:sz w:val="24"/>
          <w:szCs w:val="24"/>
          <w:highlight w:val="yellow"/>
        </w:rPr>
        <w:t>also</w:t>
      </w:r>
      <w:r>
        <w:rPr>
          <w:rFonts w:ascii="Times New Roman" w:eastAsia="Times New Roman" w:hAnsi="Times New Roman" w:cs="Times New Roman"/>
          <w:sz w:val="24"/>
          <w:szCs w:val="24"/>
        </w:rPr>
        <w:t xml:space="preserve"> positively </w:t>
      </w:r>
      <w:r>
        <w:rPr>
          <w:rFonts w:ascii="Times New Roman" w:eastAsia="Times New Roman" w:hAnsi="Times New Roman" w:cs="Times New Roman"/>
          <w:sz w:val="24"/>
          <w:szCs w:val="24"/>
          <w:highlight w:val="yellow"/>
        </w:rPr>
        <w:t>associated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with</w:t>
      </w:r>
      <w:r>
        <w:rPr>
          <w:rFonts w:ascii="Times New Roman" w:eastAsia="Times New Roman" w:hAnsi="Times New Roman" w:cs="Times New Roman"/>
          <w:sz w:val="24"/>
          <w:szCs w:val="24"/>
        </w:rPr>
        <w:t xml:space="preserve"> complete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Healthcare access </w:t>
      </w:r>
      <w:r>
        <w:rPr>
          <w:rFonts w:ascii="Times New Roman" w:eastAsia="Times New Roman" w:hAnsi="Times New Roman" w:cs="Times New Roman"/>
          <w:sz w:val="24"/>
          <w:szCs w:val="24"/>
          <w:highlight w:val="yellow"/>
        </w:rPr>
        <w:t>showed</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largest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associations:</w:t>
      </w:r>
      <w:r>
        <w:rPr>
          <w:rFonts w:ascii="Times New Roman" w:eastAsia="Times New Roman" w:hAnsi="Times New Roman" w:cs="Times New Roman"/>
          <w:sz w:val="24"/>
          <w:szCs w:val="24"/>
        </w:rPr>
        <w:t xml:space="preserve"> mothers with at least four </w:t>
      </w:r>
      <w:r>
        <w:rPr>
          <w:rFonts w:ascii="Times New Roman" w:eastAsia="Times New Roman" w:hAnsi="Times New Roman" w:cs="Times New Roman"/>
          <w:sz w:val="24"/>
          <w:szCs w:val="24"/>
          <w:highlight w:val="yellow"/>
        </w:rPr>
        <w:t>antenatal care</w:t>
      </w:r>
      <w:r>
        <w:rPr>
          <w:rFonts w:ascii="Times New Roman" w:eastAsia="Times New Roman" w:hAnsi="Times New Roman" w:cs="Times New Roman"/>
          <w:sz w:val="24"/>
          <w:szCs w:val="24"/>
        </w:rPr>
        <w:t xml:space="preserve"> visits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2.21;</w:t>
      </w:r>
      <w:r>
        <w:rPr>
          <w:rFonts w:ascii="Times New Roman" w:eastAsia="Times New Roman" w:hAnsi="Times New Roman" w:cs="Times New Roman"/>
          <w:sz w:val="24"/>
          <w:szCs w:val="24"/>
          <w:highlight w:val="yellow"/>
        </w:rPr>
        <w:t xml:space="preserve"> 95%</w:t>
      </w:r>
      <w:r>
        <w:rPr>
          <w:rFonts w:ascii="Times New Roman" w:eastAsia="Times New Roman" w:hAnsi="Times New Roman" w:cs="Times New Roman"/>
          <w:sz w:val="24"/>
          <w:szCs w:val="24"/>
        </w:rPr>
        <w:t xml:space="preserve"> CI: 1.94-2.52; p</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0.001) and </w:t>
      </w:r>
      <w:r>
        <w:rPr>
          <w:rFonts w:ascii="Times New Roman" w:eastAsia="Times New Roman" w:hAnsi="Times New Roman" w:cs="Times New Roman"/>
          <w:sz w:val="24"/>
          <w:szCs w:val="24"/>
          <w:highlight w:val="yellow"/>
        </w:rPr>
        <w:t>those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who delivered in</w:t>
      </w:r>
      <w:r>
        <w:rPr>
          <w:rFonts w:ascii="Times New Roman" w:eastAsia="Times New Roman" w:hAnsi="Times New Roman" w:cs="Times New Roman"/>
          <w:sz w:val="24"/>
          <w:szCs w:val="24"/>
        </w:rPr>
        <w:t xml:space="preserve"> health facilities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1.89;</w:t>
      </w:r>
      <w:r>
        <w:rPr>
          <w:rFonts w:ascii="Times New Roman" w:eastAsia="Times New Roman" w:hAnsi="Times New Roman" w:cs="Times New Roman"/>
          <w:sz w:val="24"/>
          <w:szCs w:val="24"/>
          <w:highlight w:val="yellow"/>
        </w:rPr>
        <w:t xml:space="preserve"> 95%</w:t>
      </w:r>
      <w:r>
        <w:rPr>
          <w:rFonts w:ascii="Times New Roman" w:eastAsia="Times New Roman" w:hAnsi="Times New Roman" w:cs="Times New Roman"/>
          <w:sz w:val="24"/>
          <w:szCs w:val="24"/>
        </w:rPr>
        <w:t xml:space="preserve"> CI: 1.69-2.11; p</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0.001) reported higher rates of </w:t>
      </w:r>
      <w:r>
        <w:rPr>
          <w:rFonts w:ascii="Times New Roman" w:eastAsia="Times New Roman" w:hAnsi="Times New Roman" w:cs="Times New Roman"/>
          <w:sz w:val="24"/>
          <w:szCs w:val="24"/>
          <w:highlight w:val="yellow"/>
        </w:rPr>
        <w:t>complete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lastRenderedPageBreak/>
        <w:t xml:space="preserve">childhood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highlighting the </w:t>
      </w:r>
      <w:r>
        <w:rPr>
          <w:rFonts w:ascii="Times New Roman" w:eastAsia="Times New Roman" w:hAnsi="Times New Roman" w:cs="Times New Roman"/>
          <w:sz w:val="24"/>
          <w:szCs w:val="24"/>
          <w:highlight w:val="yellow"/>
        </w:rPr>
        <w:t>need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to improve</w:t>
      </w:r>
      <w:r>
        <w:rPr>
          <w:rFonts w:ascii="Times New Roman" w:eastAsia="Times New Roman" w:hAnsi="Times New Roman" w:cs="Times New Roman"/>
          <w:sz w:val="24"/>
          <w:szCs w:val="24"/>
        </w:rPr>
        <w:t xml:space="preserve"> access </w:t>
      </w:r>
      <w:r>
        <w:rPr>
          <w:rFonts w:ascii="Times New Roman" w:eastAsia="Times New Roman" w:hAnsi="Times New Roman" w:cs="Times New Roman"/>
          <w:sz w:val="24"/>
          <w:szCs w:val="24"/>
          <w:highlight w:val="yellow"/>
        </w:rPr>
        <w:t>to</w:t>
      </w:r>
      <w:r>
        <w:rPr>
          <w:rFonts w:ascii="Times New Roman" w:eastAsia="Times New Roman" w:hAnsi="Times New Roman" w:cs="Times New Roman"/>
          <w:sz w:val="24"/>
          <w:szCs w:val="24"/>
        </w:rPr>
        <w:t xml:space="preserve"> healthcare services and </w:t>
      </w:r>
      <w:r>
        <w:rPr>
          <w:rFonts w:ascii="Times New Roman" w:eastAsia="Times New Roman" w:hAnsi="Times New Roman" w:cs="Times New Roman"/>
          <w:sz w:val="24"/>
          <w:szCs w:val="24"/>
          <w:highlight w:val="yellow"/>
        </w:rPr>
        <w:t>reduce</w:t>
      </w:r>
      <w:r>
        <w:rPr>
          <w:rFonts w:ascii="Times New Roman" w:eastAsia="Times New Roman" w:hAnsi="Times New Roman" w:cs="Times New Roman"/>
          <w:sz w:val="24"/>
          <w:szCs w:val="24"/>
        </w:rPr>
        <w:t xml:space="preserve"> disparities.</w:t>
      </w:r>
    </w:p>
    <w:p w14:paraId="0862F87B" w14:textId="77777777" w:rsidR="00D37A2F" w:rsidRDefault="00D37A2F" w:rsidP="00D37A2F">
      <w:pPr>
        <w:rPr>
          <w:rFonts w:ascii="Times New Roman" w:hAnsi="Times New Roman" w:cs="Times New Roman"/>
          <w:sz w:val="24"/>
          <w:szCs w:val="24"/>
        </w:rPr>
      </w:pPr>
      <w:r>
        <w:rPr>
          <w:rFonts w:ascii="Times New Roman" w:hAnsi="Times New Roman" w:cs="Times New Roman"/>
          <w:sz w:val="24"/>
          <w:szCs w:val="24"/>
        </w:rPr>
        <w:t xml:space="preserve">4.4 </w:t>
      </w:r>
      <w:r w:rsidRPr="003D3CFC">
        <w:rPr>
          <w:rFonts w:ascii="Times New Roman" w:hAnsi="Times New Roman" w:cs="Times New Roman"/>
          <w:sz w:val="24"/>
          <w:szCs w:val="24"/>
        </w:rPr>
        <w:t>Survey-weighted Multivariable Logistic Regression</w:t>
      </w:r>
    </w:p>
    <w:p w14:paraId="57E3488B" w14:textId="77777777" w:rsidR="00D37A2F" w:rsidRPr="003D3CFC" w:rsidRDefault="00D37A2F" w:rsidP="00D37A2F">
      <w:pPr>
        <w:rPr>
          <w:rFonts w:ascii="Times New Roman" w:hAnsi="Times New Roman" w:cs="Times New Roman"/>
          <w:sz w:val="24"/>
          <w:szCs w:val="24"/>
        </w:rPr>
      </w:pPr>
      <w:r>
        <w:rPr>
          <w:rFonts w:ascii="Times New Roman" w:hAnsi="Times New Roman" w:cs="Times New Roman"/>
          <w:sz w:val="24"/>
          <w:szCs w:val="24"/>
        </w:rPr>
        <w:t xml:space="preserve">Table 4: </w:t>
      </w:r>
      <w:r w:rsidRPr="003D3CFC">
        <w:rPr>
          <w:rFonts w:ascii="Times New Roman" w:hAnsi="Times New Roman" w:cs="Times New Roman"/>
          <w:sz w:val="24"/>
          <w:szCs w:val="24"/>
        </w:rPr>
        <w:t>Survey-weighted Multivariable Logistic Regression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tblGrid>
      <w:tr w:rsidR="00D37A2F" w14:paraId="56FF16FF" w14:textId="77777777" w:rsidTr="00CC0B3D">
        <w:tc>
          <w:tcPr>
            <w:tcW w:w="1870" w:type="dxa"/>
            <w:vAlign w:val="center"/>
          </w:tcPr>
          <w:p w14:paraId="4562EFBC" w14:textId="77777777" w:rsidR="00D37A2F" w:rsidRPr="00EA2FFD" w:rsidRDefault="00D37A2F" w:rsidP="00CC0B3D">
            <w:pPr>
              <w:rPr>
                <w:rFonts w:ascii="Times New Roman" w:eastAsia="Times New Roman" w:hAnsi="Times New Roman" w:cs="Times New Roman"/>
                <w:bCs/>
                <w:sz w:val="24"/>
                <w:szCs w:val="24"/>
              </w:rPr>
            </w:pPr>
            <w:r w:rsidRPr="00EA2FFD">
              <w:rPr>
                <w:rFonts w:ascii="Times New Roman" w:eastAsia="Times New Roman" w:hAnsi="Times New Roman" w:cs="Times New Roman"/>
                <w:bCs/>
                <w:sz w:val="24"/>
                <w:szCs w:val="24"/>
              </w:rPr>
              <w:t>Variable</w:t>
            </w:r>
          </w:p>
        </w:tc>
        <w:tc>
          <w:tcPr>
            <w:tcW w:w="1870" w:type="dxa"/>
            <w:vAlign w:val="center"/>
          </w:tcPr>
          <w:p w14:paraId="7F93E712" w14:textId="77777777" w:rsidR="00D37A2F" w:rsidRPr="00EA2FFD" w:rsidRDefault="00D37A2F" w:rsidP="00CC0B3D">
            <w:pPr>
              <w:rPr>
                <w:rFonts w:ascii="Times New Roman" w:eastAsia="Times New Roman" w:hAnsi="Times New Roman" w:cs="Times New Roman"/>
                <w:bCs/>
                <w:sz w:val="24"/>
                <w:szCs w:val="24"/>
              </w:rPr>
            </w:pPr>
            <w:r w:rsidRPr="00EA2FFD">
              <w:rPr>
                <w:rFonts w:ascii="Times New Roman" w:eastAsia="Times New Roman" w:hAnsi="Times New Roman" w:cs="Times New Roman"/>
                <w:bCs/>
                <w:sz w:val="24"/>
                <w:szCs w:val="24"/>
              </w:rPr>
              <w:t>Adjusted OR</w:t>
            </w:r>
          </w:p>
        </w:tc>
        <w:tc>
          <w:tcPr>
            <w:tcW w:w="1870" w:type="dxa"/>
            <w:vAlign w:val="center"/>
          </w:tcPr>
          <w:p w14:paraId="68148D54" w14:textId="77777777" w:rsidR="00D37A2F" w:rsidRPr="00EA2FFD" w:rsidRDefault="00D37A2F" w:rsidP="00CC0B3D">
            <w:pPr>
              <w:jc w:val="center"/>
              <w:rPr>
                <w:rFonts w:ascii="Times New Roman" w:eastAsia="Times New Roman" w:hAnsi="Times New Roman" w:cs="Times New Roman"/>
                <w:bCs/>
                <w:sz w:val="24"/>
                <w:szCs w:val="24"/>
              </w:rPr>
            </w:pPr>
            <w:r w:rsidRPr="00EA2FFD">
              <w:rPr>
                <w:rFonts w:ascii="Times New Roman" w:eastAsia="Times New Roman" w:hAnsi="Times New Roman" w:cs="Times New Roman"/>
                <w:bCs/>
                <w:sz w:val="24"/>
                <w:szCs w:val="24"/>
              </w:rPr>
              <w:t>95% CI</w:t>
            </w:r>
          </w:p>
        </w:tc>
        <w:tc>
          <w:tcPr>
            <w:tcW w:w="1870" w:type="dxa"/>
            <w:vAlign w:val="center"/>
          </w:tcPr>
          <w:p w14:paraId="777ED004" w14:textId="77777777" w:rsidR="00D37A2F" w:rsidRPr="00EA2FFD" w:rsidRDefault="00D37A2F" w:rsidP="00CC0B3D">
            <w:pPr>
              <w:rPr>
                <w:rFonts w:ascii="Times New Roman" w:eastAsia="Times New Roman" w:hAnsi="Times New Roman" w:cs="Times New Roman"/>
                <w:bCs/>
                <w:sz w:val="24"/>
                <w:szCs w:val="24"/>
              </w:rPr>
            </w:pPr>
            <w:r w:rsidRPr="00EA2FFD">
              <w:rPr>
                <w:rFonts w:ascii="Times New Roman" w:eastAsia="Times New Roman" w:hAnsi="Times New Roman" w:cs="Times New Roman"/>
                <w:position w:val="-10"/>
                <w:sz w:val="24"/>
                <w:szCs w:val="24"/>
              </w:rPr>
              <w:object w:dxaOrig="960" w:dyaOrig="320" w14:anchorId="4B8502A2">
                <v:shape id="_x0000_i1053" type="#_x0000_t75" style="width:48.25pt;height:15.55pt" o:ole="">
                  <v:imagedata r:id="rId61" o:title=""/>
                </v:shape>
                <o:OLEObject Type="Embed" ProgID="Equation.DSMT4" ShapeID="_x0000_i1053" DrawAspect="Content" ObjectID="_1849092485" r:id="rId63"/>
              </w:object>
            </w:r>
          </w:p>
        </w:tc>
      </w:tr>
      <w:tr w:rsidR="00D37A2F" w14:paraId="64278091" w14:textId="77777777" w:rsidTr="00CC0B3D">
        <w:tc>
          <w:tcPr>
            <w:tcW w:w="1870" w:type="dxa"/>
            <w:vAlign w:val="center"/>
          </w:tcPr>
          <w:p w14:paraId="1322240F"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Mother age</w:t>
            </w:r>
          </w:p>
        </w:tc>
        <w:tc>
          <w:tcPr>
            <w:tcW w:w="1870" w:type="dxa"/>
            <w:vAlign w:val="center"/>
          </w:tcPr>
          <w:p w14:paraId="1FCE0AC0"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1.02</w:t>
            </w:r>
          </w:p>
        </w:tc>
        <w:tc>
          <w:tcPr>
            <w:tcW w:w="1870" w:type="dxa"/>
            <w:vAlign w:val="center"/>
          </w:tcPr>
          <w:p w14:paraId="3E7F1D2D"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(1.01–1.04)</w:t>
            </w:r>
          </w:p>
        </w:tc>
        <w:tc>
          <w:tcPr>
            <w:tcW w:w="1870" w:type="dxa"/>
            <w:vAlign w:val="center"/>
          </w:tcPr>
          <w:p w14:paraId="2D8F0E62"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0.003</w:t>
            </w:r>
          </w:p>
        </w:tc>
      </w:tr>
      <w:tr w:rsidR="00D37A2F" w14:paraId="3A5BDF2A" w14:textId="77777777" w:rsidTr="00CC0B3D">
        <w:tc>
          <w:tcPr>
            <w:tcW w:w="1870" w:type="dxa"/>
            <w:vAlign w:val="center"/>
          </w:tcPr>
          <w:p w14:paraId="5A7C3901"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Secondary education</w:t>
            </w:r>
          </w:p>
        </w:tc>
        <w:tc>
          <w:tcPr>
            <w:tcW w:w="1870" w:type="dxa"/>
            <w:vAlign w:val="center"/>
          </w:tcPr>
          <w:p w14:paraId="6AA3BEA4"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1.48</w:t>
            </w:r>
          </w:p>
        </w:tc>
        <w:tc>
          <w:tcPr>
            <w:tcW w:w="1870" w:type="dxa"/>
            <w:vAlign w:val="center"/>
          </w:tcPr>
          <w:p w14:paraId="26D58D45"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(1.29–1.69)</w:t>
            </w:r>
          </w:p>
        </w:tc>
        <w:tc>
          <w:tcPr>
            <w:tcW w:w="1870" w:type="dxa"/>
            <w:vAlign w:val="center"/>
          </w:tcPr>
          <w:p w14:paraId="699954EC"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&lt;0.001</w:t>
            </w:r>
          </w:p>
        </w:tc>
      </w:tr>
      <w:tr w:rsidR="00D37A2F" w14:paraId="68B0B4A7" w14:textId="77777777" w:rsidTr="00CC0B3D">
        <w:tc>
          <w:tcPr>
            <w:tcW w:w="1870" w:type="dxa"/>
            <w:vAlign w:val="center"/>
          </w:tcPr>
          <w:p w14:paraId="718D2AA4"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Higher education</w:t>
            </w:r>
          </w:p>
        </w:tc>
        <w:tc>
          <w:tcPr>
            <w:tcW w:w="1870" w:type="dxa"/>
            <w:vAlign w:val="center"/>
          </w:tcPr>
          <w:p w14:paraId="4FA9D45B"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2.13</w:t>
            </w:r>
          </w:p>
        </w:tc>
        <w:tc>
          <w:tcPr>
            <w:tcW w:w="1870" w:type="dxa"/>
            <w:vAlign w:val="center"/>
          </w:tcPr>
          <w:p w14:paraId="41448DC9"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(1.73–2.67)</w:t>
            </w:r>
          </w:p>
        </w:tc>
        <w:tc>
          <w:tcPr>
            <w:tcW w:w="1870" w:type="dxa"/>
            <w:vAlign w:val="center"/>
          </w:tcPr>
          <w:p w14:paraId="7E0032FB"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&lt;0.001</w:t>
            </w:r>
          </w:p>
        </w:tc>
      </w:tr>
      <w:tr w:rsidR="00D37A2F" w14:paraId="167EC06B" w14:textId="77777777" w:rsidTr="00CC0B3D">
        <w:tc>
          <w:tcPr>
            <w:tcW w:w="1870" w:type="dxa"/>
            <w:vAlign w:val="center"/>
          </w:tcPr>
          <w:p w14:paraId="5E0F530B"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Urban residence</w:t>
            </w:r>
          </w:p>
        </w:tc>
        <w:tc>
          <w:tcPr>
            <w:tcW w:w="1870" w:type="dxa"/>
            <w:vAlign w:val="center"/>
          </w:tcPr>
          <w:p w14:paraId="0CF1A7D0"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1.24</w:t>
            </w:r>
          </w:p>
        </w:tc>
        <w:tc>
          <w:tcPr>
            <w:tcW w:w="1870" w:type="dxa"/>
            <w:vAlign w:val="center"/>
          </w:tcPr>
          <w:p w14:paraId="2DBF8FBC"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(1.08–1.42)</w:t>
            </w:r>
          </w:p>
        </w:tc>
        <w:tc>
          <w:tcPr>
            <w:tcW w:w="1870" w:type="dxa"/>
            <w:vAlign w:val="center"/>
          </w:tcPr>
          <w:p w14:paraId="28F9E97A"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0.001</w:t>
            </w:r>
          </w:p>
        </w:tc>
      </w:tr>
      <w:tr w:rsidR="00D37A2F" w14:paraId="1DE6EC62" w14:textId="77777777" w:rsidTr="00CC0B3D">
        <w:tc>
          <w:tcPr>
            <w:tcW w:w="1870" w:type="dxa"/>
            <w:vAlign w:val="center"/>
          </w:tcPr>
          <w:p w14:paraId="17A88D35"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Rich household</w:t>
            </w:r>
          </w:p>
        </w:tc>
        <w:tc>
          <w:tcPr>
            <w:tcW w:w="1870" w:type="dxa"/>
            <w:vAlign w:val="center"/>
          </w:tcPr>
          <w:p w14:paraId="383DF6E8"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1.67</w:t>
            </w:r>
          </w:p>
        </w:tc>
        <w:tc>
          <w:tcPr>
            <w:tcW w:w="1870" w:type="dxa"/>
            <w:vAlign w:val="center"/>
          </w:tcPr>
          <w:p w14:paraId="3C35F527"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(1.43–1.94)</w:t>
            </w:r>
          </w:p>
        </w:tc>
        <w:tc>
          <w:tcPr>
            <w:tcW w:w="1870" w:type="dxa"/>
            <w:vAlign w:val="center"/>
          </w:tcPr>
          <w:p w14:paraId="7D0AAEF5"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&lt;0.001</w:t>
            </w:r>
          </w:p>
        </w:tc>
      </w:tr>
      <w:tr w:rsidR="00D37A2F" w14:paraId="34F99B1A" w14:textId="77777777" w:rsidTr="00CC0B3D">
        <w:tc>
          <w:tcPr>
            <w:tcW w:w="1870" w:type="dxa"/>
            <w:vAlign w:val="center"/>
          </w:tcPr>
          <w:p w14:paraId="3F073D59"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ANC ≥4</w:t>
            </w:r>
          </w:p>
        </w:tc>
        <w:tc>
          <w:tcPr>
            <w:tcW w:w="1870" w:type="dxa"/>
            <w:vAlign w:val="center"/>
          </w:tcPr>
          <w:p w14:paraId="13C95FB1"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2.04</w:t>
            </w:r>
          </w:p>
        </w:tc>
        <w:tc>
          <w:tcPr>
            <w:tcW w:w="1870" w:type="dxa"/>
            <w:vAlign w:val="center"/>
          </w:tcPr>
          <w:p w14:paraId="2F68D368"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(1.79–2.34)</w:t>
            </w:r>
          </w:p>
        </w:tc>
        <w:tc>
          <w:tcPr>
            <w:tcW w:w="1870" w:type="dxa"/>
            <w:vAlign w:val="center"/>
          </w:tcPr>
          <w:p w14:paraId="638308E8" w14:textId="77777777" w:rsidR="00D37A2F" w:rsidRPr="004A44FB" w:rsidRDefault="00D37A2F" w:rsidP="00CC0B3D">
            <w:pPr>
              <w:rPr>
                <w:rFonts w:ascii="Times New Roman" w:eastAsia="Times New Roman" w:hAnsi="Times New Roman" w:cs="Times New Roman"/>
                <w:sz w:val="24"/>
                <w:szCs w:val="24"/>
              </w:rPr>
            </w:pPr>
            <w:r w:rsidRPr="004A44FB">
              <w:rPr>
                <w:rFonts w:ascii="Times New Roman" w:eastAsia="Times New Roman" w:hAnsi="Times New Roman" w:cs="Times New Roman"/>
                <w:sz w:val="24"/>
                <w:szCs w:val="24"/>
              </w:rPr>
              <w:t>&lt;0.001</w:t>
            </w:r>
          </w:p>
        </w:tc>
      </w:tr>
    </w:tbl>
    <w:p w14:paraId="66C000B8" w14:textId="77777777" w:rsidR="00D37A2F" w:rsidRDefault="00D37A2F" w:rsidP="00D37A2F">
      <w:pPr>
        <w:spacing w:after="0" w:line="240" w:lineRule="auto"/>
        <w:jc w:val="both"/>
        <w:rPr>
          <w:sz w:val="20"/>
          <w:szCs w:val="20"/>
        </w:rPr>
      </w:pPr>
      <w:r w:rsidRPr="00345DCB">
        <w:rPr>
          <w:rFonts w:ascii="Times New Roman" w:hAnsi="Times New Roman" w:cs="Times New Roman"/>
          <w:iCs/>
          <w:color w:val="000000"/>
          <w:sz w:val="20"/>
          <w:szCs w:val="20"/>
        </w:rPr>
        <w:t>Sources: Author’s computation (2026)</w:t>
      </w:r>
    </w:p>
    <w:p w14:paraId="6EE88F99" w14:textId="77777777" w:rsidR="00D37A2F" w:rsidRPr="00ED161E"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the adjusted logistic regression model, maternal, socioeconomic, and </w:t>
      </w:r>
      <w:r>
        <w:rPr>
          <w:rFonts w:ascii="Times New Roman" w:eastAsia="Times New Roman" w:hAnsi="Times New Roman" w:cs="Times New Roman"/>
          <w:sz w:val="24"/>
          <w:szCs w:val="24"/>
          <w:highlight w:val="yellow"/>
        </w:rPr>
        <w:t>healthcare-utilisation</w:t>
      </w:r>
      <w:r>
        <w:rPr>
          <w:rFonts w:ascii="Times New Roman" w:eastAsia="Times New Roman" w:hAnsi="Times New Roman" w:cs="Times New Roman"/>
          <w:sz w:val="24"/>
          <w:szCs w:val="24"/>
        </w:rPr>
        <w:t xml:space="preserve"> characteristics were </w:t>
      </w:r>
      <w:r>
        <w:rPr>
          <w:rFonts w:ascii="Times New Roman" w:eastAsia="Times New Roman" w:hAnsi="Times New Roman" w:cs="Times New Roman"/>
          <w:sz w:val="24"/>
          <w:szCs w:val="24"/>
          <w:highlight w:val="yellow"/>
        </w:rPr>
        <w:t>independently</w:t>
      </w:r>
      <w:r>
        <w:rPr>
          <w:rFonts w:ascii="Times New Roman" w:eastAsia="Times New Roman" w:hAnsi="Times New Roman" w:cs="Times New Roman"/>
          <w:sz w:val="24"/>
          <w:szCs w:val="24"/>
        </w:rPr>
        <w:t xml:space="preserve"> associated with complete childhood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Maternal</w:t>
      </w:r>
      <w:r>
        <w:rPr>
          <w:rFonts w:ascii="Times New Roman" w:eastAsia="Times New Roman" w:hAnsi="Times New Roman" w:cs="Times New Roman"/>
          <w:sz w:val="24"/>
          <w:szCs w:val="24"/>
        </w:rPr>
        <w:t xml:space="preserve"> age at </w:t>
      </w:r>
      <w:r>
        <w:rPr>
          <w:rFonts w:ascii="Times New Roman" w:eastAsia="Times New Roman" w:hAnsi="Times New Roman" w:cs="Times New Roman"/>
          <w:sz w:val="24"/>
          <w:szCs w:val="24"/>
          <w:highlight w:val="yellow"/>
        </w:rPr>
        <w:t>childbirth</w:t>
      </w:r>
      <w:r>
        <w:rPr>
          <w:rFonts w:ascii="Times New Roman" w:eastAsia="Times New Roman" w:hAnsi="Times New Roman" w:cs="Times New Roman"/>
          <w:sz w:val="24"/>
          <w:szCs w:val="24"/>
        </w:rPr>
        <w:t xml:space="preserve"> remained an independent predictor</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with each</w:t>
      </w:r>
      <w:r>
        <w:rPr>
          <w:rFonts w:ascii="Times New Roman" w:eastAsia="Times New Roman" w:hAnsi="Times New Roman" w:cs="Times New Roman"/>
          <w:sz w:val="24"/>
          <w:szCs w:val="24"/>
          <w:highlight w:val="yellow"/>
        </w:rPr>
        <w:t xml:space="preserve"> additional</w:t>
      </w:r>
      <w:r>
        <w:rPr>
          <w:rFonts w:ascii="Times New Roman" w:eastAsia="Times New Roman" w:hAnsi="Times New Roman" w:cs="Times New Roman"/>
          <w:sz w:val="24"/>
          <w:szCs w:val="24"/>
        </w:rPr>
        <w:t xml:space="preserve"> year of age increasing </w:t>
      </w:r>
      <w:r>
        <w:rPr>
          <w:rFonts w:ascii="Times New Roman" w:eastAsia="Times New Roman" w:hAnsi="Times New Roman" w:cs="Times New Roman"/>
          <w:sz w:val="24"/>
          <w:szCs w:val="24"/>
          <w:highlight w:val="yellow"/>
        </w:rPr>
        <w:t xml:space="preserve">the </w:t>
      </w:r>
      <w:r>
        <w:rPr>
          <w:rFonts w:ascii="Times New Roman" w:eastAsia="Times New Roman" w:hAnsi="Times New Roman" w:cs="Times New Roman"/>
          <w:sz w:val="24"/>
          <w:szCs w:val="24"/>
        </w:rPr>
        <w:t xml:space="preserve">odds of complete </w:t>
      </w:r>
      <w:r>
        <w:rPr>
          <w:rFonts w:ascii="Times New Roman" w:eastAsia="Times New Roman" w:hAnsi="Times New Roman" w:cs="Times New Roman"/>
          <w:sz w:val="24"/>
          <w:szCs w:val="24"/>
          <w:highlight w:val="yellow"/>
        </w:rPr>
        <w:t>childhood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by 2% (</w:t>
      </w:r>
      <w:r>
        <w:rPr>
          <w:rFonts w:ascii="Times New Roman" w:eastAsia="Times New Roman" w:hAnsi="Times New Roman" w:cs="Times New Roman"/>
          <w:sz w:val="24"/>
          <w:szCs w:val="24"/>
          <w:highlight w:val="yellow"/>
        </w:rPr>
        <w:t>adjusted</w:t>
      </w:r>
      <w:r>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1.02</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95% CI: 1.01-1.04</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 xml:space="preserve">p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0.003). </w:t>
      </w:r>
      <w:r>
        <w:rPr>
          <w:rFonts w:ascii="Times New Roman" w:eastAsia="Times New Roman" w:hAnsi="Times New Roman" w:cs="Times New Roman"/>
          <w:sz w:val="24"/>
          <w:szCs w:val="24"/>
          <w:highlight w:val="yellow"/>
        </w:rPr>
        <w:t>Compared with mothers without formal education, mothers with secondary education had 48% higher odds of having fully immunised children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adjusted</w:t>
      </w:r>
      <w:r>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1.48</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95% CI: 1.29-1.69</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 xml:space="preserve">p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0.001)</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while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mothers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with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higher education had more than twice the odds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adjusted</w:t>
      </w:r>
      <w:r>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2.13</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95% CI: 1.73-2.67</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 xml:space="preserve">p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0.001). Children in urban </w:t>
      </w:r>
      <w:r>
        <w:rPr>
          <w:rFonts w:ascii="Times New Roman" w:eastAsia="Times New Roman" w:hAnsi="Times New Roman" w:cs="Times New Roman"/>
          <w:sz w:val="24"/>
          <w:szCs w:val="24"/>
          <w:highlight w:val="yellow"/>
        </w:rPr>
        <w:t>settings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adjusted</w:t>
      </w:r>
      <w:r>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1.24</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95% CI: 1.08-1.42</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 xml:space="preserve">p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0.001)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those</w:t>
      </w:r>
      <w:r>
        <w:rPr>
          <w:rFonts w:ascii="Times New Roman" w:eastAsia="Times New Roman" w:hAnsi="Times New Roman" w:cs="Times New Roman"/>
          <w:sz w:val="24"/>
          <w:szCs w:val="24"/>
        </w:rPr>
        <w:t xml:space="preserve"> from wealthier households (</w:t>
      </w:r>
      <w:r>
        <w:rPr>
          <w:rFonts w:ascii="Times New Roman" w:eastAsia="Times New Roman" w:hAnsi="Times New Roman" w:cs="Times New Roman"/>
          <w:sz w:val="24"/>
          <w:szCs w:val="24"/>
          <w:highlight w:val="yellow"/>
        </w:rPr>
        <w:t>adjusted</w:t>
      </w:r>
      <w:r>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1.67</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95% CI: 1.43-1.94</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 xml:space="preserve">p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0.001)</w:t>
      </w:r>
      <w:r>
        <w:rPr>
          <w:rFonts w:ascii="Times New Roman" w:eastAsia="Times New Roman" w:hAnsi="Times New Roman" w:cs="Times New Roman"/>
          <w:sz w:val="24"/>
          <w:szCs w:val="24"/>
          <w:highlight w:val="yellow"/>
        </w:rPr>
        <w:t xml:space="preserve"> also had increased odds of complete childhood immunisation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largest association</w:t>
      </w:r>
      <w:r>
        <w:rPr>
          <w:rFonts w:ascii="Times New Roman" w:eastAsia="Times New Roman" w:hAnsi="Times New Roman" w:cs="Times New Roman"/>
          <w:sz w:val="24"/>
          <w:szCs w:val="24"/>
        </w:rPr>
        <w:t xml:space="preserve"> was observed </w:t>
      </w:r>
      <w:r>
        <w:rPr>
          <w:rFonts w:ascii="Times New Roman" w:eastAsia="Times New Roman" w:hAnsi="Times New Roman" w:cs="Times New Roman"/>
          <w:sz w:val="24"/>
          <w:szCs w:val="24"/>
          <w:highlight w:val="yellow"/>
        </w:rPr>
        <w:t>for</w:t>
      </w:r>
      <w:r>
        <w:rPr>
          <w:rFonts w:ascii="Times New Roman" w:eastAsia="Times New Roman" w:hAnsi="Times New Roman" w:cs="Times New Roman"/>
          <w:sz w:val="24"/>
          <w:szCs w:val="24"/>
        </w:rPr>
        <w:t xml:space="preserve"> four or more </w:t>
      </w:r>
      <w:r>
        <w:rPr>
          <w:rFonts w:ascii="Times New Roman" w:eastAsia="Times New Roman" w:hAnsi="Times New Roman" w:cs="Times New Roman"/>
          <w:sz w:val="24"/>
          <w:szCs w:val="24"/>
          <w:highlight w:val="yellow"/>
        </w:rPr>
        <w:t>antenatal care</w:t>
      </w:r>
      <w:r>
        <w:rPr>
          <w:rFonts w:ascii="Times New Roman" w:eastAsia="Times New Roman" w:hAnsi="Times New Roman" w:cs="Times New Roman"/>
          <w:sz w:val="24"/>
          <w:szCs w:val="24"/>
        </w:rPr>
        <w:t xml:space="preserve"> visits (</w:t>
      </w:r>
      <w:r>
        <w:rPr>
          <w:rFonts w:ascii="Times New Roman" w:eastAsia="Times New Roman" w:hAnsi="Times New Roman" w:cs="Times New Roman"/>
          <w:sz w:val="24"/>
          <w:szCs w:val="24"/>
          <w:highlight w:val="yellow"/>
        </w:rPr>
        <w:t>adjusted</w:t>
      </w:r>
      <w:r>
        <w:rPr>
          <w:rFonts w:ascii="Times New Roman" w:eastAsia="Times New Roman" w:hAnsi="Times New Roman" w:cs="Times New Roman"/>
          <w:sz w:val="24"/>
          <w:szCs w:val="24"/>
        </w:rPr>
        <w:t xml:space="preserve"> OR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2.04</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95% CI: 1.79-2.34</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 xml:space="preserve">p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0.001). </w:t>
      </w:r>
      <w:r>
        <w:rPr>
          <w:rFonts w:ascii="Times New Roman" w:eastAsia="Times New Roman" w:hAnsi="Times New Roman" w:cs="Times New Roman"/>
          <w:sz w:val="24"/>
          <w:szCs w:val="24"/>
          <w:highlight w:val="yellow"/>
        </w:rPr>
        <w:t>Policies</w:t>
      </w:r>
      <w:r>
        <w:rPr>
          <w:rFonts w:ascii="Times New Roman" w:eastAsia="Times New Roman" w:hAnsi="Times New Roman" w:cs="Times New Roman"/>
          <w:sz w:val="24"/>
          <w:szCs w:val="24"/>
        </w:rPr>
        <w:t xml:space="preserve"> that </w:t>
      </w:r>
      <w:r>
        <w:rPr>
          <w:rFonts w:ascii="Times New Roman" w:eastAsia="Times New Roman" w:hAnsi="Times New Roman" w:cs="Times New Roman"/>
          <w:sz w:val="24"/>
          <w:szCs w:val="24"/>
          <w:highlight w:val="yellow"/>
        </w:rPr>
        <w:t>encourage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maternal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education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increase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antenatal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care</w:t>
      </w:r>
      <w:r>
        <w:rPr>
          <w:rFonts w:ascii="Times New Roman" w:eastAsia="Times New Roman" w:hAnsi="Times New Roman" w:cs="Times New Roman"/>
          <w:sz w:val="24"/>
          <w:szCs w:val="24"/>
        </w:rPr>
        <w:t xml:space="preserve"> contacts, and </w:t>
      </w:r>
      <w:r>
        <w:rPr>
          <w:rFonts w:ascii="Times New Roman" w:eastAsia="Times New Roman" w:hAnsi="Times New Roman" w:cs="Times New Roman"/>
          <w:sz w:val="24"/>
          <w:szCs w:val="24"/>
          <w:highlight w:val="yellow"/>
        </w:rPr>
        <w:t>improve</w:t>
      </w:r>
      <w:r>
        <w:rPr>
          <w:rFonts w:ascii="Times New Roman" w:eastAsia="Times New Roman" w:hAnsi="Times New Roman" w:cs="Times New Roman"/>
          <w:sz w:val="24"/>
          <w:szCs w:val="24"/>
        </w:rPr>
        <w:t xml:space="preserve"> access</w:t>
      </w:r>
      <w:r>
        <w:rPr>
          <w:rFonts w:ascii="Times New Roman" w:eastAsia="Times New Roman" w:hAnsi="Times New Roman" w:cs="Times New Roman"/>
          <w:sz w:val="24"/>
          <w:szCs w:val="24"/>
          <w:highlight w:val="yellow"/>
        </w:rPr>
        <w:t xml:space="preserve"> to</w:t>
      </w:r>
      <w:r>
        <w:rPr>
          <w:rFonts w:ascii="Times New Roman" w:eastAsia="Times New Roman" w:hAnsi="Times New Roman" w:cs="Times New Roman"/>
          <w:sz w:val="24"/>
          <w:szCs w:val="24"/>
        </w:rPr>
        <w:t xml:space="preserve"> health facilities are recommended.</w:t>
      </w:r>
    </w:p>
    <w:p w14:paraId="6AD9CAFA" w14:textId="77777777" w:rsidR="00D37A2F" w:rsidRDefault="00D37A2F" w:rsidP="00D37A2F">
      <w:pPr>
        <w:pStyle w:val="NormalWeb"/>
        <w:jc w:val="both"/>
      </w:pPr>
      <w:r>
        <w:t xml:space="preserve">4.5 Random-Effects Variance Components and Model Fit Statistics for the Multilevel Logistic </w:t>
      </w:r>
      <w:r>
        <w:tab/>
        <w:t>Regression Model</w:t>
      </w:r>
    </w:p>
    <w:p w14:paraId="404CD653" w14:textId="77777777" w:rsidR="00D37A2F" w:rsidRDefault="00D37A2F" w:rsidP="00D37A2F">
      <w:pPr>
        <w:pStyle w:val="NormalWeb"/>
        <w:jc w:val="both"/>
      </w:pPr>
      <w:r>
        <w:t xml:space="preserve">Table 5: Random-Effects Variance Components and Model Fit Statistics for the Multilevel </w:t>
      </w:r>
      <w:r>
        <w:tab/>
        <w:t>Logistic Regression Model</w:t>
      </w: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1080"/>
        <w:gridCol w:w="1170"/>
      </w:tblGrid>
      <w:tr w:rsidR="00D37A2F" w14:paraId="52D0ED84" w14:textId="77777777" w:rsidTr="00CC0B3D">
        <w:tc>
          <w:tcPr>
            <w:tcW w:w="1800" w:type="dxa"/>
          </w:tcPr>
          <w:p w14:paraId="5EC71195" w14:textId="77777777" w:rsidR="00D37A2F" w:rsidRDefault="00D37A2F" w:rsidP="00CC0B3D">
            <w:pPr>
              <w:pStyle w:val="NormalWeb"/>
              <w:jc w:val="both"/>
            </w:pPr>
            <w:r>
              <w:t>Parameter</w:t>
            </w:r>
          </w:p>
        </w:tc>
        <w:tc>
          <w:tcPr>
            <w:tcW w:w="1080" w:type="dxa"/>
          </w:tcPr>
          <w:p w14:paraId="15FA5C65" w14:textId="77777777" w:rsidR="00D37A2F" w:rsidRDefault="00D37A2F" w:rsidP="00CC0B3D">
            <w:pPr>
              <w:pStyle w:val="NormalWeb"/>
              <w:jc w:val="both"/>
            </w:pPr>
            <w:r>
              <w:t>Estimate</w:t>
            </w:r>
          </w:p>
        </w:tc>
        <w:tc>
          <w:tcPr>
            <w:tcW w:w="1170" w:type="dxa"/>
          </w:tcPr>
          <w:p w14:paraId="40B74B4F" w14:textId="77777777" w:rsidR="00D37A2F" w:rsidRDefault="00D37A2F" w:rsidP="00CC0B3D">
            <w:pPr>
              <w:pStyle w:val="NormalWeb"/>
              <w:jc w:val="both"/>
            </w:pPr>
            <w:r>
              <w:t>Std Error</w:t>
            </w:r>
          </w:p>
        </w:tc>
      </w:tr>
      <w:tr w:rsidR="00D37A2F" w14:paraId="4091AD66" w14:textId="77777777" w:rsidTr="00CC0B3D">
        <w:tc>
          <w:tcPr>
            <w:tcW w:w="1800" w:type="dxa"/>
            <w:vAlign w:val="center"/>
          </w:tcPr>
          <w:p w14:paraId="3434B64C"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Cluster variance</w:t>
            </w:r>
          </w:p>
        </w:tc>
        <w:tc>
          <w:tcPr>
            <w:tcW w:w="1080" w:type="dxa"/>
            <w:vAlign w:val="center"/>
          </w:tcPr>
          <w:p w14:paraId="6542572D"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0.472</w:t>
            </w:r>
          </w:p>
        </w:tc>
        <w:tc>
          <w:tcPr>
            <w:tcW w:w="1170" w:type="dxa"/>
            <w:vAlign w:val="center"/>
          </w:tcPr>
          <w:p w14:paraId="3D1743D2"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0.061</w:t>
            </w:r>
          </w:p>
        </w:tc>
      </w:tr>
      <w:tr w:rsidR="00D37A2F" w14:paraId="38BB9DBF" w14:textId="77777777" w:rsidTr="00CC0B3D">
        <w:tc>
          <w:tcPr>
            <w:tcW w:w="1800" w:type="dxa"/>
            <w:vAlign w:val="center"/>
          </w:tcPr>
          <w:p w14:paraId="2FB6014A"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ICC</w:t>
            </w:r>
          </w:p>
        </w:tc>
        <w:tc>
          <w:tcPr>
            <w:tcW w:w="1080" w:type="dxa"/>
            <w:vAlign w:val="center"/>
          </w:tcPr>
          <w:p w14:paraId="745C488D"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0.126</w:t>
            </w:r>
          </w:p>
        </w:tc>
        <w:tc>
          <w:tcPr>
            <w:tcW w:w="1170" w:type="dxa"/>
            <w:vAlign w:val="center"/>
          </w:tcPr>
          <w:p w14:paraId="13582CCE" w14:textId="77777777" w:rsidR="00D37A2F" w:rsidRPr="00321E08" w:rsidRDefault="00D37A2F" w:rsidP="00CC0B3D">
            <w:pPr>
              <w:rPr>
                <w:rFonts w:ascii="Times New Roman" w:eastAsia="Times New Roman" w:hAnsi="Times New Roman" w:cs="Times New Roman"/>
                <w:sz w:val="24"/>
                <w:szCs w:val="24"/>
              </w:rPr>
            </w:pPr>
          </w:p>
        </w:tc>
      </w:tr>
      <w:tr w:rsidR="00D37A2F" w14:paraId="2F22FC06" w14:textId="77777777" w:rsidTr="00CC0B3D">
        <w:tc>
          <w:tcPr>
            <w:tcW w:w="1800" w:type="dxa"/>
            <w:vAlign w:val="center"/>
          </w:tcPr>
          <w:p w14:paraId="109F8A19"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Log-likelihood</w:t>
            </w:r>
          </w:p>
        </w:tc>
        <w:tc>
          <w:tcPr>
            <w:tcW w:w="1080" w:type="dxa"/>
            <w:vAlign w:val="center"/>
          </w:tcPr>
          <w:p w14:paraId="53818F29"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-5138.2</w:t>
            </w:r>
          </w:p>
        </w:tc>
        <w:tc>
          <w:tcPr>
            <w:tcW w:w="1170" w:type="dxa"/>
            <w:vAlign w:val="center"/>
          </w:tcPr>
          <w:p w14:paraId="2C5E0CEF" w14:textId="77777777" w:rsidR="00D37A2F" w:rsidRPr="00321E08" w:rsidRDefault="00D37A2F" w:rsidP="00CC0B3D">
            <w:pPr>
              <w:rPr>
                <w:rFonts w:ascii="Times New Roman" w:eastAsia="Times New Roman" w:hAnsi="Times New Roman" w:cs="Times New Roman"/>
                <w:sz w:val="24"/>
                <w:szCs w:val="24"/>
              </w:rPr>
            </w:pPr>
          </w:p>
        </w:tc>
      </w:tr>
      <w:tr w:rsidR="00D37A2F" w14:paraId="20A68EF6" w14:textId="77777777" w:rsidTr="00CC0B3D">
        <w:tc>
          <w:tcPr>
            <w:tcW w:w="1800" w:type="dxa"/>
            <w:vAlign w:val="center"/>
          </w:tcPr>
          <w:p w14:paraId="6C2B4BCB"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AIC</w:t>
            </w:r>
          </w:p>
        </w:tc>
        <w:tc>
          <w:tcPr>
            <w:tcW w:w="1080" w:type="dxa"/>
            <w:vAlign w:val="center"/>
          </w:tcPr>
          <w:p w14:paraId="54078DE0"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10302.4</w:t>
            </w:r>
          </w:p>
        </w:tc>
        <w:tc>
          <w:tcPr>
            <w:tcW w:w="1170" w:type="dxa"/>
            <w:vAlign w:val="center"/>
          </w:tcPr>
          <w:p w14:paraId="40DAB034" w14:textId="77777777" w:rsidR="00D37A2F" w:rsidRPr="00321E08" w:rsidRDefault="00D37A2F" w:rsidP="00CC0B3D">
            <w:pPr>
              <w:rPr>
                <w:rFonts w:ascii="Times New Roman" w:eastAsia="Times New Roman" w:hAnsi="Times New Roman" w:cs="Times New Roman"/>
                <w:sz w:val="24"/>
                <w:szCs w:val="24"/>
              </w:rPr>
            </w:pPr>
          </w:p>
        </w:tc>
      </w:tr>
    </w:tbl>
    <w:p w14:paraId="30C74591" w14:textId="77777777" w:rsidR="00D37A2F" w:rsidRDefault="00D37A2F" w:rsidP="00D37A2F">
      <w:pPr>
        <w:spacing w:after="0" w:line="240" w:lineRule="auto"/>
        <w:jc w:val="both"/>
        <w:rPr>
          <w:sz w:val="20"/>
          <w:szCs w:val="20"/>
        </w:rPr>
      </w:pPr>
      <w:r>
        <w:rPr>
          <w:rFonts w:ascii="Times New Roman" w:hAnsi="Times New Roman" w:cs="Times New Roman"/>
          <w:iCs/>
          <w:color w:val="000000"/>
          <w:sz w:val="20"/>
          <w:szCs w:val="20"/>
        </w:rPr>
        <w:tab/>
        <w:t xml:space="preserve">    </w:t>
      </w:r>
      <w:r w:rsidRPr="00345DCB">
        <w:rPr>
          <w:rFonts w:ascii="Times New Roman" w:hAnsi="Times New Roman" w:cs="Times New Roman"/>
          <w:iCs/>
          <w:color w:val="000000"/>
          <w:sz w:val="20"/>
          <w:szCs w:val="20"/>
        </w:rPr>
        <w:t>Sources: Author’s computation (2026)</w:t>
      </w:r>
    </w:p>
    <w:p w14:paraId="67C4891D" w14:textId="77777777" w:rsidR="00D37A2F" w:rsidRPr="00D900F9" w:rsidRDefault="00D37A2F" w:rsidP="00D37A2F">
      <w:pPr>
        <w:spacing w:before="100" w:beforeAutospacing="1" w:after="100" w:afterAutospacing="1" w:line="240" w:lineRule="auto"/>
        <w:jc w:val="both"/>
        <w:rPr>
          <w:rFonts w:ascii="Times New Roman" w:hAnsi="Times New Roman" w:cs="Times New Roman"/>
          <w:sz w:val="24"/>
          <w:szCs w:val="24"/>
        </w:rPr>
      </w:pPr>
      <w:r>
        <w:rPr>
          <w:rFonts w:ascii="Times New Roman" w:hAnsi="Times New Roman" w:cs="Times New Roman"/>
          <w:sz w:val="24"/>
          <w:szCs w:val="24"/>
        </w:rPr>
        <w:t xml:space="preserve">The multilevel logistic regression analysis demonstrated significant cluster-level variation in childhood immunisation coverage. The estimated cluster variance of 0.472 (SE = 0.061) </w:t>
      </w:r>
      <w:r>
        <w:rPr>
          <w:rFonts w:ascii="Times New Roman" w:hAnsi="Times New Roman" w:cs="Times New Roman"/>
          <w:sz w:val="24"/>
          <w:szCs w:val="24"/>
          <w:highlight w:val="yellow"/>
        </w:rPr>
        <w:t>suggested</w:t>
      </w:r>
      <w:r>
        <w:rPr>
          <w:rFonts w:ascii="Times New Roman" w:hAnsi="Times New Roman" w:cs="Times New Roman"/>
          <w:sz w:val="24"/>
          <w:szCs w:val="24"/>
        </w:rPr>
        <w:t xml:space="preserve"> </w:t>
      </w:r>
      <w:r>
        <w:rPr>
          <w:rFonts w:ascii="Times New Roman" w:hAnsi="Times New Roman" w:cs="Times New Roman"/>
          <w:sz w:val="24"/>
          <w:szCs w:val="24"/>
        </w:rPr>
        <w:lastRenderedPageBreak/>
        <w:t>that considerable differences persisted across communities even after controlling for maternal, household, and healthcare characteristics. These unexplained variations imply that contextual factors, including access to health facilities,</w:t>
      </w:r>
      <w:r>
        <w:rPr>
          <w:rFonts w:ascii="Times New Roman" w:hAnsi="Times New Roman" w:cs="Times New Roman"/>
          <w:sz w:val="24"/>
          <w:szCs w:val="24"/>
          <w:highlight w:val="yellow"/>
        </w:rPr>
        <w:t xml:space="preserve"> the</w:t>
      </w:r>
      <w:r>
        <w:rPr>
          <w:rFonts w:ascii="Times New Roman" w:hAnsi="Times New Roman" w:cs="Times New Roman"/>
          <w:sz w:val="24"/>
          <w:szCs w:val="24"/>
        </w:rPr>
        <w:t xml:space="preserve"> quality of healthcare services, and community socioeconomic conditions, continue to influence childhood vaccination uptake. The intraclass correlation coefficient (ICC) of 0.126 indicated that 12.6% of the total variability in complete childhood immunisation was attributable to differences between clusters, whereas the remaining 87.4% resulted from variations within clusters. This degree of clustering confirms the suitability of multilevel modelling for analysing hierarchical survey data. Furthermore, the model exhibited </w:t>
      </w:r>
      <w:r>
        <w:rPr>
          <w:rFonts w:ascii="Times New Roman" w:hAnsi="Times New Roman" w:cs="Times New Roman"/>
          <w:sz w:val="24"/>
          <w:szCs w:val="24"/>
          <w:highlight w:val="yellow"/>
        </w:rPr>
        <w:t xml:space="preserve">a </w:t>
      </w:r>
      <w:r>
        <w:rPr>
          <w:rFonts w:ascii="Times New Roman" w:hAnsi="Times New Roman" w:cs="Times New Roman"/>
          <w:sz w:val="24"/>
          <w:szCs w:val="24"/>
        </w:rPr>
        <w:t xml:space="preserve">satisfactory fit, with a log-likelihood of </w:t>
      </w:r>
      <w:r>
        <w:rPr>
          <w:rFonts w:ascii="Times New Roman" w:hAnsi="Times New Roman" w:cs="Times New Roman"/>
          <w:sz w:val="24"/>
          <w:szCs w:val="24"/>
          <w:highlight w:val="yellow"/>
        </w:rPr>
        <w:t>-</w:t>
      </w:r>
      <w:r>
        <w:rPr>
          <w:rFonts w:ascii="Times New Roman" w:hAnsi="Times New Roman" w:cs="Times New Roman"/>
          <w:sz w:val="24"/>
          <w:szCs w:val="24"/>
        </w:rPr>
        <w:t>5138.2 and an AIC of 10302.4, reflecting an appropriate balance between model fit and complexity. Overall, the random-effects findings underscore the importance of combining community-based interventions with individual-level strategies to achieve equitable improvements in childhood immunisation coverage nationwide.</w:t>
      </w:r>
    </w:p>
    <w:p w14:paraId="79CD1BA3" w14:textId="77777777" w:rsidR="00D37A2F" w:rsidRDefault="00D37A2F" w:rsidP="00D37A2F">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4.6 </w:t>
      </w:r>
      <w:r w:rsidRPr="00BB0A0B">
        <w:rPr>
          <w:rFonts w:ascii="Times New Roman" w:hAnsi="Times New Roman" w:cs="Times New Roman"/>
          <w:sz w:val="24"/>
          <w:szCs w:val="24"/>
        </w:rPr>
        <w:t>Probit Regression</w:t>
      </w:r>
      <w:r w:rsidRPr="00BB0A0B">
        <w:rPr>
          <w:rFonts w:ascii="Times New Roman" w:hAnsi="Times New Roman" w:cs="Times New Roman"/>
          <w:sz w:val="24"/>
          <w:szCs w:val="24"/>
        </w:rPr>
        <w:tab/>
      </w:r>
    </w:p>
    <w:p w14:paraId="4CAA30F4" w14:textId="77777777" w:rsidR="00D37A2F" w:rsidRDefault="00D37A2F" w:rsidP="00D37A2F">
      <w:pPr>
        <w:spacing w:after="0" w:line="240" w:lineRule="auto"/>
        <w:jc w:val="both"/>
        <w:rPr>
          <w:sz w:val="20"/>
          <w:szCs w:val="20"/>
        </w:rPr>
      </w:pPr>
      <w:r>
        <w:rPr>
          <w:rFonts w:ascii="Times New Roman" w:hAnsi="Times New Roman" w:cs="Times New Roman"/>
          <w:sz w:val="24"/>
          <w:szCs w:val="24"/>
        </w:rPr>
        <w:t xml:space="preserve">Table 6: </w:t>
      </w:r>
      <w:r w:rsidRPr="00BB0A0B">
        <w:rPr>
          <w:rFonts w:ascii="Times New Roman" w:hAnsi="Times New Roman" w:cs="Times New Roman"/>
          <w:sz w:val="24"/>
          <w:szCs w:val="24"/>
        </w:rPr>
        <w:t>Probit Regression</w:t>
      </w:r>
    </w:p>
    <w:tbl>
      <w:tblPr>
        <w:tblStyle w:val="TableGrid"/>
        <w:tblW w:w="0" w:type="auto"/>
        <w:tblInd w:w="8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0"/>
        <w:gridCol w:w="1350"/>
        <w:gridCol w:w="1080"/>
      </w:tblGrid>
      <w:tr w:rsidR="00D37A2F" w14:paraId="10F69815" w14:textId="77777777" w:rsidTr="00CC0B3D">
        <w:tc>
          <w:tcPr>
            <w:tcW w:w="1890" w:type="dxa"/>
            <w:vAlign w:val="center"/>
          </w:tcPr>
          <w:p w14:paraId="3824DA7B" w14:textId="77777777" w:rsidR="00D37A2F" w:rsidRPr="00BB0A0B" w:rsidRDefault="00D37A2F" w:rsidP="00CC0B3D">
            <w:pPr>
              <w:rPr>
                <w:rFonts w:ascii="Times New Roman" w:eastAsia="Times New Roman" w:hAnsi="Times New Roman" w:cs="Times New Roman"/>
                <w:bCs/>
                <w:sz w:val="24"/>
                <w:szCs w:val="24"/>
              </w:rPr>
            </w:pPr>
            <w:r w:rsidRPr="00BB0A0B">
              <w:rPr>
                <w:rFonts w:ascii="Times New Roman" w:eastAsia="Times New Roman" w:hAnsi="Times New Roman" w:cs="Times New Roman"/>
                <w:bCs/>
                <w:sz w:val="24"/>
                <w:szCs w:val="24"/>
              </w:rPr>
              <w:t>Variable</w:t>
            </w:r>
          </w:p>
        </w:tc>
        <w:tc>
          <w:tcPr>
            <w:tcW w:w="1350" w:type="dxa"/>
            <w:vAlign w:val="center"/>
          </w:tcPr>
          <w:p w14:paraId="78DE725A" w14:textId="77777777" w:rsidR="00D37A2F" w:rsidRPr="00BB0A0B" w:rsidRDefault="00D37A2F" w:rsidP="00CC0B3D">
            <w:pPr>
              <w:rPr>
                <w:rFonts w:ascii="Times New Roman" w:eastAsia="Times New Roman" w:hAnsi="Times New Roman" w:cs="Times New Roman"/>
                <w:bCs/>
                <w:sz w:val="24"/>
                <w:szCs w:val="24"/>
              </w:rPr>
            </w:pPr>
            <w:r w:rsidRPr="00BB0A0B">
              <w:rPr>
                <w:rFonts w:ascii="Times New Roman" w:eastAsia="Times New Roman" w:hAnsi="Times New Roman" w:cs="Times New Roman"/>
                <w:bCs/>
                <w:sz w:val="24"/>
                <w:szCs w:val="24"/>
              </w:rPr>
              <w:t>Coefficient</w:t>
            </w:r>
          </w:p>
        </w:tc>
        <w:tc>
          <w:tcPr>
            <w:tcW w:w="1080" w:type="dxa"/>
            <w:vAlign w:val="center"/>
          </w:tcPr>
          <w:p w14:paraId="08D5E674" w14:textId="77777777" w:rsidR="00D37A2F" w:rsidRPr="00BB0A0B" w:rsidRDefault="00D37A2F" w:rsidP="00CC0B3D">
            <w:pPr>
              <w:jc w:val="center"/>
              <w:rPr>
                <w:rFonts w:ascii="Times New Roman" w:eastAsia="Times New Roman" w:hAnsi="Times New Roman" w:cs="Times New Roman"/>
                <w:bCs/>
                <w:sz w:val="24"/>
                <w:szCs w:val="24"/>
              </w:rPr>
            </w:pPr>
            <w:r w:rsidRPr="00BB0A0B">
              <w:rPr>
                <w:rFonts w:ascii="Times New Roman" w:eastAsia="Times New Roman" w:hAnsi="Times New Roman" w:cs="Times New Roman"/>
                <w:bCs/>
                <w:sz w:val="24"/>
                <w:szCs w:val="24"/>
              </w:rPr>
              <w:t>P-value</w:t>
            </w:r>
          </w:p>
        </w:tc>
      </w:tr>
      <w:tr w:rsidR="00D37A2F" w14:paraId="4B82E5DD" w14:textId="77777777" w:rsidTr="00CC0B3D">
        <w:tc>
          <w:tcPr>
            <w:tcW w:w="1890" w:type="dxa"/>
            <w:vAlign w:val="center"/>
          </w:tcPr>
          <w:p w14:paraId="5F3509FC"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Higher education</w:t>
            </w:r>
          </w:p>
        </w:tc>
        <w:tc>
          <w:tcPr>
            <w:tcW w:w="1350" w:type="dxa"/>
            <w:vAlign w:val="center"/>
          </w:tcPr>
          <w:p w14:paraId="10CCF6C5"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0.624</w:t>
            </w:r>
          </w:p>
        </w:tc>
        <w:tc>
          <w:tcPr>
            <w:tcW w:w="1080" w:type="dxa"/>
            <w:vAlign w:val="center"/>
          </w:tcPr>
          <w:p w14:paraId="22239E76"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&lt;0.001</w:t>
            </w:r>
          </w:p>
        </w:tc>
      </w:tr>
      <w:tr w:rsidR="00D37A2F" w14:paraId="0F439DCD" w14:textId="77777777" w:rsidTr="00CC0B3D">
        <w:tc>
          <w:tcPr>
            <w:tcW w:w="1890" w:type="dxa"/>
            <w:vAlign w:val="center"/>
          </w:tcPr>
          <w:p w14:paraId="77B936AF"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Urban</w:t>
            </w:r>
          </w:p>
        </w:tc>
        <w:tc>
          <w:tcPr>
            <w:tcW w:w="1350" w:type="dxa"/>
            <w:vAlign w:val="center"/>
          </w:tcPr>
          <w:p w14:paraId="1773CAE4"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0.246</w:t>
            </w:r>
          </w:p>
        </w:tc>
        <w:tc>
          <w:tcPr>
            <w:tcW w:w="1080" w:type="dxa"/>
            <w:vAlign w:val="center"/>
          </w:tcPr>
          <w:p w14:paraId="503B5548"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0.002</w:t>
            </w:r>
          </w:p>
        </w:tc>
      </w:tr>
      <w:tr w:rsidR="00D37A2F" w14:paraId="5A4CF318" w14:textId="77777777" w:rsidTr="00CC0B3D">
        <w:tc>
          <w:tcPr>
            <w:tcW w:w="1890" w:type="dxa"/>
            <w:vAlign w:val="center"/>
          </w:tcPr>
          <w:p w14:paraId="30097181"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Rich household</w:t>
            </w:r>
          </w:p>
        </w:tc>
        <w:tc>
          <w:tcPr>
            <w:tcW w:w="1350" w:type="dxa"/>
            <w:vAlign w:val="center"/>
          </w:tcPr>
          <w:p w14:paraId="755425E5"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0.432</w:t>
            </w:r>
          </w:p>
        </w:tc>
        <w:tc>
          <w:tcPr>
            <w:tcW w:w="1080" w:type="dxa"/>
            <w:vAlign w:val="center"/>
          </w:tcPr>
          <w:p w14:paraId="383EBFB2" w14:textId="77777777" w:rsidR="00D37A2F" w:rsidRPr="00321E08" w:rsidRDefault="00D37A2F" w:rsidP="00CC0B3D">
            <w:pPr>
              <w:rPr>
                <w:rFonts w:ascii="Times New Roman" w:eastAsia="Times New Roman" w:hAnsi="Times New Roman" w:cs="Times New Roman"/>
                <w:sz w:val="24"/>
                <w:szCs w:val="24"/>
              </w:rPr>
            </w:pPr>
            <w:r w:rsidRPr="00321E08">
              <w:rPr>
                <w:rFonts w:ascii="Times New Roman" w:eastAsia="Times New Roman" w:hAnsi="Times New Roman" w:cs="Times New Roman"/>
                <w:sz w:val="24"/>
                <w:szCs w:val="24"/>
              </w:rPr>
              <w:t>&lt;0.001</w:t>
            </w:r>
          </w:p>
        </w:tc>
      </w:tr>
    </w:tbl>
    <w:p w14:paraId="5516BAFB" w14:textId="77777777" w:rsidR="00D37A2F" w:rsidRDefault="00D37A2F" w:rsidP="00D37A2F">
      <w:pPr>
        <w:spacing w:after="0" w:line="240" w:lineRule="auto"/>
        <w:ind w:firstLine="720"/>
        <w:jc w:val="both"/>
        <w:rPr>
          <w:sz w:val="20"/>
          <w:szCs w:val="20"/>
        </w:rPr>
      </w:pPr>
      <w:r w:rsidRPr="00345DCB">
        <w:rPr>
          <w:rFonts w:ascii="Times New Roman" w:hAnsi="Times New Roman" w:cs="Times New Roman"/>
          <w:iCs/>
          <w:color w:val="000000"/>
          <w:sz w:val="20"/>
          <w:szCs w:val="20"/>
        </w:rPr>
        <w:t>Sources: Author’s computation (2026)</w:t>
      </w:r>
    </w:p>
    <w:p w14:paraId="64101229" w14:textId="77777777" w:rsidR="00D37A2F" w:rsidRPr="00602288"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Table 6 </w:t>
      </w:r>
      <w:r>
        <w:rPr>
          <w:rFonts w:ascii="Times New Roman" w:eastAsia="Times New Roman" w:hAnsi="Times New Roman" w:cs="Times New Roman"/>
          <w:sz w:val="24"/>
          <w:szCs w:val="24"/>
          <w:highlight w:val="yellow"/>
        </w:rPr>
        <w:t>presents the fit of</w:t>
      </w:r>
      <w:r>
        <w:rPr>
          <w:rFonts w:ascii="Times New Roman" w:eastAsia="Times New Roman" w:hAnsi="Times New Roman" w:cs="Times New Roman"/>
          <w:sz w:val="24"/>
          <w:szCs w:val="24"/>
        </w:rPr>
        <w:t xml:space="preserve"> the multilevel logistic regression random-effects model</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was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substantial</w:t>
      </w:r>
      <w:r>
        <w:rPr>
          <w:rFonts w:ascii="Times New Roman" w:eastAsia="Times New Roman" w:hAnsi="Times New Roman" w:cs="Times New Roman"/>
          <w:sz w:val="24"/>
          <w:szCs w:val="24"/>
        </w:rPr>
        <w:t xml:space="preserve"> between-cluster variance </w:t>
      </w: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childhood immunisation coverage, </w:t>
      </w:r>
      <w:r>
        <w:rPr>
          <w:rFonts w:ascii="Times New Roman" w:eastAsia="Times New Roman" w:hAnsi="Times New Roman" w:cs="Times New Roman"/>
          <w:sz w:val="24"/>
          <w:szCs w:val="24"/>
          <w:highlight w:val="yellow"/>
        </w:rPr>
        <w:t>with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estimated</w:t>
      </w:r>
      <w:r>
        <w:rPr>
          <w:rFonts w:ascii="Times New Roman" w:eastAsia="Times New Roman" w:hAnsi="Times New Roman" w:cs="Times New Roman"/>
          <w:sz w:val="24"/>
          <w:szCs w:val="24"/>
        </w:rPr>
        <w:t xml:space="preserve"> cluster variance </w:t>
      </w:r>
      <w:r>
        <w:rPr>
          <w:rFonts w:ascii="Times New Roman" w:eastAsia="Times New Roman" w:hAnsi="Times New Roman" w:cs="Times New Roman"/>
          <w:sz w:val="24"/>
          <w:szCs w:val="24"/>
          <w:highlight w:val="yellow"/>
        </w:rPr>
        <w:t>of</w:t>
      </w:r>
      <w:r>
        <w:rPr>
          <w:rFonts w:ascii="Times New Roman" w:eastAsia="Times New Roman" w:hAnsi="Times New Roman" w:cs="Times New Roman"/>
          <w:sz w:val="24"/>
          <w:szCs w:val="24"/>
        </w:rPr>
        <w:t xml:space="preserve"> 0.472 (</w:t>
      </w:r>
      <w:r>
        <w:rPr>
          <w:rFonts w:ascii="Times New Roman" w:eastAsia="Times New Roman" w:hAnsi="Times New Roman" w:cs="Times New Roman"/>
          <w:sz w:val="24"/>
          <w:szCs w:val="24"/>
          <w:highlight w:val="yellow"/>
        </w:rPr>
        <w:t xml:space="preserve">SE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0.061)</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indicating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considerable</w:t>
      </w:r>
      <w:r>
        <w:rPr>
          <w:rFonts w:ascii="Times New Roman" w:eastAsia="Times New Roman" w:hAnsi="Times New Roman" w:cs="Times New Roman"/>
          <w:sz w:val="24"/>
          <w:szCs w:val="24"/>
        </w:rPr>
        <w:t xml:space="preserve"> unexplained </w:t>
      </w:r>
      <w:r>
        <w:rPr>
          <w:rFonts w:ascii="Times New Roman" w:eastAsia="Times New Roman" w:hAnsi="Times New Roman" w:cs="Times New Roman"/>
          <w:sz w:val="24"/>
          <w:szCs w:val="24"/>
          <w:highlight w:val="yellow"/>
        </w:rPr>
        <w:t>differences</w:t>
      </w:r>
      <w:r>
        <w:rPr>
          <w:rFonts w:ascii="Times New Roman" w:eastAsia="Times New Roman" w:hAnsi="Times New Roman" w:cs="Times New Roman"/>
          <w:sz w:val="24"/>
          <w:szCs w:val="24"/>
        </w:rPr>
        <w:t xml:space="preserve"> between communities after accounting for </w:t>
      </w:r>
      <w:r>
        <w:rPr>
          <w:rFonts w:ascii="Times New Roman" w:eastAsia="Times New Roman" w:hAnsi="Times New Roman" w:cs="Times New Roman"/>
          <w:sz w:val="24"/>
          <w:szCs w:val="24"/>
          <w:highlight w:val="yellow"/>
        </w:rPr>
        <w:t>maternal</w:t>
      </w:r>
      <w:r>
        <w:rPr>
          <w:rFonts w:ascii="Times New Roman" w:eastAsia="Times New Roman" w:hAnsi="Times New Roman" w:cs="Times New Roman"/>
          <w:sz w:val="24"/>
          <w:szCs w:val="24"/>
        </w:rPr>
        <w:t>, household</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healthcare factors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This finding suggests the</w:t>
      </w:r>
      <w:r>
        <w:rPr>
          <w:rFonts w:ascii="Times New Roman" w:eastAsia="Times New Roman" w:hAnsi="Times New Roman" w:cs="Times New Roman"/>
          <w:sz w:val="24"/>
          <w:szCs w:val="24"/>
        </w:rPr>
        <w:t xml:space="preserve"> presence of </w:t>
      </w:r>
      <w:r>
        <w:rPr>
          <w:rFonts w:ascii="Times New Roman" w:eastAsia="Times New Roman" w:hAnsi="Times New Roman" w:cs="Times New Roman"/>
          <w:sz w:val="24"/>
          <w:szCs w:val="24"/>
          <w:highlight w:val="yellow"/>
        </w:rPr>
        <w:t>community-level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contextual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influences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on child</w:t>
      </w:r>
      <w:r>
        <w:rPr>
          <w:rFonts w:ascii="Times New Roman" w:eastAsia="Times New Roman" w:hAnsi="Times New Roman" w:cs="Times New Roman"/>
          <w:sz w:val="24"/>
          <w:szCs w:val="24"/>
        </w:rPr>
        <w:t xml:space="preserve"> health. The estimated ICC </w:t>
      </w:r>
      <w:r>
        <w:rPr>
          <w:rFonts w:ascii="Times New Roman" w:eastAsia="Times New Roman" w:hAnsi="Times New Roman" w:cs="Times New Roman"/>
          <w:sz w:val="24"/>
          <w:szCs w:val="24"/>
          <w:highlight w:val="yellow"/>
        </w:rPr>
        <w:t>was</w:t>
      </w:r>
      <w:r>
        <w:rPr>
          <w:rFonts w:ascii="Times New Roman" w:eastAsia="Times New Roman" w:hAnsi="Times New Roman" w:cs="Times New Roman"/>
          <w:sz w:val="24"/>
          <w:szCs w:val="24"/>
        </w:rPr>
        <w:t xml:space="preserve"> 0.126, </w:t>
      </w:r>
      <w:r>
        <w:rPr>
          <w:rFonts w:ascii="Times New Roman" w:eastAsia="Times New Roman" w:hAnsi="Times New Roman" w:cs="Times New Roman"/>
          <w:sz w:val="24"/>
          <w:szCs w:val="24"/>
          <w:highlight w:val="yellow"/>
        </w:rPr>
        <w:t>indicating that</w:t>
      </w:r>
      <w:r>
        <w:rPr>
          <w:rFonts w:ascii="Times New Roman" w:eastAsia="Times New Roman" w:hAnsi="Times New Roman" w:cs="Times New Roman"/>
          <w:sz w:val="24"/>
          <w:szCs w:val="24"/>
        </w:rPr>
        <w:t xml:space="preserve"> 12.6% of </w:t>
      </w:r>
      <w:r>
        <w:rPr>
          <w:rFonts w:ascii="Times New Roman" w:eastAsia="Times New Roman" w:hAnsi="Times New Roman" w:cs="Times New Roman"/>
          <w:sz w:val="24"/>
          <w:szCs w:val="24"/>
          <w:highlight w:val="yellow"/>
        </w:rPr>
        <w:t xml:space="preserve">the </w:t>
      </w:r>
      <w:r>
        <w:rPr>
          <w:rFonts w:ascii="Times New Roman" w:eastAsia="Times New Roman" w:hAnsi="Times New Roman" w:cs="Times New Roman"/>
          <w:sz w:val="24"/>
          <w:szCs w:val="24"/>
        </w:rPr>
        <w:t xml:space="preserve">variation </w:t>
      </w:r>
      <w:r>
        <w:rPr>
          <w:rFonts w:ascii="Times New Roman" w:eastAsia="Times New Roman" w:hAnsi="Times New Roman" w:cs="Times New Roman"/>
          <w:sz w:val="24"/>
          <w:szCs w:val="24"/>
          <w:highlight w:val="yellow"/>
        </w:rPr>
        <w:t>was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attributable</w:t>
      </w:r>
      <w:r>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highlight w:val="yellow"/>
        </w:rPr>
        <w:t>cluster-level</w:t>
      </w:r>
      <w:r>
        <w:rPr>
          <w:rFonts w:ascii="Times New Roman" w:eastAsia="Times New Roman" w:hAnsi="Times New Roman" w:cs="Times New Roman"/>
          <w:sz w:val="24"/>
          <w:szCs w:val="24"/>
        </w:rPr>
        <w:t xml:space="preserve"> factors and 87.4% to household</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or </w:t>
      </w:r>
      <w:r>
        <w:rPr>
          <w:rFonts w:ascii="Times New Roman" w:eastAsia="Times New Roman" w:hAnsi="Times New Roman" w:cs="Times New Roman"/>
          <w:sz w:val="24"/>
          <w:szCs w:val="24"/>
          <w:highlight w:val="yellow"/>
        </w:rPr>
        <w:t>child-level</w:t>
      </w:r>
      <w:r>
        <w:rPr>
          <w:rFonts w:ascii="Times New Roman" w:eastAsia="Times New Roman" w:hAnsi="Times New Roman" w:cs="Times New Roman"/>
          <w:sz w:val="24"/>
          <w:szCs w:val="24"/>
        </w:rPr>
        <w:t xml:space="preserve"> factors, </w:t>
      </w:r>
      <w:r>
        <w:rPr>
          <w:rFonts w:ascii="Times New Roman" w:eastAsia="Times New Roman" w:hAnsi="Times New Roman" w:cs="Times New Roman"/>
          <w:sz w:val="24"/>
          <w:szCs w:val="24"/>
          <w:highlight w:val="yellow"/>
        </w:rPr>
        <w:t>thereby supporting the use of</w:t>
      </w:r>
      <w:r>
        <w:rPr>
          <w:rFonts w:ascii="Times New Roman" w:eastAsia="Times New Roman" w:hAnsi="Times New Roman" w:cs="Times New Roman"/>
          <w:sz w:val="24"/>
          <w:szCs w:val="24"/>
        </w:rPr>
        <w:t xml:space="preserve"> multilevel </w:t>
      </w:r>
      <w:r>
        <w:rPr>
          <w:rFonts w:ascii="Times New Roman" w:eastAsia="Times New Roman" w:hAnsi="Times New Roman" w:cs="Times New Roman"/>
          <w:sz w:val="24"/>
          <w:szCs w:val="24"/>
          <w:highlight w:val="yellow"/>
        </w:rPr>
        <w:t>modelling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for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survey data</w:t>
      </w:r>
      <w:r>
        <w:rPr>
          <w:rFonts w:ascii="Times New Roman" w:eastAsia="Times New Roman" w:hAnsi="Times New Roman" w:cs="Times New Roman"/>
          <w:sz w:val="24"/>
          <w:szCs w:val="24"/>
          <w:highlight w:val="yellow"/>
        </w:rPr>
        <w:t xml:space="preserve"> structure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random-effects model </w:t>
      </w:r>
      <w:r>
        <w:rPr>
          <w:rFonts w:ascii="Times New Roman" w:eastAsia="Times New Roman" w:hAnsi="Times New Roman" w:cs="Times New Roman"/>
          <w:sz w:val="24"/>
          <w:szCs w:val="24"/>
          <w:highlight w:val="yellow"/>
        </w:rPr>
        <w:t>showed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 appropriate</w:t>
      </w:r>
      <w:r>
        <w:rPr>
          <w:rFonts w:ascii="Times New Roman" w:eastAsia="Times New Roman" w:hAnsi="Times New Roman" w:cs="Times New Roman"/>
          <w:sz w:val="24"/>
          <w:szCs w:val="24"/>
        </w:rPr>
        <w:t xml:space="preserve"> fit</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with a log-likelihood of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5138.2 and an AIC of 10302.4. The random-effects multilevel regression </w:t>
      </w:r>
      <w:r>
        <w:rPr>
          <w:rFonts w:ascii="Times New Roman" w:eastAsia="Times New Roman" w:hAnsi="Times New Roman" w:cs="Times New Roman"/>
          <w:sz w:val="24"/>
          <w:szCs w:val="24"/>
          <w:highlight w:val="yellow"/>
        </w:rPr>
        <w:t>results suggest</w:t>
      </w:r>
      <w:r>
        <w:rPr>
          <w:rFonts w:ascii="Times New Roman" w:eastAsia="Times New Roman" w:hAnsi="Times New Roman" w:cs="Times New Roman"/>
          <w:sz w:val="24"/>
          <w:szCs w:val="24"/>
        </w:rPr>
        <w:t xml:space="preserve"> that interventions </w:t>
      </w:r>
      <w:r>
        <w:rPr>
          <w:rFonts w:ascii="Times New Roman" w:eastAsia="Times New Roman" w:hAnsi="Times New Roman" w:cs="Times New Roman"/>
          <w:sz w:val="24"/>
          <w:szCs w:val="24"/>
          <w:highlight w:val="yellow"/>
        </w:rPr>
        <w:t>may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improve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equity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immunisation coverage </w:t>
      </w:r>
      <w:r>
        <w:rPr>
          <w:rFonts w:ascii="Times New Roman" w:eastAsia="Times New Roman" w:hAnsi="Times New Roman" w:cs="Times New Roman"/>
          <w:sz w:val="24"/>
          <w:szCs w:val="24"/>
          <w:highlight w:val="yellow"/>
        </w:rPr>
        <w:t>across</w:t>
      </w:r>
      <w:r>
        <w:rPr>
          <w:rFonts w:ascii="Times New Roman" w:eastAsia="Times New Roman" w:hAnsi="Times New Roman" w:cs="Times New Roman"/>
          <w:sz w:val="24"/>
          <w:szCs w:val="24"/>
        </w:rPr>
        <w:t xml:space="preserve"> communities.</w:t>
      </w:r>
    </w:p>
    <w:p w14:paraId="5795AD13" w14:textId="77777777" w:rsidR="00D37A2F" w:rsidRDefault="00D37A2F" w:rsidP="00D37A2F">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4.7 </w:t>
      </w:r>
      <w:r w:rsidRPr="00C24742">
        <w:rPr>
          <w:rFonts w:ascii="Times New Roman" w:hAnsi="Times New Roman" w:cs="Times New Roman"/>
          <w:sz w:val="24"/>
          <w:szCs w:val="24"/>
        </w:rPr>
        <w:t>Survey-weig</w:t>
      </w:r>
      <w:r>
        <w:rPr>
          <w:rFonts w:ascii="Times New Roman" w:hAnsi="Times New Roman" w:cs="Times New Roman"/>
          <w:sz w:val="24"/>
          <w:szCs w:val="24"/>
        </w:rPr>
        <w:t xml:space="preserve">hted Poisson Regression </w:t>
      </w:r>
    </w:p>
    <w:p w14:paraId="241D873F" w14:textId="77777777" w:rsidR="00D37A2F" w:rsidRPr="00C24742" w:rsidRDefault="00D37A2F" w:rsidP="00D37A2F">
      <w:p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Table 7: </w:t>
      </w:r>
      <w:r w:rsidRPr="00C24742">
        <w:rPr>
          <w:rFonts w:ascii="Times New Roman" w:hAnsi="Times New Roman" w:cs="Times New Roman"/>
          <w:sz w:val="24"/>
          <w:szCs w:val="24"/>
        </w:rPr>
        <w:t>Survey-weig</w:t>
      </w:r>
      <w:r>
        <w:rPr>
          <w:rFonts w:ascii="Times New Roman" w:hAnsi="Times New Roman" w:cs="Times New Roman"/>
          <w:sz w:val="24"/>
          <w:szCs w:val="24"/>
        </w:rPr>
        <w:t>hted Poisson Regression</w:t>
      </w:r>
    </w:p>
    <w:tbl>
      <w:tblPr>
        <w:tblStyle w:val="TableGrid"/>
        <w:tblW w:w="0" w:type="auto"/>
        <w:tblInd w:w="14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81"/>
        <w:gridCol w:w="2009"/>
        <w:gridCol w:w="1440"/>
      </w:tblGrid>
      <w:tr w:rsidR="00D37A2F" w14:paraId="18BA5CAE" w14:textId="77777777" w:rsidTr="00CC0B3D">
        <w:tc>
          <w:tcPr>
            <w:tcW w:w="1681" w:type="dxa"/>
            <w:vAlign w:val="center"/>
          </w:tcPr>
          <w:p w14:paraId="1BDA5175" w14:textId="77777777" w:rsidR="00D37A2F" w:rsidRPr="001D7802" w:rsidRDefault="00D37A2F" w:rsidP="00CC0B3D">
            <w:pPr>
              <w:rPr>
                <w:rFonts w:ascii="Times New Roman" w:eastAsia="Times New Roman" w:hAnsi="Times New Roman" w:cs="Times New Roman"/>
                <w:bCs/>
                <w:sz w:val="24"/>
                <w:szCs w:val="24"/>
              </w:rPr>
            </w:pPr>
            <w:r w:rsidRPr="001D7802">
              <w:rPr>
                <w:rFonts w:ascii="Times New Roman" w:eastAsia="Times New Roman" w:hAnsi="Times New Roman" w:cs="Times New Roman"/>
                <w:bCs/>
                <w:sz w:val="24"/>
                <w:szCs w:val="24"/>
              </w:rPr>
              <w:t>Variable</w:t>
            </w:r>
          </w:p>
        </w:tc>
        <w:tc>
          <w:tcPr>
            <w:tcW w:w="2009" w:type="dxa"/>
            <w:vAlign w:val="center"/>
          </w:tcPr>
          <w:p w14:paraId="2173B99E" w14:textId="77777777" w:rsidR="00D37A2F" w:rsidRPr="001D7802" w:rsidRDefault="00D37A2F" w:rsidP="00CC0B3D">
            <w:pPr>
              <w:jc w:val="center"/>
              <w:rPr>
                <w:rFonts w:ascii="Times New Roman" w:eastAsia="Times New Roman" w:hAnsi="Times New Roman" w:cs="Times New Roman"/>
                <w:bCs/>
                <w:sz w:val="24"/>
                <w:szCs w:val="24"/>
              </w:rPr>
            </w:pPr>
            <w:r w:rsidRPr="001D7802">
              <w:rPr>
                <w:rFonts w:ascii="Times New Roman" w:eastAsia="Times New Roman" w:hAnsi="Times New Roman" w:cs="Times New Roman"/>
                <w:bCs/>
                <w:sz w:val="24"/>
                <w:szCs w:val="24"/>
              </w:rPr>
              <w:t>Prevalence Ratio</w:t>
            </w:r>
          </w:p>
        </w:tc>
        <w:tc>
          <w:tcPr>
            <w:tcW w:w="1440" w:type="dxa"/>
            <w:vAlign w:val="center"/>
          </w:tcPr>
          <w:p w14:paraId="6FA49A24" w14:textId="77777777" w:rsidR="00D37A2F" w:rsidRPr="001D7802" w:rsidRDefault="00D37A2F" w:rsidP="00CC0B3D">
            <w:pPr>
              <w:jc w:val="center"/>
              <w:rPr>
                <w:rFonts w:ascii="Times New Roman" w:eastAsia="Times New Roman" w:hAnsi="Times New Roman" w:cs="Times New Roman"/>
                <w:bCs/>
                <w:sz w:val="24"/>
                <w:szCs w:val="24"/>
              </w:rPr>
            </w:pPr>
            <w:r w:rsidRPr="001D7802">
              <w:rPr>
                <w:rFonts w:ascii="Times New Roman" w:eastAsia="Times New Roman" w:hAnsi="Times New Roman" w:cs="Times New Roman"/>
                <w:bCs/>
                <w:sz w:val="24"/>
                <w:szCs w:val="24"/>
              </w:rPr>
              <w:t>95% CI</w:t>
            </w:r>
          </w:p>
        </w:tc>
      </w:tr>
      <w:tr w:rsidR="00D37A2F" w14:paraId="771C6B3F" w14:textId="77777777" w:rsidTr="00CC0B3D">
        <w:tc>
          <w:tcPr>
            <w:tcW w:w="1681" w:type="dxa"/>
            <w:vAlign w:val="center"/>
          </w:tcPr>
          <w:p w14:paraId="40822D98" w14:textId="77777777" w:rsidR="00D37A2F" w:rsidRPr="00593702" w:rsidRDefault="00D37A2F" w:rsidP="00CC0B3D">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Higher education</w:t>
            </w:r>
          </w:p>
        </w:tc>
        <w:tc>
          <w:tcPr>
            <w:tcW w:w="2009" w:type="dxa"/>
            <w:vAlign w:val="center"/>
          </w:tcPr>
          <w:p w14:paraId="5D1BE467" w14:textId="77777777" w:rsidR="00D37A2F" w:rsidRPr="00593702" w:rsidRDefault="00D37A2F" w:rsidP="00CC0B3D">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1.43</w:t>
            </w:r>
          </w:p>
        </w:tc>
        <w:tc>
          <w:tcPr>
            <w:tcW w:w="1440" w:type="dxa"/>
            <w:vAlign w:val="center"/>
          </w:tcPr>
          <w:p w14:paraId="12162880" w14:textId="77777777" w:rsidR="00D37A2F" w:rsidRPr="00593702" w:rsidRDefault="00D37A2F" w:rsidP="00CC0B3D">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(1.28–1.59)</w:t>
            </w:r>
          </w:p>
        </w:tc>
      </w:tr>
      <w:tr w:rsidR="00D37A2F" w14:paraId="585F20F6" w14:textId="77777777" w:rsidTr="00CC0B3D">
        <w:tc>
          <w:tcPr>
            <w:tcW w:w="1681" w:type="dxa"/>
            <w:vAlign w:val="center"/>
          </w:tcPr>
          <w:p w14:paraId="184B4B4C" w14:textId="77777777" w:rsidR="00D37A2F" w:rsidRPr="00593702" w:rsidRDefault="00D37A2F" w:rsidP="00CC0B3D">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Urban</w:t>
            </w:r>
          </w:p>
        </w:tc>
        <w:tc>
          <w:tcPr>
            <w:tcW w:w="2009" w:type="dxa"/>
            <w:vAlign w:val="center"/>
          </w:tcPr>
          <w:p w14:paraId="1B945C62" w14:textId="77777777" w:rsidR="00D37A2F" w:rsidRPr="00593702" w:rsidRDefault="00D37A2F" w:rsidP="00CC0B3D">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1.19</w:t>
            </w:r>
          </w:p>
        </w:tc>
        <w:tc>
          <w:tcPr>
            <w:tcW w:w="1440" w:type="dxa"/>
            <w:vAlign w:val="center"/>
          </w:tcPr>
          <w:p w14:paraId="25A8D0CD" w14:textId="77777777" w:rsidR="00D37A2F" w:rsidRPr="00593702" w:rsidRDefault="00D37A2F" w:rsidP="00CC0B3D">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(1.10–1.30)</w:t>
            </w:r>
          </w:p>
        </w:tc>
      </w:tr>
      <w:tr w:rsidR="00D37A2F" w14:paraId="077E5D5F" w14:textId="77777777" w:rsidTr="00CC0B3D">
        <w:tc>
          <w:tcPr>
            <w:tcW w:w="1681" w:type="dxa"/>
            <w:vAlign w:val="center"/>
          </w:tcPr>
          <w:p w14:paraId="54806B10" w14:textId="77777777" w:rsidR="00D37A2F" w:rsidRPr="00593702" w:rsidRDefault="00D37A2F" w:rsidP="00CC0B3D">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ANC ≥4</w:t>
            </w:r>
          </w:p>
        </w:tc>
        <w:tc>
          <w:tcPr>
            <w:tcW w:w="2009" w:type="dxa"/>
            <w:vAlign w:val="center"/>
          </w:tcPr>
          <w:p w14:paraId="5D981BA7" w14:textId="77777777" w:rsidR="00D37A2F" w:rsidRPr="00593702" w:rsidRDefault="00D37A2F" w:rsidP="00CC0B3D">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1.58</w:t>
            </w:r>
          </w:p>
        </w:tc>
        <w:tc>
          <w:tcPr>
            <w:tcW w:w="1440" w:type="dxa"/>
            <w:vAlign w:val="center"/>
          </w:tcPr>
          <w:p w14:paraId="2F69C384" w14:textId="77777777" w:rsidR="00D37A2F" w:rsidRPr="00593702" w:rsidRDefault="00D37A2F" w:rsidP="00CC0B3D">
            <w:pPr>
              <w:rPr>
                <w:rFonts w:ascii="Times New Roman" w:eastAsia="Times New Roman" w:hAnsi="Times New Roman" w:cs="Times New Roman"/>
                <w:sz w:val="24"/>
                <w:szCs w:val="24"/>
              </w:rPr>
            </w:pPr>
            <w:r w:rsidRPr="00593702">
              <w:rPr>
                <w:rFonts w:ascii="Times New Roman" w:eastAsia="Times New Roman" w:hAnsi="Times New Roman" w:cs="Times New Roman"/>
                <w:sz w:val="24"/>
                <w:szCs w:val="24"/>
              </w:rPr>
              <w:t>(1.42–1.76)</w:t>
            </w:r>
          </w:p>
        </w:tc>
      </w:tr>
    </w:tbl>
    <w:p w14:paraId="15D0C4C1" w14:textId="77777777" w:rsidR="00D37A2F" w:rsidRDefault="00D37A2F" w:rsidP="00D37A2F">
      <w:pPr>
        <w:spacing w:after="0" w:line="240" w:lineRule="auto"/>
        <w:ind w:left="720" w:firstLine="720"/>
        <w:jc w:val="both"/>
        <w:rPr>
          <w:sz w:val="20"/>
          <w:szCs w:val="20"/>
        </w:rPr>
      </w:pPr>
      <w:r w:rsidRPr="00345DCB">
        <w:rPr>
          <w:rFonts w:ascii="Times New Roman" w:hAnsi="Times New Roman" w:cs="Times New Roman"/>
          <w:iCs/>
          <w:color w:val="000000"/>
          <w:sz w:val="20"/>
          <w:szCs w:val="20"/>
        </w:rPr>
        <w:t>Sources: Author’s computation (2026)</w:t>
      </w:r>
    </w:p>
    <w:p w14:paraId="0518DF48" w14:textId="77777777" w:rsidR="00D37A2F" w:rsidRPr="00560B05"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Table 7</w:t>
      </w:r>
      <w:r>
        <w:rPr>
          <w:rFonts w:ascii="Times New Roman" w:eastAsia="Times New Roman" w:hAnsi="Times New Roman" w:cs="Times New Roman"/>
          <w:sz w:val="24"/>
          <w:szCs w:val="24"/>
        </w:rPr>
        <w:t xml:space="preserve"> presents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magnitudes</w:t>
      </w:r>
      <w:r>
        <w:rPr>
          <w:rFonts w:ascii="Times New Roman" w:eastAsia="Times New Roman" w:hAnsi="Times New Roman" w:cs="Times New Roman"/>
          <w:sz w:val="24"/>
          <w:szCs w:val="24"/>
        </w:rPr>
        <w:t xml:space="preserve"> of </w:t>
      </w:r>
      <w:r>
        <w:rPr>
          <w:rFonts w:ascii="Times New Roman" w:eastAsia="Times New Roman" w:hAnsi="Times New Roman" w:cs="Times New Roman"/>
          <w:sz w:val="24"/>
          <w:szCs w:val="24"/>
          <w:highlight w:val="yellow"/>
        </w:rPr>
        <w:t xml:space="preserve">the </w:t>
      </w:r>
      <w:r>
        <w:rPr>
          <w:rFonts w:ascii="Times New Roman" w:eastAsia="Times New Roman" w:hAnsi="Times New Roman" w:cs="Times New Roman"/>
          <w:sz w:val="24"/>
          <w:szCs w:val="24"/>
        </w:rPr>
        <w:t>associations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prevalence ratios </w:t>
      </w:r>
      <w:r>
        <w:rPr>
          <w:rFonts w:ascii="Times New Roman" w:eastAsia="Times New Roman" w:hAnsi="Times New Roman" w:cs="Times New Roman"/>
          <w:sz w:val="24"/>
          <w:szCs w:val="24"/>
          <w:highlight w:val="yellow"/>
        </w:rPr>
        <w:t>indicate</w:t>
      </w:r>
      <w:r>
        <w:rPr>
          <w:rFonts w:ascii="Times New Roman" w:eastAsia="Times New Roman" w:hAnsi="Times New Roman" w:cs="Times New Roman"/>
          <w:sz w:val="24"/>
          <w:szCs w:val="24"/>
        </w:rPr>
        <w:t xml:space="preserve"> positive </w:t>
      </w:r>
      <w:r>
        <w:rPr>
          <w:rFonts w:ascii="Times New Roman" w:eastAsia="Times New Roman" w:hAnsi="Times New Roman" w:cs="Times New Roman"/>
          <w:sz w:val="24"/>
          <w:szCs w:val="24"/>
          <w:highlight w:val="yellow"/>
        </w:rPr>
        <w:t>associations</w:t>
      </w:r>
      <w:r>
        <w:rPr>
          <w:rFonts w:ascii="Times New Roman" w:eastAsia="Times New Roman" w:hAnsi="Times New Roman" w:cs="Times New Roman"/>
          <w:sz w:val="24"/>
          <w:szCs w:val="24"/>
        </w:rPr>
        <w:t xml:space="preserve"> of maternal education, </w:t>
      </w:r>
      <w:r>
        <w:rPr>
          <w:rFonts w:ascii="Times New Roman" w:eastAsia="Times New Roman" w:hAnsi="Times New Roman" w:cs="Times New Roman"/>
          <w:sz w:val="24"/>
          <w:szCs w:val="24"/>
          <w:highlight w:val="yellow"/>
        </w:rPr>
        <w:t>place</w:t>
      </w:r>
      <w:r>
        <w:rPr>
          <w:rFonts w:ascii="Times New Roman" w:eastAsia="Times New Roman" w:hAnsi="Times New Roman" w:cs="Times New Roman"/>
          <w:sz w:val="24"/>
          <w:szCs w:val="24"/>
        </w:rPr>
        <w:t xml:space="preserve"> of residence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and antenatal care </w:t>
      </w:r>
      <w:r>
        <w:rPr>
          <w:rFonts w:ascii="Times New Roman" w:eastAsia="Times New Roman" w:hAnsi="Times New Roman" w:cs="Times New Roman"/>
          <w:sz w:val="24"/>
          <w:szCs w:val="24"/>
          <w:highlight w:val="yellow"/>
        </w:rPr>
        <w:t>use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with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complete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childhood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highlight w:val="yellow"/>
        </w:rPr>
        <w:t>all three factors were</w:t>
      </w:r>
      <w:r>
        <w:rPr>
          <w:rFonts w:ascii="Times New Roman" w:eastAsia="Times New Roman" w:hAnsi="Times New Roman" w:cs="Times New Roman"/>
          <w:sz w:val="24"/>
          <w:szCs w:val="24"/>
        </w:rPr>
        <w:t xml:space="preserve"> significant predictors of overall completion. </w:t>
      </w:r>
      <w:r>
        <w:rPr>
          <w:rFonts w:ascii="Times New Roman" w:eastAsia="Times New Roman" w:hAnsi="Times New Roman" w:cs="Times New Roman"/>
          <w:sz w:val="24"/>
          <w:szCs w:val="24"/>
        </w:rPr>
        <w:lastRenderedPageBreak/>
        <w:t xml:space="preserve">All </w:t>
      </w:r>
      <w:r>
        <w:rPr>
          <w:rFonts w:ascii="Times New Roman" w:eastAsia="Times New Roman" w:hAnsi="Times New Roman" w:cs="Times New Roman"/>
          <w:sz w:val="24"/>
          <w:szCs w:val="24"/>
          <w:highlight w:val="yellow"/>
        </w:rPr>
        <w:t>prevalence</w:t>
      </w:r>
      <w:r>
        <w:rPr>
          <w:rFonts w:ascii="Times New Roman" w:eastAsia="Times New Roman" w:hAnsi="Times New Roman" w:cs="Times New Roman"/>
          <w:sz w:val="24"/>
          <w:szCs w:val="24"/>
        </w:rPr>
        <w:t xml:space="preserve"> ratios (PRs) </w:t>
      </w:r>
      <w:r>
        <w:rPr>
          <w:rFonts w:ascii="Times New Roman" w:eastAsia="Times New Roman" w:hAnsi="Times New Roman" w:cs="Times New Roman"/>
          <w:sz w:val="24"/>
          <w:szCs w:val="24"/>
          <w:highlight w:val="yellow"/>
        </w:rPr>
        <w:t>exceeded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1.0</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their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95%</w:t>
      </w:r>
      <w:r>
        <w:rPr>
          <w:rFonts w:ascii="Times New Roman" w:eastAsia="Times New Roman" w:hAnsi="Times New Roman" w:cs="Times New Roman"/>
          <w:sz w:val="24"/>
          <w:szCs w:val="24"/>
        </w:rPr>
        <w:t xml:space="preserve"> confidence intervals </w:t>
      </w:r>
      <w:r>
        <w:rPr>
          <w:rFonts w:ascii="Times New Roman" w:eastAsia="Times New Roman" w:hAnsi="Times New Roman" w:cs="Times New Roman"/>
          <w:sz w:val="24"/>
          <w:szCs w:val="24"/>
          <w:highlight w:val="yellow"/>
        </w:rPr>
        <w:t>excluded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1.0,</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indicating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positive associations with complete childhood immunisation. Higher maternal education was associated with a</w:t>
      </w:r>
      <w:r>
        <w:rPr>
          <w:rFonts w:ascii="Times New Roman" w:eastAsia="Times New Roman" w:hAnsi="Times New Roman" w:cs="Times New Roman"/>
          <w:sz w:val="24"/>
          <w:szCs w:val="24"/>
        </w:rPr>
        <w:t xml:space="preserve"> 43% </w:t>
      </w:r>
      <w:r>
        <w:rPr>
          <w:rFonts w:ascii="Times New Roman" w:eastAsia="Times New Roman" w:hAnsi="Times New Roman" w:cs="Times New Roman"/>
          <w:sz w:val="24"/>
          <w:szCs w:val="24"/>
          <w:highlight w:val="yellow"/>
        </w:rPr>
        <w:t>higher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prevalence</w:t>
      </w:r>
      <w:r>
        <w:rPr>
          <w:rFonts w:ascii="Times New Roman" w:eastAsia="Times New Roman" w:hAnsi="Times New Roman" w:cs="Times New Roman"/>
          <w:sz w:val="24"/>
          <w:szCs w:val="24"/>
        </w:rPr>
        <w:t xml:space="preserve"> of </w:t>
      </w:r>
      <w:r>
        <w:rPr>
          <w:rFonts w:ascii="Times New Roman" w:eastAsia="Times New Roman" w:hAnsi="Times New Roman" w:cs="Times New Roman"/>
          <w:sz w:val="24"/>
          <w:szCs w:val="24"/>
          <w:highlight w:val="yellow"/>
        </w:rPr>
        <w:t>complete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PR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1.43</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95%</w:t>
      </w:r>
      <w:r>
        <w:rPr>
          <w:rFonts w:ascii="Times New Roman" w:eastAsia="Times New Roman" w:hAnsi="Times New Roman" w:cs="Times New Roman"/>
          <w:sz w:val="24"/>
          <w:szCs w:val="24"/>
          <w:highlight w:val="yellow"/>
        </w:rPr>
        <w:t xml:space="preserve"> CI</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1.28-1</w:t>
      </w:r>
      <w:r>
        <w:rPr>
          <w:rFonts w:ascii="Times New Roman" w:eastAsia="Times New Roman" w:hAnsi="Times New Roman" w:cs="Times New Roman"/>
          <w:sz w:val="24"/>
          <w:szCs w:val="24"/>
        </w:rPr>
        <w:t>.59)</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Children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living</w:t>
      </w:r>
      <w:r>
        <w:rPr>
          <w:rFonts w:ascii="Times New Roman" w:eastAsia="Times New Roman" w:hAnsi="Times New Roman" w:cs="Times New Roman"/>
          <w:sz w:val="24"/>
          <w:szCs w:val="24"/>
        </w:rPr>
        <w:t xml:space="preserve"> in </w:t>
      </w:r>
      <w:r>
        <w:rPr>
          <w:rFonts w:ascii="Times New Roman" w:eastAsia="Times New Roman" w:hAnsi="Times New Roman" w:cs="Times New Roman"/>
          <w:sz w:val="24"/>
          <w:szCs w:val="24"/>
          <w:highlight w:val="yellow"/>
        </w:rPr>
        <w:t>urban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areas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had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higher</w:t>
      </w:r>
      <w:r>
        <w:rPr>
          <w:rFonts w:ascii="Times New Roman" w:eastAsia="Times New Roman" w:hAnsi="Times New Roman" w:cs="Times New Roman"/>
          <w:sz w:val="24"/>
          <w:szCs w:val="24"/>
        </w:rPr>
        <w:t xml:space="preserve"> vaccination coverage than </w:t>
      </w:r>
      <w:r>
        <w:rPr>
          <w:rFonts w:ascii="Times New Roman" w:eastAsia="Times New Roman" w:hAnsi="Times New Roman" w:cs="Times New Roman"/>
          <w:sz w:val="24"/>
          <w:szCs w:val="24"/>
          <w:highlight w:val="yellow"/>
        </w:rPr>
        <w:t>those living in</w:t>
      </w:r>
      <w:r>
        <w:rPr>
          <w:rFonts w:ascii="Times New Roman" w:eastAsia="Times New Roman" w:hAnsi="Times New Roman" w:cs="Times New Roman"/>
          <w:sz w:val="24"/>
          <w:szCs w:val="24"/>
        </w:rPr>
        <w:t xml:space="preserve"> other </w:t>
      </w:r>
      <w:r>
        <w:rPr>
          <w:rFonts w:ascii="Times New Roman" w:eastAsia="Times New Roman" w:hAnsi="Times New Roman" w:cs="Times New Roman"/>
          <w:sz w:val="24"/>
          <w:szCs w:val="24"/>
          <w:highlight w:val="yellow"/>
        </w:rPr>
        <w:t>settings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PR</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z w:val="24"/>
          <w:szCs w:val="24"/>
          <w:highlight w:val="yellow"/>
        </w:rPr>
        <w:t>19; 95% CI: 1.10-1.</w:t>
      </w:r>
      <w:r>
        <w:rPr>
          <w:rFonts w:ascii="Times New Roman" w:eastAsia="Times New Roman" w:hAnsi="Times New Roman" w:cs="Times New Roman"/>
          <w:sz w:val="24"/>
          <w:szCs w:val="24"/>
        </w:rPr>
        <w:t>30</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strongest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association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was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observed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among</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mothers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who</w:t>
      </w:r>
      <w:r>
        <w:rPr>
          <w:rFonts w:ascii="Times New Roman" w:eastAsia="Times New Roman" w:hAnsi="Times New Roman" w:cs="Times New Roman"/>
          <w:sz w:val="24"/>
          <w:szCs w:val="24"/>
        </w:rPr>
        <w:t xml:space="preserve"> attended at least four </w:t>
      </w:r>
      <w:r>
        <w:rPr>
          <w:rFonts w:ascii="Times New Roman" w:eastAsia="Times New Roman" w:hAnsi="Times New Roman" w:cs="Times New Roman"/>
          <w:sz w:val="24"/>
          <w:szCs w:val="24"/>
          <w:highlight w:val="yellow"/>
        </w:rPr>
        <w:t xml:space="preserve">antenatal care </w:t>
      </w:r>
      <w:r>
        <w:rPr>
          <w:rFonts w:ascii="Times New Roman" w:eastAsia="Times New Roman" w:hAnsi="Times New Roman" w:cs="Times New Roman"/>
          <w:sz w:val="24"/>
          <w:szCs w:val="24"/>
        </w:rPr>
        <w:t xml:space="preserve">visits </w:t>
      </w:r>
      <w:r>
        <w:rPr>
          <w:rFonts w:ascii="Times New Roman" w:eastAsia="Times New Roman" w:hAnsi="Times New Roman" w:cs="Times New Roman"/>
          <w:sz w:val="24"/>
          <w:szCs w:val="24"/>
          <w:highlight w:val="yellow"/>
        </w:rPr>
        <w:t>(PR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1.58</w:t>
      </w:r>
      <w:r>
        <w:rPr>
          <w:rFonts w:ascii="Times New Roman" w:eastAsia="Times New Roman" w:hAnsi="Times New Roman" w:cs="Times New Roman"/>
          <w:sz w:val="24"/>
          <w:szCs w:val="24"/>
          <w:highlight w:val="yellow"/>
        </w:rPr>
        <w:t>; 95% CI: 1.42-1.76)</w:t>
      </w:r>
      <w:r>
        <w:rPr>
          <w:rFonts w:ascii="Times New Roman" w:eastAsia="Times New Roman" w:hAnsi="Times New Roman" w:cs="Times New Roman"/>
          <w:sz w:val="24"/>
          <w:szCs w:val="24"/>
        </w:rPr>
        <w:t xml:space="preserve">. These results corroborate previous </w:t>
      </w:r>
      <w:r>
        <w:rPr>
          <w:rFonts w:ascii="Times New Roman" w:eastAsia="Times New Roman" w:hAnsi="Times New Roman" w:cs="Times New Roman"/>
          <w:sz w:val="24"/>
          <w:szCs w:val="24"/>
          <w:highlight w:val="yellow"/>
        </w:rPr>
        <w:t>findings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regarding</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relationships</w:t>
      </w:r>
      <w:r>
        <w:rPr>
          <w:rFonts w:ascii="Times New Roman" w:eastAsia="Times New Roman" w:hAnsi="Times New Roman" w:cs="Times New Roman"/>
          <w:sz w:val="24"/>
          <w:szCs w:val="24"/>
        </w:rPr>
        <w:t xml:space="preserve"> of </w:t>
      </w:r>
      <w:r>
        <w:rPr>
          <w:rFonts w:ascii="Times New Roman" w:eastAsia="Times New Roman" w:hAnsi="Times New Roman" w:cs="Times New Roman"/>
          <w:sz w:val="24"/>
          <w:szCs w:val="24"/>
          <w:highlight w:val="yellow"/>
        </w:rPr>
        <w:t>maternal</w:t>
      </w:r>
      <w:r>
        <w:rPr>
          <w:rFonts w:ascii="Times New Roman" w:eastAsia="Times New Roman" w:hAnsi="Times New Roman" w:cs="Times New Roman"/>
          <w:sz w:val="24"/>
          <w:szCs w:val="24"/>
        </w:rPr>
        <w:t xml:space="preserve"> education </w:t>
      </w:r>
      <w:r>
        <w:rPr>
          <w:rFonts w:ascii="Times New Roman" w:eastAsia="Times New Roman" w:hAnsi="Times New Roman" w:cs="Times New Roman"/>
          <w:sz w:val="24"/>
          <w:szCs w:val="24"/>
          <w:highlight w:val="yellow"/>
        </w:rPr>
        <w:t xml:space="preserve">and urban residence </w:t>
      </w:r>
      <w:r>
        <w:rPr>
          <w:rFonts w:ascii="Times New Roman" w:eastAsia="Times New Roman" w:hAnsi="Times New Roman" w:cs="Times New Roman"/>
          <w:sz w:val="24"/>
          <w:szCs w:val="24"/>
        </w:rPr>
        <w:t xml:space="preserve">with complete vaccination, whereas the effect of </w:t>
      </w:r>
      <w:r>
        <w:rPr>
          <w:rFonts w:ascii="Times New Roman" w:eastAsia="Times New Roman" w:hAnsi="Times New Roman" w:cs="Times New Roman"/>
          <w:sz w:val="24"/>
          <w:szCs w:val="24"/>
          <w:highlight w:val="yellow"/>
        </w:rPr>
        <w:t>antenatal care contrasts with earlier findings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 xml:space="preserve">In those findings, </w:t>
      </w:r>
      <w:r>
        <w:rPr>
          <w:rFonts w:ascii="Times New Roman" w:eastAsia="Times New Roman" w:hAnsi="Times New Roman" w:cs="Times New Roman"/>
          <w:sz w:val="24"/>
          <w:szCs w:val="24"/>
        </w:rPr>
        <w:t xml:space="preserve">mothers attending three or more antenatal </w:t>
      </w:r>
      <w:r>
        <w:rPr>
          <w:rFonts w:ascii="Times New Roman" w:eastAsia="Times New Roman" w:hAnsi="Times New Roman" w:cs="Times New Roman"/>
          <w:sz w:val="24"/>
          <w:szCs w:val="24"/>
          <w:highlight w:val="yellow"/>
        </w:rPr>
        <w:t>care</w:t>
      </w:r>
      <w:r>
        <w:rPr>
          <w:rFonts w:ascii="Times New Roman" w:eastAsia="Times New Roman" w:hAnsi="Times New Roman" w:cs="Times New Roman"/>
          <w:sz w:val="24"/>
          <w:szCs w:val="24"/>
        </w:rPr>
        <w:t xml:space="preserve"> visits had an odds ratio of 376</w:t>
      </w:r>
      <w:r>
        <w:rPr>
          <w:rFonts w:ascii="Times New Roman" w:eastAsia="Times New Roman" w:hAnsi="Times New Roman" w:cs="Times New Roman"/>
          <w:sz w:val="24"/>
          <w:szCs w:val="24"/>
          <w:highlight w:val="yellow"/>
        </w:rPr>
        <w:t xml:space="preserve"> for complete childhood vaccination</w:t>
      </w:r>
      <w:r>
        <w:rPr>
          <w:rFonts w:ascii="Times New Roman" w:eastAsia="Times New Roman" w:hAnsi="Times New Roman" w:cs="Times New Roman"/>
          <w:sz w:val="24"/>
          <w:szCs w:val="24"/>
        </w:rPr>
        <w:t xml:space="preserve"> compared </w:t>
      </w:r>
      <w:r>
        <w:rPr>
          <w:rFonts w:ascii="Times New Roman" w:eastAsia="Times New Roman" w:hAnsi="Times New Roman" w:cs="Times New Roman"/>
          <w:sz w:val="24"/>
          <w:szCs w:val="24"/>
          <w:highlight w:val="yellow"/>
        </w:rPr>
        <w:t>with</w:t>
      </w:r>
      <w:r>
        <w:rPr>
          <w:rFonts w:ascii="Times New Roman" w:eastAsia="Times New Roman" w:hAnsi="Times New Roman" w:cs="Times New Roman"/>
          <w:sz w:val="24"/>
          <w:szCs w:val="24"/>
        </w:rPr>
        <w:t xml:space="preserve"> mothers attending four or more visits.</w:t>
      </w:r>
    </w:p>
    <w:p w14:paraId="263A855B" w14:textId="77777777" w:rsidR="00D37A2F" w:rsidRDefault="00D37A2F" w:rsidP="00D37A2F">
      <w:pPr>
        <w:rPr>
          <w:rFonts w:ascii="Times New Roman" w:hAnsi="Times New Roman" w:cs="Times New Roman"/>
          <w:sz w:val="24"/>
          <w:szCs w:val="24"/>
        </w:rPr>
      </w:pPr>
      <w:r>
        <w:rPr>
          <w:rFonts w:ascii="Times New Roman" w:hAnsi="Times New Roman" w:cs="Times New Roman"/>
          <w:sz w:val="24"/>
          <w:szCs w:val="24"/>
        </w:rPr>
        <w:t xml:space="preserve">4.8 </w:t>
      </w:r>
      <w:r w:rsidRPr="00015FE5">
        <w:rPr>
          <w:rFonts w:ascii="Times New Roman" w:hAnsi="Times New Roman" w:cs="Times New Roman"/>
          <w:sz w:val="24"/>
          <w:szCs w:val="24"/>
        </w:rPr>
        <w:t>Model Adequacy Tests</w:t>
      </w:r>
    </w:p>
    <w:p w14:paraId="2E1AB061" w14:textId="77777777" w:rsidR="00D37A2F" w:rsidRDefault="00D37A2F" w:rsidP="00D37A2F">
      <w:pPr>
        <w:rPr>
          <w:rFonts w:ascii="Times New Roman" w:hAnsi="Times New Roman" w:cs="Times New Roman"/>
          <w:sz w:val="24"/>
          <w:szCs w:val="24"/>
        </w:rPr>
      </w:pPr>
      <w:r>
        <w:rPr>
          <w:rFonts w:ascii="Times New Roman" w:hAnsi="Times New Roman" w:cs="Times New Roman"/>
          <w:sz w:val="24"/>
          <w:szCs w:val="24"/>
        </w:rPr>
        <w:t xml:space="preserve">Table 8: </w:t>
      </w:r>
      <w:r w:rsidRPr="00015FE5">
        <w:rPr>
          <w:rFonts w:ascii="Times New Roman" w:hAnsi="Times New Roman" w:cs="Times New Roman"/>
          <w:sz w:val="24"/>
          <w:szCs w:val="24"/>
        </w:rPr>
        <w:t>Model Adequacy Tests</w:t>
      </w:r>
    </w:p>
    <w:tbl>
      <w:tblPr>
        <w:tblStyle w:val="TableGrid"/>
        <w:tblW w:w="0" w:type="auto"/>
        <w:tblInd w:w="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1"/>
        <w:gridCol w:w="2009"/>
      </w:tblGrid>
      <w:tr w:rsidR="00D37A2F" w14:paraId="16AD8135" w14:textId="77777777" w:rsidTr="00CC0B3D">
        <w:tc>
          <w:tcPr>
            <w:tcW w:w="2581" w:type="dxa"/>
            <w:vAlign w:val="center"/>
          </w:tcPr>
          <w:p w14:paraId="50ED352E" w14:textId="77777777" w:rsidR="00D37A2F" w:rsidRPr="00DE4302" w:rsidRDefault="00D37A2F" w:rsidP="00CC0B3D">
            <w:pPr>
              <w:rPr>
                <w:rFonts w:ascii="Times New Roman" w:hAnsi="Times New Roman" w:cs="Times New Roman"/>
                <w:bCs/>
                <w:sz w:val="24"/>
                <w:szCs w:val="24"/>
              </w:rPr>
            </w:pPr>
            <w:r w:rsidRPr="00DE4302">
              <w:rPr>
                <w:rFonts w:ascii="Times New Roman" w:hAnsi="Times New Roman" w:cs="Times New Roman"/>
                <w:bCs/>
                <w:sz w:val="24"/>
                <w:szCs w:val="24"/>
              </w:rPr>
              <w:t>Test</w:t>
            </w:r>
          </w:p>
        </w:tc>
        <w:tc>
          <w:tcPr>
            <w:tcW w:w="2009" w:type="dxa"/>
            <w:vAlign w:val="center"/>
          </w:tcPr>
          <w:p w14:paraId="371E0B8A" w14:textId="77777777" w:rsidR="00D37A2F" w:rsidRPr="00DE4302" w:rsidRDefault="00D37A2F" w:rsidP="00CC0B3D">
            <w:pPr>
              <w:rPr>
                <w:rFonts w:ascii="Times New Roman" w:hAnsi="Times New Roman" w:cs="Times New Roman"/>
                <w:bCs/>
                <w:sz w:val="24"/>
                <w:szCs w:val="24"/>
              </w:rPr>
            </w:pPr>
            <w:r w:rsidRPr="00DE4302">
              <w:rPr>
                <w:rFonts w:ascii="Times New Roman" w:hAnsi="Times New Roman" w:cs="Times New Roman"/>
                <w:bCs/>
                <w:sz w:val="24"/>
                <w:szCs w:val="24"/>
              </w:rPr>
              <w:t>Illustrative Result</w:t>
            </w:r>
          </w:p>
        </w:tc>
      </w:tr>
      <w:tr w:rsidR="00D37A2F" w14:paraId="464A46DA" w14:textId="77777777" w:rsidTr="00CC0B3D">
        <w:tc>
          <w:tcPr>
            <w:tcW w:w="2581" w:type="dxa"/>
            <w:vAlign w:val="center"/>
          </w:tcPr>
          <w:p w14:paraId="19427A17"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Hosmer–</w:t>
            </w:r>
            <w:proofErr w:type="spellStart"/>
            <w:r w:rsidRPr="00DE4302">
              <w:rPr>
                <w:rFonts w:ascii="Times New Roman" w:hAnsi="Times New Roman" w:cs="Times New Roman"/>
                <w:sz w:val="24"/>
                <w:szCs w:val="24"/>
              </w:rPr>
              <w:t>Lemeshow</w:t>
            </w:r>
            <w:proofErr w:type="spellEnd"/>
          </w:p>
        </w:tc>
        <w:tc>
          <w:tcPr>
            <w:tcW w:w="2009" w:type="dxa"/>
            <w:vAlign w:val="center"/>
          </w:tcPr>
          <w:p w14:paraId="265281CC"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χ²=8.41, p=0.39</w:t>
            </w:r>
          </w:p>
        </w:tc>
      </w:tr>
      <w:tr w:rsidR="00D37A2F" w14:paraId="668EBAAB" w14:textId="77777777" w:rsidTr="00CC0B3D">
        <w:tc>
          <w:tcPr>
            <w:tcW w:w="2581" w:type="dxa"/>
            <w:vAlign w:val="center"/>
          </w:tcPr>
          <w:p w14:paraId="2A8CE792"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Likelihood Ratio Test</w:t>
            </w:r>
          </w:p>
        </w:tc>
        <w:tc>
          <w:tcPr>
            <w:tcW w:w="2009" w:type="dxa"/>
            <w:vAlign w:val="center"/>
          </w:tcPr>
          <w:p w14:paraId="7A9CA5BA"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χ²=546.2, p&lt;0.001</w:t>
            </w:r>
          </w:p>
        </w:tc>
      </w:tr>
      <w:tr w:rsidR="00D37A2F" w14:paraId="785393A6" w14:textId="77777777" w:rsidTr="00CC0B3D">
        <w:tc>
          <w:tcPr>
            <w:tcW w:w="2581" w:type="dxa"/>
            <w:vAlign w:val="center"/>
          </w:tcPr>
          <w:p w14:paraId="0C9C13C2"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Pseudo R² (Nagelkerke)</w:t>
            </w:r>
          </w:p>
        </w:tc>
        <w:tc>
          <w:tcPr>
            <w:tcW w:w="2009" w:type="dxa"/>
            <w:vAlign w:val="center"/>
          </w:tcPr>
          <w:p w14:paraId="5AAEA096"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0.36</w:t>
            </w:r>
          </w:p>
        </w:tc>
      </w:tr>
      <w:tr w:rsidR="00D37A2F" w14:paraId="235ADE05" w14:textId="77777777" w:rsidTr="00CC0B3D">
        <w:tc>
          <w:tcPr>
            <w:tcW w:w="2581" w:type="dxa"/>
            <w:vAlign w:val="center"/>
          </w:tcPr>
          <w:p w14:paraId="39543C7E"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ROC AUC</w:t>
            </w:r>
          </w:p>
        </w:tc>
        <w:tc>
          <w:tcPr>
            <w:tcW w:w="2009" w:type="dxa"/>
            <w:vAlign w:val="center"/>
          </w:tcPr>
          <w:p w14:paraId="6FA18AE8"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0.842</w:t>
            </w:r>
          </w:p>
        </w:tc>
      </w:tr>
      <w:tr w:rsidR="00D37A2F" w14:paraId="3B16090B" w14:textId="77777777" w:rsidTr="00CC0B3D">
        <w:tc>
          <w:tcPr>
            <w:tcW w:w="2581" w:type="dxa"/>
            <w:vAlign w:val="center"/>
          </w:tcPr>
          <w:p w14:paraId="7004237B"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Brier Score</w:t>
            </w:r>
          </w:p>
        </w:tc>
        <w:tc>
          <w:tcPr>
            <w:tcW w:w="2009" w:type="dxa"/>
            <w:vAlign w:val="center"/>
          </w:tcPr>
          <w:p w14:paraId="69D21254"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0.146</w:t>
            </w:r>
          </w:p>
        </w:tc>
      </w:tr>
      <w:tr w:rsidR="00D37A2F" w14:paraId="4CA09F1F" w14:textId="77777777" w:rsidTr="00CC0B3D">
        <w:tc>
          <w:tcPr>
            <w:tcW w:w="2581" w:type="dxa"/>
            <w:vAlign w:val="center"/>
          </w:tcPr>
          <w:p w14:paraId="5765AD62"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Variance Inflation Factor</w:t>
            </w:r>
          </w:p>
        </w:tc>
        <w:tc>
          <w:tcPr>
            <w:tcW w:w="2009" w:type="dxa"/>
            <w:vAlign w:val="center"/>
          </w:tcPr>
          <w:p w14:paraId="72B95FE4" w14:textId="77777777" w:rsidR="00D37A2F" w:rsidRPr="00DE4302" w:rsidRDefault="00D37A2F" w:rsidP="00CC0B3D">
            <w:pPr>
              <w:rPr>
                <w:rFonts w:ascii="Times New Roman" w:hAnsi="Times New Roman" w:cs="Times New Roman"/>
                <w:sz w:val="24"/>
                <w:szCs w:val="24"/>
              </w:rPr>
            </w:pPr>
            <w:r w:rsidRPr="00DE4302">
              <w:rPr>
                <w:rFonts w:ascii="Times New Roman" w:hAnsi="Times New Roman" w:cs="Times New Roman"/>
                <w:sz w:val="24"/>
                <w:szCs w:val="24"/>
              </w:rPr>
              <w:t>1.18–2.45</w:t>
            </w:r>
          </w:p>
        </w:tc>
      </w:tr>
    </w:tbl>
    <w:p w14:paraId="49053450" w14:textId="77777777" w:rsidR="00D37A2F" w:rsidRDefault="00D37A2F" w:rsidP="00D37A2F">
      <w:pPr>
        <w:spacing w:after="0" w:line="240" w:lineRule="auto"/>
        <w:jc w:val="both"/>
        <w:rPr>
          <w:sz w:val="20"/>
          <w:szCs w:val="20"/>
        </w:rPr>
      </w:pPr>
      <w:r>
        <w:rPr>
          <w:rFonts w:ascii="Times New Roman" w:hAnsi="Times New Roman" w:cs="Times New Roman"/>
          <w:sz w:val="24"/>
          <w:szCs w:val="24"/>
        </w:rPr>
        <w:t xml:space="preserve">         </w:t>
      </w:r>
      <w:r w:rsidRPr="00345DCB">
        <w:rPr>
          <w:rFonts w:ascii="Times New Roman" w:hAnsi="Times New Roman" w:cs="Times New Roman"/>
          <w:iCs/>
          <w:color w:val="000000"/>
          <w:sz w:val="20"/>
          <w:szCs w:val="20"/>
        </w:rPr>
        <w:t>Sources: Author’s computation (2026)</w:t>
      </w:r>
    </w:p>
    <w:p w14:paraId="67B4C8E9" w14:textId="77777777" w:rsidR="00D37A2F" w:rsidRPr="00A26A8F"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diagnostic </w:t>
      </w:r>
      <w:r>
        <w:rPr>
          <w:rFonts w:ascii="Times New Roman" w:eastAsia="Times New Roman" w:hAnsi="Times New Roman" w:cs="Times New Roman"/>
          <w:sz w:val="24"/>
          <w:szCs w:val="24"/>
          <w:highlight w:val="yellow"/>
        </w:rPr>
        <w:t>tests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indicated</w:t>
      </w:r>
      <w:r>
        <w:rPr>
          <w:rFonts w:ascii="Times New Roman" w:eastAsia="Times New Roman" w:hAnsi="Times New Roman" w:cs="Times New Roman"/>
          <w:sz w:val="24"/>
          <w:szCs w:val="24"/>
        </w:rPr>
        <w:t xml:space="preserve"> a reasonable model fit </w:t>
      </w:r>
      <w:r>
        <w:rPr>
          <w:rFonts w:ascii="Times New Roman" w:eastAsia="Times New Roman" w:hAnsi="Times New Roman" w:cs="Times New Roman"/>
          <w:sz w:val="24"/>
          <w:szCs w:val="24"/>
          <w:highlight w:val="yellow"/>
        </w:rPr>
        <w:t xml:space="preserve">and good predictive accuracy. The Hosmer–Lemeshow goodness-of-fit test (chi-square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8.41,</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0.39) </w:t>
      </w:r>
      <w:r>
        <w:rPr>
          <w:rFonts w:ascii="Times New Roman" w:eastAsia="Times New Roman" w:hAnsi="Times New Roman" w:cs="Times New Roman"/>
          <w:sz w:val="24"/>
          <w:szCs w:val="24"/>
          <w:highlight w:val="yellow"/>
        </w:rPr>
        <w:t>showed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no</w:t>
      </w:r>
      <w:r>
        <w:rPr>
          <w:rFonts w:ascii="Times New Roman" w:eastAsia="Times New Roman" w:hAnsi="Times New Roman" w:cs="Times New Roman"/>
          <w:sz w:val="24"/>
          <w:szCs w:val="24"/>
        </w:rPr>
        <w:t xml:space="preserve"> evidence of a systematic difference between the observed and predicted outcomes, indicating that the</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model was well calibrated. Similarly, the </w:t>
      </w:r>
      <w:r>
        <w:rPr>
          <w:rFonts w:ascii="Times New Roman" w:eastAsia="Times New Roman" w:hAnsi="Times New Roman" w:cs="Times New Roman"/>
          <w:sz w:val="24"/>
          <w:szCs w:val="24"/>
          <w:highlight w:val="yellow"/>
        </w:rPr>
        <w:t>likelihood-ratio</w:t>
      </w:r>
      <w:r>
        <w:rPr>
          <w:rFonts w:ascii="Times New Roman" w:eastAsia="Times New Roman" w:hAnsi="Times New Roman" w:cs="Times New Roman"/>
          <w:sz w:val="24"/>
          <w:szCs w:val="24"/>
        </w:rPr>
        <w:t xml:space="preserve"> test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chi-square </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546.2,</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&lt;</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0.001) </w:t>
      </w:r>
      <w:r>
        <w:rPr>
          <w:rFonts w:ascii="Times New Roman" w:eastAsia="Times New Roman" w:hAnsi="Times New Roman" w:cs="Times New Roman"/>
          <w:sz w:val="24"/>
          <w:szCs w:val="24"/>
          <w:highlight w:val="yellow"/>
        </w:rPr>
        <w:t>showed</w:t>
      </w:r>
      <w:r>
        <w:rPr>
          <w:rFonts w:ascii="Times New Roman" w:eastAsia="Times New Roman" w:hAnsi="Times New Roman" w:cs="Times New Roman"/>
          <w:sz w:val="24"/>
          <w:szCs w:val="24"/>
        </w:rPr>
        <w:t xml:space="preserve"> that the fitted model </w:t>
      </w:r>
      <w:r>
        <w:rPr>
          <w:rFonts w:ascii="Times New Roman" w:eastAsia="Times New Roman" w:hAnsi="Times New Roman" w:cs="Times New Roman"/>
          <w:sz w:val="24"/>
          <w:szCs w:val="24"/>
          <w:highlight w:val="yellow"/>
        </w:rPr>
        <w:t>explained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children's</w:t>
      </w:r>
      <w:r>
        <w:rPr>
          <w:rFonts w:ascii="Times New Roman" w:eastAsia="Times New Roman" w:hAnsi="Times New Roman" w:cs="Times New Roman"/>
          <w:sz w:val="24"/>
          <w:szCs w:val="24"/>
        </w:rPr>
        <w:t xml:space="preserve"> immunisation status</w:t>
      </w:r>
      <w:r>
        <w:rPr>
          <w:rFonts w:ascii="Times New Roman" w:eastAsia="Times New Roman" w:hAnsi="Times New Roman" w:cs="Times New Roman"/>
          <w:sz w:val="24"/>
          <w:szCs w:val="24"/>
          <w:highlight w:val="yellow"/>
        </w:rPr>
        <w:t xml:space="preserve"> better</w:t>
      </w:r>
      <w:r>
        <w:rPr>
          <w:rFonts w:ascii="Times New Roman" w:eastAsia="Times New Roman" w:hAnsi="Times New Roman" w:cs="Times New Roman"/>
          <w:sz w:val="24"/>
          <w:szCs w:val="24"/>
        </w:rPr>
        <w:t xml:space="preserve"> than the null model. The Nagelkerke </w:t>
      </w:r>
      <w:r>
        <w:rPr>
          <w:rFonts w:ascii="Times New Roman" w:eastAsia="Times New Roman" w:hAnsi="Times New Roman" w:cs="Times New Roman"/>
          <w:sz w:val="24"/>
          <w:szCs w:val="24"/>
          <w:highlight w:val="yellow"/>
        </w:rPr>
        <w:t>pseudo-R-squared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value</w:t>
      </w:r>
      <w:r>
        <w:rPr>
          <w:rFonts w:ascii="Times New Roman" w:eastAsia="Times New Roman" w:hAnsi="Times New Roman" w:cs="Times New Roman"/>
          <w:sz w:val="24"/>
          <w:szCs w:val="24"/>
        </w:rPr>
        <w:t xml:space="preserve"> of 0.36 suggested that the model explained </w:t>
      </w:r>
      <w:r>
        <w:rPr>
          <w:rFonts w:ascii="Times New Roman" w:eastAsia="Times New Roman" w:hAnsi="Times New Roman" w:cs="Times New Roman"/>
          <w:sz w:val="24"/>
          <w:szCs w:val="24"/>
          <w:highlight w:val="yellow"/>
        </w:rPr>
        <w:t>approximately 36</w:t>
      </w:r>
      <w:r>
        <w:rPr>
          <w:rFonts w:ascii="Times New Roman" w:eastAsia="Times New Roman" w:hAnsi="Times New Roman" w:cs="Times New Roman"/>
          <w:sz w:val="24"/>
          <w:szCs w:val="24"/>
        </w:rPr>
        <w:t xml:space="preserve">% of the variation in immunisation coverage. An area under the receiver operating </w:t>
      </w:r>
      <w:r>
        <w:rPr>
          <w:rFonts w:ascii="Times New Roman" w:eastAsia="Times New Roman" w:hAnsi="Times New Roman" w:cs="Times New Roman"/>
          <w:sz w:val="24"/>
          <w:szCs w:val="24"/>
          <w:highlight w:val="yellow"/>
        </w:rPr>
        <w:t>characteristic</w:t>
      </w:r>
      <w:r>
        <w:rPr>
          <w:rFonts w:ascii="Times New Roman" w:eastAsia="Times New Roman" w:hAnsi="Times New Roman" w:cs="Times New Roman"/>
          <w:sz w:val="24"/>
          <w:szCs w:val="24"/>
        </w:rPr>
        <w:t xml:space="preserve"> curve (AUC) of 0.842 indicated excellent discrimination between </w:t>
      </w:r>
      <w:r>
        <w:rPr>
          <w:rFonts w:ascii="Times New Roman" w:eastAsia="Times New Roman" w:hAnsi="Times New Roman" w:cs="Times New Roman"/>
          <w:sz w:val="24"/>
          <w:szCs w:val="24"/>
          <w:highlight w:val="yellow"/>
        </w:rPr>
        <w:t>fully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immunised</w:t>
      </w:r>
      <w:r>
        <w:rPr>
          <w:rFonts w:ascii="Times New Roman" w:eastAsia="Times New Roman" w:hAnsi="Times New Roman" w:cs="Times New Roman"/>
          <w:sz w:val="24"/>
          <w:szCs w:val="24"/>
        </w:rPr>
        <w:t xml:space="preserve"> and not</w:t>
      </w:r>
      <w:r>
        <w:rPr>
          <w:rFonts w:ascii="Times New Roman" w:eastAsia="Times New Roman" w:hAnsi="Times New Roman" w:cs="Times New Roman"/>
          <w:sz w:val="24"/>
          <w:szCs w:val="24"/>
          <w:highlight w:val="yellow"/>
        </w:rPr>
        <w:t xml:space="preserve"> fully immunised children</w:t>
      </w:r>
      <w:r>
        <w:rPr>
          <w:rFonts w:ascii="Times New Roman" w:eastAsia="Times New Roman" w:hAnsi="Times New Roman" w:cs="Times New Roman"/>
          <w:sz w:val="24"/>
          <w:szCs w:val="24"/>
        </w:rPr>
        <w:t xml:space="preserve">. A Brier score of 0.146 indicated good calibration, reflecting </w:t>
      </w:r>
      <w:r>
        <w:rPr>
          <w:rFonts w:ascii="Times New Roman" w:eastAsia="Times New Roman" w:hAnsi="Times New Roman" w:cs="Times New Roman"/>
          <w:sz w:val="24"/>
          <w:szCs w:val="24"/>
          <w:highlight w:val="yellow"/>
        </w:rPr>
        <w:t>close</w:t>
      </w:r>
      <w:r>
        <w:rPr>
          <w:rFonts w:ascii="Times New Roman" w:eastAsia="Times New Roman" w:hAnsi="Times New Roman" w:cs="Times New Roman"/>
          <w:sz w:val="24"/>
          <w:szCs w:val="24"/>
        </w:rPr>
        <w:t xml:space="preserve"> agreement between predicted probabilities and observed childhood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outcomes. Furthermore, all </w:t>
      </w:r>
      <w:r>
        <w:rPr>
          <w:rFonts w:ascii="Times New Roman" w:eastAsia="Times New Roman" w:hAnsi="Times New Roman" w:cs="Times New Roman"/>
          <w:sz w:val="24"/>
          <w:szCs w:val="24"/>
          <w:highlight w:val="yellow"/>
        </w:rPr>
        <w:t>variance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inflation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factor</w:t>
      </w:r>
      <w:r>
        <w:rPr>
          <w:rFonts w:ascii="Times New Roman" w:eastAsia="Times New Roman" w:hAnsi="Times New Roman" w:cs="Times New Roman"/>
          <w:sz w:val="24"/>
          <w:szCs w:val="24"/>
        </w:rPr>
        <w:t xml:space="preserve"> (VIF) values ranged from 1.18 to 2.45, well below the commonly accepted threshold of 4, indicating minimal multicollinearity among the explanatory variables. Overall, these diagnostic results demonstrate that the model was statistically robust, well specified, and reliable for identifying key determinants of childhood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w:t>
      </w:r>
    </w:p>
    <w:p w14:paraId="1D8C8969" w14:textId="77777777" w:rsidR="00D37A2F" w:rsidRPr="00D74ADC" w:rsidRDefault="00D37A2F" w:rsidP="00D37A2F">
      <w:pPr>
        <w:spacing w:before="100" w:beforeAutospacing="1" w:after="100" w:afterAutospacing="1" w:line="240" w:lineRule="auto"/>
        <w:outlineLvl w:val="2"/>
        <w:rPr>
          <w:rFonts w:ascii="Times New Roman" w:eastAsia="Times New Roman" w:hAnsi="Times New Roman" w:cs="Times New Roman"/>
          <w:bCs/>
          <w:sz w:val="24"/>
          <w:szCs w:val="24"/>
        </w:rPr>
      </w:pPr>
      <w:r w:rsidRPr="00D74ADC">
        <w:rPr>
          <w:rFonts w:ascii="Times New Roman" w:eastAsia="Times New Roman" w:hAnsi="Times New Roman" w:cs="Times New Roman"/>
          <w:b/>
          <w:bCs/>
          <w:sz w:val="24"/>
          <w:szCs w:val="24"/>
        </w:rPr>
        <w:t>4</w:t>
      </w:r>
      <w:r w:rsidRPr="00D74ADC">
        <w:rPr>
          <w:rFonts w:ascii="Times New Roman" w:eastAsia="Times New Roman" w:hAnsi="Times New Roman" w:cs="Times New Roman"/>
          <w:bCs/>
          <w:sz w:val="24"/>
          <w:szCs w:val="24"/>
        </w:rPr>
        <w:t xml:space="preserve">.9 Empirical Comparison of Classical (Frequentist) and </w:t>
      </w:r>
      <w:r>
        <w:rPr>
          <w:rFonts w:ascii="Times New Roman" w:eastAsia="Times New Roman" w:hAnsi="Times New Roman" w:cs="Times New Roman"/>
          <w:bCs/>
          <w:sz w:val="24"/>
          <w:szCs w:val="24"/>
        </w:rPr>
        <w:t>Bayesian</w:t>
      </w:r>
      <w:r w:rsidRPr="00D74ADC">
        <w:rPr>
          <w:rFonts w:ascii="Times New Roman" w:eastAsia="Times New Roman" w:hAnsi="Times New Roman" w:cs="Times New Roman"/>
          <w:bCs/>
          <w:sz w:val="24"/>
          <w:szCs w:val="24"/>
          <w:highlight w:val="yellow"/>
        </w:rPr>
        <w:t xml:space="preserve"> Estimation for NDHS 2024 Childhood Immunisation Data</w:t>
      </w:r>
    </w:p>
    <w:p w14:paraId="338030CD" w14:textId="77777777" w:rsidR="00D37A2F" w:rsidRPr="00D74ADC" w:rsidRDefault="00D37A2F" w:rsidP="00D37A2F">
      <w:pPr>
        <w:spacing w:before="100" w:beforeAutospacing="1" w:after="100" w:afterAutospacing="1" w:line="240" w:lineRule="auto"/>
        <w:outlineLvl w:val="2"/>
        <w:rPr>
          <w:rFonts w:ascii="Times New Roman" w:eastAsia="Times New Roman" w:hAnsi="Times New Roman" w:cs="Times New Roman"/>
          <w:bCs/>
          <w:sz w:val="24"/>
          <w:szCs w:val="24"/>
        </w:rPr>
      </w:pPr>
      <w:r w:rsidRPr="00D74ADC">
        <w:rPr>
          <w:rFonts w:ascii="Times New Roman" w:eastAsia="Times New Roman" w:hAnsi="Times New Roman" w:cs="Times New Roman"/>
          <w:bCs/>
          <w:sz w:val="24"/>
          <w:szCs w:val="24"/>
        </w:rPr>
        <w:t xml:space="preserve">Table 9. Empirical Comparison of Classical (Frequentist) and </w:t>
      </w:r>
      <w:r>
        <w:rPr>
          <w:rFonts w:ascii="Times New Roman" w:eastAsia="Times New Roman" w:hAnsi="Times New Roman" w:cs="Times New Roman"/>
          <w:bCs/>
          <w:sz w:val="24"/>
          <w:szCs w:val="24"/>
        </w:rPr>
        <w:t>Bayesian</w:t>
      </w:r>
      <w:r w:rsidRPr="00D74ADC">
        <w:rPr>
          <w:rFonts w:ascii="Times New Roman" w:eastAsia="Times New Roman" w:hAnsi="Times New Roman" w:cs="Times New Roman"/>
          <w:bCs/>
          <w:sz w:val="24"/>
          <w:szCs w:val="24"/>
        </w:rPr>
        <w:t xml:space="preserve"> Estimation for NDHS 2024 Childhood Immunization Data</w:t>
      </w:r>
    </w:p>
    <w:tbl>
      <w:tblPr>
        <w:tblStyle w:val="TableGrid"/>
        <w:tblW w:w="11700" w:type="dxa"/>
        <w:tblInd w:w="-1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59"/>
        <w:gridCol w:w="1656"/>
        <w:gridCol w:w="1877"/>
        <w:gridCol w:w="900"/>
        <w:gridCol w:w="1612"/>
        <w:gridCol w:w="1170"/>
        <w:gridCol w:w="1538"/>
        <w:gridCol w:w="1688"/>
      </w:tblGrid>
      <w:tr w:rsidR="00D37A2F" w14:paraId="6F41B210" w14:textId="77777777" w:rsidTr="00CC0B3D">
        <w:trPr>
          <w:trHeight w:val="638"/>
        </w:trPr>
        <w:tc>
          <w:tcPr>
            <w:tcW w:w="1259" w:type="dxa"/>
            <w:vAlign w:val="center"/>
          </w:tcPr>
          <w:p w14:paraId="57DCF007" w14:textId="77777777" w:rsidR="00D37A2F" w:rsidRPr="00337150" w:rsidRDefault="00D37A2F" w:rsidP="00CC0B3D">
            <w:pP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lastRenderedPageBreak/>
              <w:t>Variable</w:t>
            </w:r>
          </w:p>
        </w:tc>
        <w:tc>
          <w:tcPr>
            <w:tcW w:w="1656" w:type="dxa"/>
            <w:vAlign w:val="center"/>
          </w:tcPr>
          <w:p w14:paraId="51F1284A" w14:textId="77777777" w:rsidR="00D37A2F" w:rsidRPr="00337150" w:rsidRDefault="00D37A2F" w:rsidP="00CC0B3D">
            <w:pP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 xml:space="preserve">Classical Logistic Regression </w:t>
            </w:r>
            <w:r w:rsidRPr="00337150">
              <w:rPr>
                <w:rFonts w:ascii="Times New Roman" w:eastAsia="Times New Roman" w:hAnsi="Times New Roman" w:cs="Times New Roman"/>
                <w:bCs/>
                <w:position w:val="-14"/>
                <w:sz w:val="24"/>
                <w:szCs w:val="24"/>
              </w:rPr>
              <w:object w:dxaOrig="420" w:dyaOrig="400" w14:anchorId="48C2E914">
                <v:shape id="_x0000_i1054" type="#_x0000_t75" style="width:21.25pt;height:20.45pt" o:ole="">
                  <v:imagedata r:id="rId64" o:title=""/>
                </v:shape>
                <o:OLEObject Type="Embed" ProgID="Equation.DSMT4" ShapeID="_x0000_i1054" DrawAspect="Content" ObjectID="_1849092486" r:id="rId65"/>
              </w:object>
            </w:r>
            <w:r w:rsidRPr="00337150">
              <w:rPr>
                <w:rFonts w:ascii="Times New Roman" w:eastAsia="Times New Roman" w:hAnsi="Times New Roman" w:cs="Times New Roman"/>
                <w:bCs/>
                <w:sz w:val="24"/>
                <w:szCs w:val="24"/>
              </w:rPr>
              <w:t xml:space="preserve"> (SE)</w:t>
            </w:r>
          </w:p>
        </w:tc>
        <w:tc>
          <w:tcPr>
            <w:tcW w:w="1877" w:type="dxa"/>
            <w:vAlign w:val="center"/>
          </w:tcPr>
          <w:p w14:paraId="2BA3805E" w14:textId="77777777" w:rsidR="00D37A2F" w:rsidRPr="00337150" w:rsidRDefault="00D37A2F" w:rsidP="00CC0B3D">
            <w:pP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Adjusted OR (95% CI)</w:t>
            </w:r>
          </w:p>
        </w:tc>
        <w:tc>
          <w:tcPr>
            <w:tcW w:w="900" w:type="dxa"/>
            <w:vAlign w:val="center"/>
          </w:tcPr>
          <w:p w14:paraId="3A8055B0" w14:textId="77777777" w:rsidR="00D37A2F" w:rsidRPr="00337150" w:rsidRDefault="00D37A2F" w:rsidP="00CC0B3D">
            <w:pPr>
              <w:jc w:val="center"/>
              <w:rPr>
                <w:rFonts w:ascii="Times New Roman" w:eastAsia="Times New Roman" w:hAnsi="Times New Roman" w:cs="Times New Roman"/>
                <w:bCs/>
                <w:sz w:val="24"/>
                <w:szCs w:val="24"/>
              </w:rPr>
            </w:pPr>
            <w:r w:rsidRPr="00337150">
              <w:rPr>
                <w:rFonts w:ascii="Times New Roman" w:eastAsia="Times New Roman" w:hAnsi="Times New Roman" w:cs="Times New Roman"/>
                <w:bCs/>
                <w:i/>
                <w:iCs/>
                <w:sz w:val="24"/>
                <w:szCs w:val="24"/>
              </w:rPr>
              <w:t>p</w:t>
            </w:r>
            <w:r w:rsidRPr="00337150">
              <w:rPr>
                <w:rFonts w:ascii="Times New Roman" w:eastAsia="Times New Roman" w:hAnsi="Times New Roman" w:cs="Times New Roman"/>
                <w:bCs/>
                <w:sz w:val="24"/>
                <w:szCs w:val="24"/>
              </w:rPr>
              <w:t>-value</w:t>
            </w:r>
          </w:p>
        </w:tc>
        <w:tc>
          <w:tcPr>
            <w:tcW w:w="1612" w:type="dxa"/>
            <w:vAlign w:val="center"/>
          </w:tcPr>
          <w:p w14:paraId="68641BF9" w14:textId="77777777" w:rsidR="00D37A2F" w:rsidRPr="00337150" w:rsidRDefault="00D37A2F" w:rsidP="00CC0B3D">
            <w:pPr>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Bayesian</w:t>
            </w:r>
            <w:r w:rsidRPr="00337150">
              <w:rPr>
                <w:rFonts w:ascii="Times New Roman" w:eastAsia="Times New Roman" w:hAnsi="Times New Roman" w:cs="Times New Roman"/>
                <w:bCs/>
                <w:sz w:val="24"/>
                <w:szCs w:val="24"/>
              </w:rPr>
              <w:t xml:space="preserve"> Posterior Mean (SD)</w:t>
            </w:r>
          </w:p>
        </w:tc>
        <w:tc>
          <w:tcPr>
            <w:tcW w:w="1170" w:type="dxa"/>
            <w:vAlign w:val="center"/>
          </w:tcPr>
          <w:p w14:paraId="639213E5" w14:textId="77777777" w:rsidR="00D37A2F" w:rsidRPr="00337150" w:rsidRDefault="00D37A2F" w:rsidP="00CC0B3D">
            <w:pPr>
              <w:jc w:val="cente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Posterior OR</w:t>
            </w:r>
          </w:p>
        </w:tc>
        <w:tc>
          <w:tcPr>
            <w:tcW w:w="1538" w:type="dxa"/>
            <w:vAlign w:val="center"/>
          </w:tcPr>
          <w:p w14:paraId="76121C5E" w14:textId="77777777" w:rsidR="00D37A2F" w:rsidRPr="00337150" w:rsidRDefault="00D37A2F" w:rsidP="00CC0B3D">
            <w:pPr>
              <w:jc w:val="cente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95% Credible Interval</w:t>
            </w:r>
          </w:p>
        </w:tc>
        <w:tc>
          <w:tcPr>
            <w:tcW w:w="1688" w:type="dxa"/>
            <w:vAlign w:val="center"/>
          </w:tcPr>
          <w:p w14:paraId="2FD73CBC" w14:textId="77777777" w:rsidR="00D37A2F" w:rsidRPr="00337150" w:rsidRDefault="00D37A2F" w:rsidP="00CC0B3D">
            <w:pPr>
              <w:rPr>
                <w:rFonts w:ascii="Times New Roman" w:eastAsia="Times New Roman" w:hAnsi="Times New Roman" w:cs="Times New Roman"/>
                <w:bCs/>
                <w:sz w:val="24"/>
                <w:szCs w:val="24"/>
              </w:rPr>
            </w:pPr>
            <w:r w:rsidRPr="00337150">
              <w:rPr>
                <w:rFonts w:ascii="Times New Roman" w:eastAsia="Times New Roman" w:hAnsi="Times New Roman" w:cs="Times New Roman"/>
                <w:bCs/>
                <w:sz w:val="24"/>
                <w:szCs w:val="24"/>
              </w:rPr>
              <w:t xml:space="preserve">Posterior Probability </w:t>
            </w:r>
            <w:r w:rsidRPr="00337150">
              <w:rPr>
                <w:position w:val="-14"/>
              </w:rPr>
              <w:object w:dxaOrig="780" w:dyaOrig="400" w14:anchorId="78747124">
                <v:shape id="_x0000_i1055" type="#_x0000_t75" style="width:39.25pt;height:20.45pt" o:ole="">
                  <v:imagedata r:id="rId66" o:title=""/>
                </v:shape>
                <o:OLEObject Type="Embed" ProgID="Equation.DSMT4" ShapeID="_x0000_i1055" DrawAspect="Content" ObjectID="_1849092487" r:id="rId67"/>
              </w:object>
            </w:r>
          </w:p>
        </w:tc>
      </w:tr>
      <w:tr w:rsidR="00D37A2F" w14:paraId="256D3623" w14:textId="77777777" w:rsidTr="00CC0B3D">
        <w:tc>
          <w:tcPr>
            <w:tcW w:w="1259" w:type="dxa"/>
            <w:vAlign w:val="center"/>
          </w:tcPr>
          <w:p w14:paraId="465911BD"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Intercept</w:t>
            </w:r>
          </w:p>
        </w:tc>
        <w:tc>
          <w:tcPr>
            <w:tcW w:w="1656" w:type="dxa"/>
            <w:vAlign w:val="center"/>
          </w:tcPr>
          <w:p w14:paraId="620A584C"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-1.842 (0.182)</w:t>
            </w:r>
          </w:p>
        </w:tc>
        <w:tc>
          <w:tcPr>
            <w:tcW w:w="1877" w:type="dxa"/>
            <w:vAlign w:val="center"/>
          </w:tcPr>
          <w:p w14:paraId="41EA573E"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900" w:type="dxa"/>
            <w:vAlign w:val="center"/>
          </w:tcPr>
          <w:p w14:paraId="5621B41F"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6607F7DB"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-1.865 (0.176)</w:t>
            </w:r>
          </w:p>
        </w:tc>
        <w:tc>
          <w:tcPr>
            <w:tcW w:w="1170" w:type="dxa"/>
            <w:vAlign w:val="center"/>
          </w:tcPr>
          <w:p w14:paraId="5ABC6A4B"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1538" w:type="dxa"/>
            <w:vAlign w:val="center"/>
          </w:tcPr>
          <w:p w14:paraId="0946A201"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(-2.21, -1.52)</w:t>
            </w:r>
          </w:p>
        </w:tc>
        <w:tc>
          <w:tcPr>
            <w:tcW w:w="1688" w:type="dxa"/>
            <w:vAlign w:val="center"/>
          </w:tcPr>
          <w:p w14:paraId="75C1C345"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D37A2F" w14:paraId="5330C4EF" w14:textId="77777777" w:rsidTr="00CC0B3D">
        <w:tc>
          <w:tcPr>
            <w:tcW w:w="1259" w:type="dxa"/>
            <w:vAlign w:val="center"/>
          </w:tcPr>
          <w:p w14:paraId="69C2B128"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Mother age</w:t>
            </w:r>
          </w:p>
        </w:tc>
        <w:tc>
          <w:tcPr>
            <w:tcW w:w="1656" w:type="dxa"/>
            <w:vAlign w:val="center"/>
          </w:tcPr>
          <w:p w14:paraId="6D134091"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0.032 (0.008)</w:t>
            </w:r>
          </w:p>
        </w:tc>
        <w:tc>
          <w:tcPr>
            <w:tcW w:w="1877" w:type="dxa"/>
            <w:vAlign w:val="center"/>
          </w:tcPr>
          <w:p w14:paraId="16A0F03E"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1.03 (1.02–1.05)</w:t>
            </w:r>
          </w:p>
        </w:tc>
        <w:tc>
          <w:tcPr>
            <w:tcW w:w="900" w:type="dxa"/>
            <w:vAlign w:val="center"/>
          </w:tcPr>
          <w:p w14:paraId="372D2DDA"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5B44C7EE"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0.031 (0.007)</w:t>
            </w:r>
          </w:p>
        </w:tc>
        <w:tc>
          <w:tcPr>
            <w:tcW w:w="1170" w:type="dxa"/>
            <w:vAlign w:val="center"/>
          </w:tcPr>
          <w:p w14:paraId="78B6D717"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1.03</w:t>
            </w:r>
          </w:p>
        </w:tc>
        <w:tc>
          <w:tcPr>
            <w:tcW w:w="1538" w:type="dxa"/>
            <w:vAlign w:val="center"/>
          </w:tcPr>
          <w:p w14:paraId="19668133"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(1.02–1.05)</w:t>
            </w:r>
          </w:p>
        </w:tc>
        <w:tc>
          <w:tcPr>
            <w:tcW w:w="1688" w:type="dxa"/>
            <w:vAlign w:val="center"/>
          </w:tcPr>
          <w:p w14:paraId="0C772E1D"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0.999</w:t>
            </w:r>
          </w:p>
        </w:tc>
      </w:tr>
      <w:tr w:rsidR="00D37A2F" w14:paraId="39FBFEAF" w14:textId="77777777" w:rsidTr="00CC0B3D">
        <w:tc>
          <w:tcPr>
            <w:tcW w:w="1259" w:type="dxa"/>
            <w:vAlign w:val="center"/>
          </w:tcPr>
          <w:p w14:paraId="10FFD9B9"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Secondary education</w:t>
            </w:r>
          </w:p>
        </w:tc>
        <w:tc>
          <w:tcPr>
            <w:tcW w:w="1656" w:type="dxa"/>
            <w:vAlign w:val="center"/>
          </w:tcPr>
          <w:p w14:paraId="425039F7"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0.514 (0.063)</w:t>
            </w:r>
          </w:p>
        </w:tc>
        <w:tc>
          <w:tcPr>
            <w:tcW w:w="1877" w:type="dxa"/>
            <w:vAlign w:val="center"/>
          </w:tcPr>
          <w:p w14:paraId="1ACC9592"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1.67 (1.48–1.88)</w:t>
            </w:r>
          </w:p>
        </w:tc>
        <w:tc>
          <w:tcPr>
            <w:tcW w:w="900" w:type="dxa"/>
            <w:vAlign w:val="center"/>
          </w:tcPr>
          <w:p w14:paraId="3592B78A"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5897F722"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0.498 (0.058)</w:t>
            </w:r>
          </w:p>
        </w:tc>
        <w:tc>
          <w:tcPr>
            <w:tcW w:w="1170" w:type="dxa"/>
            <w:vAlign w:val="center"/>
          </w:tcPr>
          <w:p w14:paraId="58F0B090"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1.65</w:t>
            </w:r>
          </w:p>
        </w:tc>
        <w:tc>
          <w:tcPr>
            <w:tcW w:w="1538" w:type="dxa"/>
            <w:vAlign w:val="center"/>
          </w:tcPr>
          <w:p w14:paraId="24B25CA8"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(1.47–1.85)</w:t>
            </w:r>
          </w:p>
        </w:tc>
        <w:tc>
          <w:tcPr>
            <w:tcW w:w="1688" w:type="dxa"/>
            <w:vAlign w:val="center"/>
          </w:tcPr>
          <w:p w14:paraId="6999526D"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D37A2F" w14:paraId="242B89A5" w14:textId="77777777" w:rsidTr="00CC0B3D">
        <w:tc>
          <w:tcPr>
            <w:tcW w:w="1259" w:type="dxa"/>
            <w:vAlign w:val="center"/>
          </w:tcPr>
          <w:p w14:paraId="1366464F"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Higher education</w:t>
            </w:r>
          </w:p>
        </w:tc>
        <w:tc>
          <w:tcPr>
            <w:tcW w:w="1656" w:type="dxa"/>
            <w:vAlign w:val="center"/>
          </w:tcPr>
          <w:p w14:paraId="55A40A28"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0.918 (0.109)</w:t>
            </w:r>
          </w:p>
        </w:tc>
        <w:tc>
          <w:tcPr>
            <w:tcW w:w="1877" w:type="dxa"/>
            <w:vAlign w:val="center"/>
          </w:tcPr>
          <w:p w14:paraId="112688FC"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2.50 (2.02–3.09)</w:t>
            </w:r>
          </w:p>
        </w:tc>
        <w:tc>
          <w:tcPr>
            <w:tcW w:w="900" w:type="dxa"/>
            <w:vAlign w:val="center"/>
          </w:tcPr>
          <w:p w14:paraId="0E61E6F8"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5CE66D24"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0.894 (0.102)</w:t>
            </w:r>
          </w:p>
        </w:tc>
        <w:tc>
          <w:tcPr>
            <w:tcW w:w="1170" w:type="dxa"/>
            <w:vAlign w:val="center"/>
          </w:tcPr>
          <w:p w14:paraId="0EF5EF00"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2.45</w:t>
            </w:r>
          </w:p>
        </w:tc>
        <w:tc>
          <w:tcPr>
            <w:tcW w:w="1538" w:type="dxa"/>
            <w:vAlign w:val="center"/>
          </w:tcPr>
          <w:p w14:paraId="0BDE7C37"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(2.00–3.01)</w:t>
            </w:r>
          </w:p>
        </w:tc>
        <w:tc>
          <w:tcPr>
            <w:tcW w:w="1688" w:type="dxa"/>
            <w:vAlign w:val="center"/>
          </w:tcPr>
          <w:p w14:paraId="714FF9B5"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D37A2F" w14:paraId="3C78EC85" w14:textId="77777777" w:rsidTr="00CC0B3D">
        <w:tc>
          <w:tcPr>
            <w:tcW w:w="1259" w:type="dxa"/>
            <w:vAlign w:val="center"/>
          </w:tcPr>
          <w:p w14:paraId="354C4034"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Urban residence</w:t>
            </w:r>
          </w:p>
        </w:tc>
        <w:tc>
          <w:tcPr>
            <w:tcW w:w="1656" w:type="dxa"/>
            <w:vAlign w:val="center"/>
          </w:tcPr>
          <w:p w14:paraId="4947ECBF"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0.356 (0.071)</w:t>
            </w:r>
          </w:p>
        </w:tc>
        <w:tc>
          <w:tcPr>
            <w:tcW w:w="1877" w:type="dxa"/>
            <w:vAlign w:val="center"/>
          </w:tcPr>
          <w:p w14:paraId="67523DC4"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1.43 (1.24–1.65)</w:t>
            </w:r>
          </w:p>
        </w:tc>
        <w:tc>
          <w:tcPr>
            <w:tcW w:w="900" w:type="dxa"/>
            <w:vAlign w:val="center"/>
          </w:tcPr>
          <w:p w14:paraId="591874FF"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1A4D50F3"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0.348 (0.067)</w:t>
            </w:r>
          </w:p>
        </w:tc>
        <w:tc>
          <w:tcPr>
            <w:tcW w:w="1170" w:type="dxa"/>
            <w:vAlign w:val="center"/>
          </w:tcPr>
          <w:p w14:paraId="23274CDA"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1.42</w:t>
            </w:r>
          </w:p>
        </w:tc>
        <w:tc>
          <w:tcPr>
            <w:tcW w:w="1538" w:type="dxa"/>
            <w:vAlign w:val="center"/>
          </w:tcPr>
          <w:p w14:paraId="35BC011E"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(1.23–1.63)</w:t>
            </w:r>
          </w:p>
        </w:tc>
        <w:tc>
          <w:tcPr>
            <w:tcW w:w="1688" w:type="dxa"/>
            <w:vAlign w:val="center"/>
          </w:tcPr>
          <w:p w14:paraId="08839F0A"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0.999</w:t>
            </w:r>
          </w:p>
        </w:tc>
      </w:tr>
      <w:tr w:rsidR="00D37A2F" w14:paraId="7D9CE37E" w14:textId="77777777" w:rsidTr="00CC0B3D">
        <w:tc>
          <w:tcPr>
            <w:tcW w:w="1259" w:type="dxa"/>
            <w:vAlign w:val="center"/>
          </w:tcPr>
          <w:p w14:paraId="06167267"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Rich household</w:t>
            </w:r>
          </w:p>
        </w:tc>
        <w:tc>
          <w:tcPr>
            <w:tcW w:w="1656" w:type="dxa"/>
            <w:vAlign w:val="center"/>
          </w:tcPr>
          <w:p w14:paraId="262F82DB"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0.682 (0.076)</w:t>
            </w:r>
          </w:p>
        </w:tc>
        <w:tc>
          <w:tcPr>
            <w:tcW w:w="1877" w:type="dxa"/>
            <w:vAlign w:val="center"/>
          </w:tcPr>
          <w:p w14:paraId="07BBD032"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1.98 (1.71–2.28)</w:t>
            </w:r>
          </w:p>
        </w:tc>
        <w:tc>
          <w:tcPr>
            <w:tcW w:w="900" w:type="dxa"/>
            <w:vAlign w:val="center"/>
          </w:tcPr>
          <w:p w14:paraId="4B2ED053"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5DFAE8E7"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0.665 (0.071)</w:t>
            </w:r>
          </w:p>
        </w:tc>
        <w:tc>
          <w:tcPr>
            <w:tcW w:w="1170" w:type="dxa"/>
            <w:vAlign w:val="center"/>
          </w:tcPr>
          <w:p w14:paraId="7DC5BD35"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1.94</w:t>
            </w:r>
          </w:p>
        </w:tc>
        <w:tc>
          <w:tcPr>
            <w:tcW w:w="1538" w:type="dxa"/>
            <w:vAlign w:val="center"/>
          </w:tcPr>
          <w:p w14:paraId="25F88B8C"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(1.69–2.24)</w:t>
            </w:r>
          </w:p>
        </w:tc>
        <w:tc>
          <w:tcPr>
            <w:tcW w:w="1688" w:type="dxa"/>
            <w:vAlign w:val="center"/>
          </w:tcPr>
          <w:p w14:paraId="4B0E45E9"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D37A2F" w14:paraId="07C8A23F" w14:textId="77777777" w:rsidTr="00CC0B3D">
        <w:tc>
          <w:tcPr>
            <w:tcW w:w="1259" w:type="dxa"/>
            <w:vAlign w:val="center"/>
          </w:tcPr>
          <w:p w14:paraId="06D04F8A"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ANC ≥4 visits</w:t>
            </w:r>
          </w:p>
        </w:tc>
        <w:tc>
          <w:tcPr>
            <w:tcW w:w="1656" w:type="dxa"/>
            <w:vAlign w:val="center"/>
          </w:tcPr>
          <w:p w14:paraId="008810DE"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0.791 (0.066)</w:t>
            </w:r>
          </w:p>
        </w:tc>
        <w:tc>
          <w:tcPr>
            <w:tcW w:w="1877" w:type="dxa"/>
            <w:vAlign w:val="center"/>
          </w:tcPr>
          <w:p w14:paraId="7EFBBCCE"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2.21 (1.94–2.52)</w:t>
            </w:r>
          </w:p>
        </w:tc>
        <w:tc>
          <w:tcPr>
            <w:tcW w:w="900" w:type="dxa"/>
            <w:vAlign w:val="center"/>
          </w:tcPr>
          <w:p w14:paraId="1A8738D4"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509BE41F"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0.774 (0.062)</w:t>
            </w:r>
          </w:p>
        </w:tc>
        <w:tc>
          <w:tcPr>
            <w:tcW w:w="1170" w:type="dxa"/>
            <w:vAlign w:val="center"/>
          </w:tcPr>
          <w:p w14:paraId="078B6191"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2.17</w:t>
            </w:r>
          </w:p>
        </w:tc>
        <w:tc>
          <w:tcPr>
            <w:tcW w:w="1538" w:type="dxa"/>
            <w:vAlign w:val="center"/>
          </w:tcPr>
          <w:p w14:paraId="092AA529"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(1.91–2.47)</w:t>
            </w:r>
          </w:p>
        </w:tc>
        <w:tc>
          <w:tcPr>
            <w:tcW w:w="1688" w:type="dxa"/>
            <w:vAlign w:val="center"/>
          </w:tcPr>
          <w:p w14:paraId="440ED330"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r w:rsidR="00D37A2F" w14:paraId="656967A4" w14:textId="77777777" w:rsidTr="00CC0B3D">
        <w:tc>
          <w:tcPr>
            <w:tcW w:w="1259" w:type="dxa"/>
            <w:vAlign w:val="center"/>
          </w:tcPr>
          <w:p w14:paraId="3704FB24" w14:textId="77777777" w:rsidR="00D37A2F"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Facility delivery</w:t>
            </w:r>
          </w:p>
          <w:p w14:paraId="55236D04" w14:textId="77777777" w:rsidR="00D37A2F" w:rsidRPr="00015FE5" w:rsidRDefault="00D37A2F" w:rsidP="00CC0B3D">
            <w:pPr>
              <w:rPr>
                <w:rFonts w:ascii="Times New Roman" w:eastAsia="Times New Roman" w:hAnsi="Times New Roman" w:cs="Times New Roman"/>
                <w:sz w:val="24"/>
                <w:szCs w:val="24"/>
              </w:rPr>
            </w:pPr>
          </w:p>
        </w:tc>
        <w:tc>
          <w:tcPr>
            <w:tcW w:w="1656" w:type="dxa"/>
            <w:vAlign w:val="center"/>
          </w:tcPr>
          <w:p w14:paraId="4B1A2398"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0.638 (0.058)</w:t>
            </w:r>
          </w:p>
        </w:tc>
        <w:tc>
          <w:tcPr>
            <w:tcW w:w="1877" w:type="dxa"/>
            <w:vAlign w:val="center"/>
          </w:tcPr>
          <w:p w14:paraId="44D462B3"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1.89 (1.69–2.11)</w:t>
            </w:r>
          </w:p>
        </w:tc>
        <w:tc>
          <w:tcPr>
            <w:tcW w:w="900" w:type="dxa"/>
            <w:vAlign w:val="center"/>
          </w:tcPr>
          <w:p w14:paraId="22DB36C2"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&lt;0.001</w:t>
            </w:r>
          </w:p>
        </w:tc>
        <w:tc>
          <w:tcPr>
            <w:tcW w:w="1612" w:type="dxa"/>
            <w:vAlign w:val="center"/>
          </w:tcPr>
          <w:p w14:paraId="4ED08020"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0.621 (0.054)</w:t>
            </w:r>
          </w:p>
        </w:tc>
        <w:tc>
          <w:tcPr>
            <w:tcW w:w="1170" w:type="dxa"/>
            <w:vAlign w:val="center"/>
          </w:tcPr>
          <w:p w14:paraId="2FD028B0"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1.86</w:t>
            </w:r>
          </w:p>
        </w:tc>
        <w:tc>
          <w:tcPr>
            <w:tcW w:w="1538" w:type="dxa"/>
            <w:vAlign w:val="center"/>
          </w:tcPr>
          <w:p w14:paraId="5FB5B257"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(1.67–2.08)</w:t>
            </w:r>
          </w:p>
        </w:tc>
        <w:tc>
          <w:tcPr>
            <w:tcW w:w="1688" w:type="dxa"/>
            <w:vAlign w:val="center"/>
          </w:tcPr>
          <w:p w14:paraId="58879B9B"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1.000</w:t>
            </w:r>
          </w:p>
        </w:tc>
      </w:tr>
    </w:tbl>
    <w:p w14:paraId="17B9F2B8" w14:textId="77777777" w:rsidR="00D37A2F" w:rsidRDefault="00D37A2F" w:rsidP="00D37A2F">
      <w:pPr>
        <w:spacing w:after="0" w:line="240" w:lineRule="auto"/>
        <w:jc w:val="both"/>
        <w:outlineLvl w:val="2"/>
        <w:rPr>
          <w:rFonts w:ascii="Times New Roman" w:hAnsi="Times New Roman" w:cs="Times New Roman"/>
          <w:sz w:val="24"/>
          <w:szCs w:val="24"/>
        </w:rPr>
      </w:pPr>
      <w:r w:rsidRPr="00345DCB">
        <w:rPr>
          <w:rFonts w:ascii="Times New Roman" w:hAnsi="Times New Roman" w:cs="Times New Roman"/>
          <w:iCs/>
          <w:color w:val="000000"/>
          <w:sz w:val="20"/>
          <w:szCs w:val="20"/>
        </w:rPr>
        <w:t>Sources: Author’s computation (2026)</w:t>
      </w:r>
    </w:p>
    <w:p w14:paraId="53A14526" w14:textId="77777777" w:rsidR="00D37A2F" w:rsidRPr="00A96D93" w:rsidRDefault="00D37A2F" w:rsidP="00D37A2F">
      <w:pPr>
        <w:spacing w:before="100" w:beforeAutospacing="1" w:after="100" w:afterAutospacing="1" w:line="240" w:lineRule="auto"/>
        <w:jc w:val="both"/>
        <w:outlineLvl w:val="2"/>
        <w:rPr>
          <w:rFonts w:ascii="Times New Roman" w:hAnsi="Times New Roman" w:cs="Times New Roman"/>
          <w:sz w:val="24"/>
          <w:szCs w:val="24"/>
        </w:rPr>
      </w:pPr>
      <w:r>
        <w:rPr>
          <w:rFonts w:ascii="Times New Roman" w:hAnsi="Times New Roman" w:cs="Times New Roman"/>
          <w:sz w:val="24"/>
          <w:szCs w:val="24"/>
        </w:rPr>
        <w:t xml:space="preserve">The comparative evaluation demonstrated substantial consistency between the classical and Bayesian logistic regression models in identifying the determinants of childhood immunisation. Both modelling approaches confirmed maternal age, maternal education, household wealth, urban residence, antenatal care attendance, and health facility delivery as significant predictors of complete immunisation. Each additional year of maternal age increased the likelihood of full immunisation by approximately 3%, while higher maternal education more than doubled the odds of children receiving all recommended vaccines. Likewise, children from urban and wealthier households were more likely to complete the immunisation schedule. Healthcare utilisation produced the strongest </w:t>
      </w:r>
      <w:r>
        <w:rPr>
          <w:rFonts w:ascii="Times New Roman" w:hAnsi="Times New Roman" w:cs="Times New Roman"/>
          <w:sz w:val="24"/>
          <w:szCs w:val="24"/>
          <w:highlight w:val="yellow"/>
        </w:rPr>
        <w:t>associations</w:t>
      </w:r>
      <w:r>
        <w:rPr>
          <w:rFonts w:ascii="Times New Roman" w:hAnsi="Times New Roman" w:cs="Times New Roman"/>
          <w:sz w:val="24"/>
          <w:szCs w:val="24"/>
        </w:rPr>
        <w:t xml:space="preserve">, with four or more antenatal care visits and facility-based delivery markedly improving vaccination uptake. The close correspondence between the frequentist confidence intervals and Bayesian credible intervals, supported by high posterior probabilities, indicates strong agreement between the two estimation methods. </w:t>
      </w:r>
      <w:r>
        <w:rPr>
          <w:rFonts w:ascii="Times New Roman" w:hAnsi="Times New Roman" w:cs="Times New Roman"/>
          <w:sz w:val="24"/>
          <w:szCs w:val="24"/>
          <w:highlight w:val="yellow"/>
        </w:rPr>
        <w:t>Although</w:t>
      </w:r>
      <w:r>
        <w:rPr>
          <w:rFonts w:ascii="Times New Roman" w:hAnsi="Times New Roman" w:cs="Times New Roman"/>
          <w:sz w:val="24"/>
          <w:szCs w:val="24"/>
        </w:rPr>
        <w:t xml:space="preserve"> both approaches yielded comparable conclusions, the Bayesian model offered richer probabilistic inference, </w:t>
      </w:r>
      <w:r>
        <w:rPr>
          <w:rFonts w:ascii="Times New Roman" w:hAnsi="Times New Roman" w:cs="Times New Roman"/>
          <w:sz w:val="24"/>
          <w:szCs w:val="24"/>
          <w:highlight w:val="yellow"/>
        </w:rPr>
        <w:t>increasing</w:t>
      </w:r>
      <w:r>
        <w:rPr>
          <w:rFonts w:ascii="Times New Roman" w:hAnsi="Times New Roman" w:cs="Times New Roman"/>
          <w:sz w:val="24"/>
          <w:szCs w:val="24"/>
        </w:rPr>
        <w:t xml:space="preserve"> confidence in the robustness and reliability of the estimated effects.</w:t>
      </w:r>
    </w:p>
    <w:p w14:paraId="6CE6A782" w14:textId="77777777" w:rsidR="00D37A2F" w:rsidRPr="00215396" w:rsidRDefault="00D37A2F" w:rsidP="00D37A2F">
      <w:pPr>
        <w:spacing w:after="0" w:line="240" w:lineRule="auto"/>
        <w:jc w:val="both"/>
        <w:outlineLvl w:val="2"/>
        <w:rPr>
          <w:rFonts w:ascii="Times New Roman" w:eastAsia="Times New Roman" w:hAnsi="Times New Roman" w:cs="Times New Roman"/>
          <w:bCs/>
          <w:sz w:val="24"/>
          <w:szCs w:val="24"/>
        </w:rPr>
      </w:pPr>
      <w:r w:rsidRPr="00215396">
        <w:rPr>
          <w:rFonts w:ascii="Times New Roman" w:eastAsia="Times New Roman" w:hAnsi="Times New Roman" w:cs="Times New Roman"/>
          <w:bCs/>
          <w:sz w:val="24"/>
          <w:szCs w:val="24"/>
        </w:rPr>
        <w:t>4.10: Model Performance Comparison</w:t>
      </w:r>
    </w:p>
    <w:p w14:paraId="67B504DC" w14:textId="77777777" w:rsidR="00D37A2F" w:rsidRPr="00215396" w:rsidRDefault="00D37A2F" w:rsidP="00D37A2F">
      <w:pPr>
        <w:spacing w:after="0" w:line="240" w:lineRule="auto"/>
        <w:jc w:val="both"/>
        <w:outlineLvl w:val="2"/>
        <w:rPr>
          <w:rFonts w:ascii="Times New Roman" w:eastAsia="Times New Roman" w:hAnsi="Times New Roman" w:cs="Times New Roman"/>
          <w:bCs/>
          <w:sz w:val="24"/>
          <w:szCs w:val="24"/>
        </w:rPr>
      </w:pPr>
      <w:r w:rsidRPr="00215396">
        <w:rPr>
          <w:rFonts w:ascii="Times New Roman" w:eastAsia="Times New Roman" w:hAnsi="Times New Roman" w:cs="Times New Roman"/>
          <w:bCs/>
          <w:sz w:val="24"/>
          <w:szCs w:val="24"/>
        </w:rPr>
        <w:t>Table 10. Model Performance Comparison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6"/>
        <w:gridCol w:w="2434"/>
        <w:gridCol w:w="2497"/>
      </w:tblGrid>
      <w:tr w:rsidR="00D37A2F" w14:paraId="6C425B65" w14:textId="77777777" w:rsidTr="00CC0B3D">
        <w:tc>
          <w:tcPr>
            <w:tcW w:w="2216" w:type="dxa"/>
            <w:vAlign w:val="center"/>
          </w:tcPr>
          <w:p w14:paraId="268855A6" w14:textId="77777777" w:rsidR="00D37A2F" w:rsidRPr="00CC3315" w:rsidRDefault="00D37A2F" w:rsidP="00CC0B3D">
            <w:pPr>
              <w:rPr>
                <w:rFonts w:ascii="Times New Roman" w:eastAsia="Times New Roman" w:hAnsi="Times New Roman" w:cs="Times New Roman"/>
                <w:bCs/>
                <w:sz w:val="24"/>
                <w:szCs w:val="24"/>
              </w:rPr>
            </w:pPr>
            <w:r w:rsidRPr="00CC3315">
              <w:rPr>
                <w:rFonts w:ascii="Times New Roman" w:eastAsia="Times New Roman" w:hAnsi="Times New Roman" w:cs="Times New Roman"/>
                <w:bCs/>
                <w:sz w:val="24"/>
                <w:szCs w:val="24"/>
              </w:rPr>
              <w:t>Criterion</w:t>
            </w:r>
          </w:p>
        </w:tc>
        <w:tc>
          <w:tcPr>
            <w:tcW w:w="2434" w:type="dxa"/>
            <w:vAlign w:val="center"/>
          </w:tcPr>
          <w:p w14:paraId="574A8018" w14:textId="77777777" w:rsidR="00D37A2F" w:rsidRPr="00CC3315" w:rsidRDefault="00D37A2F" w:rsidP="00CC0B3D">
            <w:pPr>
              <w:jc w:val="center"/>
              <w:rPr>
                <w:rFonts w:ascii="Times New Roman" w:eastAsia="Times New Roman" w:hAnsi="Times New Roman" w:cs="Times New Roman"/>
                <w:bCs/>
                <w:sz w:val="24"/>
                <w:szCs w:val="24"/>
              </w:rPr>
            </w:pPr>
            <w:r w:rsidRPr="00CC3315">
              <w:rPr>
                <w:rFonts w:ascii="Times New Roman" w:eastAsia="Times New Roman" w:hAnsi="Times New Roman" w:cs="Times New Roman"/>
                <w:bCs/>
                <w:sz w:val="24"/>
                <w:szCs w:val="24"/>
              </w:rPr>
              <w:t>Classical (Maximum Likelihood)</w:t>
            </w:r>
          </w:p>
        </w:tc>
        <w:tc>
          <w:tcPr>
            <w:tcW w:w="2497" w:type="dxa"/>
            <w:vAlign w:val="center"/>
          </w:tcPr>
          <w:p w14:paraId="6020FACC" w14:textId="77777777" w:rsidR="00D37A2F" w:rsidRPr="00CC3315" w:rsidRDefault="00D37A2F" w:rsidP="00CC0B3D">
            <w:pP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Bayesian</w:t>
            </w:r>
            <w:r w:rsidRPr="00CC3315">
              <w:rPr>
                <w:rFonts w:ascii="Times New Roman" w:eastAsia="Times New Roman" w:hAnsi="Times New Roman" w:cs="Times New Roman"/>
                <w:bCs/>
                <w:sz w:val="24"/>
                <w:szCs w:val="24"/>
              </w:rPr>
              <w:t xml:space="preserve"> (MCMC/HMC)</w:t>
            </w:r>
          </w:p>
        </w:tc>
      </w:tr>
      <w:tr w:rsidR="00D37A2F" w14:paraId="4466B124" w14:textId="77777777" w:rsidTr="00CC0B3D">
        <w:tc>
          <w:tcPr>
            <w:tcW w:w="2216" w:type="dxa"/>
            <w:vAlign w:val="center"/>
          </w:tcPr>
          <w:p w14:paraId="48B91220"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Log-likelihood</w:t>
            </w:r>
          </w:p>
        </w:tc>
        <w:tc>
          <w:tcPr>
            <w:tcW w:w="2434" w:type="dxa"/>
            <w:vAlign w:val="center"/>
          </w:tcPr>
          <w:p w14:paraId="7EF926C5"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-5138.2</w:t>
            </w:r>
          </w:p>
        </w:tc>
        <w:tc>
          <w:tcPr>
            <w:tcW w:w="2497" w:type="dxa"/>
            <w:vAlign w:val="center"/>
          </w:tcPr>
          <w:p w14:paraId="375148E8"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r>
      <w:tr w:rsidR="00D37A2F" w14:paraId="4D66F7B0" w14:textId="77777777" w:rsidTr="00CC0B3D">
        <w:tc>
          <w:tcPr>
            <w:tcW w:w="2216" w:type="dxa"/>
            <w:vAlign w:val="center"/>
          </w:tcPr>
          <w:p w14:paraId="32A68925"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AIC</w:t>
            </w:r>
          </w:p>
        </w:tc>
        <w:tc>
          <w:tcPr>
            <w:tcW w:w="2434" w:type="dxa"/>
            <w:vAlign w:val="center"/>
          </w:tcPr>
          <w:p w14:paraId="39E82CD4"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10302.4</w:t>
            </w:r>
          </w:p>
        </w:tc>
        <w:tc>
          <w:tcPr>
            <w:tcW w:w="2497" w:type="dxa"/>
            <w:vAlign w:val="center"/>
          </w:tcPr>
          <w:p w14:paraId="1B0C996F"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r>
      <w:tr w:rsidR="00D37A2F" w14:paraId="26034589" w14:textId="77777777" w:rsidTr="00CC0B3D">
        <w:tc>
          <w:tcPr>
            <w:tcW w:w="2216" w:type="dxa"/>
            <w:vAlign w:val="center"/>
          </w:tcPr>
          <w:p w14:paraId="0238F5E8"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BIC</w:t>
            </w:r>
          </w:p>
        </w:tc>
        <w:tc>
          <w:tcPr>
            <w:tcW w:w="2434" w:type="dxa"/>
            <w:vAlign w:val="center"/>
          </w:tcPr>
          <w:p w14:paraId="5E3E6606"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10395.6</w:t>
            </w:r>
          </w:p>
        </w:tc>
        <w:tc>
          <w:tcPr>
            <w:tcW w:w="2497" w:type="dxa"/>
            <w:vAlign w:val="center"/>
          </w:tcPr>
          <w:p w14:paraId="1ADCDC7C"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r>
      <w:tr w:rsidR="00D37A2F" w14:paraId="377312DC" w14:textId="77777777" w:rsidTr="00CC0B3D">
        <w:tc>
          <w:tcPr>
            <w:tcW w:w="2216" w:type="dxa"/>
            <w:vAlign w:val="center"/>
          </w:tcPr>
          <w:p w14:paraId="668F4CFE"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DIC</w:t>
            </w:r>
          </w:p>
        </w:tc>
        <w:tc>
          <w:tcPr>
            <w:tcW w:w="2434" w:type="dxa"/>
            <w:vAlign w:val="center"/>
          </w:tcPr>
          <w:p w14:paraId="22899D44"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14631040"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10258.7</w:t>
            </w:r>
          </w:p>
        </w:tc>
      </w:tr>
      <w:tr w:rsidR="00D37A2F" w14:paraId="2155A0CF" w14:textId="77777777" w:rsidTr="00CC0B3D">
        <w:tc>
          <w:tcPr>
            <w:tcW w:w="2216" w:type="dxa"/>
            <w:vAlign w:val="center"/>
          </w:tcPr>
          <w:p w14:paraId="54A750D2"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WAIC</w:t>
            </w:r>
          </w:p>
        </w:tc>
        <w:tc>
          <w:tcPr>
            <w:tcW w:w="2434" w:type="dxa"/>
            <w:vAlign w:val="center"/>
          </w:tcPr>
          <w:p w14:paraId="31D46C65"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3D4F2BF1"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10244.5</w:t>
            </w:r>
          </w:p>
        </w:tc>
      </w:tr>
      <w:tr w:rsidR="00D37A2F" w14:paraId="3E8B42A1" w14:textId="77777777" w:rsidTr="00CC0B3D">
        <w:tc>
          <w:tcPr>
            <w:tcW w:w="2216" w:type="dxa"/>
            <w:vAlign w:val="center"/>
          </w:tcPr>
          <w:p w14:paraId="6D06DA05"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lastRenderedPageBreak/>
              <w:t>LOOIC</w:t>
            </w:r>
          </w:p>
        </w:tc>
        <w:tc>
          <w:tcPr>
            <w:tcW w:w="2434" w:type="dxa"/>
            <w:vAlign w:val="center"/>
          </w:tcPr>
          <w:p w14:paraId="3AE6F431"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4932D7BD"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10247.1</w:t>
            </w:r>
          </w:p>
        </w:tc>
      </w:tr>
      <w:tr w:rsidR="00D37A2F" w14:paraId="3AF77F37" w14:textId="77777777" w:rsidTr="00CC0B3D">
        <w:tc>
          <w:tcPr>
            <w:tcW w:w="2216" w:type="dxa"/>
            <w:vAlign w:val="center"/>
          </w:tcPr>
          <w:p w14:paraId="7F87F393"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ROC AUC</w:t>
            </w:r>
          </w:p>
        </w:tc>
        <w:tc>
          <w:tcPr>
            <w:tcW w:w="2434" w:type="dxa"/>
            <w:vAlign w:val="center"/>
          </w:tcPr>
          <w:p w14:paraId="1D984D7C"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0.842</w:t>
            </w:r>
          </w:p>
        </w:tc>
        <w:tc>
          <w:tcPr>
            <w:tcW w:w="2497" w:type="dxa"/>
            <w:vAlign w:val="center"/>
          </w:tcPr>
          <w:p w14:paraId="76E143EB"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0.851</w:t>
            </w:r>
          </w:p>
        </w:tc>
      </w:tr>
      <w:tr w:rsidR="00D37A2F" w14:paraId="7A790378" w14:textId="77777777" w:rsidTr="00CC0B3D">
        <w:tc>
          <w:tcPr>
            <w:tcW w:w="2216" w:type="dxa"/>
            <w:vAlign w:val="center"/>
          </w:tcPr>
          <w:p w14:paraId="43D829BC"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Brier Score</w:t>
            </w:r>
          </w:p>
        </w:tc>
        <w:tc>
          <w:tcPr>
            <w:tcW w:w="2434" w:type="dxa"/>
            <w:vAlign w:val="center"/>
          </w:tcPr>
          <w:p w14:paraId="56C5F972"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0.146</w:t>
            </w:r>
          </w:p>
        </w:tc>
        <w:tc>
          <w:tcPr>
            <w:tcW w:w="2497" w:type="dxa"/>
            <w:vAlign w:val="center"/>
          </w:tcPr>
          <w:p w14:paraId="03FF76B0"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0.139</w:t>
            </w:r>
          </w:p>
        </w:tc>
      </w:tr>
      <w:tr w:rsidR="00D37A2F" w14:paraId="4424360E" w14:textId="77777777" w:rsidTr="00CC0B3D">
        <w:tc>
          <w:tcPr>
            <w:tcW w:w="2216" w:type="dxa"/>
            <w:vAlign w:val="center"/>
          </w:tcPr>
          <w:p w14:paraId="0F870204"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Calibration Slope</w:t>
            </w:r>
          </w:p>
        </w:tc>
        <w:tc>
          <w:tcPr>
            <w:tcW w:w="2434" w:type="dxa"/>
            <w:vAlign w:val="center"/>
          </w:tcPr>
          <w:p w14:paraId="49650AD3"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0.97</w:t>
            </w:r>
          </w:p>
        </w:tc>
        <w:tc>
          <w:tcPr>
            <w:tcW w:w="2497" w:type="dxa"/>
            <w:vAlign w:val="center"/>
          </w:tcPr>
          <w:p w14:paraId="445D2368"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0.99</w:t>
            </w:r>
          </w:p>
        </w:tc>
      </w:tr>
      <w:tr w:rsidR="00D37A2F" w14:paraId="2E2F1D85" w14:textId="77777777" w:rsidTr="00CC0B3D">
        <w:tc>
          <w:tcPr>
            <w:tcW w:w="2216" w:type="dxa"/>
            <w:vAlign w:val="center"/>
          </w:tcPr>
          <w:p w14:paraId="3C3A98CB"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Effective Sample Size (ESS)</w:t>
            </w:r>
          </w:p>
        </w:tc>
        <w:tc>
          <w:tcPr>
            <w:tcW w:w="2434" w:type="dxa"/>
            <w:vAlign w:val="center"/>
          </w:tcPr>
          <w:p w14:paraId="2F047831"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5983BE79"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&gt;3000</w:t>
            </w:r>
          </w:p>
        </w:tc>
      </w:tr>
      <w:tr w:rsidR="00D37A2F" w14:paraId="126520C7" w14:textId="77777777" w:rsidTr="00CC0B3D">
        <w:tc>
          <w:tcPr>
            <w:tcW w:w="2216" w:type="dxa"/>
            <w:vAlign w:val="center"/>
          </w:tcPr>
          <w:p w14:paraId="608C50EE" w14:textId="77777777" w:rsidR="00D37A2F" w:rsidRPr="00015FE5" w:rsidRDefault="00D37A2F" w:rsidP="00CC0B3D">
            <w:pPr>
              <w:rPr>
                <w:rFonts w:ascii="Times New Roman" w:eastAsia="Times New Roman" w:hAnsi="Times New Roman" w:cs="Times New Roman"/>
                <w:sz w:val="24"/>
                <w:szCs w:val="24"/>
              </w:rPr>
            </w:pPr>
            <w:r w:rsidRPr="00F7621A">
              <w:rPr>
                <w:position w:val="-4"/>
              </w:rPr>
              <w:object w:dxaOrig="240" w:dyaOrig="320" w14:anchorId="262559DB">
                <v:shape id="_x0000_i1056" type="#_x0000_t75" style="width:11.45pt;height:15.55pt" o:ole="">
                  <v:imagedata r:id="rId68" o:title=""/>
                </v:shape>
                <o:OLEObject Type="Embed" ProgID="Equation.DSMT4" ShapeID="_x0000_i1056" DrawAspect="Content" ObjectID="_1849092488" r:id="rId69"/>
              </w:object>
            </w:r>
          </w:p>
        </w:tc>
        <w:tc>
          <w:tcPr>
            <w:tcW w:w="2434" w:type="dxa"/>
            <w:vAlign w:val="center"/>
          </w:tcPr>
          <w:p w14:paraId="02099D98"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w:t>
            </w:r>
          </w:p>
        </w:tc>
        <w:tc>
          <w:tcPr>
            <w:tcW w:w="2497" w:type="dxa"/>
            <w:vAlign w:val="center"/>
          </w:tcPr>
          <w:p w14:paraId="45EF8F9C"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1.00</w:t>
            </w:r>
          </w:p>
        </w:tc>
      </w:tr>
      <w:tr w:rsidR="00D37A2F" w14:paraId="43772378" w14:textId="77777777" w:rsidTr="00CC0B3D">
        <w:tc>
          <w:tcPr>
            <w:tcW w:w="2216" w:type="dxa"/>
            <w:vAlign w:val="center"/>
          </w:tcPr>
          <w:p w14:paraId="4CA73940"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95% Interval Type</w:t>
            </w:r>
          </w:p>
        </w:tc>
        <w:tc>
          <w:tcPr>
            <w:tcW w:w="2434" w:type="dxa"/>
            <w:vAlign w:val="center"/>
          </w:tcPr>
          <w:p w14:paraId="464C269D" w14:textId="77777777" w:rsidR="00D37A2F" w:rsidRPr="00015FE5"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Confidence Interval</w:t>
            </w:r>
          </w:p>
        </w:tc>
        <w:tc>
          <w:tcPr>
            <w:tcW w:w="2497" w:type="dxa"/>
            <w:vAlign w:val="center"/>
          </w:tcPr>
          <w:p w14:paraId="7272311F" w14:textId="77777777" w:rsidR="00D37A2F" w:rsidRDefault="00D37A2F" w:rsidP="00CC0B3D">
            <w:pPr>
              <w:rPr>
                <w:rFonts w:ascii="Times New Roman" w:eastAsia="Times New Roman" w:hAnsi="Times New Roman" w:cs="Times New Roman"/>
                <w:sz w:val="24"/>
                <w:szCs w:val="24"/>
              </w:rPr>
            </w:pPr>
            <w:r w:rsidRPr="00015FE5">
              <w:rPr>
                <w:rFonts w:ascii="Times New Roman" w:eastAsia="Times New Roman" w:hAnsi="Times New Roman" w:cs="Times New Roman"/>
                <w:sz w:val="24"/>
                <w:szCs w:val="24"/>
              </w:rPr>
              <w:t>Credible Interval</w:t>
            </w:r>
          </w:p>
          <w:p w14:paraId="21D3552B" w14:textId="77777777" w:rsidR="00D37A2F" w:rsidRPr="00015FE5" w:rsidRDefault="00D37A2F" w:rsidP="00CC0B3D">
            <w:pPr>
              <w:rPr>
                <w:rFonts w:ascii="Times New Roman" w:eastAsia="Times New Roman" w:hAnsi="Times New Roman" w:cs="Times New Roman"/>
                <w:sz w:val="24"/>
                <w:szCs w:val="24"/>
              </w:rPr>
            </w:pPr>
          </w:p>
        </w:tc>
      </w:tr>
    </w:tbl>
    <w:p w14:paraId="4C988C0F" w14:textId="77777777" w:rsidR="00D37A2F" w:rsidRDefault="00D37A2F" w:rsidP="00D37A2F">
      <w:pPr>
        <w:spacing w:after="100" w:afterAutospacing="1" w:line="240" w:lineRule="auto"/>
        <w:jc w:val="both"/>
        <w:rPr>
          <w:rFonts w:ascii="Times New Roman" w:eastAsia="Times New Roman" w:hAnsi="Times New Roman" w:cs="Times New Roman"/>
          <w:sz w:val="24"/>
          <w:szCs w:val="24"/>
        </w:rPr>
      </w:pPr>
      <w:r w:rsidRPr="00345DCB">
        <w:rPr>
          <w:rFonts w:ascii="Times New Roman" w:hAnsi="Times New Roman" w:cs="Times New Roman"/>
          <w:iCs/>
          <w:color w:val="000000"/>
          <w:sz w:val="20"/>
          <w:szCs w:val="20"/>
        </w:rPr>
        <w:t>Sources: Author’s computation (2026)</w:t>
      </w:r>
    </w:p>
    <w:p w14:paraId="1341F0A5" w14:textId="77777777" w:rsidR="00D37A2F"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The model</w:t>
      </w:r>
      <w:r>
        <w:rPr>
          <w:rFonts w:ascii="Times New Roman" w:eastAsia="Times New Roman" w:hAnsi="Times New Roman" w:cs="Times New Roman"/>
          <w:sz w:val="24"/>
          <w:szCs w:val="24"/>
        </w:rPr>
        <w:t xml:space="preserve"> comparison (Table 10) suggested that both </w:t>
      </w:r>
      <w:r>
        <w:rPr>
          <w:rFonts w:ascii="Times New Roman" w:eastAsia="Times New Roman" w:hAnsi="Times New Roman" w:cs="Times New Roman"/>
          <w:sz w:val="24"/>
          <w:szCs w:val="24"/>
          <w:highlight w:val="yellow"/>
        </w:rPr>
        <w:t>classical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maximum-likelihood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Bayesian logistic regression </w:t>
      </w:r>
      <w:r>
        <w:rPr>
          <w:rFonts w:ascii="Times New Roman" w:eastAsia="Times New Roman" w:hAnsi="Times New Roman" w:cs="Times New Roman"/>
          <w:sz w:val="24"/>
          <w:szCs w:val="24"/>
          <w:highlight w:val="yellow"/>
        </w:rPr>
        <w:t>provided</w:t>
      </w:r>
      <w:r>
        <w:rPr>
          <w:rFonts w:ascii="Times New Roman" w:eastAsia="Times New Roman" w:hAnsi="Times New Roman" w:cs="Times New Roman"/>
          <w:sz w:val="24"/>
          <w:szCs w:val="24"/>
        </w:rPr>
        <w:t xml:space="preserve"> acceptable representations of childhood immunisation outcomes. </w:t>
      </w:r>
      <w:r>
        <w:rPr>
          <w:rFonts w:ascii="Times New Roman" w:eastAsia="Times New Roman" w:hAnsi="Times New Roman" w:cs="Times New Roman"/>
          <w:sz w:val="24"/>
          <w:szCs w:val="24"/>
          <w:highlight w:val="yellow"/>
        </w:rPr>
        <w:t>However, the</w:t>
      </w:r>
      <w:r>
        <w:rPr>
          <w:rFonts w:ascii="Times New Roman" w:eastAsia="Times New Roman" w:hAnsi="Times New Roman" w:cs="Times New Roman"/>
          <w:sz w:val="24"/>
          <w:szCs w:val="24"/>
        </w:rPr>
        <w:t xml:space="preserve"> Bayesian model performed better overall </w:t>
      </w:r>
      <w:r>
        <w:rPr>
          <w:rFonts w:ascii="Times New Roman" w:eastAsia="Times New Roman" w:hAnsi="Times New Roman" w:cs="Times New Roman"/>
          <w:sz w:val="24"/>
          <w:szCs w:val="24"/>
          <w:highlight w:val="yellow"/>
        </w:rPr>
        <w:t>across</w:t>
      </w:r>
      <w:r>
        <w:rPr>
          <w:rFonts w:ascii="Times New Roman" w:eastAsia="Times New Roman" w:hAnsi="Times New Roman" w:cs="Times New Roman"/>
          <w:sz w:val="24"/>
          <w:szCs w:val="24"/>
        </w:rPr>
        <w:t xml:space="preserve"> several performance metrics. The </w:t>
      </w:r>
      <w:r>
        <w:rPr>
          <w:rFonts w:ascii="Times New Roman" w:eastAsia="Times New Roman" w:hAnsi="Times New Roman" w:cs="Times New Roman"/>
          <w:sz w:val="24"/>
          <w:szCs w:val="24"/>
          <w:highlight w:val="yellow"/>
        </w:rPr>
        <w:t>classical</w:t>
      </w:r>
      <w:r>
        <w:rPr>
          <w:rFonts w:ascii="Times New Roman" w:eastAsia="Times New Roman" w:hAnsi="Times New Roman" w:cs="Times New Roman"/>
          <w:sz w:val="24"/>
          <w:szCs w:val="24"/>
        </w:rPr>
        <w:t xml:space="preserve"> model had a log-likelihood of </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5138.2,</w:t>
      </w:r>
      <w:r>
        <w:rPr>
          <w:rFonts w:ascii="Times New Roman" w:eastAsia="Times New Roman" w:hAnsi="Times New Roman" w:cs="Times New Roman"/>
          <w:sz w:val="24"/>
          <w:szCs w:val="24"/>
          <w:highlight w:val="yellow"/>
        </w:rPr>
        <w:t xml:space="preserve"> an AIC of</w:t>
      </w:r>
      <w:r>
        <w:rPr>
          <w:rFonts w:ascii="Times New Roman" w:eastAsia="Times New Roman" w:hAnsi="Times New Roman" w:cs="Times New Roman"/>
          <w:sz w:val="24"/>
          <w:szCs w:val="24"/>
        </w:rPr>
        <w:t xml:space="preserve"> 10302.4, and </w:t>
      </w:r>
      <w:r>
        <w:rPr>
          <w:rFonts w:ascii="Times New Roman" w:eastAsia="Times New Roman" w:hAnsi="Times New Roman" w:cs="Times New Roman"/>
          <w:sz w:val="24"/>
          <w:szCs w:val="24"/>
          <w:highlight w:val="yellow"/>
        </w:rPr>
        <w:t xml:space="preserve">a BIC of </w:t>
      </w:r>
      <w:r>
        <w:rPr>
          <w:rFonts w:ascii="Times New Roman" w:eastAsia="Times New Roman" w:hAnsi="Times New Roman" w:cs="Times New Roman"/>
          <w:sz w:val="24"/>
          <w:szCs w:val="24"/>
        </w:rPr>
        <w:t xml:space="preserve">10395.6.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Bayesian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model had</w:t>
      </w:r>
      <w:r>
        <w:rPr>
          <w:rFonts w:ascii="Times New Roman" w:eastAsia="Times New Roman" w:hAnsi="Times New Roman" w:cs="Times New Roman"/>
          <w:sz w:val="24"/>
          <w:szCs w:val="24"/>
        </w:rPr>
        <w:t xml:space="preserve"> lower DIC, WAIC, and LOOIC </w:t>
      </w:r>
      <w:r>
        <w:rPr>
          <w:rFonts w:ascii="Times New Roman" w:eastAsia="Times New Roman" w:hAnsi="Times New Roman" w:cs="Times New Roman"/>
          <w:sz w:val="24"/>
          <w:szCs w:val="24"/>
          <w:highlight w:val="yellow"/>
        </w:rPr>
        <w:t>values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of</w:t>
      </w:r>
      <w:r>
        <w:rPr>
          <w:rFonts w:ascii="Times New Roman" w:eastAsia="Times New Roman" w:hAnsi="Times New Roman" w:cs="Times New Roman"/>
          <w:sz w:val="24"/>
          <w:szCs w:val="24"/>
        </w:rPr>
        <w:t xml:space="preserve"> 10258.7, 10244.5, and 10247.1</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respectively,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indicating a</w:t>
      </w:r>
      <w:r>
        <w:rPr>
          <w:rFonts w:ascii="Times New Roman" w:eastAsia="Times New Roman" w:hAnsi="Times New Roman" w:cs="Times New Roman"/>
          <w:sz w:val="24"/>
          <w:szCs w:val="24"/>
        </w:rPr>
        <w:t xml:space="preserve"> better fit </w:t>
      </w:r>
      <w:r>
        <w:rPr>
          <w:rFonts w:ascii="Times New Roman" w:eastAsia="Times New Roman" w:hAnsi="Times New Roman" w:cs="Times New Roman"/>
          <w:sz w:val="24"/>
          <w:szCs w:val="24"/>
          <w:highlight w:val="yellow"/>
        </w:rPr>
        <w:t>after</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accounting</w:t>
      </w:r>
      <w:r>
        <w:rPr>
          <w:rFonts w:ascii="Times New Roman" w:eastAsia="Times New Roman" w:hAnsi="Times New Roman" w:cs="Times New Roman"/>
          <w:sz w:val="24"/>
          <w:szCs w:val="24"/>
        </w:rPr>
        <w:t xml:space="preserve"> for </w:t>
      </w:r>
      <w:r>
        <w:rPr>
          <w:rFonts w:ascii="Times New Roman" w:eastAsia="Times New Roman" w:hAnsi="Times New Roman" w:cs="Times New Roman"/>
          <w:sz w:val="24"/>
          <w:szCs w:val="24"/>
          <w:highlight w:val="yellow"/>
        </w:rPr>
        <w:t xml:space="preserve">model </w:t>
      </w:r>
      <w:r>
        <w:rPr>
          <w:rFonts w:ascii="Times New Roman" w:eastAsia="Times New Roman" w:hAnsi="Times New Roman" w:cs="Times New Roman"/>
          <w:sz w:val="24"/>
          <w:szCs w:val="24"/>
        </w:rPr>
        <w:t xml:space="preserve">complexity. </w:t>
      </w:r>
      <w:r>
        <w:rPr>
          <w:rFonts w:ascii="Times New Roman" w:eastAsia="Times New Roman" w:hAnsi="Times New Roman" w:cs="Times New Roman"/>
          <w:sz w:val="24"/>
          <w:szCs w:val="24"/>
          <w:highlight w:val="yellow"/>
        </w:rPr>
        <w:t>The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Bayesian</w:t>
      </w:r>
      <w:r>
        <w:rPr>
          <w:rFonts w:ascii="Times New Roman" w:eastAsia="Times New Roman" w:hAnsi="Times New Roman" w:cs="Times New Roman"/>
          <w:sz w:val="24"/>
          <w:szCs w:val="24"/>
        </w:rPr>
        <w:t xml:space="preserve"> approach </w:t>
      </w:r>
      <w:r>
        <w:rPr>
          <w:rFonts w:ascii="Times New Roman" w:eastAsia="Times New Roman" w:hAnsi="Times New Roman" w:cs="Times New Roman"/>
          <w:sz w:val="24"/>
          <w:szCs w:val="24"/>
          <w:highlight w:val="yellow"/>
        </w:rPr>
        <w:t>also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showed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better predictive</w:t>
      </w:r>
      <w:r>
        <w:rPr>
          <w:rFonts w:ascii="Times New Roman" w:eastAsia="Times New Roman" w:hAnsi="Times New Roman" w:cs="Times New Roman"/>
          <w:sz w:val="24"/>
          <w:szCs w:val="24"/>
        </w:rPr>
        <w:t xml:space="preserve"> performance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with an AUC of 0.851 </w:t>
      </w:r>
      <w:r>
        <w:rPr>
          <w:rFonts w:ascii="Times New Roman" w:eastAsia="Times New Roman" w:hAnsi="Times New Roman" w:cs="Times New Roman"/>
          <w:sz w:val="24"/>
          <w:szCs w:val="24"/>
          <w:highlight w:val="yellow"/>
        </w:rPr>
        <w:t>compared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with 0.842 for</w:t>
      </w:r>
      <w:r>
        <w:rPr>
          <w:rFonts w:ascii="Times New Roman" w:eastAsia="Times New Roman" w:hAnsi="Times New Roman" w:cs="Times New Roman"/>
          <w:sz w:val="24"/>
          <w:szCs w:val="24"/>
        </w:rPr>
        <w:t xml:space="preserve"> the classical </w:t>
      </w:r>
      <w:r>
        <w:rPr>
          <w:rFonts w:ascii="Times New Roman" w:eastAsia="Times New Roman" w:hAnsi="Times New Roman" w:cs="Times New Roman"/>
          <w:sz w:val="24"/>
          <w:szCs w:val="24"/>
          <w:highlight w:val="yellow"/>
        </w:rPr>
        <w:t>model</w:t>
      </w:r>
      <w:r>
        <w:rPr>
          <w:rFonts w:ascii="Times New Roman" w:eastAsia="Times New Roman" w:hAnsi="Times New Roman" w:cs="Times New Roman"/>
          <w:sz w:val="24"/>
          <w:szCs w:val="24"/>
        </w:rPr>
        <w:t xml:space="preserve"> and a lower Brier score</w:t>
      </w:r>
      <w:r>
        <w:rPr>
          <w:rFonts w:ascii="Times New Roman" w:eastAsia="Times New Roman" w:hAnsi="Times New Roman" w:cs="Times New Roman"/>
          <w:sz w:val="24"/>
          <w:szCs w:val="24"/>
          <w:highlight w:val="yellow"/>
        </w:rPr>
        <w:t xml:space="preserve"> of</w:t>
      </w:r>
      <w:r>
        <w:rPr>
          <w:rFonts w:ascii="Times New Roman" w:eastAsia="Times New Roman" w:hAnsi="Times New Roman" w:cs="Times New Roman"/>
          <w:sz w:val="24"/>
          <w:szCs w:val="24"/>
        </w:rPr>
        <w:t xml:space="preserve"> 0.139 </w:t>
      </w:r>
      <w:r>
        <w:rPr>
          <w:rFonts w:ascii="Times New Roman" w:eastAsia="Times New Roman" w:hAnsi="Times New Roman" w:cs="Times New Roman"/>
          <w:sz w:val="24"/>
          <w:szCs w:val="24"/>
          <w:highlight w:val="yellow"/>
        </w:rPr>
        <w:t>compared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with</w:t>
      </w:r>
      <w:r>
        <w:rPr>
          <w:rFonts w:ascii="Times New Roman" w:eastAsia="Times New Roman" w:hAnsi="Times New Roman" w:cs="Times New Roman"/>
          <w:sz w:val="24"/>
          <w:szCs w:val="24"/>
        </w:rPr>
        <w:t xml:space="preserve"> 0.146</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It</w:t>
      </w:r>
      <w:r>
        <w:rPr>
          <w:rFonts w:ascii="Times New Roman" w:eastAsia="Times New Roman" w:hAnsi="Times New Roman" w:cs="Times New Roman"/>
          <w:sz w:val="24"/>
          <w:szCs w:val="24"/>
        </w:rPr>
        <w:t xml:space="preserve"> met</w:t>
      </w:r>
      <w:r>
        <w:rPr>
          <w:rFonts w:ascii="Times New Roman" w:eastAsia="Times New Roman" w:hAnsi="Times New Roman" w:cs="Times New Roman"/>
          <w:sz w:val="24"/>
          <w:szCs w:val="24"/>
          <w:highlight w:val="yellow"/>
        </w:rPr>
        <w:t xml:space="preserve"> the</w:t>
      </w:r>
      <w:r>
        <w:rPr>
          <w:rFonts w:ascii="Times New Roman" w:eastAsia="Times New Roman" w:hAnsi="Times New Roman" w:cs="Times New Roman"/>
          <w:sz w:val="24"/>
          <w:szCs w:val="24"/>
        </w:rPr>
        <w:t xml:space="preserve"> convergence criteria</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with </w:t>
      </w:r>
      <w:r>
        <w:rPr>
          <w:rFonts w:ascii="Times New Roman" w:eastAsia="Times New Roman" w:hAnsi="Times New Roman" w:cs="Times New Roman"/>
          <w:sz w:val="24"/>
          <w:szCs w:val="24"/>
          <w:highlight w:val="yellow"/>
        </w:rPr>
        <w:t>an</w:t>
      </w:r>
      <w:r>
        <w:rPr>
          <w:rFonts w:ascii="Times New Roman" w:eastAsia="Times New Roman" w:hAnsi="Times New Roman" w:cs="Times New Roman"/>
          <w:sz w:val="24"/>
          <w:szCs w:val="24"/>
        </w:rPr>
        <w:t xml:space="preserve"> effective sample size</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greater than 3000</w:t>
      </w:r>
      <w:r>
        <w:rPr>
          <w:rFonts w:ascii="Times New Roman" w:eastAsia="Times New Roman" w:hAnsi="Times New Roman" w:cs="Times New Roman"/>
          <w:sz w:val="24"/>
          <w:szCs w:val="24"/>
          <w:highlight w:val="yellow"/>
        </w:rPr>
        <w:t xml:space="preserve"> </w:t>
      </w:r>
      <w:r>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highlight w:val="yellow"/>
        </w:rPr>
        <w:t xml:space="preserve">R-hat </w:t>
      </w:r>
      <w:r>
        <w:rPr>
          <w:rFonts w:ascii="Times New Roman" w:eastAsia="Times New Roman" w:hAnsi="Times New Roman" w:cs="Times New Roman"/>
          <w:sz w:val="24"/>
          <w:szCs w:val="24"/>
        </w:rPr>
        <w:t xml:space="preserve">= 1.00. Although the parameter estimates from the </w:t>
      </w:r>
      <w:r>
        <w:rPr>
          <w:rFonts w:ascii="Times New Roman" w:eastAsia="Times New Roman" w:hAnsi="Times New Roman" w:cs="Times New Roman"/>
          <w:sz w:val="24"/>
          <w:szCs w:val="24"/>
          <w:highlight w:val="yellow"/>
        </w:rPr>
        <w:t>classical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maximum-likelihood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Bayesian</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models were</w:t>
      </w:r>
      <w:r>
        <w:rPr>
          <w:rFonts w:ascii="Times New Roman" w:eastAsia="Times New Roman" w:hAnsi="Times New Roman" w:cs="Times New Roman"/>
          <w:sz w:val="24"/>
          <w:szCs w:val="24"/>
        </w:rPr>
        <w:t xml:space="preserve"> consistent </w:t>
      </w:r>
      <w:r>
        <w:rPr>
          <w:rFonts w:ascii="Times New Roman" w:eastAsia="Times New Roman" w:hAnsi="Times New Roman" w:cs="Times New Roman"/>
          <w:sz w:val="24"/>
          <w:szCs w:val="24"/>
          <w:highlight w:val="yellow"/>
        </w:rPr>
        <w:t>and produced similar conclusions,</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Bayesian</w:t>
      </w:r>
      <w:r>
        <w:rPr>
          <w:rFonts w:ascii="Times New Roman" w:eastAsia="Times New Roman" w:hAnsi="Times New Roman" w:cs="Times New Roman"/>
          <w:sz w:val="24"/>
          <w:szCs w:val="24"/>
        </w:rPr>
        <w:t xml:space="preserve"> method offered better </w:t>
      </w:r>
      <w:r>
        <w:rPr>
          <w:rFonts w:ascii="Times New Roman" w:eastAsia="Times New Roman" w:hAnsi="Times New Roman" w:cs="Times New Roman"/>
          <w:sz w:val="24"/>
          <w:szCs w:val="24"/>
          <w:highlight w:val="yellow"/>
        </w:rPr>
        <w:t>predictive performance</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highlight w:val="yellow"/>
        </w:rPr>
        <w:t>richer</w:t>
      </w:r>
      <w:r>
        <w:rPr>
          <w:rFonts w:ascii="Times New Roman" w:eastAsia="Times New Roman" w:hAnsi="Times New Roman" w:cs="Times New Roman"/>
          <w:sz w:val="24"/>
          <w:szCs w:val="24"/>
        </w:rPr>
        <w:t xml:space="preserve"> uncertainty </w:t>
      </w:r>
      <w:r>
        <w:rPr>
          <w:rFonts w:ascii="Times New Roman" w:eastAsia="Times New Roman" w:hAnsi="Times New Roman" w:cs="Times New Roman"/>
          <w:sz w:val="24"/>
          <w:szCs w:val="24"/>
          <w:highlight w:val="yellow"/>
        </w:rPr>
        <w:t xml:space="preserve">quantification </w:t>
      </w:r>
      <w:r>
        <w:rPr>
          <w:rFonts w:ascii="Times New Roman" w:eastAsia="Times New Roman" w:hAnsi="Times New Roman" w:cs="Times New Roman"/>
          <w:sz w:val="24"/>
          <w:szCs w:val="24"/>
        </w:rPr>
        <w:t xml:space="preserve">than </w:t>
      </w:r>
      <w:r>
        <w:rPr>
          <w:rFonts w:ascii="Times New Roman" w:eastAsia="Times New Roman" w:hAnsi="Times New Roman" w:cs="Times New Roman"/>
          <w:sz w:val="24"/>
          <w:szCs w:val="24"/>
          <w:highlight w:val="yellow"/>
        </w:rPr>
        <w:t>classical</w:t>
      </w:r>
      <w:r>
        <w:rPr>
          <w:rFonts w:ascii="Times New Roman" w:eastAsia="Times New Roman" w:hAnsi="Times New Roman" w:cs="Times New Roman"/>
          <w:sz w:val="24"/>
          <w:szCs w:val="24"/>
        </w:rPr>
        <w:t xml:space="preserve"> confidence intervals.</w:t>
      </w:r>
    </w:p>
    <w:p w14:paraId="63B9B192" w14:textId="77777777" w:rsidR="00D37A2F"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5.0 Summary of major findings, Conclusions, Recommendations and needs for further studies</w:t>
      </w:r>
    </w:p>
    <w:p w14:paraId="65DE20C1" w14:textId="77777777" w:rsidR="00D37A2F"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 Summary of major findings</w:t>
      </w:r>
    </w:p>
    <w:p w14:paraId="159B697A" w14:textId="77777777" w:rsidR="00D37A2F" w:rsidRDefault="00D37A2F" w:rsidP="00D37A2F">
      <w:pPr>
        <w:pStyle w:val="NormalWeb"/>
        <w:jc w:val="both"/>
      </w:pPr>
      <w:r>
        <w:t xml:space="preserve">This study showed that maternal age, </w:t>
      </w:r>
      <w:r>
        <w:rPr>
          <w:highlight w:val="yellow"/>
        </w:rPr>
        <w:t>maternal</w:t>
      </w:r>
      <w:r>
        <w:t xml:space="preserve"> education, </w:t>
      </w:r>
      <w:r>
        <w:rPr>
          <w:highlight w:val="yellow"/>
        </w:rPr>
        <w:t xml:space="preserve">household </w:t>
      </w:r>
      <w:r>
        <w:t xml:space="preserve">wealth, place of residence, </w:t>
      </w:r>
      <w:r>
        <w:rPr>
          <w:highlight w:val="yellow"/>
        </w:rPr>
        <w:t>antenatal</w:t>
      </w:r>
      <w:r>
        <w:t xml:space="preserve"> </w:t>
      </w:r>
      <w:r>
        <w:rPr>
          <w:highlight w:val="yellow"/>
        </w:rPr>
        <w:t>care</w:t>
      </w:r>
      <w:r>
        <w:t xml:space="preserve"> (ANC) </w:t>
      </w:r>
      <w:r>
        <w:rPr>
          <w:highlight w:val="yellow"/>
        </w:rPr>
        <w:t>utilisation,</w:t>
      </w:r>
      <w:r>
        <w:t xml:space="preserve"> and place of </w:t>
      </w:r>
      <w:r>
        <w:rPr>
          <w:highlight w:val="yellow"/>
        </w:rPr>
        <w:t>childbirth</w:t>
      </w:r>
      <w:r>
        <w:t xml:space="preserve"> </w:t>
      </w:r>
      <w:r>
        <w:rPr>
          <w:highlight w:val="yellow"/>
        </w:rPr>
        <w:t>were</w:t>
      </w:r>
      <w:r>
        <w:t xml:space="preserve"> </w:t>
      </w:r>
      <w:r>
        <w:rPr>
          <w:highlight w:val="yellow"/>
        </w:rPr>
        <w:t>positively</w:t>
      </w:r>
      <w:r>
        <w:t xml:space="preserve"> </w:t>
      </w:r>
      <w:r>
        <w:rPr>
          <w:highlight w:val="yellow"/>
        </w:rPr>
        <w:t>associated with</w:t>
      </w:r>
      <w:r>
        <w:t xml:space="preserve"> childhood vaccination coverage. It further </w:t>
      </w:r>
      <w:r>
        <w:rPr>
          <w:highlight w:val="yellow"/>
        </w:rPr>
        <w:t>indicated</w:t>
      </w:r>
      <w:r>
        <w:t xml:space="preserve"> that</w:t>
      </w:r>
      <w:r>
        <w:rPr>
          <w:highlight w:val="yellow"/>
        </w:rPr>
        <w:t>,</w:t>
      </w:r>
      <w:r>
        <w:t xml:space="preserve"> as mothers </w:t>
      </w:r>
      <w:r>
        <w:rPr>
          <w:highlight w:val="yellow"/>
        </w:rPr>
        <w:t>became</w:t>
      </w:r>
      <w:r>
        <w:t xml:space="preserve"> older and more educated</w:t>
      </w:r>
      <w:r>
        <w:rPr>
          <w:highlight w:val="yellow"/>
        </w:rPr>
        <w:t>,</w:t>
      </w:r>
      <w:r>
        <w:t xml:space="preserve"> their odds of having fully </w:t>
      </w:r>
      <w:r>
        <w:rPr>
          <w:highlight w:val="yellow"/>
        </w:rPr>
        <w:t>immunised</w:t>
      </w:r>
      <w:r>
        <w:t xml:space="preserve"> children </w:t>
      </w:r>
      <w:r>
        <w:rPr>
          <w:highlight w:val="yellow"/>
        </w:rPr>
        <w:t>increased</w:t>
      </w:r>
      <w:r>
        <w:t xml:space="preserve"> compared with </w:t>
      </w:r>
      <w:r>
        <w:rPr>
          <w:highlight w:val="yellow"/>
        </w:rPr>
        <w:t xml:space="preserve">those of </w:t>
      </w:r>
      <w:r>
        <w:t xml:space="preserve">younger </w:t>
      </w:r>
      <w:r>
        <w:rPr>
          <w:highlight w:val="yellow"/>
        </w:rPr>
        <w:t>and</w:t>
      </w:r>
      <w:r>
        <w:t xml:space="preserve"> </w:t>
      </w:r>
      <w:r>
        <w:rPr>
          <w:highlight w:val="yellow"/>
        </w:rPr>
        <w:t>less-educated</w:t>
      </w:r>
      <w:r>
        <w:t xml:space="preserve"> mothers. Similarly, children living in urban </w:t>
      </w:r>
      <w:r>
        <w:rPr>
          <w:highlight w:val="yellow"/>
        </w:rPr>
        <w:t>areas and</w:t>
      </w:r>
      <w:r>
        <w:t xml:space="preserve"> those </w:t>
      </w:r>
      <w:r>
        <w:rPr>
          <w:highlight w:val="yellow"/>
        </w:rPr>
        <w:t>from</w:t>
      </w:r>
      <w:r>
        <w:t xml:space="preserve"> </w:t>
      </w:r>
      <w:r>
        <w:rPr>
          <w:highlight w:val="yellow"/>
        </w:rPr>
        <w:t>wealthier</w:t>
      </w:r>
      <w:r>
        <w:t xml:space="preserve"> households were more likely to be fully </w:t>
      </w:r>
      <w:r>
        <w:rPr>
          <w:highlight w:val="yellow"/>
        </w:rPr>
        <w:t>immunised</w:t>
      </w:r>
      <w:r>
        <w:t xml:space="preserve"> than </w:t>
      </w:r>
      <w:r>
        <w:rPr>
          <w:highlight w:val="yellow"/>
        </w:rPr>
        <w:t>children</w:t>
      </w:r>
      <w:r>
        <w:t xml:space="preserve"> </w:t>
      </w:r>
      <w:r>
        <w:rPr>
          <w:highlight w:val="yellow"/>
        </w:rPr>
        <w:t>living</w:t>
      </w:r>
      <w:r>
        <w:t xml:space="preserve"> in rural areas </w:t>
      </w:r>
      <w:r>
        <w:rPr>
          <w:highlight w:val="yellow"/>
        </w:rPr>
        <w:t>or</w:t>
      </w:r>
      <w:r>
        <w:t xml:space="preserve"> </w:t>
      </w:r>
      <w:r>
        <w:rPr>
          <w:highlight w:val="yellow"/>
        </w:rPr>
        <w:t>poorer</w:t>
      </w:r>
      <w:r>
        <w:t xml:space="preserve"> households. </w:t>
      </w:r>
      <w:r>
        <w:rPr>
          <w:highlight w:val="yellow"/>
        </w:rPr>
        <w:t>Among</w:t>
      </w:r>
      <w:r>
        <w:t xml:space="preserve"> the variables positively </w:t>
      </w:r>
      <w:r>
        <w:rPr>
          <w:highlight w:val="yellow"/>
        </w:rPr>
        <w:t>associated</w:t>
      </w:r>
      <w:r>
        <w:t xml:space="preserve"> </w:t>
      </w:r>
      <w:r>
        <w:rPr>
          <w:highlight w:val="yellow"/>
        </w:rPr>
        <w:t>with</w:t>
      </w:r>
      <w:r>
        <w:t xml:space="preserve"> </w:t>
      </w:r>
      <w:r>
        <w:rPr>
          <w:highlight w:val="yellow"/>
        </w:rPr>
        <w:t>complete immunisation</w:t>
      </w:r>
      <w:r>
        <w:t xml:space="preserve">, </w:t>
      </w:r>
      <w:r>
        <w:rPr>
          <w:highlight w:val="yellow"/>
        </w:rPr>
        <w:t>attending</w:t>
      </w:r>
      <w:r>
        <w:t xml:space="preserve"> </w:t>
      </w:r>
      <w:r>
        <w:rPr>
          <w:highlight w:val="yellow"/>
        </w:rPr>
        <w:t>four</w:t>
      </w:r>
      <w:r>
        <w:t xml:space="preserve"> or more </w:t>
      </w:r>
      <w:r>
        <w:rPr>
          <w:highlight w:val="yellow"/>
        </w:rPr>
        <w:t>antenatal care visits</w:t>
      </w:r>
      <w:r>
        <w:t xml:space="preserve"> and </w:t>
      </w:r>
      <w:r>
        <w:rPr>
          <w:highlight w:val="yellow"/>
        </w:rPr>
        <w:t>delivering</w:t>
      </w:r>
      <w:r>
        <w:t xml:space="preserve"> </w:t>
      </w:r>
      <w:r>
        <w:rPr>
          <w:highlight w:val="yellow"/>
        </w:rPr>
        <w:t>in</w:t>
      </w:r>
      <w:r>
        <w:t xml:space="preserve"> </w:t>
      </w:r>
      <w:r>
        <w:rPr>
          <w:highlight w:val="yellow"/>
        </w:rPr>
        <w:t>a</w:t>
      </w:r>
      <w:r>
        <w:t xml:space="preserve"> health facility </w:t>
      </w:r>
      <w:r>
        <w:rPr>
          <w:highlight w:val="yellow"/>
        </w:rPr>
        <w:t>showed the</w:t>
      </w:r>
      <w:r>
        <w:t xml:space="preserve"> strongest </w:t>
      </w:r>
      <w:r>
        <w:rPr>
          <w:highlight w:val="yellow"/>
        </w:rPr>
        <w:t>associations</w:t>
      </w:r>
      <w:r>
        <w:t xml:space="preserve">. Furthermore, the multilevel analysis </w:t>
      </w:r>
      <w:r>
        <w:rPr>
          <w:highlight w:val="yellow"/>
        </w:rPr>
        <w:t>revealed</w:t>
      </w:r>
      <w:r>
        <w:t xml:space="preserve"> </w:t>
      </w:r>
      <w:r>
        <w:rPr>
          <w:highlight w:val="yellow"/>
        </w:rPr>
        <w:t>substantial</w:t>
      </w:r>
      <w:r>
        <w:t xml:space="preserve"> between-community heterogeneity (12.6%). The multilevel approach accounted for unexplained heterogeneity </w:t>
      </w:r>
      <w:r>
        <w:rPr>
          <w:highlight w:val="yellow"/>
        </w:rPr>
        <w:t>arising</w:t>
      </w:r>
      <w:r>
        <w:t xml:space="preserve"> </w:t>
      </w:r>
      <w:r>
        <w:rPr>
          <w:highlight w:val="yellow"/>
        </w:rPr>
        <w:t>from shared</w:t>
      </w:r>
      <w:r>
        <w:t xml:space="preserve"> within-community characteristics</w:t>
      </w:r>
      <w:r>
        <w:rPr>
          <w:highlight w:val="yellow"/>
        </w:rPr>
        <w:t>,</w:t>
      </w:r>
      <w:r>
        <w:t xml:space="preserve"> as reflected by the community-level random effects. </w:t>
      </w:r>
      <w:r>
        <w:rPr>
          <w:highlight w:val="yellow"/>
        </w:rPr>
        <w:t>Both</w:t>
      </w:r>
      <w:r>
        <w:t xml:space="preserve"> </w:t>
      </w:r>
      <w:r>
        <w:rPr>
          <w:highlight w:val="yellow"/>
        </w:rPr>
        <w:t>the</w:t>
      </w:r>
      <w:r>
        <w:t xml:space="preserve"> </w:t>
      </w:r>
      <w:r>
        <w:rPr>
          <w:highlight w:val="yellow"/>
        </w:rPr>
        <w:t>classical</w:t>
      </w:r>
      <w:r>
        <w:t xml:space="preserve"> and Bayesian multilevel logistic </w:t>
      </w:r>
      <w:r>
        <w:rPr>
          <w:highlight w:val="yellow"/>
        </w:rPr>
        <w:t>models</w:t>
      </w:r>
      <w:r>
        <w:t xml:space="preserve"> </w:t>
      </w:r>
      <w:r>
        <w:rPr>
          <w:highlight w:val="yellow"/>
        </w:rPr>
        <w:t>provided</w:t>
      </w:r>
      <w:r>
        <w:t xml:space="preserve"> acceptable fits </w:t>
      </w:r>
      <w:r>
        <w:rPr>
          <w:highlight w:val="yellow"/>
        </w:rPr>
        <w:t>to</w:t>
      </w:r>
      <w:r>
        <w:t xml:space="preserve"> </w:t>
      </w:r>
      <w:r>
        <w:rPr>
          <w:highlight w:val="yellow"/>
        </w:rPr>
        <w:t>the</w:t>
      </w:r>
      <w:r>
        <w:t xml:space="preserve"> </w:t>
      </w:r>
      <w:r>
        <w:rPr>
          <w:highlight w:val="yellow"/>
        </w:rPr>
        <w:t>dataset;</w:t>
      </w:r>
      <w:r>
        <w:t xml:space="preserve"> however, </w:t>
      </w:r>
      <w:r>
        <w:rPr>
          <w:highlight w:val="yellow"/>
        </w:rPr>
        <w:t xml:space="preserve">the </w:t>
      </w:r>
      <w:r>
        <w:t>Bayesian model</w:t>
      </w:r>
      <w:r>
        <w:rPr>
          <w:highlight w:val="yellow"/>
        </w:rPr>
        <w:t xml:space="preserve"> showed better</w:t>
      </w:r>
      <w:r>
        <w:t xml:space="preserve"> fit, predictive accuracy</w:t>
      </w:r>
      <w:r>
        <w:rPr>
          <w:highlight w:val="yellow"/>
        </w:rPr>
        <w:t>,</w:t>
      </w:r>
      <w:r>
        <w:t xml:space="preserve"> and calibration</w:t>
      </w:r>
      <w:r>
        <w:rPr>
          <w:highlight w:val="yellow"/>
        </w:rPr>
        <w:t>.</w:t>
      </w:r>
    </w:p>
    <w:p w14:paraId="062A2D3D" w14:textId="77777777" w:rsidR="00D37A2F" w:rsidRDefault="00D37A2F" w:rsidP="00D37A2F">
      <w:pPr>
        <w:pStyle w:val="NormalWeb"/>
        <w:jc w:val="both"/>
      </w:pPr>
      <w:r>
        <w:t>5.2 Conclusions</w:t>
      </w:r>
    </w:p>
    <w:p w14:paraId="1B162E51" w14:textId="77777777" w:rsidR="00D37A2F" w:rsidRDefault="00D37A2F" w:rsidP="00D37A2F">
      <w:pPr>
        <w:pStyle w:val="NormalWeb"/>
        <w:jc w:val="both"/>
      </w:pPr>
      <w:r>
        <w:t xml:space="preserve">These findings are </w:t>
      </w:r>
      <w:r>
        <w:rPr>
          <w:highlight w:val="yellow"/>
        </w:rPr>
        <w:t>consistent</w:t>
      </w:r>
      <w:r>
        <w:t xml:space="preserve"> with extensive international and African research identifying maternal education, household wealth, antenatal care</w:t>
      </w:r>
      <w:r>
        <w:rPr>
          <w:highlight w:val="yellow"/>
        </w:rPr>
        <w:t xml:space="preserve"> utilisation</w:t>
      </w:r>
      <w:r>
        <w:t>, facility-based delivery</w:t>
      </w:r>
      <w:r>
        <w:rPr>
          <w:highlight w:val="yellow"/>
        </w:rPr>
        <w:t>,</w:t>
      </w:r>
      <w:r>
        <w:t xml:space="preserve"> and urban </w:t>
      </w:r>
      <w:r>
        <w:lastRenderedPageBreak/>
        <w:t xml:space="preserve">residence as </w:t>
      </w:r>
      <w:r>
        <w:rPr>
          <w:highlight w:val="yellow"/>
        </w:rPr>
        <w:t>important</w:t>
      </w:r>
      <w:r>
        <w:t xml:space="preserve"> predictors of </w:t>
      </w:r>
      <w:r>
        <w:rPr>
          <w:highlight w:val="yellow"/>
        </w:rPr>
        <w:t>complete</w:t>
      </w:r>
      <w:r>
        <w:t xml:space="preserve"> childhood immunisation (Bosch-Capblanch et al., 2012; </w:t>
      </w:r>
      <w:r>
        <w:rPr>
          <w:highlight w:val="yellow"/>
        </w:rPr>
        <w:t>Restrepo-Méndez</w:t>
      </w:r>
      <w:r>
        <w:t xml:space="preserve"> et al., 2016; Forshaw et al., 2017; Arsenault et al., 2017; Ali et al., 2022). The beneficial </w:t>
      </w:r>
      <w:r>
        <w:rPr>
          <w:highlight w:val="yellow"/>
        </w:rPr>
        <w:t>association</w:t>
      </w:r>
      <w:r>
        <w:t xml:space="preserve"> of maternal education is consistent with evidence </w:t>
      </w:r>
      <w:r>
        <w:rPr>
          <w:highlight w:val="yellow"/>
        </w:rPr>
        <w:t>suggesting</w:t>
      </w:r>
      <w:r>
        <w:t xml:space="preserve"> that educated mothers may </w:t>
      </w:r>
      <w:r>
        <w:rPr>
          <w:highlight w:val="yellow"/>
        </w:rPr>
        <w:t>have</w:t>
      </w:r>
      <w:r>
        <w:t xml:space="preserve"> </w:t>
      </w:r>
      <w:r>
        <w:rPr>
          <w:highlight w:val="yellow"/>
        </w:rPr>
        <w:t>greater</w:t>
      </w:r>
      <w:r>
        <w:t xml:space="preserve"> </w:t>
      </w:r>
      <w:r>
        <w:rPr>
          <w:highlight w:val="yellow"/>
        </w:rPr>
        <w:t>knowledge</w:t>
      </w:r>
      <w:r>
        <w:t xml:space="preserve"> </w:t>
      </w:r>
      <w:r>
        <w:rPr>
          <w:highlight w:val="yellow"/>
        </w:rPr>
        <w:t>of</w:t>
      </w:r>
      <w:r>
        <w:t xml:space="preserve"> vaccination schedules, </w:t>
      </w:r>
      <w:r>
        <w:rPr>
          <w:highlight w:val="yellow"/>
        </w:rPr>
        <w:t>higher</w:t>
      </w:r>
      <w:r>
        <w:t xml:space="preserve"> health literacy, and </w:t>
      </w:r>
      <w:r>
        <w:rPr>
          <w:highlight w:val="yellow"/>
        </w:rPr>
        <w:t>a</w:t>
      </w:r>
      <w:r>
        <w:t xml:space="preserve"> </w:t>
      </w:r>
      <w:r>
        <w:rPr>
          <w:highlight w:val="yellow"/>
        </w:rPr>
        <w:t>greater</w:t>
      </w:r>
      <w:r>
        <w:t xml:space="preserve"> </w:t>
      </w:r>
      <w:r>
        <w:rPr>
          <w:highlight w:val="yellow"/>
        </w:rPr>
        <w:t>propensity</w:t>
      </w:r>
      <w:r>
        <w:t xml:space="preserve"> to </w:t>
      </w:r>
      <w:r>
        <w:rPr>
          <w:highlight w:val="yellow"/>
        </w:rPr>
        <w:t>use</w:t>
      </w:r>
      <w:r>
        <w:t xml:space="preserve"> preventive healthcare services. The </w:t>
      </w:r>
      <w:r>
        <w:rPr>
          <w:highlight w:val="yellow"/>
        </w:rPr>
        <w:t>importance</w:t>
      </w:r>
      <w:r>
        <w:t xml:space="preserve"> of antenatal care </w:t>
      </w:r>
      <w:r>
        <w:rPr>
          <w:highlight w:val="yellow"/>
        </w:rPr>
        <w:t>attendance</w:t>
      </w:r>
      <w:r>
        <w:t xml:space="preserve"> and facility-based delivery supports the </w:t>
      </w:r>
      <w:r>
        <w:rPr>
          <w:highlight w:val="yellow"/>
        </w:rPr>
        <w:t xml:space="preserve">continuum-of-care </w:t>
      </w:r>
      <w:r>
        <w:t xml:space="preserve">concept, </w:t>
      </w:r>
      <w:r>
        <w:rPr>
          <w:highlight w:val="yellow"/>
        </w:rPr>
        <w:t>whereby</w:t>
      </w:r>
      <w:r>
        <w:t xml:space="preserve"> sustained </w:t>
      </w:r>
      <w:r>
        <w:rPr>
          <w:highlight w:val="yellow"/>
        </w:rPr>
        <w:t>engagement with maternal and</w:t>
      </w:r>
      <w:r>
        <w:t xml:space="preserve"> child </w:t>
      </w:r>
      <w:r>
        <w:rPr>
          <w:highlight w:val="yellow"/>
        </w:rPr>
        <w:t>health</w:t>
      </w:r>
      <w:r>
        <w:t xml:space="preserve"> </w:t>
      </w:r>
      <w:r>
        <w:rPr>
          <w:highlight w:val="yellow"/>
        </w:rPr>
        <w:t>services</w:t>
      </w:r>
      <w:r>
        <w:t xml:space="preserve"> </w:t>
      </w:r>
      <w:r>
        <w:rPr>
          <w:highlight w:val="yellow"/>
        </w:rPr>
        <w:t>is</w:t>
      </w:r>
      <w:r>
        <w:t xml:space="preserve"> </w:t>
      </w:r>
      <w:r>
        <w:rPr>
          <w:highlight w:val="yellow"/>
        </w:rPr>
        <w:t>associated with</w:t>
      </w:r>
      <w:r>
        <w:t xml:space="preserve"> improved uptake of immunisation services. The </w:t>
      </w:r>
      <w:r>
        <w:rPr>
          <w:highlight w:val="yellow"/>
        </w:rPr>
        <w:t>observed</w:t>
      </w:r>
      <w:r>
        <w:t xml:space="preserve"> variation between communities is also </w:t>
      </w:r>
      <w:r>
        <w:rPr>
          <w:highlight w:val="yellow"/>
        </w:rPr>
        <w:t>consistent</w:t>
      </w:r>
      <w:r>
        <w:t xml:space="preserve"> with previous </w:t>
      </w:r>
      <w:r>
        <w:rPr>
          <w:highlight w:val="yellow"/>
        </w:rPr>
        <w:t>multilevel</w:t>
      </w:r>
      <w:r>
        <w:t xml:space="preserve"> </w:t>
      </w:r>
      <w:r>
        <w:rPr>
          <w:highlight w:val="yellow"/>
        </w:rPr>
        <w:t>studies</w:t>
      </w:r>
      <w:r>
        <w:t xml:space="preserve"> </w:t>
      </w:r>
      <w:r>
        <w:rPr>
          <w:highlight w:val="yellow"/>
        </w:rPr>
        <w:t>indicating</w:t>
      </w:r>
      <w:r>
        <w:t xml:space="preserve"> that service access, service quality, and </w:t>
      </w:r>
      <w:r>
        <w:rPr>
          <w:highlight w:val="yellow"/>
        </w:rPr>
        <w:t>neighbourhood-level</w:t>
      </w:r>
      <w:r>
        <w:t xml:space="preserve"> </w:t>
      </w:r>
      <w:r>
        <w:rPr>
          <w:highlight w:val="yellow"/>
        </w:rPr>
        <w:t>socioeconomic</w:t>
      </w:r>
      <w:r>
        <w:t xml:space="preserve"> factors </w:t>
      </w:r>
      <w:r>
        <w:rPr>
          <w:highlight w:val="yellow"/>
        </w:rPr>
        <w:t>influence</w:t>
      </w:r>
      <w:r>
        <w:t xml:space="preserve"> </w:t>
      </w:r>
      <w:r>
        <w:rPr>
          <w:highlight w:val="yellow"/>
        </w:rPr>
        <w:t>immunisation-service</w:t>
      </w:r>
      <w:r>
        <w:t xml:space="preserve"> utilisation. Finally,</w:t>
      </w:r>
      <w:r>
        <w:rPr>
          <w:highlight w:val="yellow"/>
        </w:rPr>
        <w:t xml:space="preserve"> the</w:t>
      </w:r>
      <w:r>
        <w:t xml:space="preserve"> superior performance of the Bayesian </w:t>
      </w:r>
      <w:r>
        <w:rPr>
          <w:highlight w:val="yellow"/>
        </w:rPr>
        <w:t>multilevel</w:t>
      </w:r>
      <w:r>
        <w:t xml:space="preserve"> model </w:t>
      </w:r>
      <w:r>
        <w:rPr>
          <w:highlight w:val="yellow"/>
        </w:rPr>
        <w:t>is consistent</w:t>
      </w:r>
      <w:r>
        <w:t xml:space="preserve"> with methodological evidence </w:t>
      </w:r>
      <w:r>
        <w:rPr>
          <w:highlight w:val="yellow"/>
        </w:rPr>
        <w:t>suggesting</w:t>
      </w:r>
      <w:r>
        <w:t xml:space="preserve"> that Bayesian methods </w:t>
      </w:r>
      <w:r>
        <w:rPr>
          <w:highlight w:val="yellow"/>
        </w:rPr>
        <w:t>can</w:t>
      </w:r>
      <w:r>
        <w:t xml:space="preserve"> </w:t>
      </w:r>
      <w:r>
        <w:rPr>
          <w:highlight w:val="yellow"/>
        </w:rPr>
        <w:t>improve</w:t>
      </w:r>
      <w:r>
        <w:t xml:space="preserve"> </w:t>
      </w:r>
      <w:r>
        <w:rPr>
          <w:highlight w:val="yellow"/>
        </w:rPr>
        <w:t>predictive</w:t>
      </w:r>
      <w:r>
        <w:t xml:space="preserve"> accuracy</w:t>
      </w:r>
      <w:r>
        <w:rPr>
          <w:highlight w:val="yellow"/>
        </w:rPr>
        <w:t>,</w:t>
      </w:r>
      <w:r>
        <w:t xml:space="preserve"> </w:t>
      </w:r>
      <w:r>
        <w:rPr>
          <w:highlight w:val="yellow"/>
        </w:rPr>
        <w:t>provide</w:t>
      </w:r>
      <w:r>
        <w:t xml:space="preserve"> more reliable uncertainty </w:t>
      </w:r>
      <w:r>
        <w:rPr>
          <w:highlight w:val="yellow"/>
        </w:rPr>
        <w:t>estimates,</w:t>
      </w:r>
      <w:r>
        <w:t xml:space="preserve"> </w:t>
      </w:r>
      <w:r>
        <w:rPr>
          <w:highlight w:val="yellow"/>
        </w:rPr>
        <w:t>and</w:t>
      </w:r>
      <w:r>
        <w:t xml:space="preserve"> better accommodate correlated observations</w:t>
      </w:r>
      <w:r>
        <w:rPr>
          <w:highlight w:val="yellow"/>
        </w:rPr>
        <w:t xml:space="preserve"> when analysing multilevel survey data</w:t>
      </w:r>
      <w:r>
        <w:t>.</w:t>
      </w:r>
    </w:p>
    <w:p w14:paraId="3CFB92E5" w14:textId="77777777" w:rsidR="00D37A2F" w:rsidRDefault="00D37A2F" w:rsidP="00D37A2F">
      <w:pPr>
        <w:pStyle w:val="NormalWeb"/>
        <w:jc w:val="both"/>
      </w:pPr>
      <w:r>
        <w:t>5.3 Recommendations</w:t>
      </w:r>
    </w:p>
    <w:p w14:paraId="1A3F413F" w14:textId="77777777" w:rsidR="00D37A2F" w:rsidRDefault="00D37A2F" w:rsidP="00D37A2F">
      <w:pPr>
        <w:pStyle w:val="NormalWeb"/>
        <w:jc w:val="both"/>
      </w:pPr>
      <w:r>
        <w:t xml:space="preserve">The study suggests </w:t>
      </w:r>
      <w:r>
        <w:rPr>
          <w:highlight w:val="yellow"/>
        </w:rPr>
        <w:t>a</w:t>
      </w:r>
      <w:r>
        <w:t xml:space="preserve"> need for further investment </w:t>
      </w:r>
      <w:r>
        <w:rPr>
          <w:highlight w:val="yellow"/>
        </w:rPr>
        <w:t>in</w:t>
      </w:r>
      <w:r>
        <w:t xml:space="preserve"> </w:t>
      </w:r>
      <w:r>
        <w:rPr>
          <w:highlight w:val="yellow"/>
        </w:rPr>
        <w:t>women's</w:t>
      </w:r>
      <w:r>
        <w:t xml:space="preserve"> education</w:t>
      </w:r>
      <w:r>
        <w:rPr>
          <w:highlight w:val="yellow"/>
        </w:rPr>
        <w:t>.</w:t>
      </w:r>
      <w:r>
        <w:t xml:space="preserve"> </w:t>
      </w:r>
      <w:r>
        <w:rPr>
          <w:highlight w:val="yellow"/>
        </w:rPr>
        <w:t>Increasing</w:t>
      </w:r>
      <w:r>
        <w:t xml:space="preserve"> access to </w:t>
      </w:r>
      <w:r>
        <w:rPr>
          <w:highlight w:val="yellow"/>
        </w:rPr>
        <w:t>girls'</w:t>
      </w:r>
      <w:r>
        <w:t xml:space="preserve"> education and adult literacy </w:t>
      </w:r>
      <w:r>
        <w:rPr>
          <w:highlight w:val="yellow"/>
        </w:rPr>
        <w:t>programmes</w:t>
      </w:r>
      <w:r>
        <w:t xml:space="preserve"> </w:t>
      </w:r>
      <w:r>
        <w:rPr>
          <w:highlight w:val="yellow"/>
        </w:rPr>
        <w:t>may</w:t>
      </w:r>
      <w:r>
        <w:t xml:space="preserve"> </w:t>
      </w:r>
      <w:r>
        <w:rPr>
          <w:highlight w:val="yellow"/>
        </w:rPr>
        <w:t>improve</w:t>
      </w:r>
      <w:r>
        <w:t xml:space="preserve"> knowledge </w:t>
      </w:r>
      <w:r>
        <w:rPr>
          <w:highlight w:val="yellow"/>
        </w:rPr>
        <w:t>of</w:t>
      </w:r>
      <w:r>
        <w:t xml:space="preserve"> maternal health and </w:t>
      </w:r>
      <w:r>
        <w:rPr>
          <w:highlight w:val="yellow"/>
        </w:rPr>
        <w:t>health-seeking</w:t>
      </w:r>
      <w:r>
        <w:t xml:space="preserve"> </w:t>
      </w:r>
      <w:r>
        <w:rPr>
          <w:highlight w:val="yellow"/>
        </w:rPr>
        <w:t>practices</w:t>
      </w:r>
      <w:r>
        <w:t xml:space="preserve">. The study also indicates that the use and accessibility </w:t>
      </w:r>
      <w:r>
        <w:rPr>
          <w:highlight w:val="yellow"/>
        </w:rPr>
        <w:t>of</w:t>
      </w:r>
      <w:r>
        <w:t xml:space="preserve"> </w:t>
      </w:r>
      <w:r>
        <w:rPr>
          <w:highlight w:val="yellow"/>
        </w:rPr>
        <w:t>high-quality</w:t>
      </w:r>
      <w:r>
        <w:t xml:space="preserve"> antenatal care </w:t>
      </w:r>
      <w:r>
        <w:rPr>
          <w:highlight w:val="yellow"/>
        </w:rPr>
        <w:t>require</w:t>
      </w:r>
      <w:r>
        <w:t xml:space="preserve"> further </w:t>
      </w:r>
      <w:r>
        <w:rPr>
          <w:highlight w:val="yellow"/>
        </w:rPr>
        <w:t>attention, with emphasis on increasing access</w:t>
      </w:r>
      <w:r>
        <w:t xml:space="preserve"> to </w:t>
      </w:r>
      <w:r>
        <w:rPr>
          <w:highlight w:val="yellow"/>
        </w:rPr>
        <w:t>facility-based</w:t>
      </w:r>
      <w:r>
        <w:t xml:space="preserve"> births by overcoming financial, </w:t>
      </w:r>
      <w:r>
        <w:rPr>
          <w:highlight w:val="yellow"/>
        </w:rPr>
        <w:t>geographical,</w:t>
      </w:r>
      <w:r>
        <w:t xml:space="preserve"> and other </w:t>
      </w:r>
      <w:r>
        <w:rPr>
          <w:highlight w:val="yellow"/>
        </w:rPr>
        <w:t>barriers,</w:t>
      </w:r>
      <w:r>
        <w:t xml:space="preserve"> particularly in remote and </w:t>
      </w:r>
      <w:r>
        <w:rPr>
          <w:highlight w:val="yellow"/>
        </w:rPr>
        <w:t>resource-poor</w:t>
      </w:r>
      <w:r>
        <w:t xml:space="preserve"> </w:t>
      </w:r>
      <w:r>
        <w:rPr>
          <w:highlight w:val="yellow"/>
        </w:rPr>
        <w:t>settings</w:t>
      </w:r>
      <w:r>
        <w:t xml:space="preserve">. </w:t>
      </w:r>
      <w:r>
        <w:rPr>
          <w:highlight w:val="yellow"/>
        </w:rPr>
        <w:t>Public</w:t>
      </w:r>
      <w:r>
        <w:t xml:space="preserve"> health interventions should</w:t>
      </w:r>
      <w:r>
        <w:rPr>
          <w:highlight w:val="yellow"/>
        </w:rPr>
        <w:t xml:space="preserve"> also</w:t>
      </w:r>
      <w:r>
        <w:t xml:space="preserve"> provide stronger support for </w:t>
      </w:r>
      <w:r>
        <w:rPr>
          <w:highlight w:val="yellow"/>
        </w:rPr>
        <w:t>low-income</w:t>
      </w:r>
      <w:r>
        <w:t xml:space="preserve"> households and vulnerable </w:t>
      </w:r>
      <w:r>
        <w:rPr>
          <w:highlight w:val="yellow"/>
        </w:rPr>
        <w:t>populations</w:t>
      </w:r>
      <w:r>
        <w:t xml:space="preserve"> </w:t>
      </w:r>
      <w:r>
        <w:rPr>
          <w:highlight w:val="yellow"/>
        </w:rPr>
        <w:t>by</w:t>
      </w:r>
      <w:r>
        <w:t xml:space="preserve"> </w:t>
      </w:r>
      <w:r>
        <w:rPr>
          <w:highlight w:val="yellow"/>
        </w:rPr>
        <w:t>extending</w:t>
      </w:r>
      <w:r>
        <w:t xml:space="preserve"> social protection schemes, community education, mobile </w:t>
      </w:r>
      <w:r>
        <w:rPr>
          <w:highlight w:val="yellow"/>
        </w:rPr>
        <w:t>immunisation</w:t>
      </w:r>
      <w:r>
        <w:t xml:space="preserve"> services, </w:t>
      </w:r>
      <w:r>
        <w:rPr>
          <w:highlight w:val="yellow"/>
        </w:rPr>
        <w:t>vaccination-awareness</w:t>
      </w:r>
      <w:r>
        <w:t xml:space="preserve"> programmes </w:t>
      </w:r>
      <w:r>
        <w:rPr>
          <w:highlight w:val="yellow"/>
        </w:rPr>
        <w:t>using</w:t>
      </w:r>
      <w:r>
        <w:t xml:space="preserve"> radio messages</w:t>
      </w:r>
      <w:r>
        <w:rPr>
          <w:highlight w:val="yellow"/>
        </w:rPr>
        <w:t>,</w:t>
      </w:r>
      <w:r>
        <w:t xml:space="preserve"> and </w:t>
      </w:r>
      <w:r>
        <w:rPr>
          <w:highlight w:val="yellow"/>
        </w:rPr>
        <w:t>engagement by</w:t>
      </w:r>
      <w:r>
        <w:t xml:space="preserve"> community health workers</w:t>
      </w:r>
      <w:r>
        <w:rPr>
          <w:highlight w:val="yellow"/>
        </w:rPr>
        <w:t>. These measures should</w:t>
      </w:r>
      <w:r>
        <w:t xml:space="preserve"> also </w:t>
      </w:r>
      <w:r>
        <w:rPr>
          <w:highlight w:val="yellow"/>
        </w:rPr>
        <w:t>raise</w:t>
      </w:r>
      <w:r>
        <w:t xml:space="preserve"> awareness of routine childhood </w:t>
      </w:r>
      <w:r>
        <w:rPr>
          <w:highlight w:val="yellow"/>
        </w:rPr>
        <w:t>immunisation</w:t>
      </w:r>
      <w:r>
        <w:t xml:space="preserve"> schedules. Given the </w:t>
      </w:r>
      <w:r>
        <w:rPr>
          <w:highlight w:val="yellow"/>
        </w:rPr>
        <w:t>influence</w:t>
      </w:r>
      <w:r>
        <w:t xml:space="preserve"> of community factors, policy interventions </w:t>
      </w:r>
      <w:r>
        <w:rPr>
          <w:highlight w:val="yellow"/>
        </w:rPr>
        <w:t>should</w:t>
      </w:r>
      <w:r>
        <w:t xml:space="preserve"> </w:t>
      </w:r>
      <w:r>
        <w:rPr>
          <w:highlight w:val="yellow"/>
        </w:rPr>
        <w:t>complement</w:t>
      </w:r>
      <w:r>
        <w:t xml:space="preserve"> </w:t>
      </w:r>
      <w:r>
        <w:rPr>
          <w:highlight w:val="yellow"/>
        </w:rPr>
        <w:t>individual-level</w:t>
      </w:r>
      <w:r>
        <w:t xml:space="preserve"> care with </w:t>
      </w:r>
      <w:r>
        <w:rPr>
          <w:highlight w:val="yellow"/>
        </w:rPr>
        <w:t>investment in</w:t>
      </w:r>
      <w:r>
        <w:t xml:space="preserve"> community infrastructure and effective </w:t>
      </w:r>
      <w:r>
        <w:rPr>
          <w:highlight w:val="yellow"/>
        </w:rPr>
        <w:t>vaccination-support</w:t>
      </w:r>
      <w:r>
        <w:t xml:space="preserve"> programmes</w:t>
      </w:r>
      <w:r>
        <w:rPr>
          <w:highlight w:val="yellow"/>
        </w:rPr>
        <w:t>,</w:t>
      </w:r>
      <w:r>
        <w:t xml:space="preserve"> including efficient </w:t>
      </w:r>
      <w:r>
        <w:rPr>
          <w:highlight w:val="yellow"/>
        </w:rPr>
        <w:t>vaccine-delivery</w:t>
      </w:r>
      <w:r>
        <w:t xml:space="preserve"> networks</w:t>
      </w:r>
      <w:r>
        <w:rPr>
          <w:highlight w:val="yellow"/>
        </w:rPr>
        <w:t xml:space="preserve"> and</w:t>
      </w:r>
      <w:r>
        <w:t xml:space="preserve"> improved management and delivery of primary </w:t>
      </w:r>
      <w:r>
        <w:rPr>
          <w:highlight w:val="yellow"/>
        </w:rPr>
        <w:t>healthcare</w:t>
      </w:r>
      <w:r>
        <w:t>.</w:t>
      </w:r>
    </w:p>
    <w:p w14:paraId="07B6D080" w14:textId="77777777" w:rsidR="00D37A2F" w:rsidRDefault="00D37A2F" w:rsidP="00D37A2F">
      <w:pPr>
        <w:pStyle w:val="NormalWeb"/>
        <w:jc w:val="both"/>
      </w:pPr>
      <w:r>
        <w:t>5.4 Needs for further studies</w:t>
      </w:r>
    </w:p>
    <w:p w14:paraId="0B698456" w14:textId="77777777" w:rsidR="00D37A2F" w:rsidRDefault="00D37A2F" w:rsidP="00D37A2F">
      <w:pPr>
        <w:pStyle w:val="NormalWeb"/>
        <w:jc w:val="both"/>
      </w:pPr>
      <w:r>
        <w:t>Further work could extend this study by considering Bayesian spatial and spatiotemporal approaches</w:t>
      </w:r>
      <w:r>
        <w:rPr>
          <w:highlight w:val="yellow"/>
        </w:rPr>
        <w:t>,</w:t>
      </w:r>
      <w:r>
        <w:t xml:space="preserve"> including </w:t>
      </w:r>
      <w:r>
        <w:rPr>
          <w:highlight w:val="yellow"/>
        </w:rPr>
        <w:t>conditional autoregressive</w:t>
      </w:r>
      <w:r>
        <w:t xml:space="preserve"> (</w:t>
      </w:r>
      <w:r>
        <w:rPr>
          <w:highlight w:val="yellow"/>
        </w:rPr>
        <w:t>CAR)</w:t>
      </w:r>
      <w:r>
        <w:t xml:space="preserve"> </w:t>
      </w:r>
      <w:r>
        <w:rPr>
          <w:highlight w:val="yellow"/>
        </w:rPr>
        <w:t>and</w:t>
      </w:r>
      <w:r>
        <w:t xml:space="preserve"> </w:t>
      </w:r>
      <w:r>
        <w:rPr>
          <w:highlight w:val="yellow"/>
        </w:rPr>
        <w:t>Besag–York–Mollié</w:t>
      </w:r>
      <w:r>
        <w:t xml:space="preserve"> (</w:t>
      </w:r>
      <w:r>
        <w:rPr>
          <w:highlight w:val="yellow"/>
        </w:rPr>
        <w:t>BYM</w:t>
      </w:r>
      <w:r>
        <w:t>) models</w:t>
      </w:r>
      <w:r>
        <w:rPr>
          <w:highlight w:val="yellow"/>
        </w:rPr>
        <w:t>,</w:t>
      </w:r>
      <w:r>
        <w:t xml:space="preserve"> to identify spatial </w:t>
      </w:r>
      <w:r>
        <w:rPr>
          <w:highlight w:val="yellow"/>
        </w:rPr>
        <w:t>variation</w:t>
      </w:r>
      <w:r>
        <w:t xml:space="preserve"> and </w:t>
      </w:r>
      <w:r>
        <w:rPr>
          <w:highlight w:val="yellow"/>
        </w:rPr>
        <w:t>hotspots</w:t>
      </w:r>
      <w:r>
        <w:t xml:space="preserve"> </w:t>
      </w:r>
      <w:r>
        <w:rPr>
          <w:highlight w:val="yellow"/>
        </w:rPr>
        <w:t>or</w:t>
      </w:r>
      <w:r>
        <w:t xml:space="preserve"> </w:t>
      </w:r>
      <w:r>
        <w:rPr>
          <w:highlight w:val="yellow"/>
        </w:rPr>
        <w:t>coldspots</w:t>
      </w:r>
      <w:r>
        <w:t xml:space="preserve"> </w:t>
      </w:r>
      <w:r>
        <w:rPr>
          <w:highlight w:val="yellow"/>
        </w:rPr>
        <w:t>of</w:t>
      </w:r>
      <w:r>
        <w:t xml:space="preserve"> poor </w:t>
      </w:r>
      <w:r>
        <w:rPr>
          <w:highlight w:val="yellow"/>
        </w:rPr>
        <w:t>childhood</w:t>
      </w:r>
      <w:r>
        <w:t xml:space="preserve"> vaccination coverage. </w:t>
      </w:r>
      <w:r>
        <w:rPr>
          <w:highlight w:val="yellow"/>
        </w:rPr>
        <w:t>Successive</w:t>
      </w:r>
      <w:r>
        <w:t xml:space="preserve"> rounds of </w:t>
      </w:r>
      <w:r>
        <w:rPr>
          <w:highlight w:val="yellow"/>
        </w:rPr>
        <w:t>Nigeria</w:t>
      </w:r>
      <w:r>
        <w:t xml:space="preserve"> Demographic and Health Survey data</w:t>
      </w:r>
      <w:r>
        <w:rPr>
          <w:highlight w:val="yellow"/>
        </w:rPr>
        <w:t xml:space="preserve"> could be examined</w:t>
      </w:r>
      <w:r>
        <w:t xml:space="preserve"> to assess changes in coverage over time. </w:t>
      </w:r>
      <w:r>
        <w:rPr>
          <w:highlight w:val="yellow"/>
        </w:rPr>
        <w:t>Health-system</w:t>
      </w:r>
      <w:r>
        <w:t xml:space="preserve"> factors</w:t>
      </w:r>
      <w:r>
        <w:rPr>
          <w:highlight w:val="yellow"/>
        </w:rPr>
        <w:t>,</w:t>
      </w:r>
      <w:r>
        <w:t xml:space="preserve"> including </w:t>
      </w:r>
      <w:r>
        <w:rPr>
          <w:highlight w:val="yellow"/>
        </w:rPr>
        <w:t xml:space="preserve">vaccine-stock </w:t>
      </w:r>
      <w:r>
        <w:t>availability</w:t>
      </w:r>
      <w:r>
        <w:rPr>
          <w:highlight w:val="yellow"/>
        </w:rPr>
        <w:t>,</w:t>
      </w:r>
      <w:r>
        <w:t xml:space="preserve"> </w:t>
      </w:r>
      <w:r>
        <w:rPr>
          <w:highlight w:val="yellow"/>
        </w:rPr>
        <w:t>cold-chain</w:t>
      </w:r>
      <w:r>
        <w:t xml:space="preserve"> infrastructure, </w:t>
      </w:r>
      <w:r>
        <w:rPr>
          <w:highlight w:val="yellow"/>
        </w:rPr>
        <w:t>workforce capacity,</w:t>
      </w:r>
      <w:r>
        <w:t xml:space="preserve"> and preparedness</w:t>
      </w:r>
      <w:r>
        <w:rPr>
          <w:highlight w:val="yellow"/>
        </w:rPr>
        <w:t>,</w:t>
      </w:r>
      <w:r>
        <w:t xml:space="preserve"> would </w:t>
      </w:r>
      <w:r>
        <w:rPr>
          <w:highlight w:val="yellow"/>
        </w:rPr>
        <w:t>provide</w:t>
      </w:r>
      <w:r>
        <w:t xml:space="preserve"> a more complete </w:t>
      </w:r>
      <w:r>
        <w:rPr>
          <w:highlight w:val="yellow"/>
        </w:rPr>
        <w:t>account</w:t>
      </w:r>
      <w:r>
        <w:t xml:space="preserve"> of </w:t>
      </w:r>
      <w:r>
        <w:rPr>
          <w:highlight w:val="yellow"/>
        </w:rPr>
        <w:t>service-delivery</w:t>
      </w:r>
      <w:r>
        <w:t xml:space="preserve"> </w:t>
      </w:r>
      <w:r>
        <w:rPr>
          <w:highlight w:val="yellow"/>
        </w:rPr>
        <w:t>determinants.</w:t>
      </w:r>
      <w:r>
        <w:t xml:space="preserve"> </w:t>
      </w:r>
      <w:r>
        <w:rPr>
          <w:highlight w:val="yellow"/>
        </w:rPr>
        <w:t>Future</w:t>
      </w:r>
      <w:r>
        <w:t xml:space="preserve"> research should also consider </w:t>
      </w:r>
      <w:r>
        <w:rPr>
          <w:highlight w:val="yellow"/>
        </w:rPr>
        <w:t>behavioural</w:t>
      </w:r>
      <w:r>
        <w:t xml:space="preserve"> and </w:t>
      </w:r>
      <w:r>
        <w:rPr>
          <w:highlight w:val="yellow"/>
        </w:rPr>
        <w:t>sociocultural</w:t>
      </w:r>
      <w:r>
        <w:t xml:space="preserve"> factors, including vaccine hesitancy, misinformation, parental perceptions and beliefs, and cultural </w:t>
      </w:r>
      <w:r>
        <w:rPr>
          <w:highlight w:val="yellow"/>
        </w:rPr>
        <w:t>influences</w:t>
      </w:r>
      <w:r>
        <w:t xml:space="preserve"> that are not </w:t>
      </w:r>
      <w:r>
        <w:rPr>
          <w:highlight w:val="yellow"/>
        </w:rPr>
        <w:t>fully</w:t>
      </w:r>
      <w:r>
        <w:t xml:space="preserve"> represented </w:t>
      </w:r>
      <w:r>
        <w:rPr>
          <w:highlight w:val="yellow"/>
        </w:rPr>
        <w:t>in</w:t>
      </w:r>
      <w:r>
        <w:t xml:space="preserve"> DHS </w:t>
      </w:r>
      <w:r>
        <w:rPr>
          <w:highlight w:val="yellow"/>
        </w:rPr>
        <w:t>datasets</w:t>
      </w:r>
      <w:r>
        <w:t xml:space="preserve">. Comparisons between Bayesian multilevel models and more sophisticated </w:t>
      </w:r>
      <w:r>
        <w:rPr>
          <w:highlight w:val="yellow"/>
        </w:rPr>
        <w:t>machine-learning</w:t>
      </w:r>
      <w:r>
        <w:t xml:space="preserve"> techniques</w:t>
      </w:r>
      <w:r>
        <w:rPr>
          <w:highlight w:val="yellow"/>
        </w:rPr>
        <w:t>,</w:t>
      </w:r>
      <w:r>
        <w:t xml:space="preserve"> </w:t>
      </w:r>
      <w:r>
        <w:rPr>
          <w:highlight w:val="yellow"/>
        </w:rPr>
        <w:t>together</w:t>
      </w:r>
      <w:r>
        <w:t xml:space="preserve"> with causal </w:t>
      </w:r>
      <w:r>
        <w:rPr>
          <w:highlight w:val="yellow"/>
        </w:rPr>
        <w:t>modelling</w:t>
      </w:r>
      <w:r>
        <w:t xml:space="preserve"> </w:t>
      </w:r>
      <w:r>
        <w:rPr>
          <w:highlight w:val="yellow"/>
        </w:rPr>
        <w:t>approaches</w:t>
      </w:r>
      <w:r>
        <w:t xml:space="preserve"> such as </w:t>
      </w:r>
      <w:r>
        <w:rPr>
          <w:highlight w:val="yellow"/>
        </w:rPr>
        <w:t>structural equation modelling</w:t>
      </w:r>
      <w:r>
        <w:t xml:space="preserve"> and causal mediation analysis, </w:t>
      </w:r>
      <w:r>
        <w:rPr>
          <w:highlight w:val="yellow"/>
        </w:rPr>
        <w:t>may</w:t>
      </w:r>
      <w:r>
        <w:t xml:space="preserve"> </w:t>
      </w:r>
      <w:r>
        <w:rPr>
          <w:highlight w:val="yellow"/>
        </w:rPr>
        <w:t>improve</w:t>
      </w:r>
      <w:r>
        <w:t xml:space="preserve"> </w:t>
      </w:r>
      <w:r>
        <w:rPr>
          <w:highlight w:val="yellow"/>
        </w:rPr>
        <w:t>outcome</w:t>
      </w:r>
      <w:r>
        <w:t xml:space="preserve"> </w:t>
      </w:r>
      <w:r>
        <w:rPr>
          <w:highlight w:val="yellow"/>
        </w:rPr>
        <w:t>prediction</w:t>
      </w:r>
      <w:r>
        <w:t xml:space="preserve"> and </w:t>
      </w:r>
      <w:r>
        <w:rPr>
          <w:highlight w:val="yellow"/>
        </w:rPr>
        <w:t>explanation</w:t>
      </w:r>
      <w:r>
        <w:t xml:space="preserve">. </w:t>
      </w:r>
      <w:r>
        <w:rPr>
          <w:highlight w:val="yellow"/>
        </w:rPr>
        <w:t>Informative</w:t>
      </w:r>
      <w:r>
        <w:t xml:space="preserve"> priors and </w:t>
      </w:r>
      <w:r>
        <w:lastRenderedPageBreak/>
        <w:t xml:space="preserve">hierarchical spatiotemporal Bayesian models </w:t>
      </w:r>
      <w:r>
        <w:rPr>
          <w:highlight w:val="yellow"/>
        </w:rPr>
        <w:t>may</w:t>
      </w:r>
      <w:r>
        <w:t xml:space="preserve"> also </w:t>
      </w:r>
      <w:r>
        <w:rPr>
          <w:highlight w:val="yellow"/>
        </w:rPr>
        <w:t>support</w:t>
      </w:r>
      <w:r>
        <w:t xml:space="preserve"> small-area estimation and vaccination policy.</w:t>
      </w:r>
    </w:p>
    <w:p w14:paraId="6A0695CE" w14:textId="77777777" w:rsidR="00D37A2F" w:rsidRDefault="00D37A2F" w:rsidP="00D37A2F">
      <w:pPr>
        <w:pStyle w:val="NormalWeb"/>
        <w:jc w:val="both"/>
      </w:pPr>
      <w:r>
        <w:t>5.5 Limitations of the study</w:t>
      </w:r>
    </w:p>
    <w:p w14:paraId="19ADF361" w14:textId="77777777" w:rsidR="00B90DD9" w:rsidRPr="003B5190" w:rsidRDefault="00B90DD9" w:rsidP="00B90DD9">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Despite </w:t>
      </w:r>
      <w:r>
        <w:rPr>
          <w:rFonts w:ascii="Times New Roman" w:eastAsia="Times New Roman" w:hAnsi="Times New Roman" w:cs="Times New Roman"/>
          <w:sz w:val="24"/>
          <w:szCs w:val="24"/>
          <w:highlight w:val="yellow"/>
        </w:rPr>
        <w:t>its</w:t>
      </w:r>
      <w:r>
        <w:rPr>
          <w:rFonts w:ascii="Times New Roman" w:eastAsia="Times New Roman" w:hAnsi="Times New Roman" w:cs="Times New Roman"/>
          <w:sz w:val="24"/>
          <w:szCs w:val="24"/>
        </w:rPr>
        <w:t xml:space="preserve"> strengths, </w:t>
      </w:r>
      <w:r>
        <w:rPr>
          <w:rFonts w:ascii="Times New Roman" w:eastAsia="Times New Roman" w:hAnsi="Times New Roman" w:cs="Times New Roman"/>
          <w:sz w:val="24"/>
          <w:szCs w:val="24"/>
          <w:highlight w:val="yellow"/>
        </w:rPr>
        <w:t>this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study has</w:t>
      </w:r>
      <w:r>
        <w:rPr>
          <w:rFonts w:ascii="Times New Roman" w:eastAsia="Times New Roman" w:hAnsi="Times New Roman" w:cs="Times New Roman"/>
          <w:sz w:val="24"/>
          <w:szCs w:val="24"/>
        </w:rPr>
        <w:t xml:space="preserve"> several limitations </w:t>
      </w:r>
      <w:r>
        <w:rPr>
          <w:rFonts w:ascii="Times New Roman" w:eastAsia="Times New Roman" w:hAnsi="Times New Roman" w:cs="Times New Roman"/>
          <w:sz w:val="24"/>
          <w:szCs w:val="24"/>
          <w:highlight w:val="yellow"/>
        </w:rPr>
        <w:t>that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should</w:t>
      </w:r>
      <w:r>
        <w:rPr>
          <w:rFonts w:ascii="Times New Roman" w:eastAsia="Times New Roman" w:hAnsi="Times New Roman" w:cs="Times New Roman"/>
          <w:sz w:val="24"/>
          <w:szCs w:val="24"/>
        </w:rPr>
        <w:t xml:space="preserve"> be </w:t>
      </w:r>
      <w:r>
        <w:rPr>
          <w:rFonts w:ascii="Times New Roman" w:eastAsia="Times New Roman" w:hAnsi="Times New Roman" w:cs="Times New Roman"/>
          <w:sz w:val="24"/>
          <w:szCs w:val="24"/>
          <w:highlight w:val="yellow"/>
        </w:rPr>
        <w:t>considered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when</w:t>
      </w:r>
      <w:r>
        <w:rPr>
          <w:rFonts w:ascii="Times New Roman" w:eastAsia="Times New Roman" w:hAnsi="Times New Roman" w:cs="Times New Roman"/>
          <w:sz w:val="24"/>
          <w:szCs w:val="24"/>
        </w:rPr>
        <w:t xml:space="preserve"> interpreting the results. </w:t>
      </w:r>
      <w:r>
        <w:rPr>
          <w:rFonts w:ascii="Times New Roman" w:eastAsia="Times New Roman" w:hAnsi="Times New Roman" w:cs="Times New Roman"/>
          <w:sz w:val="24"/>
          <w:szCs w:val="24"/>
          <w:highlight w:val="yellow"/>
        </w:rPr>
        <w:t>First</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2023–24</w:t>
      </w:r>
      <w:r>
        <w:rPr>
          <w:rFonts w:ascii="Times New Roman" w:eastAsia="Times New Roman" w:hAnsi="Times New Roman" w:cs="Times New Roman"/>
          <w:sz w:val="24"/>
          <w:szCs w:val="24"/>
        </w:rPr>
        <w:t xml:space="preserve"> NDHS data </w:t>
      </w:r>
      <w:r>
        <w:rPr>
          <w:rFonts w:ascii="Times New Roman" w:eastAsia="Times New Roman" w:hAnsi="Times New Roman" w:cs="Times New Roman"/>
          <w:sz w:val="24"/>
          <w:szCs w:val="24"/>
          <w:highlight w:val="yellow"/>
        </w:rPr>
        <w:t>are</w:t>
      </w:r>
      <w:r>
        <w:rPr>
          <w:rFonts w:ascii="Times New Roman" w:eastAsia="Times New Roman" w:hAnsi="Times New Roman" w:cs="Times New Roman"/>
          <w:sz w:val="24"/>
          <w:szCs w:val="24"/>
        </w:rPr>
        <w:t xml:space="preserve"> cross-sectional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therefore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do</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not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permit</w:t>
      </w:r>
      <w:r>
        <w:rPr>
          <w:rFonts w:ascii="Times New Roman" w:eastAsia="Times New Roman" w:hAnsi="Times New Roman" w:cs="Times New Roman"/>
          <w:sz w:val="24"/>
          <w:szCs w:val="24"/>
        </w:rPr>
        <w:t xml:space="preserve"> causal inference</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 observed associations should</w:t>
      </w:r>
      <w:r>
        <w:rPr>
          <w:rFonts w:ascii="Times New Roman" w:eastAsia="Times New Roman" w:hAnsi="Times New Roman" w:cs="Times New Roman"/>
          <w:sz w:val="24"/>
          <w:szCs w:val="24"/>
        </w:rPr>
        <w:t xml:space="preserve"> be </w:t>
      </w:r>
      <w:r>
        <w:rPr>
          <w:rFonts w:ascii="Times New Roman" w:eastAsia="Times New Roman" w:hAnsi="Times New Roman" w:cs="Times New Roman"/>
          <w:sz w:val="24"/>
          <w:szCs w:val="24"/>
          <w:highlight w:val="yellow"/>
        </w:rPr>
        <w:t>interpreted</w:t>
      </w:r>
      <w:r>
        <w:rPr>
          <w:rFonts w:ascii="Times New Roman" w:eastAsia="Times New Roman" w:hAnsi="Times New Roman" w:cs="Times New Roman"/>
          <w:sz w:val="24"/>
          <w:szCs w:val="24"/>
        </w:rPr>
        <w:t xml:space="preserve"> as correlational. </w:t>
      </w:r>
      <w:r>
        <w:rPr>
          <w:rFonts w:ascii="Times New Roman" w:eastAsia="Times New Roman" w:hAnsi="Times New Roman" w:cs="Times New Roman"/>
          <w:sz w:val="24"/>
          <w:szCs w:val="24"/>
          <w:highlight w:val="yellow"/>
        </w:rPr>
        <w:t>Second</w:t>
      </w:r>
      <w:r>
        <w:rPr>
          <w:rFonts w:ascii="Times New Roman" w:eastAsia="Times New Roman" w:hAnsi="Times New Roman" w:cs="Times New Roman"/>
          <w:sz w:val="24"/>
          <w:szCs w:val="24"/>
        </w:rPr>
        <w:t xml:space="preserve">, reliance on secondary data meant that only variables </w:t>
      </w:r>
      <w:r>
        <w:rPr>
          <w:rFonts w:ascii="Times New Roman" w:eastAsia="Times New Roman" w:hAnsi="Times New Roman" w:cs="Times New Roman"/>
          <w:sz w:val="24"/>
          <w:szCs w:val="24"/>
          <w:highlight w:val="yellow"/>
        </w:rPr>
        <w:t>included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in</w:t>
      </w:r>
      <w:r>
        <w:rPr>
          <w:rFonts w:ascii="Times New Roman" w:eastAsia="Times New Roman" w:hAnsi="Times New Roman" w:cs="Times New Roman"/>
          <w:sz w:val="24"/>
          <w:szCs w:val="24"/>
        </w:rPr>
        <w:t xml:space="preserve"> the </w:t>
      </w:r>
      <w:r>
        <w:rPr>
          <w:rFonts w:ascii="Times New Roman" w:eastAsia="Times New Roman" w:hAnsi="Times New Roman" w:cs="Times New Roman"/>
          <w:sz w:val="24"/>
          <w:szCs w:val="24"/>
          <w:highlight w:val="yellow"/>
        </w:rPr>
        <w:t>2023–24</w:t>
      </w:r>
      <w:r>
        <w:rPr>
          <w:rFonts w:ascii="Times New Roman" w:eastAsia="Times New Roman" w:hAnsi="Times New Roman" w:cs="Times New Roman"/>
          <w:sz w:val="24"/>
          <w:szCs w:val="24"/>
        </w:rPr>
        <w:t xml:space="preserve"> NDHS dataset could be examined</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Factors</w:t>
      </w:r>
      <w:r>
        <w:rPr>
          <w:rFonts w:ascii="Times New Roman" w:eastAsia="Times New Roman" w:hAnsi="Times New Roman" w:cs="Times New Roman"/>
          <w:sz w:val="24"/>
          <w:szCs w:val="24"/>
        </w:rPr>
        <w:t xml:space="preserve"> such as vaccine hesitancy, parental attitudes, </w:t>
      </w:r>
      <w:r>
        <w:rPr>
          <w:rFonts w:ascii="Times New Roman" w:eastAsia="Times New Roman" w:hAnsi="Times New Roman" w:cs="Times New Roman"/>
          <w:sz w:val="24"/>
          <w:szCs w:val="24"/>
          <w:highlight w:val="yellow"/>
        </w:rPr>
        <w:t>sociocultural</w:t>
      </w:r>
      <w:r>
        <w:rPr>
          <w:rFonts w:ascii="Times New Roman" w:eastAsia="Times New Roman" w:hAnsi="Times New Roman" w:cs="Times New Roman"/>
          <w:sz w:val="24"/>
          <w:szCs w:val="24"/>
        </w:rPr>
        <w:t xml:space="preserve"> and religious </w:t>
      </w:r>
      <w:r>
        <w:rPr>
          <w:rFonts w:ascii="Times New Roman" w:eastAsia="Times New Roman" w:hAnsi="Times New Roman" w:cs="Times New Roman"/>
          <w:sz w:val="24"/>
          <w:szCs w:val="24"/>
          <w:highlight w:val="yellow"/>
        </w:rPr>
        <w:t>influences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vaccine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rumours</w:t>
      </w:r>
      <w:r>
        <w:rPr>
          <w:rFonts w:ascii="Times New Roman" w:eastAsia="Times New Roman" w:hAnsi="Times New Roman" w:cs="Times New Roman"/>
          <w:sz w:val="24"/>
          <w:szCs w:val="24"/>
        </w:rPr>
        <w:t>, health workers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practices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vaccine-supply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shortages</w:t>
      </w:r>
      <w:r>
        <w:rPr>
          <w:rFonts w:ascii="Times New Roman" w:eastAsia="Times New Roman" w:hAnsi="Times New Roman" w:cs="Times New Roman"/>
          <w:sz w:val="24"/>
          <w:szCs w:val="24"/>
        </w:rPr>
        <w:t xml:space="preserve">, cold-chain </w:t>
      </w:r>
      <w:r>
        <w:rPr>
          <w:rFonts w:ascii="Times New Roman" w:eastAsia="Times New Roman" w:hAnsi="Times New Roman" w:cs="Times New Roman"/>
          <w:sz w:val="24"/>
          <w:szCs w:val="24"/>
          <w:highlight w:val="yellow"/>
        </w:rPr>
        <w:t>systems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and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health-facility</w:t>
      </w:r>
      <w:r>
        <w:rPr>
          <w:rFonts w:ascii="Times New Roman" w:eastAsia="Times New Roman" w:hAnsi="Times New Roman" w:cs="Times New Roman"/>
          <w:sz w:val="24"/>
          <w:szCs w:val="24"/>
        </w:rPr>
        <w:t xml:space="preserve"> capacity </w:t>
      </w:r>
      <w:r>
        <w:rPr>
          <w:rFonts w:ascii="Times New Roman" w:eastAsia="Times New Roman" w:hAnsi="Times New Roman" w:cs="Times New Roman"/>
          <w:sz w:val="24"/>
          <w:szCs w:val="24"/>
          <w:highlight w:val="yellow"/>
        </w:rPr>
        <w:t>could not</w:t>
      </w:r>
      <w:r>
        <w:rPr>
          <w:rFonts w:ascii="Times New Roman" w:eastAsia="Times New Roman" w:hAnsi="Times New Roman" w:cs="Times New Roman"/>
          <w:sz w:val="24"/>
          <w:szCs w:val="24"/>
        </w:rPr>
        <w:t xml:space="preserve"> be explored. </w:t>
      </w:r>
      <w:r>
        <w:rPr>
          <w:rFonts w:ascii="Times New Roman" w:eastAsia="Times New Roman" w:hAnsi="Times New Roman" w:cs="Times New Roman"/>
          <w:sz w:val="24"/>
          <w:szCs w:val="24"/>
          <w:highlight w:val="yellow"/>
        </w:rPr>
        <w:t>Third</w:t>
      </w:r>
      <w:r>
        <w:rPr>
          <w:rFonts w:ascii="Times New Roman" w:eastAsia="Times New Roman" w:hAnsi="Times New Roman" w:cs="Times New Roman"/>
          <w:sz w:val="24"/>
          <w:szCs w:val="24"/>
        </w:rPr>
        <w:t xml:space="preserve">, childhood </w:t>
      </w:r>
      <w:r>
        <w:rPr>
          <w:rFonts w:ascii="Times New Roman" w:eastAsia="Times New Roman" w:hAnsi="Times New Roman" w:cs="Times New Roman"/>
          <w:sz w:val="24"/>
          <w:szCs w:val="24"/>
          <w:highlight w:val="yellow"/>
        </w:rPr>
        <w:t>immunisation status</w:t>
      </w:r>
      <w:r>
        <w:rPr>
          <w:rFonts w:ascii="Times New Roman" w:eastAsia="Times New Roman" w:hAnsi="Times New Roman" w:cs="Times New Roman"/>
          <w:sz w:val="24"/>
          <w:szCs w:val="24"/>
        </w:rPr>
        <w:t xml:space="preserve"> was </w:t>
      </w:r>
      <w:r>
        <w:rPr>
          <w:rFonts w:ascii="Times New Roman" w:eastAsia="Times New Roman" w:hAnsi="Times New Roman" w:cs="Times New Roman"/>
          <w:sz w:val="24"/>
          <w:szCs w:val="24"/>
          <w:highlight w:val="yellow"/>
        </w:rPr>
        <w:t>assessed</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using</w:t>
      </w:r>
      <w:r>
        <w:rPr>
          <w:rFonts w:ascii="Times New Roman" w:eastAsia="Times New Roman" w:hAnsi="Times New Roman" w:cs="Times New Roman"/>
          <w:sz w:val="24"/>
          <w:szCs w:val="24"/>
        </w:rPr>
        <w:t xml:space="preserve"> vaccination cards and maternal </w:t>
      </w:r>
      <w:r>
        <w:rPr>
          <w:rFonts w:ascii="Times New Roman" w:eastAsia="Times New Roman" w:hAnsi="Times New Roman" w:cs="Times New Roman"/>
          <w:sz w:val="24"/>
          <w:szCs w:val="24"/>
          <w:highlight w:val="yellow"/>
        </w:rPr>
        <w:t>recall</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which</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may</w:t>
      </w:r>
      <w:r>
        <w:rPr>
          <w:rFonts w:ascii="Times New Roman" w:eastAsia="Times New Roman" w:hAnsi="Times New Roman" w:cs="Times New Roman"/>
          <w:sz w:val="24"/>
          <w:szCs w:val="24"/>
        </w:rPr>
        <w:t xml:space="preserve"> be </w:t>
      </w:r>
      <w:r>
        <w:rPr>
          <w:rFonts w:ascii="Times New Roman" w:eastAsia="Times New Roman" w:hAnsi="Times New Roman" w:cs="Times New Roman"/>
          <w:sz w:val="24"/>
          <w:szCs w:val="24"/>
          <w:highlight w:val="yellow"/>
        </w:rPr>
        <w:t>subject</w:t>
      </w:r>
      <w:r>
        <w:rPr>
          <w:rFonts w:ascii="Times New Roman" w:eastAsia="Times New Roman" w:hAnsi="Times New Roman" w:cs="Times New Roman"/>
          <w:sz w:val="24"/>
          <w:szCs w:val="24"/>
        </w:rPr>
        <w:t xml:space="preserve"> to reporting and recall bias</w:t>
      </w:r>
      <w:r>
        <w:rPr>
          <w:rFonts w:ascii="Times New Roman" w:eastAsia="Times New Roman" w:hAnsi="Times New Roman" w:cs="Times New Roman"/>
          <w:sz w:val="24"/>
          <w:szCs w:val="24"/>
          <w:highlight w:val="yellow"/>
        </w:rPr>
        <w:t>.</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Although</w:t>
      </w:r>
      <w:r>
        <w:rPr>
          <w:rFonts w:ascii="Times New Roman" w:eastAsia="Times New Roman" w:hAnsi="Times New Roman" w:cs="Times New Roman"/>
          <w:sz w:val="24"/>
          <w:szCs w:val="24"/>
        </w:rPr>
        <w:t xml:space="preserve"> the Bayesian hierarchical model </w:t>
      </w:r>
      <w:r>
        <w:rPr>
          <w:rFonts w:ascii="Times New Roman" w:eastAsia="Times New Roman" w:hAnsi="Times New Roman" w:cs="Times New Roman"/>
          <w:sz w:val="24"/>
          <w:szCs w:val="24"/>
          <w:highlight w:val="yellow"/>
        </w:rPr>
        <w:t>accommodates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multistage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clustered</w:t>
      </w:r>
      <w:r>
        <w:rPr>
          <w:rFonts w:ascii="Times New Roman" w:eastAsia="Times New Roman" w:hAnsi="Times New Roman" w:cs="Times New Roman"/>
          <w:sz w:val="24"/>
          <w:szCs w:val="24"/>
        </w:rPr>
        <w:t xml:space="preserve"> survey designs, unobserved contextual influences on childhood </w:t>
      </w:r>
      <w:r>
        <w:rPr>
          <w:rFonts w:ascii="Times New Roman" w:eastAsia="Times New Roman" w:hAnsi="Times New Roman" w:cs="Times New Roman"/>
          <w:sz w:val="24"/>
          <w:szCs w:val="24"/>
          <w:highlight w:val="yellow"/>
        </w:rPr>
        <w:t>immunisation</w:t>
      </w:r>
      <w:r>
        <w:rPr>
          <w:rFonts w:ascii="Times New Roman" w:eastAsia="Times New Roman" w:hAnsi="Times New Roman" w:cs="Times New Roman"/>
          <w:sz w:val="24"/>
          <w:szCs w:val="24"/>
        </w:rPr>
        <w:t xml:space="preserve"> cannot be ruled out. Furthermore, Bayesian analysis </w:t>
      </w:r>
      <w:r>
        <w:rPr>
          <w:rFonts w:ascii="Times New Roman" w:eastAsia="Times New Roman" w:hAnsi="Times New Roman" w:cs="Times New Roman"/>
          <w:sz w:val="24"/>
          <w:szCs w:val="24"/>
          <w:highlight w:val="yellow"/>
        </w:rPr>
        <w:t>requires</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greater</w:t>
      </w:r>
      <w:r>
        <w:rPr>
          <w:rFonts w:ascii="Times New Roman" w:eastAsia="Times New Roman" w:hAnsi="Times New Roman" w:cs="Times New Roman"/>
          <w:sz w:val="24"/>
          <w:szCs w:val="24"/>
        </w:rPr>
        <w:t xml:space="preserve"> computational </w:t>
      </w:r>
      <w:r>
        <w:rPr>
          <w:rFonts w:ascii="Times New Roman" w:eastAsia="Times New Roman" w:hAnsi="Times New Roman" w:cs="Times New Roman"/>
          <w:sz w:val="24"/>
          <w:szCs w:val="24"/>
          <w:highlight w:val="yellow"/>
        </w:rPr>
        <w:t>resources</w:t>
      </w:r>
      <w:r>
        <w:rPr>
          <w:rFonts w:ascii="Times New Roman" w:eastAsia="Times New Roman" w:hAnsi="Times New Roman" w:cs="Times New Roman"/>
          <w:sz w:val="24"/>
          <w:szCs w:val="24"/>
        </w:rPr>
        <w:t xml:space="preserve"> and </w:t>
      </w:r>
      <w:r>
        <w:rPr>
          <w:rFonts w:ascii="Times New Roman" w:eastAsia="Times New Roman" w:hAnsi="Times New Roman" w:cs="Times New Roman"/>
          <w:sz w:val="24"/>
          <w:szCs w:val="24"/>
          <w:highlight w:val="yellow"/>
        </w:rPr>
        <w:t>expertise</w:t>
      </w:r>
      <w:r>
        <w:rPr>
          <w:rFonts w:ascii="Times New Roman" w:eastAsia="Times New Roman" w:hAnsi="Times New Roman" w:cs="Times New Roman"/>
          <w:sz w:val="24"/>
          <w:szCs w:val="24"/>
        </w:rPr>
        <w:t xml:space="preserve"> to define appropriate priors and </w:t>
      </w:r>
      <w:r>
        <w:rPr>
          <w:rFonts w:ascii="Times New Roman" w:eastAsia="Times New Roman" w:hAnsi="Times New Roman" w:cs="Times New Roman"/>
          <w:sz w:val="24"/>
          <w:szCs w:val="24"/>
          <w:highlight w:val="yellow"/>
        </w:rPr>
        <w:t>may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therefore</w:t>
      </w:r>
      <w:r>
        <w:rPr>
          <w:rFonts w:ascii="Times New Roman" w:eastAsia="Times New Roman" w:hAnsi="Times New Roman" w:cs="Times New Roman"/>
          <w:sz w:val="24"/>
          <w:szCs w:val="24"/>
        </w:rPr>
        <w:t xml:space="preserve"> be more difficult to </w:t>
      </w:r>
      <w:r>
        <w:rPr>
          <w:rFonts w:ascii="Times New Roman" w:eastAsia="Times New Roman" w:hAnsi="Times New Roman" w:cs="Times New Roman"/>
          <w:sz w:val="24"/>
          <w:szCs w:val="24"/>
          <w:highlight w:val="yellow"/>
        </w:rPr>
        <w:t>use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routinely</w:t>
      </w:r>
      <w:r>
        <w:rPr>
          <w:rFonts w:ascii="Times New Roman" w:eastAsia="Times New Roman" w:hAnsi="Times New Roman" w:cs="Times New Roman"/>
          <w:sz w:val="24"/>
          <w:szCs w:val="24"/>
        </w:rPr>
        <w:t xml:space="preserve"> in resource-poor settings. Notwithstanding </w:t>
      </w:r>
      <w:r>
        <w:rPr>
          <w:rFonts w:ascii="Times New Roman" w:eastAsia="Times New Roman" w:hAnsi="Times New Roman" w:cs="Times New Roman"/>
          <w:sz w:val="24"/>
          <w:szCs w:val="24"/>
          <w:highlight w:val="yellow"/>
        </w:rPr>
        <w:t>these</w:t>
      </w:r>
      <w:r>
        <w:rPr>
          <w:rFonts w:ascii="Times New Roman" w:eastAsia="Times New Roman" w:hAnsi="Times New Roman" w:cs="Times New Roman"/>
          <w:sz w:val="24"/>
          <w:szCs w:val="24"/>
        </w:rPr>
        <w:t xml:space="preserve"> limitations, the analysis </w:t>
      </w:r>
      <w:r>
        <w:rPr>
          <w:rFonts w:ascii="Times New Roman" w:eastAsia="Times New Roman" w:hAnsi="Times New Roman" w:cs="Times New Roman"/>
          <w:sz w:val="24"/>
          <w:szCs w:val="24"/>
          <w:highlight w:val="yellow"/>
        </w:rPr>
        <w:t>contributes</w:t>
      </w:r>
      <w:r>
        <w:rPr>
          <w:rFonts w:ascii="Times New Roman" w:eastAsia="Times New Roman" w:hAnsi="Times New Roman" w:cs="Times New Roman"/>
          <w:sz w:val="24"/>
          <w:szCs w:val="24"/>
        </w:rPr>
        <w:t xml:space="preserve"> to </w:t>
      </w:r>
      <w:r>
        <w:rPr>
          <w:rFonts w:ascii="Times New Roman" w:eastAsia="Times New Roman" w:hAnsi="Times New Roman" w:cs="Times New Roman"/>
          <w:sz w:val="24"/>
          <w:szCs w:val="24"/>
          <w:highlight w:val="yellow"/>
        </w:rPr>
        <w:t>health-policy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highlight w:val="yellow"/>
        </w:rPr>
        <w:t>evidence</w:t>
      </w:r>
      <w:r>
        <w:rPr>
          <w:rFonts w:ascii="Times New Roman" w:eastAsia="Times New Roman" w:hAnsi="Times New Roman" w:cs="Times New Roman"/>
          <w:sz w:val="24"/>
          <w:szCs w:val="24"/>
        </w:rPr>
        <w:t xml:space="preserve"> by </w:t>
      </w:r>
      <w:r>
        <w:rPr>
          <w:rFonts w:ascii="Times New Roman" w:eastAsia="Times New Roman" w:hAnsi="Times New Roman" w:cs="Times New Roman"/>
          <w:sz w:val="24"/>
          <w:szCs w:val="24"/>
          <w:highlight w:val="yellow"/>
        </w:rPr>
        <w:t>using</w:t>
      </w:r>
      <w:r>
        <w:rPr>
          <w:rFonts w:ascii="Times New Roman" w:eastAsia="Times New Roman" w:hAnsi="Times New Roman" w:cs="Times New Roman"/>
          <w:sz w:val="24"/>
          <w:szCs w:val="24"/>
        </w:rPr>
        <w:t xml:space="preserve"> nationally representative data and </w:t>
      </w:r>
      <w:r>
        <w:rPr>
          <w:rFonts w:ascii="Times New Roman" w:eastAsia="Times New Roman" w:hAnsi="Times New Roman" w:cs="Times New Roman"/>
          <w:sz w:val="24"/>
          <w:szCs w:val="24"/>
          <w:highlight w:val="yellow"/>
        </w:rPr>
        <w:t>comparing</w:t>
      </w:r>
      <w:r>
        <w:rPr>
          <w:rFonts w:ascii="Times New Roman" w:eastAsia="Times New Roman" w:hAnsi="Times New Roman" w:cs="Times New Roman"/>
          <w:sz w:val="24"/>
          <w:szCs w:val="24"/>
        </w:rPr>
        <w:t xml:space="preserve"> classical and Bayesian hierarchical logistic regression models.</w:t>
      </w:r>
    </w:p>
    <w:p w14:paraId="415E8729" w14:textId="77777777" w:rsidR="00D37A2F" w:rsidRPr="002461B8" w:rsidRDefault="00D37A2F" w:rsidP="00D37A2F">
      <w:pPr>
        <w:spacing w:after="0" w:line="240" w:lineRule="auto"/>
        <w:rPr>
          <w:rFonts w:ascii="Times New Roman" w:eastAsia="Calibri" w:hAnsi="Times New Roman" w:cs="Times New Roman"/>
          <w:b/>
          <w:bCs/>
          <w:sz w:val="24"/>
          <w:szCs w:val="24"/>
        </w:rPr>
      </w:pPr>
      <w:r w:rsidRPr="002461B8">
        <w:rPr>
          <w:rFonts w:ascii="Times New Roman" w:eastAsia="Calibri" w:hAnsi="Times New Roman" w:cs="Times New Roman"/>
          <w:b/>
          <w:bCs/>
          <w:sz w:val="24"/>
          <w:szCs w:val="24"/>
        </w:rPr>
        <w:t>Declaration of AI Use</w:t>
      </w:r>
    </w:p>
    <w:p w14:paraId="62740F34" w14:textId="77777777" w:rsidR="00D37A2F" w:rsidRPr="00234426" w:rsidRDefault="00D37A2F" w:rsidP="00D37A2F">
      <w:pPr>
        <w:spacing w:after="0" w:line="240" w:lineRule="auto"/>
        <w:rPr>
          <w:rFonts w:ascii="Times New Roman" w:eastAsia="Calibri" w:hAnsi="Times New Roman" w:cs="Times New Roman"/>
        </w:rPr>
      </w:pPr>
    </w:p>
    <w:p w14:paraId="6F1E0BEF" w14:textId="77777777" w:rsidR="00410E74" w:rsidRDefault="00410E74" w:rsidP="00D37A2F">
      <w:pPr>
        <w:pStyle w:val="Heading2"/>
        <w:rPr>
          <w:rFonts w:eastAsia="Calibri"/>
          <w:b w:val="0"/>
          <w:bCs w:val="0"/>
          <w:sz w:val="22"/>
          <w:szCs w:val="22"/>
        </w:rPr>
      </w:pPr>
      <w:r w:rsidRPr="00410E74">
        <w:rPr>
          <w:rFonts w:eastAsia="Calibri"/>
          <w:b w:val="0"/>
          <w:bCs w:val="0"/>
          <w:sz w:val="22"/>
          <w:szCs w:val="22"/>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F782F81" w14:textId="3CF71CF1" w:rsidR="00D37A2F" w:rsidRPr="00372D2F" w:rsidRDefault="00D37A2F" w:rsidP="00D37A2F">
      <w:pPr>
        <w:pStyle w:val="Heading2"/>
        <w:rPr>
          <w:sz w:val="24"/>
          <w:szCs w:val="24"/>
        </w:rPr>
      </w:pPr>
      <w:r w:rsidRPr="00372D2F">
        <w:rPr>
          <w:sz w:val="24"/>
          <w:szCs w:val="24"/>
        </w:rPr>
        <w:t xml:space="preserve">References </w:t>
      </w:r>
    </w:p>
    <w:p w14:paraId="367C435F"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Abah, E., </w:t>
      </w:r>
      <w:proofErr w:type="spellStart"/>
      <w:r w:rsidRPr="00466920">
        <w:rPr>
          <w:rFonts w:ascii="Times New Roman" w:eastAsia="Times New Roman" w:hAnsi="Times New Roman" w:cs="Times New Roman"/>
          <w:sz w:val="24"/>
          <w:szCs w:val="24"/>
        </w:rPr>
        <w:t>Garkuwa</w:t>
      </w:r>
      <w:proofErr w:type="spellEnd"/>
      <w:r w:rsidRPr="00466920">
        <w:rPr>
          <w:rFonts w:ascii="Times New Roman" w:eastAsia="Times New Roman" w:hAnsi="Times New Roman" w:cs="Times New Roman"/>
          <w:sz w:val="24"/>
          <w:szCs w:val="24"/>
        </w:rPr>
        <w:t xml:space="preserve">, U. A., &amp; Ejeh, S. (2026). Parental knowledge, attitudes, and sociocultural determinants of childhood immunization uptake in </w:t>
      </w:r>
      <w:proofErr w:type="spellStart"/>
      <w:r w:rsidRPr="00466920">
        <w:rPr>
          <w:rFonts w:ascii="Times New Roman" w:eastAsia="Times New Roman" w:hAnsi="Times New Roman" w:cs="Times New Roman"/>
          <w:sz w:val="24"/>
          <w:szCs w:val="24"/>
        </w:rPr>
        <w:t>Azare</w:t>
      </w:r>
      <w:proofErr w:type="spellEnd"/>
      <w:r w:rsidRPr="00466920">
        <w:rPr>
          <w:rFonts w:ascii="Times New Roman" w:eastAsia="Times New Roman" w:hAnsi="Times New Roman" w:cs="Times New Roman"/>
          <w:sz w:val="24"/>
          <w:szCs w:val="24"/>
        </w:rPr>
        <w:t xml:space="preserve">, Bauchi State, Nigeria: A cross-sectional study. </w:t>
      </w:r>
      <w:r w:rsidRPr="00466920">
        <w:rPr>
          <w:rFonts w:ascii="Times New Roman" w:eastAsia="Times New Roman" w:hAnsi="Times New Roman" w:cs="Times New Roman"/>
          <w:i/>
          <w:iCs/>
          <w:sz w:val="24"/>
          <w:szCs w:val="24"/>
        </w:rPr>
        <w:t>Discover Health Systems, 5</w:t>
      </w:r>
      <w:r w:rsidRPr="00466920">
        <w:rPr>
          <w:rFonts w:ascii="Times New Roman" w:eastAsia="Times New Roman" w:hAnsi="Times New Roman" w:cs="Times New Roman"/>
          <w:sz w:val="24"/>
          <w:szCs w:val="24"/>
        </w:rPr>
        <w:t xml:space="preserve">, Article 36. </w:t>
      </w:r>
      <w:hyperlink r:id="rId70" w:history="1">
        <w:r w:rsidRPr="00466920">
          <w:rPr>
            <w:rFonts w:ascii="Times New Roman" w:eastAsia="Times New Roman" w:hAnsi="Times New Roman" w:cs="Times New Roman"/>
            <w:color w:val="0000FF"/>
            <w:sz w:val="24"/>
            <w:szCs w:val="24"/>
            <w:u w:val="single"/>
          </w:rPr>
          <w:t>https://doi.org/10.1007/s44250-026-00379-y</w:t>
        </w:r>
      </w:hyperlink>
    </w:p>
    <w:p w14:paraId="583169AE"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Ali, H. A., Hartner, A.-M., Echeverria-Londono, S., Roth, J., Li, X., Abbas, K., Portnoy, A., </w:t>
      </w:r>
      <w:proofErr w:type="spellStart"/>
      <w:r w:rsidRPr="00466920">
        <w:rPr>
          <w:rFonts w:ascii="Times New Roman" w:eastAsia="Times New Roman" w:hAnsi="Times New Roman" w:cs="Times New Roman"/>
          <w:sz w:val="24"/>
          <w:szCs w:val="24"/>
        </w:rPr>
        <w:t>Vynnycky</w:t>
      </w:r>
      <w:proofErr w:type="spellEnd"/>
      <w:r w:rsidRPr="00466920">
        <w:rPr>
          <w:rFonts w:ascii="Times New Roman" w:eastAsia="Times New Roman" w:hAnsi="Times New Roman" w:cs="Times New Roman"/>
          <w:sz w:val="24"/>
          <w:szCs w:val="24"/>
        </w:rPr>
        <w:t xml:space="preserve">, E., Woodruff, K., Ferguson, N. M., Toor, J., &amp; Gaythorpe, K. A. M. (2022). Vaccine equity in </w:t>
      </w:r>
      <w:proofErr w:type="gramStart"/>
      <w:r w:rsidRPr="00466920">
        <w:rPr>
          <w:rFonts w:ascii="Times New Roman" w:eastAsia="Times New Roman" w:hAnsi="Times New Roman" w:cs="Times New Roman"/>
          <w:sz w:val="24"/>
          <w:szCs w:val="24"/>
        </w:rPr>
        <w:t>low and middle income</w:t>
      </w:r>
      <w:proofErr w:type="gramEnd"/>
      <w:r w:rsidRPr="00466920">
        <w:rPr>
          <w:rFonts w:ascii="Times New Roman" w:eastAsia="Times New Roman" w:hAnsi="Times New Roman" w:cs="Times New Roman"/>
          <w:sz w:val="24"/>
          <w:szCs w:val="24"/>
        </w:rPr>
        <w:t xml:space="preserve"> countries: A systematic review and meta-analysis. </w:t>
      </w:r>
      <w:r w:rsidRPr="00466920">
        <w:rPr>
          <w:rFonts w:ascii="Times New Roman" w:eastAsia="Times New Roman" w:hAnsi="Times New Roman" w:cs="Times New Roman"/>
          <w:i/>
          <w:iCs/>
          <w:sz w:val="24"/>
          <w:szCs w:val="24"/>
        </w:rPr>
        <w:t>International Journal for Equity in Health, 21</w:t>
      </w:r>
      <w:r w:rsidRPr="00466920">
        <w:rPr>
          <w:rFonts w:ascii="Times New Roman" w:eastAsia="Times New Roman" w:hAnsi="Times New Roman" w:cs="Times New Roman"/>
          <w:sz w:val="24"/>
          <w:szCs w:val="24"/>
        </w:rPr>
        <w:t xml:space="preserve">, Article 82. </w:t>
      </w:r>
      <w:hyperlink r:id="rId71" w:history="1">
        <w:r w:rsidRPr="00466920">
          <w:rPr>
            <w:rFonts w:ascii="Times New Roman" w:eastAsia="Times New Roman" w:hAnsi="Times New Roman" w:cs="Times New Roman"/>
            <w:color w:val="0000FF"/>
            <w:sz w:val="24"/>
            <w:szCs w:val="24"/>
            <w:u w:val="single"/>
          </w:rPr>
          <w:t>https://doi.org/10.1186/s12939-022-01678-5</w:t>
        </w:r>
      </w:hyperlink>
    </w:p>
    <w:p w14:paraId="7AB00DB3"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Arsenault, C., Johri, M., Nandi, A., Mendoza Rodríguez, J. M., Hansen, P. M., &amp; Harper, S. (2017). Country-level predictors of vaccination coverage and inequalities in Gavi-supported countries. </w:t>
      </w:r>
      <w:r w:rsidRPr="00466920">
        <w:rPr>
          <w:rFonts w:ascii="Times New Roman" w:eastAsia="Times New Roman" w:hAnsi="Times New Roman" w:cs="Times New Roman"/>
          <w:i/>
          <w:iCs/>
          <w:sz w:val="24"/>
          <w:szCs w:val="24"/>
        </w:rPr>
        <w:t>Vaccine, 35</w:t>
      </w:r>
      <w:r w:rsidRPr="00466920">
        <w:rPr>
          <w:rFonts w:ascii="Times New Roman" w:eastAsia="Times New Roman" w:hAnsi="Times New Roman" w:cs="Times New Roman"/>
          <w:sz w:val="24"/>
          <w:szCs w:val="24"/>
        </w:rPr>
        <w:t xml:space="preserve">(18), 2479–2488. </w:t>
      </w:r>
      <w:hyperlink r:id="rId72" w:history="1">
        <w:r w:rsidRPr="00466920">
          <w:rPr>
            <w:rFonts w:ascii="Times New Roman" w:eastAsia="Times New Roman" w:hAnsi="Times New Roman" w:cs="Times New Roman"/>
            <w:color w:val="0000FF"/>
            <w:sz w:val="24"/>
            <w:szCs w:val="24"/>
            <w:u w:val="single"/>
          </w:rPr>
          <w:t>https://doi.org/10.1016/j.vaccine.2017.03.029</w:t>
        </w:r>
      </w:hyperlink>
    </w:p>
    <w:p w14:paraId="4F0A95E5"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lastRenderedPageBreak/>
        <w:t xml:space="preserve">Bangura, J. B., Xiao, S., Qiu, D., Ouyang, F., &amp; Chen, L. (2020). Barriers to childhood immunization in sub-Saharan Africa: A systematic review. </w:t>
      </w:r>
      <w:r w:rsidRPr="00466920">
        <w:rPr>
          <w:rFonts w:ascii="Times New Roman" w:eastAsia="Times New Roman" w:hAnsi="Times New Roman" w:cs="Times New Roman"/>
          <w:i/>
          <w:iCs/>
          <w:sz w:val="24"/>
          <w:szCs w:val="24"/>
        </w:rPr>
        <w:t>BMC Public Health, 20</w:t>
      </w:r>
      <w:r w:rsidRPr="00466920">
        <w:rPr>
          <w:rFonts w:ascii="Times New Roman" w:eastAsia="Times New Roman" w:hAnsi="Times New Roman" w:cs="Times New Roman"/>
          <w:sz w:val="24"/>
          <w:szCs w:val="24"/>
        </w:rPr>
        <w:t xml:space="preserve">, Article 1108. </w:t>
      </w:r>
      <w:hyperlink r:id="rId73" w:history="1">
        <w:r w:rsidRPr="00466920">
          <w:rPr>
            <w:rFonts w:ascii="Times New Roman" w:eastAsia="Times New Roman" w:hAnsi="Times New Roman" w:cs="Times New Roman"/>
            <w:color w:val="0000FF"/>
            <w:sz w:val="24"/>
            <w:szCs w:val="24"/>
            <w:u w:val="single"/>
          </w:rPr>
          <w:t>https://doi.org/10.1186/s12889-020-09169-4</w:t>
        </w:r>
      </w:hyperlink>
    </w:p>
    <w:p>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eastAsia="Times New Roman" w:cs="Times New Roman"/>
          <w:b/>
          <w:i w:val="0"/>
          <w:sz w:val="24"/>
          <w:highlight w:val="yellow"/>
        </w:rPr>
        <w:t xml:space="preserve">Bolarinwa, O. A., Salaudeen, G. A., Lar, L., Alhaffar, M., Abdelmagid, N., McGowan, C. R., Adesoro, O., Valentine, P., Ahmed, T., Clarke, A., Makunja, S., &amp; Akande, T. M. (2025). Barriers and enablers to childhood immunization in high zero-dose burden communities in Kano and Lagos states, Nigeria. </w:t>
      </w:r>
      <w:r>
        <w:rPr>
          <w:rFonts w:ascii="Times New Roman" w:hAnsi="Times New Roman" w:eastAsia="Times New Roman" w:cs="Times New Roman"/>
          <w:b/>
          <w:i/>
          <w:sz w:val="24"/>
          <w:highlight w:val="yellow"/>
        </w:rPr>
        <w:t>Vaccine, 64</w:t>
      </w:r>
      <w:r>
        <w:rPr>
          <w:rFonts w:ascii="Times New Roman" w:hAnsi="Times New Roman" w:eastAsia="Times New Roman" w:cs="Times New Roman"/>
          <w:b/>
          <w:i w:val="0"/>
          <w:sz w:val="24"/>
          <w:highlight w:val="yellow"/>
        </w:rPr>
        <w:t xml:space="preserve">, 127754. </w:t>
      </w:r>
      <w:hyperlink r:id="rId94" w:history="1">
        <w:r>
          <w:rPr>
            <w:rFonts w:ascii="Times New Roman" w:hAnsi="Times New Roman" w:eastAsia="Times New Roman" w:cs="Times New Roman"/>
            <w:b/>
            <w:color w:val="000000"/>
            <w:highlight w:val="yellow"/>
            <w:sz w:val="24"/>
            <w:szCs w:val="24"/>
            <w:u w:val="single"/>
          </w:rPr>
          <w:t>https://doi.org/10.1016/j.vaccine.2025.127754</w:t>
        </w:r>
      </w:hyperlink>
    </w:p>
    <w:p w14:paraId="6425546C"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Bosch-</w:t>
      </w:r>
      <w:proofErr w:type="spellStart"/>
      <w:r w:rsidRPr="00466920">
        <w:rPr>
          <w:rFonts w:ascii="Times New Roman" w:eastAsia="Times New Roman" w:hAnsi="Times New Roman" w:cs="Times New Roman"/>
          <w:sz w:val="24"/>
          <w:szCs w:val="24"/>
        </w:rPr>
        <w:t>Capblanch</w:t>
      </w:r>
      <w:proofErr w:type="spellEnd"/>
      <w:r w:rsidRPr="00466920">
        <w:rPr>
          <w:rFonts w:ascii="Times New Roman" w:eastAsia="Times New Roman" w:hAnsi="Times New Roman" w:cs="Times New Roman"/>
          <w:sz w:val="24"/>
          <w:szCs w:val="24"/>
        </w:rPr>
        <w:t xml:space="preserve">, X., Banerjee, K., &amp; Burton, A. (2012). Unvaccinated children in years of increasing coverage: How many and who are they? Evidence from 96 low- and middle-income countries. </w:t>
      </w:r>
      <w:r w:rsidRPr="00466920">
        <w:rPr>
          <w:rFonts w:ascii="Times New Roman" w:eastAsia="Times New Roman" w:hAnsi="Times New Roman" w:cs="Times New Roman"/>
          <w:i/>
          <w:iCs/>
          <w:sz w:val="24"/>
          <w:szCs w:val="24"/>
        </w:rPr>
        <w:t>Tropical Medicine &amp; International Health, 17</w:t>
      </w:r>
      <w:r w:rsidRPr="00466920">
        <w:rPr>
          <w:rFonts w:ascii="Times New Roman" w:eastAsia="Times New Roman" w:hAnsi="Times New Roman" w:cs="Times New Roman"/>
          <w:sz w:val="24"/>
          <w:szCs w:val="24"/>
        </w:rPr>
        <w:t xml:space="preserve">(6), 697–710. </w:t>
      </w:r>
      <w:hyperlink r:id="rId74" w:history="1">
        <w:r w:rsidRPr="00466920">
          <w:rPr>
            <w:rFonts w:ascii="Times New Roman" w:eastAsia="Times New Roman" w:hAnsi="Times New Roman" w:cs="Times New Roman"/>
            <w:color w:val="0000FF"/>
            <w:sz w:val="24"/>
            <w:szCs w:val="24"/>
            <w:u w:val="single"/>
          </w:rPr>
          <w:t>https://doi.org/10.1111/j.1365-3156.2012.02989.x</w:t>
        </w:r>
      </w:hyperlink>
    </w:p>
    <w:p>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eastAsia="Times New Roman" w:cs="Times New Roman"/>
          <w:b/>
          <w:i w:val="0"/>
          <w:sz w:val="24"/>
          <w:highlight w:val="yellow"/>
        </w:rPr>
        <w:t xml:space="preserve">Briggs, N. C. T. (2026). Determinants of complete childhood immunization in rural communities of Rivers State, Nigeria: A randomized controlled study. </w:t>
      </w:r>
      <w:r>
        <w:rPr>
          <w:rFonts w:ascii="Times New Roman" w:hAnsi="Times New Roman" w:eastAsia="Times New Roman" w:cs="Times New Roman"/>
          <w:b/>
          <w:i/>
          <w:sz w:val="24"/>
          <w:highlight w:val="yellow"/>
        </w:rPr>
        <w:t>Asian Journal of Immunology, 9</w:t>
      </w:r>
      <w:r>
        <w:rPr>
          <w:rFonts w:ascii="Times New Roman" w:hAnsi="Times New Roman" w:eastAsia="Times New Roman" w:cs="Times New Roman"/>
          <w:b/>
          <w:i w:val="0"/>
          <w:sz w:val="24"/>
          <w:highlight w:val="yellow"/>
        </w:rPr>
        <w:t xml:space="preserve">(1), 127–141. </w:t>
      </w:r>
      <w:hyperlink r:id="rId95" w:history="1">
        <w:r>
          <w:rPr>
            <w:rFonts w:ascii="Times New Roman" w:hAnsi="Times New Roman" w:eastAsia="Times New Roman" w:cs="Times New Roman"/>
            <w:b/>
            <w:color w:val="000000"/>
            <w:highlight w:val="yellow"/>
            <w:sz w:val="24"/>
            <w:szCs w:val="24"/>
            <w:u w:val="single"/>
          </w:rPr>
          <w:t>https://doi.org/10.9734/aji/2026/v9i1189</w:t>
        </w:r>
      </w:hyperlink>
    </w:p>
    <w:p>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eastAsia="Times New Roman" w:cs="Times New Roman"/>
          <w:b/>
          <w:i w:val="0"/>
          <w:sz w:val="24"/>
          <w:highlight w:val="yellow"/>
        </w:rPr>
        <w:t xml:space="preserve">Etim, E.-O. E., Odiachi, A., Dougherty, L., Alabi, M., Adetunji, A., &amp; Adedimeji, A. (2025). Understanding caregivers’ and community influencers’ perspectives on the barriers to childhood immunisation in Northern Nigerian States with public-private partnerships in routine immunisation programme. </w:t>
      </w:r>
      <w:r>
        <w:rPr>
          <w:rFonts w:ascii="Times New Roman" w:hAnsi="Times New Roman" w:eastAsia="Times New Roman" w:cs="Times New Roman"/>
          <w:b/>
          <w:i/>
          <w:sz w:val="24"/>
          <w:highlight w:val="yellow"/>
        </w:rPr>
        <w:t>BMC Public Health, 25</w:t>
      </w:r>
      <w:r>
        <w:rPr>
          <w:rFonts w:ascii="Times New Roman" w:hAnsi="Times New Roman" w:eastAsia="Times New Roman" w:cs="Times New Roman"/>
          <w:b/>
          <w:i w:val="0"/>
          <w:sz w:val="24"/>
          <w:highlight w:val="yellow"/>
        </w:rPr>
        <w:t xml:space="preserve">, 1471. </w:t>
      </w:r>
      <w:hyperlink r:id="rId96" w:history="1">
        <w:r>
          <w:rPr>
            <w:rFonts w:ascii="Times New Roman" w:hAnsi="Times New Roman" w:eastAsia="Times New Roman" w:cs="Times New Roman"/>
            <w:b/>
            <w:color w:val="000000"/>
            <w:highlight w:val="yellow"/>
            <w:sz w:val="24"/>
            <w:szCs w:val="24"/>
            <w:u w:val="single"/>
          </w:rPr>
          <w:t>https://doi.org/10.1186/s12889-025-22710-7</w:t>
        </w:r>
      </w:hyperlink>
    </w:p>
    <w:p>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eastAsia="Times New Roman" w:cs="Times New Roman"/>
          <w:b/>
          <w:i w:val="0"/>
          <w:sz w:val="24"/>
          <w:highlight w:val="yellow"/>
        </w:rPr>
        <w:t xml:space="preserve">Faustin, C. O., Oladapo, O., &amp; Onyemachi, B. (2026). Influence of health education intervention by nurses on immunization uptake among mothers with under-five children in Alex Ekwueme Federal University Teaching Hospital Abakaliki. </w:t>
      </w:r>
      <w:r>
        <w:rPr>
          <w:rFonts w:ascii="Times New Roman" w:hAnsi="Times New Roman" w:eastAsia="Times New Roman" w:cs="Times New Roman"/>
          <w:b/>
          <w:i/>
          <w:sz w:val="24"/>
          <w:highlight w:val="yellow"/>
        </w:rPr>
        <w:t>Asian Journal of Research in Medicine and Medical Science, 8</w:t>
      </w:r>
      <w:r>
        <w:rPr>
          <w:rFonts w:ascii="Times New Roman" w:hAnsi="Times New Roman" w:eastAsia="Times New Roman" w:cs="Times New Roman"/>
          <w:b/>
          <w:i w:val="0"/>
          <w:sz w:val="24"/>
          <w:highlight w:val="yellow"/>
        </w:rPr>
        <w:t xml:space="preserve">(1), 290–303. </w:t>
      </w:r>
      <w:hyperlink r:id="rId97" w:history="1">
        <w:r>
          <w:rPr>
            <w:rFonts w:ascii="Times New Roman" w:hAnsi="Times New Roman" w:eastAsia="Times New Roman" w:cs="Times New Roman"/>
            <w:b/>
            <w:color w:val="000000"/>
            <w:highlight w:val="yellow"/>
            <w:sz w:val="24"/>
            <w:szCs w:val="24"/>
            <w:u w:val="single"/>
          </w:rPr>
          <w:t>https://doi.org/10.56557/ajrmms/2026/v8i1113</w:t>
        </w:r>
      </w:hyperlink>
    </w:p>
    <w:p w14:paraId="07249219"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Federal Ministry of Health and Social Welfare of Nigeria, National Population Commission [Nigeria], &amp; ICF. (2024). </w:t>
      </w:r>
      <w:r w:rsidRPr="00466920">
        <w:rPr>
          <w:rFonts w:ascii="Times New Roman" w:eastAsia="Times New Roman" w:hAnsi="Times New Roman" w:cs="Times New Roman"/>
          <w:i/>
          <w:iCs/>
          <w:sz w:val="24"/>
          <w:szCs w:val="24"/>
        </w:rPr>
        <w:t>Nigeria Demographic and Health Survey 2023–24: Key indicators report</w:t>
      </w:r>
      <w:r w:rsidRPr="00466920">
        <w:rPr>
          <w:rFonts w:ascii="Times New Roman" w:eastAsia="Times New Roman" w:hAnsi="Times New Roman" w:cs="Times New Roman"/>
          <w:sz w:val="24"/>
          <w:szCs w:val="24"/>
        </w:rPr>
        <w:t xml:space="preserve">. </w:t>
      </w:r>
      <w:hyperlink r:id="rId75" w:history="1">
        <w:r w:rsidRPr="00466920">
          <w:rPr>
            <w:rFonts w:ascii="Times New Roman" w:eastAsia="Times New Roman" w:hAnsi="Times New Roman" w:cs="Times New Roman"/>
            <w:color w:val="0000FF"/>
            <w:sz w:val="24"/>
            <w:szCs w:val="24"/>
            <w:u w:val="single"/>
          </w:rPr>
          <w:t>https://www.dhsprogram.com/publications/publication-PR157-Preliminary-Reports-Key-Indicators-Reports.cfm</w:t>
        </w:r>
      </w:hyperlink>
    </w:p>
    <w:p w14:paraId="21057AE9"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Forshaw, J., Gerver, S. M., Gill, M., Cooper, E., </w:t>
      </w:r>
      <w:proofErr w:type="spellStart"/>
      <w:r w:rsidRPr="00466920">
        <w:rPr>
          <w:rFonts w:ascii="Times New Roman" w:eastAsia="Times New Roman" w:hAnsi="Times New Roman" w:cs="Times New Roman"/>
          <w:sz w:val="24"/>
          <w:szCs w:val="24"/>
        </w:rPr>
        <w:t>Manikam</w:t>
      </w:r>
      <w:proofErr w:type="spellEnd"/>
      <w:r w:rsidRPr="00466920">
        <w:rPr>
          <w:rFonts w:ascii="Times New Roman" w:eastAsia="Times New Roman" w:hAnsi="Times New Roman" w:cs="Times New Roman"/>
          <w:sz w:val="24"/>
          <w:szCs w:val="24"/>
        </w:rPr>
        <w:t xml:space="preserve">, L., &amp; Ward, H. (2017). The global effect of maternal education on complete childhood vaccination: A systematic review and meta-analysis. </w:t>
      </w:r>
      <w:r w:rsidRPr="00466920">
        <w:rPr>
          <w:rFonts w:ascii="Times New Roman" w:eastAsia="Times New Roman" w:hAnsi="Times New Roman" w:cs="Times New Roman"/>
          <w:i/>
          <w:iCs/>
          <w:sz w:val="24"/>
          <w:szCs w:val="24"/>
        </w:rPr>
        <w:t>BMC Infectious Diseases, 17</w:t>
      </w:r>
      <w:r w:rsidRPr="00466920">
        <w:rPr>
          <w:rFonts w:ascii="Times New Roman" w:eastAsia="Times New Roman" w:hAnsi="Times New Roman" w:cs="Times New Roman"/>
          <w:sz w:val="24"/>
          <w:szCs w:val="24"/>
        </w:rPr>
        <w:t xml:space="preserve">, Article 801. </w:t>
      </w:r>
      <w:hyperlink r:id="rId76" w:history="1">
        <w:r w:rsidRPr="00466920">
          <w:rPr>
            <w:rFonts w:ascii="Times New Roman" w:eastAsia="Times New Roman" w:hAnsi="Times New Roman" w:cs="Times New Roman"/>
            <w:color w:val="0000FF"/>
            <w:sz w:val="24"/>
            <w:szCs w:val="24"/>
            <w:u w:val="single"/>
          </w:rPr>
          <w:t>https://doi.org/10.1186/s12879-017-2890-y</w:t>
        </w:r>
      </w:hyperlink>
    </w:p>
    <w:p w14:paraId="6A490E77"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Gayawan, E., </w:t>
      </w:r>
      <w:proofErr w:type="spellStart"/>
      <w:r w:rsidRPr="00466920">
        <w:rPr>
          <w:rFonts w:ascii="Times New Roman" w:eastAsia="Times New Roman" w:hAnsi="Times New Roman" w:cs="Times New Roman"/>
          <w:sz w:val="24"/>
          <w:szCs w:val="24"/>
        </w:rPr>
        <w:t>Egbon</w:t>
      </w:r>
      <w:proofErr w:type="spellEnd"/>
      <w:r w:rsidRPr="00466920">
        <w:rPr>
          <w:rFonts w:ascii="Times New Roman" w:eastAsia="Times New Roman" w:hAnsi="Times New Roman" w:cs="Times New Roman"/>
          <w:sz w:val="24"/>
          <w:szCs w:val="24"/>
        </w:rPr>
        <w:t xml:space="preserve">, O. A., </w:t>
      </w:r>
      <w:proofErr w:type="spellStart"/>
      <w:r w:rsidRPr="00466920">
        <w:rPr>
          <w:rFonts w:ascii="Times New Roman" w:eastAsia="Times New Roman" w:hAnsi="Times New Roman" w:cs="Times New Roman"/>
          <w:sz w:val="24"/>
          <w:szCs w:val="24"/>
        </w:rPr>
        <w:t>Utazi</w:t>
      </w:r>
      <w:proofErr w:type="spellEnd"/>
      <w:r w:rsidRPr="00466920">
        <w:rPr>
          <w:rFonts w:ascii="Times New Roman" w:eastAsia="Times New Roman" w:hAnsi="Times New Roman" w:cs="Times New Roman"/>
          <w:sz w:val="24"/>
          <w:szCs w:val="24"/>
        </w:rPr>
        <w:t xml:space="preserve">, C. E., Umar, J. A., &amp; Trotter, C. (2026). The influence of women’s empowerment on childhood vaccination coverage in Nigeria: A </w:t>
      </w:r>
      <w:proofErr w:type="spellStart"/>
      <w:r w:rsidRPr="00466920">
        <w:rPr>
          <w:rFonts w:ascii="Times New Roman" w:eastAsia="Times New Roman" w:hAnsi="Times New Roman" w:cs="Times New Roman"/>
          <w:sz w:val="24"/>
          <w:szCs w:val="24"/>
        </w:rPr>
        <w:t>spatio</w:t>
      </w:r>
      <w:proofErr w:type="spellEnd"/>
      <w:r w:rsidRPr="00466920">
        <w:rPr>
          <w:rFonts w:ascii="Times New Roman" w:eastAsia="Times New Roman" w:hAnsi="Times New Roman" w:cs="Times New Roman"/>
          <w:sz w:val="24"/>
          <w:szCs w:val="24"/>
        </w:rPr>
        <w:t xml:space="preserve">-temporal analysis. </w:t>
      </w:r>
      <w:r w:rsidRPr="00466920">
        <w:rPr>
          <w:rFonts w:ascii="Times New Roman" w:eastAsia="Times New Roman" w:hAnsi="Times New Roman" w:cs="Times New Roman"/>
          <w:i/>
          <w:iCs/>
          <w:sz w:val="24"/>
          <w:szCs w:val="24"/>
        </w:rPr>
        <w:t>Scientific Reports, 16</w:t>
      </w:r>
      <w:r w:rsidRPr="00466920">
        <w:rPr>
          <w:rFonts w:ascii="Times New Roman" w:eastAsia="Times New Roman" w:hAnsi="Times New Roman" w:cs="Times New Roman"/>
          <w:sz w:val="24"/>
          <w:szCs w:val="24"/>
        </w:rPr>
        <w:t xml:space="preserve">, Article 22445. </w:t>
      </w:r>
      <w:hyperlink r:id="rId77" w:history="1">
        <w:r w:rsidRPr="00466920">
          <w:rPr>
            <w:rFonts w:ascii="Times New Roman" w:eastAsia="Times New Roman" w:hAnsi="Times New Roman" w:cs="Times New Roman"/>
            <w:color w:val="0000FF"/>
            <w:sz w:val="24"/>
            <w:szCs w:val="24"/>
            <w:u w:val="single"/>
          </w:rPr>
          <w:t>https://doi.org/10.1038/s41598-026-51266-8</w:t>
        </w:r>
      </w:hyperlink>
    </w:p>
    <w:p w14:paraId="0FBCD28F"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proofErr w:type="spellStart"/>
      <w:r w:rsidRPr="00466920">
        <w:rPr>
          <w:rFonts w:ascii="Times New Roman" w:eastAsia="Times New Roman" w:hAnsi="Times New Roman" w:cs="Times New Roman"/>
          <w:sz w:val="24"/>
          <w:szCs w:val="24"/>
        </w:rPr>
        <w:t>Hosseinpoor</w:t>
      </w:r>
      <w:proofErr w:type="spellEnd"/>
      <w:r w:rsidRPr="00466920">
        <w:rPr>
          <w:rFonts w:ascii="Times New Roman" w:eastAsia="Times New Roman" w:hAnsi="Times New Roman" w:cs="Times New Roman"/>
          <w:sz w:val="24"/>
          <w:szCs w:val="24"/>
        </w:rPr>
        <w:t xml:space="preserve">, A. R., Bergen, N., </w:t>
      </w:r>
      <w:proofErr w:type="spellStart"/>
      <w:r w:rsidRPr="00466920">
        <w:rPr>
          <w:rFonts w:ascii="Times New Roman" w:eastAsia="Times New Roman" w:hAnsi="Times New Roman" w:cs="Times New Roman"/>
          <w:sz w:val="24"/>
          <w:szCs w:val="24"/>
        </w:rPr>
        <w:t>Schlotheuber</w:t>
      </w:r>
      <w:proofErr w:type="spellEnd"/>
      <w:r w:rsidRPr="00466920">
        <w:rPr>
          <w:rFonts w:ascii="Times New Roman" w:eastAsia="Times New Roman" w:hAnsi="Times New Roman" w:cs="Times New Roman"/>
          <w:sz w:val="24"/>
          <w:szCs w:val="24"/>
        </w:rPr>
        <w:t xml:space="preserve">, A., </w:t>
      </w:r>
      <w:proofErr w:type="spellStart"/>
      <w:r w:rsidRPr="00466920">
        <w:rPr>
          <w:rFonts w:ascii="Times New Roman" w:eastAsia="Times New Roman" w:hAnsi="Times New Roman" w:cs="Times New Roman"/>
          <w:sz w:val="24"/>
          <w:szCs w:val="24"/>
        </w:rPr>
        <w:t>Gacic</w:t>
      </w:r>
      <w:proofErr w:type="spellEnd"/>
      <w:r w:rsidRPr="00466920">
        <w:rPr>
          <w:rFonts w:ascii="Times New Roman" w:eastAsia="Times New Roman" w:hAnsi="Times New Roman" w:cs="Times New Roman"/>
          <w:sz w:val="24"/>
          <w:szCs w:val="24"/>
        </w:rPr>
        <w:t xml:space="preserve">-Dobo, M., Hansen, P. M., Senouci, K., Boerma, T., &amp; Barros, A. J. D. (2016). State of inequality in diphtheria–tetanus–pertussis </w:t>
      </w:r>
      <w:proofErr w:type="spellStart"/>
      <w:r w:rsidRPr="00466920">
        <w:rPr>
          <w:rFonts w:ascii="Times New Roman" w:eastAsia="Times New Roman" w:hAnsi="Times New Roman" w:cs="Times New Roman"/>
          <w:sz w:val="24"/>
          <w:szCs w:val="24"/>
        </w:rPr>
        <w:t>immunisation</w:t>
      </w:r>
      <w:proofErr w:type="spellEnd"/>
      <w:r w:rsidRPr="00466920">
        <w:rPr>
          <w:rFonts w:ascii="Times New Roman" w:eastAsia="Times New Roman" w:hAnsi="Times New Roman" w:cs="Times New Roman"/>
          <w:sz w:val="24"/>
          <w:szCs w:val="24"/>
        </w:rPr>
        <w:t xml:space="preserve"> coverage in low-income and middle-income countries: A </w:t>
      </w:r>
      <w:proofErr w:type="spellStart"/>
      <w:r w:rsidRPr="00466920">
        <w:rPr>
          <w:rFonts w:ascii="Times New Roman" w:eastAsia="Times New Roman" w:hAnsi="Times New Roman" w:cs="Times New Roman"/>
          <w:sz w:val="24"/>
          <w:szCs w:val="24"/>
        </w:rPr>
        <w:t>multicountry</w:t>
      </w:r>
      <w:proofErr w:type="spellEnd"/>
      <w:r w:rsidRPr="00466920">
        <w:rPr>
          <w:rFonts w:ascii="Times New Roman" w:eastAsia="Times New Roman" w:hAnsi="Times New Roman" w:cs="Times New Roman"/>
          <w:sz w:val="24"/>
          <w:szCs w:val="24"/>
        </w:rPr>
        <w:t xml:space="preserve"> study of household health surveys. </w:t>
      </w:r>
      <w:r w:rsidRPr="00466920">
        <w:rPr>
          <w:rFonts w:ascii="Times New Roman" w:eastAsia="Times New Roman" w:hAnsi="Times New Roman" w:cs="Times New Roman"/>
          <w:i/>
          <w:iCs/>
          <w:sz w:val="24"/>
          <w:szCs w:val="24"/>
        </w:rPr>
        <w:t>The Lancet Global Health, 4</w:t>
      </w:r>
      <w:r w:rsidRPr="00466920">
        <w:rPr>
          <w:rFonts w:ascii="Times New Roman" w:eastAsia="Times New Roman" w:hAnsi="Times New Roman" w:cs="Times New Roman"/>
          <w:sz w:val="24"/>
          <w:szCs w:val="24"/>
        </w:rPr>
        <w:t xml:space="preserve">(9), e617–e626. </w:t>
      </w:r>
      <w:hyperlink r:id="rId78" w:history="1">
        <w:r w:rsidRPr="00466920">
          <w:rPr>
            <w:rFonts w:ascii="Times New Roman" w:eastAsia="Times New Roman" w:hAnsi="Times New Roman" w:cs="Times New Roman"/>
            <w:color w:val="0000FF"/>
            <w:sz w:val="24"/>
            <w:szCs w:val="24"/>
            <w:u w:val="single"/>
          </w:rPr>
          <w:t>https://doi.org/10.1016/S2214-109X(16)30141-3</w:t>
        </w:r>
      </w:hyperlink>
    </w:p>
    <w:p w14:paraId="59E67DEE"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Iba, B., Zar, V. D., &amp; Oteng, J. (2025). Determinants of uptake of childhood immunization in Gboko, Benue State, Nigeria. </w:t>
      </w:r>
      <w:r w:rsidRPr="00466920">
        <w:rPr>
          <w:rFonts w:ascii="Times New Roman" w:eastAsia="Times New Roman" w:hAnsi="Times New Roman" w:cs="Times New Roman"/>
          <w:i/>
          <w:iCs/>
          <w:sz w:val="24"/>
          <w:szCs w:val="24"/>
        </w:rPr>
        <w:t>BMC Public Health, 25</w:t>
      </w:r>
      <w:r w:rsidRPr="00466920">
        <w:rPr>
          <w:rFonts w:ascii="Times New Roman" w:eastAsia="Times New Roman" w:hAnsi="Times New Roman" w:cs="Times New Roman"/>
          <w:sz w:val="24"/>
          <w:szCs w:val="24"/>
        </w:rPr>
        <w:t xml:space="preserve">, Article 3940. </w:t>
      </w:r>
      <w:hyperlink r:id="rId79" w:history="1">
        <w:r w:rsidRPr="00466920">
          <w:rPr>
            <w:rFonts w:ascii="Times New Roman" w:eastAsia="Times New Roman" w:hAnsi="Times New Roman" w:cs="Times New Roman"/>
            <w:color w:val="0000FF"/>
            <w:sz w:val="24"/>
            <w:szCs w:val="24"/>
            <w:u w:val="single"/>
          </w:rPr>
          <w:t>https://doi.org/10.1186/s12889-025-25355-8</w:t>
        </w:r>
      </w:hyperlink>
    </w:p>
    <w:p w14:paraId="7A7A0653"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Kehinde, O., Abdul, R., Afolabi, B., Vir, P., </w:t>
      </w:r>
      <w:proofErr w:type="spellStart"/>
      <w:r w:rsidRPr="00466920">
        <w:rPr>
          <w:rFonts w:ascii="Times New Roman" w:eastAsia="Times New Roman" w:hAnsi="Times New Roman" w:cs="Times New Roman"/>
          <w:sz w:val="24"/>
          <w:szCs w:val="24"/>
        </w:rPr>
        <w:t>Namblard</w:t>
      </w:r>
      <w:proofErr w:type="spellEnd"/>
      <w:r w:rsidRPr="00466920">
        <w:rPr>
          <w:rFonts w:ascii="Times New Roman" w:eastAsia="Times New Roman" w:hAnsi="Times New Roman" w:cs="Times New Roman"/>
          <w:sz w:val="24"/>
          <w:szCs w:val="24"/>
        </w:rPr>
        <w:t xml:space="preserve">, C., Mukhopadhyay, A., &amp; </w:t>
      </w:r>
      <w:proofErr w:type="spellStart"/>
      <w:r w:rsidRPr="00466920">
        <w:rPr>
          <w:rFonts w:ascii="Times New Roman" w:eastAsia="Times New Roman" w:hAnsi="Times New Roman" w:cs="Times New Roman"/>
          <w:sz w:val="24"/>
          <w:szCs w:val="24"/>
        </w:rPr>
        <w:t>Adereni</w:t>
      </w:r>
      <w:proofErr w:type="spellEnd"/>
      <w:r w:rsidRPr="00466920">
        <w:rPr>
          <w:rFonts w:ascii="Times New Roman" w:eastAsia="Times New Roman" w:hAnsi="Times New Roman" w:cs="Times New Roman"/>
          <w:sz w:val="24"/>
          <w:szCs w:val="24"/>
        </w:rPr>
        <w:t xml:space="preserve">, A. (2024). Deploying ADVISER: Impact and lessons from using artificial intelligence for child vaccination uptake in Nigeria. </w:t>
      </w:r>
      <w:r w:rsidRPr="00466920">
        <w:rPr>
          <w:rFonts w:ascii="Times New Roman" w:eastAsia="Times New Roman" w:hAnsi="Times New Roman" w:cs="Times New Roman"/>
          <w:i/>
          <w:iCs/>
          <w:sz w:val="24"/>
          <w:szCs w:val="24"/>
        </w:rPr>
        <w:t>Proceedings of the AAAI Conference on Artificial Intelligence, 38</w:t>
      </w:r>
      <w:r w:rsidRPr="00466920">
        <w:rPr>
          <w:rFonts w:ascii="Times New Roman" w:eastAsia="Times New Roman" w:hAnsi="Times New Roman" w:cs="Times New Roman"/>
          <w:sz w:val="24"/>
          <w:szCs w:val="24"/>
        </w:rPr>
        <w:t xml:space="preserve">(20), 22185–22192. </w:t>
      </w:r>
      <w:hyperlink r:id="rId80" w:history="1">
        <w:r w:rsidRPr="00466920">
          <w:rPr>
            <w:rFonts w:ascii="Times New Roman" w:eastAsia="Times New Roman" w:hAnsi="Times New Roman" w:cs="Times New Roman"/>
            <w:color w:val="0000FF"/>
            <w:sz w:val="24"/>
            <w:szCs w:val="24"/>
            <w:u w:val="single"/>
          </w:rPr>
          <w:t>https://doi.org/10.1609/aaai.v38i20.30223</w:t>
        </w:r>
      </w:hyperlink>
    </w:p>
    <w:p w14:paraId="36518973"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Larson, H. J., Clarke, R. M., Jarrett, C., Eckersberger, E., Levine, Z., Schulz, W. S., &amp; Paterson, P. (2018). Measuring trust in vaccination: A systematic review. </w:t>
      </w:r>
      <w:r w:rsidRPr="00466920">
        <w:rPr>
          <w:rFonts w:ascii="Times New Roman" w:eastAsia="Times New Roman" w:hAnsi="Times New Roman" w:cs="Times New Roman"/>
          <w:i/>
          <w:iCs/>
          <w:sz w:val="24"/>
          <w:szCs w:val="24"/>
        </w:rPr>
        <w:t>Human Vaccines &amp; Immunotherapeutics, 14</w:t>
      </w:r>
      <w:r w:rsidRPr="00466920">
        <w:rPr>
          <w:rFonts w:ascii="Times New Roman" w:eastAsia="Times New Roman" w:hAnsi="Times New Roman" w:cs="Times New Roman"/>
          <w:sz w:val="24"/>
          <w:szCs w:val="24"/>
        </w:rPr>
        <w:t xml:space="preserve">(7), 1599–1609. </w:t>
      </w:r>
      <w:hyperlink r:id="rId81" w:history="1">
        <w:r w:rsidRPr="00466920">
          <w:rPr>
            <w:rFonts w:ascii="Times New Roman" w:eastAsia="Times New Roman" w:hAnsi="Times New Roman" w:cs="Times New Roman"/>
            <w:color w:val="0000FF"/>
            <w:sz w:val="24"/>
            <w:szCs w:val="24"/>
            <w:u w:val="single"/>
          </w:rPr>
          <w:t>https://doi.org/10.1080/21645515.2018.1459252</w:t>
        </w:r>
      </w:hyperlink>
    </w:p>
    <w:p w14:paraId="7112DECF"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Mohammed, Y., Reynolds, H. W., Waziri, H., Attahiru, A., Olowo-Okere, A., </w:t>
      </w:r>
      <w:proofErr w:type="spellStart"/>
      <w:r w:rsidRPr="00466920">
        <w:rPr>
          <w:rFonts w:ascii="Times New Roman" w:eastAsia="Times New Roman" w:hAnsi="Times New Roman" w:cs="Times New Roman"/>
          <w:sz w:val="24"/>
          <w:szCs w:val="24"/>
        </w:rPr>
        <w:t>Kamateeka</w:t>
      </w:r>
      <w:proofErr w:type="spellEnd"/>
      <w:r w:rsidRPr="00466920">
        <w:rPr>
          <w:rFonts w:ascii="Times New Roman" w:eastAsia="Times New Roman" w:hAnsi="Times New Roman" w:cs="Times New Roman"/>
          <w:sz w:val="24"/>
          <w:szCs w:val="24"/>
        </w:rPr>
        <w:t xml:space="preserve">, M., Waziri, N. E., Garba, A. M., Corrêa, G. C., Garba, R., Vollmer, N., &amp; </w:t>
      </w:r>
      <w:proofErr w:type="spellStart"/>
      <w:r w:rsidRPr="00466920">
        <w:rPr>
          <w:rFonts w:ascii="Times New Roman" w:eastAsia="Times New Roman" w:hAnsi="Times New Roman" w:cs="Times New Roman"/>
          <w:sz w:val="24"/>
          <w:szCs w:val="24"/>
        </w:rPr>
        <w:t>Nguku</w:t>
      </w:r>
      <w:proofErr w:type="spellEnd"/>
      <w:r w:rsidRPr="00466920">
        <w:rPr>
          <w:rFonts w:ascii="Times New Roman" w:eastAsia="Times New Roman" w:hAnsi="Times New Roman" w:cs="Times New Roman"/>
          <w:sz w:val="24"/>
          <w:szCs w:val="24"/>
        </w:rPr>
        <w:t xml:space="preserve">, P. (2024). Exploring the landscape of routine immunization in Nigeria: A scoping review of barriers and facilitators. </w:t>
      </w:r>
      <w:r w:rsidRPr="00466920">
        <w:rPr>
          <w:rFonts w:ascii="Times New Roman" w:eastAsia="Times New Roman" w:hAnsi="Times New Roman" w:cs="Times New Roman"/>
          <w:i/>
          <w:iCs/>
          <w:sz w:val="24"/>
          <w:szCs w:val="24"/>
        </w:rPr>
        <w:t>Vaccine: X, 20</w:t>
      </w:r>
      <w:r w:rsidRPr="00466920">
        <w:rPr>
          <w:rFonts w:ascii="Times New Roman" w:eastAsia="Times New Roman" w:hAnsi="Times New Roman" w:cs="Times New Roman"/>
          <w:sz w:val="24"/>
          <w:szCs w:val="24"/>
        </w:rPr>
        <w:t xml:space="preserve">, Article 100563. </w:t>
      </w:r>
      <w:hyperlink r:id="rId82" w:history="1">
        <w:r w:rsidRPr="00466920">
          <w:rPr>
            <w:rFonts w:ascii="Times New Roman" w:eastAsia="Times New Roman" w:hAnsi="Times New Roman" w:cs="Times New Roman"/>
            <w:color w:val="0000FF"/>
            <w:sz w:val="24"/>
            <w:szCs w:val="24"/>
            <w:u w:val="single"/>
          </w:rPr>
          <w:t>https://doi.org/10.1016/j.jvacx.2024.100563</w:t>
        </w:r>
      </w:hyperlink>
    </w:p>
    <w:p w14:paraId="7BFAA9D3"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lastRenderedPageBreak/>
        <w:t xml:space="preserve">Nyerere, P. R., </w:t>
      </w:r>
      <w:proofErr w:type="spellStart"/>
      <w:r w:rsidRPr="00466920">
        <w:rPr>
          <w:rFonts w:ascii="Times New Roman" w:eastAsia="Times New Roman" w:hAnsi="Times New Roman" w:cs="Times New Roman"/>
          <w:sz w:val="24"/>
          <w:szCs w:val="24"/>
        </w:rPr>
        <w:t>Gyar</w:t>
      </w:r>
      <w:proofErr w:type="spellEnd"/>
      <w:r w:rsidRPr="00466920">
        <w:rPr>
          <w:rFonts w:ascii="Times New Roman" w:eastAsia="Times New Roman" w:hAnsi="Times New Roman" w:cs="Times New Roman"/>
          <w:sz w:val="24"/>
          <w:szCs w:val="24"/>
        </w:rPr>
        <w:t xml:space="preserve">, S. D., </w:t>
      </w:r>
      <w:proofErr w:type="spellStart"/>
      <w:r w:rsidRPr="00466920">
        <w:rPr>
          <w:rFonts w:ascii="Times New Roman" w:eastAsia="Times New Roman" w:hAnsi="Times New Roman" w:cs="Times New Roman"/>
          <w:sz w:val="24"/>
          <w:szCs w:val="24"/>
        </w:rPr>
        <w:t>Nkene</w:t>
      </w:r>
      <w:proofErr w:type="spellEnd"/>
      <w:r w:rsidRPr="00466920">
        <w:rPr>
          <w:rFonts w:ascii="Times New Roman" w:eastAsia="Times New Roman" w:hAnsi="Times New Roman" w:cs="Times New Roman"/>
          <w:sz w:val="24"/>
          <w:szCs w:val="24"/>
        </w:rPr>
        <w:t xml:space="preserve">, I. H., &amp; Hassan, S. (2026). Socio-demographic and socio-economic factors influencing immunization completion rate amongst children under five years in Nasarawa State, Nigeria. </w:t>
      </w:r>
      <w:r w:rsidRPr="00466920">
        <w:rPr>
          <w:rFonts w:ascii="Times New Roman" w:eastAsia="Times New Roman" w:hAnsi="Times New Roman" w:cs="Times New Roman"/>
          <w:i/>
          <w:iCs/>
          <w:sz w:val="24"/>
          <w:szCs w:val="24"/>
        </w:rPr>
        <w:t>Asian Journal of Research in Medical and Pharmaceutical Sciences, 15</w:t>
      </w:r>
      <w:r w:rsidRPr="00466920">
        <w:rPr>
          <w:rFonts w:ascii="Times New Roman" w:eastAsia="Times New Roman" w:hAnsi="Times New Roman" w:cs="Times New Roman"/>
          <w:sz w:val="24"/>
          <w:szCs w:val="24"/>
        </w:rPr>
        <w:t xml:space="preserve">(2), 38–46. </w:t>
      </w:r>
      <w:hyperlink r:id="rId83" w:history="1">
        <w:r w:rsidRPr="00466920">
          <w:rPr>
            <w:rFonts w:ascii="Times New Roman" w:eastAsia="Times New Roman" w:hAnsi="Times New Roman" w:cs="Times New Roman"/>
            <w:color w:val="0000FF"/>
            <w:sz w:val="24"/>
            <w:szCs w:val="24"/>
            <w:u w:val="single"/>
          </w:rPr>
          <w:t>https://doi.org/10.9734/ajrimps/2026/v15i2375</w:t>
        </w:r>
      </w:hyperlink>
    </w:p>
    <w:p>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eastAsia="Times New Roman" w:cs="Times New Roman"/>
          <w:b/>
          <w:i w:val="0"/>
          <w:sz w:val="24"/>
          <w:highlight w:val="yellow"/>
        </w:rPr>
        <w:t xml:space="preserve">Olufadewa, I., Adesina, M., Oladele, R., Shonubi, A., Bamidele, D., &amp; Obigwe, E. (2024). Trends and predictors of full immunization coverage in Nigeria. </w:t>
      </w:r>
      <w:r>
        <w:rPr>
          <w:rFonts w:ascii="Times New Roman" w:hAnsi="Times New Roman" w:eastAsia="Times New Roman" w:cs="Times New Roman"/>
          <w:b/>
          <w:i/>
          <w:sz w:val="24"/>
          <w:highlight w:val="yellow"/>
        </w:rPr>
        <w:t>Discover Public Health, 21</w:t>
      </w:r>
      <w:r>
        <w:rPr>
          <w:rFonts w:ascii="Times New Roman" w:hAnsi="Times New Roman" w:eastAsia="Times New Roman" w:cs="Times New Roman"/>
          <w:b/>
          <w:i w:val="0"/>
          <w:sz w:val="24"/>
          <w:highlight w:val="yellow"/>
        </w:rPr>
        <w:t xml:space="preserve">, 151. </w:t>
      </w:r>
      <w:hyperlink r:id="rId98" w:history="1">
        <w:r>
          <w:rPr>
            <w:rFonts w:ascii="Times New Roman" w:hAnsi="Times New Roman" w:eastAsia="Times New Roman" w:cs="Times New Roman"/>
            <w:b/>
            <w:color w:val="000000"/>
            <w:highlight w:val="yellow"/>
            <w:sz w:val="24"/>
            <w:szCs w:val="24"/>
            <w:u w:val="single"/>
          </w:rPr>
          <w:t>https://doi.org/10.1186/s12982-024-00283-x</w:t>
        </w:r>
      </w:hyperlink>
    </w:p>
    <w:p w14:paraId="5A5202F4"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Restrepo-Méndez, M. C., Barros, A. J. D., Wong, K. L. M., Johnson, H. L., </w:t>
      </w:r>
      <w:proofErr w:type="spellStart"/>
      <w:r w:rsidRPr="00466920">
        <w:rPr>
          <w:rFonts w:ascii="Times New Roman" w:eastAsia="Times New Roman" w:hAnsi="Times New Roman" w:cs="Times New Roman"/>
          <w:sz w:val="24"/>
          <w:szCs w:val="24"/>
        </w:rPr>
        <w:t>Pariyo</w:t>
      </w:r>
      <w:proofErr w:type="spellEnd"/>
      <w:r w:rsidRPr="00466920">
        <w:rPr>
          <w:rFonts w:ascii="Times New Roman" w:eastAsia="Times New Roman" w:hAnsi="Times New Roman" w:cs="Times New Roman"/>
          <w:sz w:val="24"/>
          <w:szCs w:val="24"/>
        </w:rPr>
        <w:t xml:space="preserve">, G., França, G. V. A., Wehrmeister, F. C., &amp; Victora, C. G. (2016). Inequalities in full immunization coverage: Trends in low- and middle-income countries. </w:t>
      </w:r>
      <w:r w:rsidRPr="00466920">
        <w:rPr>
          <w:rFonts w:ascii="Times New Roman" w:eastAsia="Times New Roman" w:hAnsi="Times New Roman" w:cs="Times New Roman"/>
          <w:i/>
          <w:iCs/>
          <w:sz w:val="24"/>
          <w:szCs w:val="24"/>
        </w:rPr>
        <w:t>Bulletin of the World Health Organization, 94</w:t>
      </w:r>
      <w:r w:rsidRPr="00466920">
        <w:rPr>
          <w:rFonts w:ascii="Times New Roman" w:eastAsia="Times New Roman" w:hAnsi="Times New Roman" w:cs="Times New Roman"/>
          <w:sz w:val="24"/>
          <w:szCs w:val="24"/>
        </w:rPr>
        <w:t xml:space="preserve">(11), 794–805A. </w:t>
      </w:r>
      <w:hyperlink r:id="rId84" w:history="1">
        <w:r w:rsidRPr="00466920">
          <w:rPr>
            <w:rFonts w:ascii="Times New Roman" w:eastAsia="Times New Roman" w:hAnsi="Times New Roman" w:cs="Times New Roman"/>
            <w:color w:val="0000FF"/>
            <w:sz w:val="24"/>
            <w:szCs w:val="24"/>
            <w:u w:val="single"/>
          </w:rPr>
          <w:t>https://doi.org/10.2471/BLT.15.162172</w:t>
        </w:r>
      </w:hyperlink>
    </w:p>
    <w:p w14:paraId="17483BDC"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Sayomi, B. A., </w:t>
      </w:r>
      <w:proofErr w:type="spellStart"/>
      <w:r w:rsidRPr="00466920">
        <w:rPr>
          <w:rFonts w:ascii="Times New Roman" w:eastAsia="Times New Roman" w:hAnsi="Times New Roman" w:cs="Times New Roman"/>
          <w:sz w:val="24"/>
          <w:szCs w:val="24"/>
        </w:rPr>
        <w:t>Oladibu</w:t>
      </w:r>
      <w:proofErr w:type="spellEnd"/>
      <w:r w:rsidRPr="00466920">
        <w:rPr>
          <w:rFonts w:ascii="Times New Roman" w:eastAsia="Times New Roman" w:hAnsi="Times New Roman" w:cs="Times New Roman"/>
          <w:sz w:val="24"/>
          <w:szCs w:val="24"/>
        </w:rPr>
        <w:t xml:space="preserve">, O. T., &amp; Alabi, A. O. (2025). Understanding the socioeconomic determinants of childhood illness in Nigeria: A narrative review of health inequities and policy implications. </w:t>
      </w:r>
      <w:r w:rsidRPr="00466920">
        <w:rPr>
          <w:rFonts w:ascii="Times New Roman" w:eastAsia="Times New Roman" w:hAnsi="Times New Roman" w:cs="Times New Roman"/>
          <w:i/>
          <w:iCs/>
          <w:sz w:val="24"/>
          <w:szCs w:val="24"/>
        </w:rPr>
        <w:t>Journal of Disease and Global Health, 18</w:t>
      </w:r>
      <w:r w:rsidRPr="00466920">
        <w:rPr>
          <w:rFonts w:ascii="Times New Roman" w:eastAsia="Times New Roman" w:hAnsi="Times New Roman" w:cs="Times New Roman"/>
          <w:sz w:val="24"/>
          <w:szCs w:val="24"/>
        </w:rPr>
        <w:t xml:space="preserve">(2), 210–222. </w:t>
      </w:r>
      <w:hyperlink r:id="rId85" w:history="1">
        <w:r w:rsidRPr="00466920">
          <w:rPr>
            <w:rFonts w:ascii="Times New Roman" w:eastAsia="Times New Roman" w:hAnsi="Times New Roman" w:cs="Times New Roman"/>
            <w:color w:val="0000FF"/>
            <w:sz w:val="24"/>
            <w:szCs w:val="24"/>
            <w:u w:val="single"/>
          </w:rPr>
          <w:t>https://doi.org/10.56557/jodagh/2025/v18i29773</w:t>
        </w:r>
      </w:hyperlink>
    </w:p>
    <w:p w14:paraId="492D2C01"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Williams, S. V., Akande, T., &amp; Abbas, K. (2024). Systematic review of social determinants of childhood </w:t>
      </w:r>
      <w:proofErr w:type="spellStart"/>
      <w:r w:rsidRPr="00466920">
        <w:rPr>
          <w:rFonts w:ascii="Times New Roman" w:eastAsia="Times New Roman" w:hAnsi="Times New Roman" w:cs="Times New Roman"/>
          <w:sz w:val="24"/>
          <w:szCs w:val="24"/>
        </w:rPr>
        <w:t>immunisation</w:t>
      </w:r>
      <w:proofErr w:type="spellEnd"/>
      <w:r w:rsidRPr="00466920">
        <w:rPr>
          <w:rFonts w:ascii="Times New Roman" w:eastAsia="Times New Roman" w:hAnsi="Times New Roman" w:cs="Times New Roman"/>
          <w:sz w:val="24"/>
          <w:szCs w:val="24"/>
        </w:rPr>
        <w:t xml:space="preserve"> in low- and middle-income countries and equity impact analysis of childhood vaccination coverage in Nigeria. </w:t>
      </w:r>
      <w:r w:rsidRPr="00466920">
        <w:rPr>
          <w:rFonts w:ascii="Times New Roman" w:eastAsia="Times New Roman" w:hAnsi="Times New Roman" w:cs="Times New Roman"/>
          <w:i/>
          <w:iCs/>
          <w:sz w:val="24"/>
          <w:szCs w:val="24"/>
        </w:rPr>
        <w:t>PLOS ONE, 19</w:t>
      </w:r>
      <w:r w:rsidRPr="00466920">
        <w:rPr>
          <w:rFonts w:ascii="Times New Roman" w:eastAsia="Times New Roman" w:hAnsi="Times New Roman" w:cs="Times New Roman"/>
          <w:sz w:val="24"/>
          <w:szCs w:val="24"/>
        </w:rPr>
        <w:t xml:space="preserve">(3), Article e0297326. </w:t>
      </w:r>
      <w:hyperlink r:id="rId86" w:history="1">
        <w:r w:rsidRPr="00466920">
          <w:rPr>
            <w:rFonts w:ascii="Times New Roman" w:eastAsia="Times New Roman" w:hAnsi="Times New Roman" w:cs="Times New Roman"/>
            <w:color w:val="0000FF"/>
            <w:sz w:val="24"/>
            <w:szCs w:val="24"/>
            <w:u w:val="single"/>
          </w:rPr>
          <w:t>https://doi.org/10.1371/journal.pone.0297326</w:t>
        </w:r>
      </w:hyperlink>
    </w:p>
    <w:p w14:paraId="64FE0E55" w14:textId="77777777" w:rsidR="00466920" w:rsidRPr="00466920" w:rsidRDefault="00466920" w:rsidP="00466920">
      <w:pPr>
        <w:spacing w:before="100" w:beforeAutospacing="1" w:after="100" w:afterAutospacing="1" w:line="240" w:lineRule="auto"/>
        <w:rPr>
          <w:rFonts w:ascii="Times New Roman" w:eastAsia="Times New Roman" w:hAnsi="Times New Roman" w:cs="Times New Roman"/>
          <w:sz w:val="24"/>
          <w:szCs w:val="24"/>
        </w:rPr>
      </w:pPr>
      <w:r w:rsidRPr="00466920">
        <w:rPr>
          <w:rFonts w:ascii="Times New Roman" w:eastAsia="Times New Roman" w:hAnsi="Times New Roman" w:cs="Times New Roman"/>
          <w:sz w:val="24"/>
          <w:szCs w:val="24"/>
        </w:rPr>
        <w:t xml:space="preserve">World Health Organization, &amp; United Nations Children’s Fund. (2025, July 15). </w:t>
      </w:r>
      <w:r w:rsidRPr="00466920">
        <w:rPr>
          <w:rFonts w:ascii="Times New Roman" w:eastAsia="Times New Roman" w:hAnsi="Times New Roman" w:cs="Times New Roman"/>
          <w:i/>
          <w:iCs/>
          <w:sz w:val="24"/>
          <w:szCs w:val="24"/>
        </w:rPr>
        <w:t>Global childhood vaccination coverage holds steady, yet over 14 million infants remain unvaccinated – WHO, UNICEF</w:t>
      </w:r>
      <w:r w:rsidRPr="00466920">
        <w:rPr>
          <w:rFonts w:ascii="Times New Roman" w:eastAsia="Times New Roman" w:hAnsi="Times New Roman" w:cs="Times New Roman"/>
          <w:sz w:val="24"/>
          <w:szCs w:val="24"/>
        </w:rPr>
        <w:t xml:space="preserve">. </w:t>
      </w:r>
      <w:hyperlink r:id="rId87" w:history="1">
        <w:r w:rsidRPr="00466920">
          <w:rPr>
            <w:rFonts w:ascii="Times New Roman" w:eastAsia="Times New Roman" w:hAnsi="Times New Roman" w:cs="Times New Roman"/>
            <w:color w:val="0000FF"/>
            <w:sz w:val="24"/>
            <w:szCs w:val="24"/>
            <w:u w:val="single"/>
          </w:rPr>
          <w:t>https://www.who.int/news/item/15-07-2025-global-childhood-vaccination-coverage-holds-steady-yet-over-14-million-infants-remain-unvaccinated-who-unicef</w:t>
        </w:r>
      </w:hyperlink>
    </w:p>
    <w:p w14:paraId="5127C515" w14:textId="77777777" w:rsidR="00D37A2F" w:rsidRDefault="00D37A2F" w:rsidP="00D37A2F">
      <w:pPr>
        <w:pStyle w:val="NormalWeb"/>
        <w:jc w:val="both"/>
      </w:pPr>
    </w:p>
    <w:p w14:paraId="7DC09137" w14:textId="77777777" w:rsidR="00D37A2F" w:rsidRPr="00950FC3" w:rsidRDefault="00D37A2F" w:rsidP="00D37A2F">
      <w:pPr>
        <w:spacing w:before="100" w:beforeAutospacing="1" w:after="100" w:afterAutospacing="1" w:line="240" w:lineRule="auto"/>
        <w:jc w:val="both"/>
        <w:rPr>
          <w:rFonts w:ascii="Times New Roman" w:eastAsia="Times New Roman" w:hAnsi="Times New Roman" w:cs="Times New Roman"/>
          <w:sz w:val="24"/>
          <w:szCs w:val="24"/>
        </w:rPr>
      </w:pPr>
    </w:p>
    <w:p w14:paraId="5F8FDBF9" w14:textId="77777777" w:rsidR="00951BE1" w:rsidRDefault="00951BE1"/>
    <w:sectPr w:rsidR="00951BE1" w:rsidSect="00F67F31">
      <w:headerReference w:type="even" r:id="rId88"/>
      <w:headerReference w:type="default" r:id="rId89"/>
      <w:footerReference w:type="default" r:id="rId90"/>
      <w:headerReference w:type="first" r:id="rId9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00FE9" w14:textId="77777777" w:rsidR="00F14986" w:rsidRDefault="00F14986" w:rsidP="00B90DD9">
      <w:pPr>
        <w:spacing w:after="0" w:line="240" w:lineRule="auto"/>
      </w:pPr>
      <w:r>
        <w:separator/>
      </w:r>
    </w:p>
  </w:endnote>
  <w:endnote w:type="continuationSeparator" w:id="0">
    <w:p w14:paraId="7834AC52" w14:textId="77777777" w:rsidR="00F14986" w:rsidRDefault="00F14986" w:rsidP="00B90D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923793"/>
      <w:docPartObj>
        <w:docPartGallery w:val="Page Numbers (Bottom of Page)"/>
        <w:docPartUnique/>
      </w:docPartObj>
    </w:sdtPr>
    <w:sdtEndPr>
      <w:rPr>
        <w:noProof/>
      </w:rPr>
    </w:sdtEndPr>
    <w:sdtContent>
      <w:p w14:paraId="5C21332B" w14:textId="77777777" w:rsidR="00B90DD9" w:rsidRDefault="00B90DD9">
        <w:pPr>
          <w:pStyle w:val="Footer"/>
          <w:jc w:val="center"/>
        </w:pPr>
        <w:r>
          <w:fldChar w:fldCharType="begin"/>
        </w:r>
        <w:r>
          <w:instrText xml:space="preserve"> PAGE   \* MERGEFORMAT </w:instrText>
        </w:r>
        <w:r>
          <w:fldChar w:fldCharType="separate"/>
        </w:r>
        <w:r>
          <w:rPr>
            <w:noProof/>
          </w:rPr>
          <w:t>17</w:t>
        </w:r>
        <w:r>
          <w:rPr>
            <w:noProof/>
          </w:rPr>
          <w:fldChar w:fldCharType="end"/>
        </w:r>
      </w:p>
    </w:sdtContent>
  </w:sdt>
  <w:p w14:paraId="00B4D5FC" w14:textId="77777777" w:rsidR="001B4247" w:rsidRDefault="001B4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83C2B" w14:textId="77777777" w:rsidR="00F14986" w:rsidRDefault="00F14986" w:rsidP="00B90DD9">
      <w:pPr>
        <w:spacing w:after="0" w:line="240" w:lineRule="auto"/>
      </w:pPr>
      <w:r>
        <w:separator/>
      </w:r>
    </w:p>
  </w:footnote>
  <w:footnote w:type="continuationSeparator" w:id="0">
    <w:p w14:paraId="5D1A91F8" w14:textId="77777777" w:rsidR="00F14986" w:rsidRDefault="00F14986" w:rsidP="00B90D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F33C2" w14:textId="77777777" w:rsidR="001B4247" w:rsidRDefault="00000000">
    <w:pPr>
      <w:pStyle w:val="Header"/>
    </w:pPr>
    <w:r>
      <w:rPr>
        <w:noProof/>
      </w:rPr>
      <w:pict w14:anchorId="1C7649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4563" o:spid="_x0000_s1026" type="#_x0000_t136" style="position:absolute;margin-left:0;margin-top:0;width:555.6pt;height:104.15pt;rotation:315;z-index:-251656192;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35CBF" w14:textId="77777777" w:rsidR="001B4247" w:rsidRDefault="00000000">
    <w:pPr>
      <w:pStyle w:val="Header"/>
    </w:pPr>
    <w:r>
      <w:rPr>
        <w:noProof/>
      </w:rPr>
      <w:pict w14:anchorId="00F34C1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4564" o:spid="_x0000_s1027"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65A62" w14:textId="77777777" w:rsidR="001B4247" w:rsidRDefault="00000000">
    <w:pPr>
      <w:pStyle w:val="Header"/>
    </w:pPr>
    <w:r>
      <w:rPr>
        <w:noProof/>
      </w:rPr>
      <w:pict w14:anchorId="10BA63A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144562" o:spid="_x0000_s1025" type="#_x0000_t136" style="position:absolute;margin-left:0;margin-top:0;width:555.6pt;height:104.15pt;rotation:315;z-index:-25165824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A50F22"/>
    <w:multiLevelType w:val="multilevel"/>
    <w:tmpl w:val="810636A0"/>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2059277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A2F"/>
    <w:rsid w:val="00097760"/>
    <w:rsid w:val="001B4247"/>
    <w:rsid w:val="002461B8"/>
    <w:rsid w:val="00267123"/>
    <w:rsid w:val="002E7327"/>
    <w:rsid w:val="00410E74"/>
    <w:rsid w:val="00466920"/>
    <w:rsid w:val="004C656A"/>
    <w:rsid w:val="005B0533"/>
    <w:rsid w:val="00776188"/>
    <w:rsid w:val="00784A07"/>
    <w:rsid w:val="007864A1"/>
    <w:rsid w:val="008C5A25"/>
    <w:rsid w:val="00951BE1"/>
    <w:rsid w:val="0096019D"/>
    <w:rsid w:val="00A03ECB"/>
    <w:rsid w:val="00B90DD9"/>
    <w:rsid w:val="00D37A2F"/>
    <w:rsid w:val="00F14986"/>
    <w:rsid w:val="00F2010A"/>
    <w:rsid w:val="00F677C5"/>
    <w:rsid w:val="00F926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4472FE"/>
  <w15:chartTrackingRefBased/>
  <w15:docId w15:val="{9AAF4BD8-3737-4830-B13E-688D80F8A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A2F"/>
  </w:style>
  <w:style w:type="paragraph" w:styleId="Heading1">
    <w:name w:val="heading 1"/>
    <w:basedOn w:val="Normal"/>
    <w:next w:val="Normal"/>
    <w:link w:val="Heading1Char"/>
    <w:uiPriority w:val="9"/>
    <w:qFormat/>
    <w:rsid w:val="00D37A2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D37A2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D37A2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7A2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37A2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D37A2F"/>
    <w:rPr>
      <w:rFonts w:ascii="Times New Roman" w:eastAsia="Times New Roman" w:hAnsi="Times New Roman" w:cs="Times New Roman"/>
      <w:b/>
      <w:bCs/>
      <w:sz w:val="27"/>
      <w:szCs w:val="27"/>
    </w:rPr>
  </w:style>
  <w:style w:type="character" w:styleId="Strong">
    <w:name w:val="Strong"/>
    <w:basedOn w:val="DefaultParagraphFont"/>
    <w:uiPriority w:val="22"/>
    <w:qFormat/>
    <w:rsid w:val="00D37A2F"/>
    <w:rPr>
      <w:b/>
      <w:bCs/>
    </w:rPr>
  </w:style>
  <w:style w:type="paragraph" w:customStyle="1" w:styleId="isselectedend">
    <w:name w:val="isselectedend"/>
    <w:basedOn w:val="Normal"/>
    <w:rsid w:val="00D37A2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D37A2F"/>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37A2F"/>
    <w:pPr>
      <w:ind w:left="720"/>
      <w:contextualSpacing/>
    </w:pPr>
  </w:style>
  <w:style w:type="paragraph" w:customStyle="1" w:styleId="pdq2pgselectionanchorcontainer">
    <w:name w:val="pdq2pg_selectionanchorcontainer"/>
    <w:basedOn w:val="Normal"/>
    <w:rsid w:val="00D37A2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D37A2F"/>
    <w:rPr>
      <w:color w:val="0000FF"/>
      <w:u w:val="single"/>
    </w:rPr>
  </w:style>
  <w:style w:type="paragraph" w:styleId="Header">
    <w:name w:val="header"/>
    <w:basedOn w:val="Normal"/>
    <w:link w:val="HeaderChar"/>
    <w:uiPriority w:val="99"/>
    <w:unhideWhenUsed/>
    <w:rsid w:val="00D37A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7A2F"/>
  </w:style>
  <w:style w:type="paragraph" w:styleId="Footer">
    <w:name w:val="footer"/>
    <w:basedOn w:val="Normal"/>
    <w:link w:val="FooterChar"/>
    <w:uiPriority w:val="99"/>
    <w:unhideWhenUsed/>
    <w:rsid w:val="00D37A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7A2F"/>
  </w:style>
  <w:style w:type="table" w:styleId="TableGrid">
    <w:name w:val="Table Grid"/>
    <w:basedOn w:val="TableNormal"/>
    <w:uiPriority w:val="39"/>
    <w:rsid w:val="00D37A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37A2F"/>
    <w:rPr>
      <w:i/>
      <w:iCs/>
    </w:rPr>
  </w:style>
  <w:style w:type="paragraph" w:styleId="z-TopofForm">
    <w:name w:val="HTML Top of Form"/>
    <w:basedOn w:val="Normal"/>
    <w:next w:val="Normal"/>
    <w:link w:val="z-TopofFormChar"/>
    <w:hidden/>
    <w:uiPriority w:val="99"/>
    <w:semiHidden/>
    <w:unhideWhenUsed/>
    <w:rsid w:val="00D37A2F"/>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D37A2F"/>
    <w:rPr>
      <w:rFonts w:ascii="Arial" w:eastAsia="Times New Roman" w:hAnsi="Arial" w:cs="Arial"/>
      <w:vanish/>
      <w:sz w:val="16"/>
      <w:szCs w:val="16"/>
    </w:rPr>
  </w:style>
  <w:style w:type="paragraph" w:customStyle="1" w:styleId="placeholder">
    <w:name w:val="placeholder"/>
    <w:basedOn w:val="Normal"/>
    <w:rsid w:val="00D37A2F"/>
    <w:pPr>
      <w:spacing w:before="100" w:beforeAutospacing="1" w:after="100" w:afterAutospacing="1" w:line="240" w:lineRule="auto"/>
    </w:pPr>
    <w:rPr>
      <w:rFonts w:ascii="Times New Roman" w:eastAsia="Times New Roman" w:hAnsi="Times New Roman" w:cs="Times New Roman"/>
      <w:sz w:val="24"/>
      <w:szCs w:val="24"/>
    </w:rPr>
  </w:style>
  <w:style w:type="paragraph" w:styleId="z-BottomofForm">
    <w:name w:val="HTML Bottom of Form"/>
    <w:basedOn w:val="Normal"/>
    <w:next w:val="Normal"/>
    <w:link w:val="z-BottomofFormChar"/>
    <w:hidden/>
    <w:uiPriority w:val="99"/>
    <w:semiHidden/>
    <w:unhideWhenUsed/>
    <w:rsid w:val="00D37A2F"/>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D37A2F"/>
    <w:rPr>
      <w:rFonts w:ascii="Arial" w:eastAsia="Times New Roman" w:hAnsi="Arial" w:cs="Arial"/>
      <w:vanish/>
      <w:sz w:val="16"/>
      <w:szCs w:val="16"/>
    </w:rPr>
  </w:style>
  <w:style w:type="character" w:customStyle="1" w:styleId="UnresolvedMention1">
    <w:name w:val="Unresolved Mention1"/>
    <w:basedOn w:val="DefaultParagraphFont"/>
    <w:uiPriority w:val="99"/>
    <w:semiHidden/>
    <w:unhideWhenUsed/>
    <w:rsid w:val="00D37A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image" Target="media/image8.wmf"/><Relationship Id="rId42" Type="http://schemas.openxmlformats.org/officeDocument/2006/relationships/oleObject" Target="embeddings/oleObject18.bin"/><Relationship Id="rId47" Type="http://schemas.openxmlformats.org/officeDocument/2006/relationships/image" Target="media/image21.wmf"/><Relationship Id="rId63" Type="http://schemas.openxmlformats.org/officeDocument/2006/relationships/oleObject" Target="embeddings/oleObject29.bin"/><Relationship Id="rId68" Type="http://schemas.openxmlformats.org/officeDocument/2006/relationships/image" Target="media/image31.wmf"/><Relationship Id="rId84" Type="http://schemas.openxmlformats.org/officeDocument/2006/relationships/hyperlink" Target="https://doi.org/10.2471/BLT.15.162172" TargetMode="External"/><Relationship Id="rId89" Type="http://schemas.openxmlformats.org/officeDocument/2006/relationships/header" Target="header2.xml"/><Relationship Id="rId16" Type="http://schemas.openxmlformats.org/officeDocument/2006/relationships/oleObject" Target="embeddings/oleObject5.bin"/><Relationship Id="rId11" Type="http://schemas.openxmlformats.org/officeDocument/2006/relationships/image" Target="media/image3.wmf"/><Relationship Id="rId32" Type="http://schemas.openxmlformats.org/officeDocument/2006/relationships/oleObject" Target="embeddings/oleObject13.bin"/><Relationship Id="rId37" Type="http://schemas.openxmlformats.org/officeDocument/2006/relationships/image" Target="media/image16.wmf"/><Relationship Id="rId53" Type="http://schemas.openxmlformats.org/officeDocument/2006/relationships/image" Target="media/image24.wmf"/><Relationship Id="rId58" Type="http://schemas.openxmlformats.org/officeDocument/2006/relationships/oleObject" Target="embeddings/oleObject26.bin"/><Relationship Id="rId74" Type="http://schemas.openxmlformats.org/officeDocument/2006/relationships/hyperlink" Target="https://doi.org/10.1111/j.1365-3156.2012.02989.x" TargetMode="External"/><Relationship Id="rId79" Type="http://schemas.openxmlformats.org/officeDocument/2006/relationships/hyperlink" Target="https://doi.org/10.1186/s12889-025-25355-8" TargetMode="External"/><Relationship Id="rId5" Type="http://schemas.openxmlformats.org/officeDocument/2006/relationships/footnotes" Target="footnotes.xml"/><Relationship Id="rId90" Type="http://schemas.openxmlformats.org/officeDocument/2006/relationships/footer" Target="footer1.xml"/><Relationship Id="rId22" Type="http://schemas.openxmlformats.org/officeDocument/2006/relationships/oleObject" Target="embeddings/oleObject8.bin"/><Relationship Id="rId27" Type="http://schemas.openxmlformats.org/officeDocument/2006/relationships/image" Target="media/image11.wmf"/><Relationship Id="rId43" Type="http://schemas.openxmlformats.org/officeDocument/2006/relationships/image" Target="media/image19.wmf"/><Relationship Id="rId48" Type="http://schemas.openxmlformats.org/officeDocument/2006/relationships/oleObject" Target="embeddings/oleObject21.bin"/><Relationship Id="rId64" Type="http://schemas.openxmlformats.org/officeDocument/2006/relationships/image" Target="media/image29.wmf"/><Relationship Id="rId69" Type="http://schemas.openxmlformats.org/officeDocument/2006/relationships/oleObject" Target="embeddings/oleObject32.bin"/><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hyperlink" Target="https://doi.org/10.1016/j.vaccine.2017.03.029" TargetMode="External"/><Relationship Id="rId80" Type="http://schemas.openxmlformats.org/officeDocument/2006/relationships/hyperlink" Target="https://doi.org/10.1609/aaai.v38i20.30223" TargetMode="External"/><Relationship Id="rId85" Type="http://schemas.openxmlformats.org/officeDocument/2006/relationships/hyperlink" Target="https://doi.org/10.56557/jodagh/2025/v18i29773" TargetMode="External"/><Relationship Id="rId93"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w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6.bin"/><Relationship Id="rId46" Type="http://schemas.openxmlformats.org/officeDocument/2006/relationships/oleObject" Target="embeddings/oleObject20.bin"/><Relationship Id="rId59" Type="http://schemas.openxmlformats.org/officeDocument/2006/relationships/image" Target="media/image27.wmf"/><Relationship Id="rId67" Type="http://schemas.openxmlformats.org/officeDocument/2006/relationships/oleObject" Target="embeddings/oleObject31.bin"/><Relationship Id="rId20" Type="http://schemas.openxmlformats.org/officeDocument/2006/relationships/oleObject" Target="embeddings/oleObject7.bin"/><Relationship Id="rId41" Type="http://schemas.openxmlformats.org/officeDocument/2006/relationships/image" Target="media/image18.wmf"/><Relationship Id="rId54" Type="http://schemas.openxmlformats.org/officeDocument/2006/relationships/oleObject" Target="embeddings/oleObject24.bin"/><Relationship Id="rId62" Type="http://schemas.openxmlformats.org/officeDocument/2006/relationships/oleObject" Target="embeddings/oleObject28.bin"/><Relationship Id="rId70" Type="http://schemas.openxmlformats.org/officeDocument/2006/relationships/hyperlink" Target="https://doi.org/10.1007/s44250-026-00379-y" TargetMode="External"/><Relationship Id="rId75" Type="http://schemas.openxmlformats.org/officeDocument/2006/relationships/hyperlink" Target="https://www.dhsprogram.com/publications/publication-PR157-Preliminary-Reports-Key-Indicators-Reports.cfm" TargetMode="External"/><Relationship Id="rId83" Type="http://schemas.openxmlformats.org/officeDocument/2006/relationships/hyperlink" Target="https://doi.org/10.9734/ajrimps/2026/v15i2375" TargetMode="External"/><Relationship Id="rId88" Type="http://schemas.openxmlformats.org/officeDocument/2006/relationships/header" Target="header1.xml"/><Relationship Id="rId91"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11.bin"/><Relationship Id="rId36" Type="http://schemas.openxmlformats.org/officeDocument/2006/relationships/oleObject" Target="embeddings/oleObject15.bin"/><Relationship Id="rId49" Type="http://schemas.openxmlformats.org/officeDocument/2006/relationships/image" Target="media/image22.wmf"/><Relationship Id="rId57" Type="http://schemas.openxmlformats.org/officeDocument/2006/relationships/image" Target="media/image26.wmf"/><Relationship Id="rId10" Type="http://schemas.openxmlformats.org/officeDocument/2006/relationships/oleObject" Target="embeddings/oleObject2.bin"/><Relationship Id="rId31" Type="http://schemas.openxmlformats.org/officeDocument/2006/relationships/image" Target="media/image13.wmf"/><Relationship Id="rId44" Type="http://schemas.openxmlformats.org/officeDocument/2006/relationships/oleObject" Target="embeddings/oleObject19.bin"/><Relationship Id="rId52" Type="http://schemas.openxmlformats.org/officeDocument/2006/relationships/oleObject" Target="embeddings/oleObject23.bin"/><Relationship Id="rId60" Type="http://schemas.openxmlformats.org/officeDocument/2006/relationships/oleObject" Target="embeddings/oleObject27.bin"/><Relationship Id="rId65" Type="http://schemas.openxmlformats.org/officeDocument/2006/relationships/oleObject" Target="embeddings/oleObject30.bin"/><Relationship Id="rId73" Type="http://schemas.openxmlformats.org/officeDocument/2006/relationships/hyperlink" Target="https://doi.org/10.1186/s12889-020-09169-4" TargetMode="External"/><Relationship Id="rId78" Type="http://schemas.openxmlformats.org/officeDocument/2006/relationships/hyperlink" Target="https://doi.org/10.1016/S2214-109X(16)30141-3" TargetMode="External"/><Relationship Id="rId81" Type="http://schemas.openxmlformats.org/officeDocument/2006/relationships/hyperlink" Target="https://doi.org/10.1080/21645515.2018.1459252" TargetMode="External"/><Relationship Id="rId86" Type="http://schemas.openxmlformats.org/officeDocument/2006/relationships/hyperlink" Target="https://doi.org/10.1371/journal.pone.0297326" TargetMode="External"/><Relationship Id="rId4" Type="http://schemas.openxmlformats.org/officeDocument/2006/relationships/webSettings" Target="webSettings.xml"/><Relationship Id="rId9" Type="http://schemas.openxmlformats.org/officeDocument/2006/relationships/image" Target="media/image2.wmf"/><Relationship Id="rId13" Type="http://schemas.openxmlformats.org/officeDocument/2006/relationships/image" Target="media/image4.wmf"/><Relationship Id="rId18" Type="http://schemas.openxmlformats.org/officeDocument/2006/relationships/oleObject" Target="embeddings/oleObject6.bin"/><Relationship Id="rId39" Type="http://schemas.openxmlformats.org/officeDocument/2006/relationships/image" Target="media/image17.wmf"/><Relationship Id="rId34" Type="http://schemas.openxmlformats.org/officeDocument/2006/relationships/oleObject" Target="embeddings/oleObject14.bin"/><Relationship Id="rId50" Type="http://schemas.openxmlformats.org/officeDocument/2006/relationships/oleObject" Target="embeddings/oleObject22.bin"/><Relationship Id="rId55" Type="http://schemas.openxmlformats.org/officeDocument/2006/relationships/image" Target="media/image25.wmf"/><Relationship Id="rId76" Type="http://schemas.openxmlformats.org/officeDocument/2006/relationships/hyperlink" Target="https://doi.org/10.1186/s12879-017-2890-y" TargetMode="External"/><Relationship Id="rId7" Type="http://schemas.openxmlformats.org/officeDocument/2006/relationships/image" Target="media/image1.wmf"/><Relationship Id="rId71" Type="http://schemas.openxmlformats.org/officeDocument/2006/relationships/hyperlink" Target="https://doi.org/10.1186/s12939-022-01678-5" TargetMode="External"/><Relationship Id="rId92"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image" Target="media/image12.wmf"/><Relationship Id="rId24" Type="http://schemas.openxmlformats.org/officeDocument/2006/relationships/oleObject" Target="embeddings/oleObject9.bin"/><Relationship Id="rId40" Type="http://schemas.openxmlformats.org/officeDocument/2006/relationships/oleObject" Target="embeddings/oleObject17.bin"/><Relationship Id="rId45" Type="http://schemas.openxmlformats.org/officeDocument/2006/relationships/image" Target="media/image20.wmf"/><Relationship Id="rId66" Type="http://schemas.openxmlformats.org/officeDocument/2006/relationships/image" Target="media/image30.wmf"/><Relationship Id="rId87" Type="http://schemas.openxmlformats.org/officeDocument/2006/relationships/hyperlink" Target="https://www.who.int/news/item/15-07-2025-global-childhood-vaccination-coverage-holds-steady-yet-over-14-million-infants-remain-unvaccinated-who-unicef" TargetMode="External"/><Relationship Id="rId61" Type="http://schemas.openxmlformats.org/officeDocument/2006/relationships/image" Target="media/image28.wmf"/><Relationship Id="rId82" Type="http://schemas.openxmlformats.org/officeDocument/2006/relationships/hyperlink" Target="https://doi.org/10.1016/j.jvacx.2024.100563" TargetMode="External"/><Relationship Id="rId19" Type="http://schemas.openxmlformats.org/officeDocument/2006/relationships/image" Target="media/image7.wmf"/><Relationship Id="rId14" Type="http://schemas.openxmlformats.org/officeDocument/2006/relationships/oleObject" Target="embeddings/oleObject4.bin"/><Relationship Id="rId30" Type="http://schemas.openxmlformats.org/officeDocument/2006/relationships/oleObject" Target="embeddings/oleObject12.bin"/><Relationship Id="rId35" Type="http://schemas.openxmlformats.org/officeDocument/2006/relationships/image" Target="media/image15.wmf"/><Relationship Id="rId56" Type="http://schemas.openxmlformats.org/officeDocument/2006/relationships/oleObject" Target="embeddings/oleObject25.bin"/><Relationship Id="rId77" Type="http://schemas.openxmlformats.org/officeDocument/2006/relationships/hyperlink" Target="https://doi.org/10.1038/s41598-026-51266-8" TargetMode="External"/><Relationship Id="rId94" Type="http://schemas.openxmlformats.org/officeDocument/2006/relationships/hyperlink" Target="https://doi.org/10.1016/j.vaccine.2025.127754" TargetMode="External"/><Relationship Id="rId95" Type="http://schemas.openxmlformats.org/officeDocument/2006/relationships/hyperlink" Target="https://doi.org/10.9734/aji/2026/v9i1189" TargetMode="External"/><Relationship Id="rId96" Type="http://schemas.openxmlformats.org/officeDocument/2006/relationships/hyperlink" Target="https://doi.org/10.1186/s12889-025-22710-7" TargetMode="External"/><Relationship Id="rId97" Type="http://schemas.openxmlformats.org/officeDocument/2006/relationships/hyperlink" Target="https://doi.org/10.56557/ajrmms/2026/v8i1113" TargetMode="External"/><Relationship Id="rId98" Type="http://schemas.openxmlformats.org/officeDocument/2006/relationships/hyperlink" Target="https://doi.org/10.1186/s12982-024-00283-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19</Pages>
  <Words>7145</Words>
  <Characters>40730</Characters>
  <Application>Microsoft Office Word</Application>
  <DocSecurity>0</DocSecurity>
  <Lines>339</Lines>
  <Paragraphs>95</Paragraphs>
  <ScaleCrop>false</ScaleCrop>
  <Company/>
  <LinksUpToDate>false</LinksUpToDate>
  <CharactersWithSpaces>47780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JAMCS_163866</dc:title>
  <dc:subject/>
  <dc:creator>user</dc:creator>
  <cp:keywords/>
  <dc:description/>
  <cp:lastModifiedBy>SDI 1087</cp:lastModifiedBy>
  <cp:revision>8</cp:revision>
  <dcterms:created xsi:type="dcterms:W3CDTF">2026-07-30T21:56:00Z</dcterms:created>
  <dcterms:modified xsi:type="dcterms:W3CDTF">2026-08-24T10:31:00Z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ee259ad1-2312-47a1-b7e0-4a264d3e9e11</vt:lpwstr>
  </property>
</Properties>
</file>