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BA1B1" w14:textId="77777777" w:rsidR="00951BE1" w:rsidRPr="00BC5C6D" w:rsidRDefault="00487B48" w:rsidP="00487B48">
      <w:pPr>
        <w:jc w:val="center"/>
        <w:rPr>
          <w:rStyle w:val="Strong"/>
          <w:rFonts w:ascii="Times New Roman" w:hAnsi="Times New Roman" w:cs="Times New Roman"/>
          <w:b w:val="0"/>
          <w:sz w:val="24"/>
          <w:szCs w:val="24"/>
        </w:rPr>
      </w:pPr>
      <w:r w:rsidRPr="00BC5C6D">
        <w:rPr>
          <w:rStyle w:val="Strong"/>
          <w:rFonts w:ascii="Times New Roman" w:hAnsi="Times New Roman" w:cs="Times New Roman"/>
          <w:b w:val="0"/>
          <w:sz w:val="24"/>
          <w:szCs w:val="24"/>
        </w:rPr>
        <w:t>Assessing the Influence of Maternal and Household Factors on Childhood Vaccination Uptake in Nigeria</w:t>
      </w:r>
    </w:p>
    <w:p w14:paraId="2326BF9F" w14:textId="77777777" w:rsidR="00487B48" w:rsidRPr="00BC5C6D" w:rsidRDefault="00487B48" w:rsidP="00487B48">
      <w:pPr>
        <w:rPr>
          <w:rStyle w:val="Strong"/>
        </w:rPr>
      </w:pPr>
    </w:p>
    <w:p w14:paraId="2091F2B5" w14:textId="77777777" w:rsidR="00E019CE" w:rsidRPr="00BC5C6D" w:rsidRDefault="00487B48" w:rsidP="00E019CE">
      <w:pPr>
        <w:pStyle w:val="isselectedend"/>
        <w:rPr>
          <w:i/>
        </w:rPr>
      </w:pPr>
      <w:r w:rsidRPr="00BC5C6D">
        <w:rPr>
          <w:rStyle w:val="Strong"/>
          <w:i/>
        </w:rPr>
        <w:t>Abstract</w:t>
      </w:r>
    </w:p>
    <w:p w14:paraId="1A18C939" w14:textId="77777777" w:rsidR="00482CD9" w:rsidRPr="00BC5C6D" w:rsidRDefault="00482CD9" w:rsidP="00F04B75">
      <w:pPr>
        <w:spacing w:before="100" w:beforeAutospacing="1" w:after="100" w:afterAutospacing="1" w:line="240" w:lineRule="auto"/>
        <w:jc w:val="both"/>
        <w:rPr>
          <w:rFonts w:ascii="Times New Roman" w:eastAsia="Times New Roman" w:hAnsi="Times New Roman" w:cs="Times New Roman"/>
          <w:sz w:val="24"/>
          <w:szCs w:val="24"/>
        </w:rPr>
      </w:pPr>
      <w:r w:rsidRPr="00BC5C6D">
        <w:rPr>
          <w:rFonts w:ascii="Times New Roman" w:eastAsia="Times New Roman" w:hAnsi="Times New Roman" w:cs="Times New Roman"/>
          <w:i/>
          <w:sz w:val="24"/>
          <w:szCs w:val="24"/>
        </w:rPr>
        <w:t>Childhood immunisation is an effective and highly cost-effective public health intervention that helps prevent vaccine-preventable diseases and reduce mortality among children under five years of age. Although the Nigerian Government and development partners continue to pursue sustained improvements in childhood immunisation coverage, national coverage remains below national and international targets, with persistent socioeconomic and geographical disparities. This study evaluated the effects of maternal and household characteristics on childhood immunisation in Nigeria using secondary data from the Nigeria Demographic and Health Survey (NDHS). A cross-sectional analytical design was adopted. The target population comprised mothers and their children aged 12–23 months. Descriptive statistics were used to describe respondent characteristics. Associations between the explanatory variables and childhood immunisation were assessed using the survey-adjusted chi-square test, while survey-weighted binary logistic regression was used to estimate the independent effects of maternal and household characteristics after accounting for the complex NDHS sampling design. The illustrative findings indicated that higher maternal education and household wealth, antenatal care attendance, health-facility delivery, urban residence, and exposure to mass media were positively associated with full immunisation, whereas higher parity was negatively associated with the odds of full immunisation. Maternal education was the strongest factor influencing childhood vaccination uptake. Strengthening female education, improving access to quality maternal health services and rural infrastructure, reducing socioeconomic barriers to immunisation, reinforcing health promotion, and improving multisectoral coordination to ensure equitable access are recommended.</w:t>
      </w:r>
    </w:p>
    <w:p w14:paraId="43EC3D6A" w14:textId="2E458CAD" w:rsidR="00B620B6" w:rsidRPr="00BC5C6D" w:rsidRDefault="00B620B6" w:rsidP="00B620B6">
      <w:pPr>
        <w:pStyle w:val="isselectedend"/>
        <w:jc w:val="both"/>
      </w:pPr>
      <w:r w:rsidRPr="00BC5C6D">
        <w:rPr>
          <w:rStyle w:val="Strong"/>
        </w:rPr>
        <w:t xml:space="preserve">Keywords: </w:t>
      </w:r>
      <w:r w:rsidRPr="00BC5C6D">
        <w:rPr>
          <w:rStyle w:val="Strong"/>
          <w:b w:val="0"/>
          <w:bCs w:val="0"/>
        </w:rPr>
        <w:t>Childhood vaccination uptake; maternal factors; household characteristics; antenatal care; health-facility delivery; socioeconomic disparities</w:t>
      </w:r>
    </w:p>
    <w:p w14:paraId="58FCDDB4" w14:textId="77777777" w:rsidR="00487B48" w:rsidRPr="00BC5C6D" w:rsidRDefault="00487B48" w:rsidP="00487B48">
      <w:pPr>
        <w:pStyle w:val="ListParagraph"/>
        <w:numPr>
          <w:ilvl w:val="0"/>
          <w:numId w:val="1"/>
        </w:numPr>
        <w:rPr>
          <w:rFonts w:ascii="Times New Roman" w:hAnsi="Times New Roman" w:cs="Times New Roman"/>
          <w:sz w:val="24"/>
          <w:szCs w:val="24"/>
        </w:rPr>
      </w:pPr>
      <w:r w:rsidRPr="00BC5C6D">
        <w:rPr>
          <w:rFonts w:ascii="Times New Roman" w:hAnsi="Times New Roman" w:cs="Times New Roman"/>
          <w:sz w:val="24"/>
          <w:szCs w:val="24"/>
        </w:rPr>
        <w:t>Introduction</w:t>
      </w:r>
    </w:p>
    <w:p w14:paraId="77D22631" w14:textId="77777777" w:rsidR="00F04B75" w:rsidRPr="00BC5C6D" w:rsidRDefault="00F04B75" w:rsidP="00F04B75">
      <w:pPr>
        <w:pStyle w:val="NormalWeb"/>
        <w:jc w:val="both"/>
      </w:pPr>
      <w:r w:rsidRPr="00BC5C6D">
        <w:t xml:space="preserve">Childhood immunisation is a key instrument in global public health. It is a cost-effective intervention for preventing infections and substantially reducing mortality among children under five years of age. In Nigeria, progress towards universal childhood immunisation coverage has remained below expectations despite sustained financial and technical assistance from the Government and international development partners. National vaccination coverage continues to fall well below global targets, with substantial regional and socioeconomic disparities. Empirical research indicates that household circumstances and maternal characteristics critically influence childhood vaccination uptake. Using data from the 2018 Nigeria Demographic and Health Survey (NDHS), Williams et al. (2024) found that children whose mothers had higher levels of education, attended antenatal care, delivered in health facilities, lived in wealthier urban households, and were exposed to mass media were more likely to receive the complete vaccination schedule than children from poorer and rural households. Extending this evidence, Gayawan et al. (2026) found that maternal empowerment, reflected in women’s participation in household and health-related decision-making, was positively associated with vaccination uptake, although the magnitude of </w:t>
      </w:r>
      <w:r w:rsidRPr="00BC5C6D">
        <w:lastRenderedPageBreak/>
        <w:t>the association varied across geographical areas. At the community level, Olaniyan et al. (2022) documented the positive roles of parental awareness, acceptance, favourable perceptions of vaccines, and confidence in healthcare providers, alongside persistent barriers such as cultural practices and vaccination misconceptions. In addition, artificial intelligence has been used to identify underserved communities, intensify vaccination outreach, and improve immunisation service delivery in Nigeria, as demonstrated by Kehinde et al. (2024). Collectively, the evidence indicates that childhood immunisation in Nigeria is shaped by women’s socioeconomic circumstances and use of healthcare services, their decision-making autonomy, household economic conditions, and access to quality healthcare. However, much of this evidence is based on the 2018 NDHS and therefore reflects the pre-COVID-19 context. Updated empirical research using the latest nationally representative data is needed to understand contemporary vaccination patterns and to inform equitable, effective, and contextually appropriate immunisation policies in Nigeria.</w:t>
      </w:r>
    </w:p>
    <w:p w14:paraId="541023E7" w14:textId="77777777" w:rsidR="008C7258" w:rsidRPr="00BC5C6D" w:rsidRDefault="00000000">
      <w:pPr>
        <w:pStyle w:val="NormalWeb"/>
        <w:jc w:val="both"/>
      </w:pPr>
      <w:r w:rsidRPr="00BC5C6D">
        <w:rPr>
          <w:color w:val="000000"/>
          <w:sz w:val="20"/>
        </w:rPr>
        <w:t>Further Nigerian studies have shown that maternal education, antenatal care, skilled birth attendance, household wealth, media exposure, and healthcare accessibility influence both the initiation and completion of childhood vaccination schedules (Aheto et al., 2022; Fagbamigbe et al., 2023; Okunlola et al., 2023). Evidence on vaccination demand also indicates that household decision-making, family and community support, service-delivery experiences, and context-specific socioeconomic constraints shape caregivers’ uptake of childhood immunisation (Bell et al., 2023; Bolarinwa et al., 2025).</w:t>
      </w:r>
    </w:p>
    <w:p w14:paraId="0A3E49BC" w14:textId="77777777" w:rsidR="008C7258" w:rsidRPr="00BC5C6D" w:rsidRDefault="00000000">
      <w:pPr>
        <w:pStyle w:val="NormalWeb"/>
        <w:jc w:val="both"/>
        <w:rPr>
          <w:bCs/>
        </w:rPr>
      </w:pPr>
      <w:r w:rsidRPr="00BC5C6D">
        <w:rPr>
          <w:bCs/>
          <w:color w:val="000000"/>
        </w:rPr>
        <w:t>Recent Nigerian evidence indicates that caregiver knowledge and enabling conditions are associated with the immunisation of children under five, reinforcing the relevance of maternal and household characteristics to vaccination uptake (Orofuke et al., 2024).</w:t>
      </w:r>
    </w:p>
    <w:p w14:paraId="129F6B98" w14:textId="77777777" w:rsidR="008C7258" w:rsidRPr="00BC5C6D" w:rsidRDefault="00000000">
      <w:pPr>
        <w:pStyle w:val="NormalWeb"/>
        <w:jc w:val="both"/>
        <w:rPr>
          <w:bCs/>
        </w:rPr>
      </w:pPr>
      <w:r w:rsidRPr="00BC5C6D">
        <w:rPr>
          <w:bCs/>
          <w:color w:val="000000"/>
        </w:rPr>
        <w:t>Broader evidence on childhood health inequalities in Nigeria similarly identifies poverty, maternal illiteracy, limited access to healthcare, and rural–urban disparities as persistent determinants of child health outcomes (Sayomi et al., 2025).</w:t>
      </w:r>
    </w:p>
    <w:p w14:paraId="08EF65D6" w14:textId="00F55471" w:rsidR="008C7258" w:rsidRPr="00BC5C6D" w:rsidRDefault="00000000">
      <w:pPr>
        <w:pStyle w:val="NormalWeb"/>
        <w:jc w:val="both"/>
        <w:rPr>
          <w:bCs/>
        </w:rPr>
      </w:pPr>
      <w:r w:rsidRPr="00BC5C6D">
        <w:rPr>
          <w:bCs/>
          <w:color w:val="000000"/>
        </w:rPr>
        <w:t>Geospatial analysis of Nigeria's 2021 Multiple Indicator Cluster Survey/National Immunization Coverage Survey further showed that zero-dose and underimmunised children were concentrated among socially disadvantaged groups, particularly children of mothers with little or no education and children from poorer households (</w:t>
      </w:r>
      <w:r w:rsidR="00E96DE6" w:rsidRPr="00E96DE6">
        <w:rPr>
          <w:bCs/>
          <w:color w:val="000000"/>
        </w:rPr>
        <w:t>Jean</w:t>
      </w:r>
      <w:r w:rsidR="00E96DE6" w:rsidRPr="00E96DE6">
        <w:rPr>
          <w:bCs/>
          <w:color w:val="000000"/>
        </w:rPr>
        <w:t xml:space="preserve"> </w:t>
      </w:r>
      <w:r w:rsidRPr="00BC5C6D">
        <w:rPr>
          <w:bCs/>
          <w:color w:val="000000"/>
        </w:rPr>
        <w:t>Baptiste et al., 2024).</w:t>
      </w:r>
    </w:p>
    <w:p w14:paraId="63227E62" w14:textId="77777777" w:rsidR="008C7258" w:rsidRPr="00BC5C6D" w:rsidRDefault="00000000">
      <w:pPr>
        <w:pStyle w:val="NormalWeb"/>
        <w:jc w:val="both"/>
        <w:rPr>
          <w:bCs/>
        </w:rPr>
      </w:pPr>
      <w:r w:rsidRPr="00BC5C6D">
        <w:rPr>
          <w:bCs/>
          <w:color w:val="000000"/>
        </w:rPr>
        <w:t>High-resolution mapping also identified marked subnational disparities in maternal and childhood vaccination service coverage, with many priority areas located in northern Nigeria (Kawakatsu et al., 2024).</w:t>
      </w:r>
    </w:p>
    <w:p w14:paraId="3D5765EB" w14:textId="77777777" w:rsidR="008C7258" w:rsidRPr="00BC5C6D" w:rsidRDefault="00000000">
      <w:pPr>
        <w:pStyle w:val="NormalWeb"/>
        <w:jc w:val="both"/>
        <w:rPr>
          <w:bCs/>
        </w:rPr>
      </w:pPr>
      <w:r w:rsidRPr="00BC5C6D">
        <w:rPr>
          <w:bCs/>
          <w:color w:val="000000"/>
        </w:rPr>
        <w:t>Despite this growing body of evidence, nationally representative research on the joint influence of maternal and household characteristics on complete childhood vaccination uptake remains limited, particularly research using the latest NDHS data and methods that account for the complex survey design.</w:t>
      </w:r>
    </w:p>
    <w:p w14:paraId="5CEDCCEC" w14:textId="77777777" w:rsidR="008C7258" w:rsidRPr="00BC5C6D" w:rsidRDefault="00000000">
      <w:pPr>
        <w:pStyle w:val="NormalWeb"/>
        <w:jc w:val="both"/>
      </w:pPr>
      <w:r w:rsidRPr="00BC5C6D">
        <w:rPr>
          <w:b/>
          <w:color w:val="000000"/>
        </w:rPr>
        <w:t>Objective of the Study</w:t>
      </w:r>
    </w:p>
    <w:p w14:paraId="29DB70CC" w14:textId="77777777" w:rsidR="008C7258" w:rsidRPr="00BC5C6D" w:rsidRDefault="00000000">
      <w:pPr>
        <w:pStyle w:val="NormalWeb"/>
        <w:jc w:val="both"/>
        <w:rPr>
          <w:bCs/>
        </w:rPr>
      </w:pPr>
      <w:r w:rsidRPr="00BC5C6D">
        <w:rPr>
          <w:bCs/>
          <w:color w:val="000000"/>
        </w:rPr>
        <w:lastRenderedPageBreak/>
        <w:t>The objective of this study is to assess the influence of maternal and household factors on complete childhood vaccination uptake among children aged 12–23 months in Nigeria using the latest NDHS data.</w:t>
      </w:r>
    </w:p>
    <w:p w14:paraId="62830DA3" w14:textId="77777777" w:rsidR="00F04B75" w:rsidRPr="00BC5C6D" w:rsidRDefault="00F04B75" w:rsidP="00F04B75">
      <w:pPr>
        <w:pStyle w:val="NormalWeb"/>
        <w:numPr>
          <w:ilvl w:val="0"/>
          <w:numId w:val="1"/>
        </w:numPr>
        <w:jc w:val="both"/>
      </w:pPr>
      <w:r w:rsidRPr="00BC5C6D">
        <w:t>Literature Review</w:t>
      </w:r>
    </w:p>
    <w:p w14:paraId="58AF03A6" w14:textId="77777777" w:rsidR="00F04B75" w:rsidRPr="00BC5C6D" w:rsidRDefault="00F04B75" w:rsidP="00F04B75">
      <w:pPr>
        <w:pStyle w:val="NormalWeb"/>
        <w:jc w:val="both"/>
      </w:pPr>
      <w:r w:rsidRPr="00BC5C6D">
        <w:t>Childhood immunisation is recognised worldwide as one of the most successful and cost-effective public health interventions for protecting children from vaccine-preventable diseases and reducing mortality among children under five years of age. Despite considerable progress in expanding immunisation services, vaccination coverage remains low in many low- and middle-income countries (LMICs) because of socioeconomic disadvantage, limited access to quality healthcare, and growing vaccine hesitancy, all of which hinder progress towards universal immunisation. Evidence from multiple countries shows that children whose mothers are well educated, understand the benefits of immunisation, have greater financial resources, and trust healthcare providers are more likely to receive a complete immunisation schedule (Williams et al., 2024). Conversely, misinformation, cultural misconceptions, and concerns about vaccine safety are major barriers to vaccine acceptance and timely immunisation. Recent global statistics indicate that, in 2025, nine in ten infants worldwide received the first dose of a diphtheria–tetanus–pertussis-containing vaccine, while 13.5 million infants received no routine vaccination; these figures also demonstrate widening disparities in coverage (World Health Organization [WHO] &amp; United Nations Children’s Fund [UNICEF], 2026). Nigeria is among the countries with the largest numbers of underimmunised children. Recent studies show that maternal and household characteristics significantly influence childhood immunisation outcomes. Using the 2018 NDHS, Williams et al. (2024) reported that the likelihood of receiving the complete set of childhood vaccinations increased with maternal education and age, use of antenatal services, health-facility delivery, household wealth, urban residence, and geographical region. Conversely, children from poorer households, with limited use of maternal health services, or living in rural areas were at greater risk of not completing the immunisation schedule.</w:t>
      </w:r>
    </w:p>
    <w:p w14:paraId="4D2BE48D" w14:textId="77777777" w:rsidR="00F04B75" w:rsidRPr="00BC5C6D" w:rsidRDefault="00F04B75" w:rsidP="00F04B75">
      <w:pPr>
        <w:pStyle w:val="NormalWeb"/>
        <w:jc w:val="both"/>
      </w:pPr>
      <w:r w:rsidRPr="00BC5C6D">
        <w:t>Gayawan et al. (2026) also reported that women’s decision-making autonomy positively influenced childhood vaccination in Nigeria, although the magnitude of the association varied geographically. In addition to traditional interventions, digital technologies have become increasingly important in delivering vaccination interventions. Kehinde et al. (2024) demonstrated the effectiveness of the Artificial Intelligence-Driven Vaccination Intervention Optimiser (ADVISER) in identifying unimmunised households and intensifying vaccine delivery to more than 13,000 families in Oyo State. The evidence suggests that childhood immunisation in Nigeria depends on several determinants, including maternal socioeconomic characteristics, women’s empowerment, healthcare utilisation, parental awareness, household financial status, and access to health services. However, the existing literature predominantly uses the 2018 NDHS and other pre-COVID-19 datasets, thereby providing limited insight into the effects of post-COVID-19 responses on immunisation services, recent demographic trends, and evolving household circumstances. Further empirical research using current nationally representative datasets is therefore needed to provide evidence for equitable, targeted, and sustainable childhood immunisation strategies in Nigeria.</w:t>
      </w:r>
    </w:p>
    <w:p w14:paraId="27EBC89F" w14:textId="77777777" w:rsidR="004404E7" w:rsidRPr="00BC5C6D" w:rsidRDefault="00923799" w:rsidP="008B2171">
      <w:pPr>
        <w:pStyle w:val="ListParagraph"/>
        <w:numPr>
          <w:ilvl w:val="0"/>
          <w:numId w:val="1"/>
        </w:numPr>
        <w:jc w:val="both"/>
        <w:rPr>
          <w:rFonts w:ascii="Times New Roman" w:hAnsi="Times New Roman" w:cs="Times New Roman"/>
          <w:sz w:val="24"/>
          <w:szCs w:val="24"/>
        </w:rPr>
      </w:pPr>
      <w:r w:rsidRPr="00BC5C6D">
        <w:rPr>
          <w:rFonts w:ascii="Times New Roman" w:hAnsi="Times New Roman" w:cs="Times New Roman"/>
          <w:sz w:val="24"/>
          <w:szCs w:val="24"/>
        </w:rPr>
        <w:t>Methodology</w:t>
      </w:r>
    </w:p>
    <w:p w14:paraId="1B7C359C" w14:textId="77777777" w:rsidR="004404E7" w:rsidRPr="00BC5C6D" w:rsidRDefault="004404E7" w:rsidP="004404E7">
      <w:pPr>
        <w:pStyle w:val="NormalWeb"/>
        <w:jc w:val="both"/>
      </w:pPr>
      <w:r w:rsidRPr="00BC5C6D">
        <w:lastRenderedPageBreak/>
        <w:t>Empirical analyses for this study were conducted using data from the Nigeria Demographic and Health Survey (NDHS) (Federal Ministry of Health and Social Welfare of Nigeria [FMoHSW], National Population Commission [NPC], &amp; ICF, 2025). Because the dependent variable, childhood immunisation status, is dichotomous (fully immunised or not fully immunised), a survey-adjusted binary logistic regression model was used to examine the influence of maternal and household characteristics on children’s full immunisation status. The analysis appropriately accounted for the NDHS survey design, including clustering, stratification, and sampling weights, to obtain unbiased parameter estimates and nationally representative results.</w:t>
      </w:r>
    </w:p>
    <w:p w14:paraId="07215DD8" w14:textId="77777777" w:rsidR="008B2171" w:rsidRPr="00BC5C6D" w:rsidRDefault="004404E7" w:rsidP="008B2171">
      <w:pPr>
        <w:pStyle w:val="Heading3"/>
        <w:rPr>
          <w:b w:val="0"/>
          <w:sz w:val="24"/>
          <w:szCs w:val="24"/>
        </w:rPr>
      </w:pPr>
      <w:r w:rsidRPr="00BC5C6D">
        <w:rPr>
          <w:b w:val="0"/>
          <w:sz w:val="24"/>
          <w:szCs w:val="24"/>
        </w:rPr>
        <w:t xml:space="preserve">3.1 </w:t>
      </w:r>
      <w:r w:rsidR="008B2171" w:rsidRPr="00BC5C6D">
        <w:rPr>
          <w:b w:val="0"/>
          <w:sz w:val="24"/>
          <w:szCs w:val="24"/>
        </w:rPr>
        <w:t>Mathematical Formulation of the Rao–Scott Adjusted Chi-square Test</w:t>
      </w:r>
    </w:p>
    <w:p w14:paraId="2619D57A" w14:textId="77777777" w:rsidR="008B2171" w:rsidRPr="00BC5C6D" w:rsidRDefault="008B2171" w:rsidP="008B2171">
      <w:pPr>
        <w:pStyle w:val="NormalWeb"/>
      </w:pPr>
      <w:r w:rsidRPr="00BC5C6D">
        <w:t>The ordinary Pearson chi-square statistic is computed as follows:</w:t>
      </w:r>
    </w:p>
    <w:p w14:paraId="481F7107" w14:textId="77777777" w:rsidR="008B2171" w:rsidRPr="00BC5C6D" w:rsidRDefault="008B2171" w:rsidP="00615D6C">
      <w:pPr>
        <w:pStyle w:val="pdq2pgselectionanchorcontainer"/>
      </w:pPr>
      <w:r w:rsidRPr="00BC5C6D">
        <w:tab/>
      </w:r>
      <w:r w:rsidRPr="00BC5C6D">
        <w:tab/>
      </w:r>
      <w:r w:rsidRPr="00BC5C6D">
        <w:rPr>
          <w:position w:val="-32"/>
        </w:rPr>
        <w:object w:dxaOrig="2220" w:dyaOrig="840" w14:anchorId="376692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15pt;height:42.05pt" o:ole="">
            <v:imagedata r:id="rId7" o:title=""/>
          </v:shape>
          <o:OLEObject Type="Embed" ProgID="Equation.DSMT4" ShapeID="_x0000_i1025" DrawAspect="Content" ObjectID="_1846930492" r:id="rId8"/>
        </w:object>
      </w:r>
    </w:p>
    <w:p w14:paraId="793FECDC" w14:textId="77777777" w:rsidR="008B2171" w:rsidRPr="00BC5C6D" w:rsidRDefault="004404E7" w:rsidP="008B2171">
      <w:pPr>
        <w:pStyle w:val="Heading3"/>
        <w:rPr>
          <w:b w:val="0"/>
          <w:sz w:val="24"/>
          <w:szCs w:val="24"/>
        </w:rPr>
      </w:pPr>
      <w:proofErr w:type="gramStart"/>
      <w:r w:rsidRPr="00BC5C6D">
        <w:rPr>
          <w:b w:val="0"/>
          <w:sz w:val="24"/>
          <w:szCs w:val="24"/>
        </w:rPr>
        <w:t xml:space="preserve">3.1.1  </w:t>
      </w:r>
      <w:r w:rsidR="008B2171" w:rsidRPr="00BC5C6D">
        <w:rPr>
          <w:b w:val="0"/>
          <w:sz w:val="24"/>
          <w:szCs w:val="24"/>
        </w:rPr>
        <w:t>Rao</w:t>
      </w:r>
      <w:proofErr w:type="gramEnd"/>
      <w:r w:rsidR="008B2171" w:rsidRPr="00BC5C6D">
        <w:rPr>
          <w:b w:val="0"/>
          <w:sz w:val="24"/>
          <w:szCs w:val="24"/>
        </w:rPr>
        <w:t>–Scott First-Order Adjustment</w:t>
      </w:r>
    </w:p>
    <w:p w14:paraId="246EB387" w14:textId="77777777" w:rsidR="008B2171" w:rsidRPr="00BC5C6D" w:rsidRDefault="008B2171" w:rsidP="008B2171">
      <w:pPr>
        <w:pStyle w:val="NormalWeb"/>
      </w:pPr>
      <w:r w:rsidRPr="00BC5C6D">
        <w:t>The Rao–Scott first-order adjusted chi-square statistic is given as follows:</w:t>
      </w:r>
    </w:p>
    <w:p w14:paraId="45EA0268" w14:textId="77777777" w:rsidR="008B2171" w:rsidRPr="00BC5C6D" w:rsidRDefault="008B2171" w:rsidP="008B2171">
      <w:pPr>
        <w:pStyle w:val="NormalWeb"/>
      </w:pPr>
      <w:r w:rsidRPr="00BC5C6D">
        <w:tab/>
      </w:r>
      <w:r w:rsidRPr="00BC5C6D">
        <w:tab/>
      </w:r>
      <w:r w:rsidRPr="00BC5C6D">
        <w:rPr>
          <w:position w:val="-24"/>
        </w:rPr>
        <w:object w:dxaOrig="980" w:dyaOrig="680" w14:anchorId="7509A5FD">
          <v:shape id="_x0000_i1026" type="#_x0000_t75" style="width:48.95pt;height:34pt" o:ole="">
            <v:imagedata r:id="rId9" o:title=""/>
          </v:shape>
          <o:OLEObject Type="Embed" ProgID="Equation.DSMT4" ShapeID="_x0000_i1026" DrawAspect="Content" ObjectID="_1846930493" r:id="rId10"/>
        </w:object>
      </w:r>
    </w:p>
    <w:p w14:paraId="3D6B2ABF" w14:textId="77777777" w:rsidR="008B2171" w:rsidRPr="00BC5C6D" w:rsidRDefault="008B2171" w:rsidP="008B2171">
      <w:pPr>
        <w:pStyle w:val="NormalWeb"/>
      </w:pPr>
      <w:r w:rsidRPr="00BC5C6D">
        <w:tab/>
      </w:r>
      <w:r w:rsidRPr="00BC5C6D">
        <w:rPr>
          <w:position w:val="-28"/>
        </w:rPr>
        <w:object w:dxaOrig="4320" w:dyaOrig="660" w14:anchorId="0E31E18F">
          <v:shape id="_x0000_i1027" type="#_x0000_t75" style="width:216.6pt;height:33.4pt" o:ole="">
            <v:imagedata r:id="rId11" o:title=""/>
          </v:shape>
          <o:OLEObject Type="Embed" ProgID="Equation.DSMT4" ShapeID="_x0000_i1027" DrawAspect="Content" ObjectID="_1846930494" r:id="rId12"/>
        </w:object>
      </w:r>
    </w:p>
    <w:p w14:paraId="5353A87E" w14:textId="77777777" w:rsidR="008B2171" w:rsidRPr="00BC5C6D" w:rsidRDefault="004404E7" w:rsidP="008B2171">
      <w:pPr>
        <w:pStyle w:val="Heading3"/>
        <w:rPr>
          <w:b w:val="0"/>
          <w:sz w:val="24"/>
          <w:szCs w:val="24"/>
        </w:rPr>
      </w:pPr>
      <w:r w:rsidRPr="00BC5C6D">
        <w:rPr>
          <w:b w:val="0"/>
          <w:sz w:val="24"/>
          <w:szCs w:val="24"/>
        </w:rPr>
        <w:t xml:space="preserve">3.1.2 </w:t>
      </w:r>
      <w:r w:rsidR="008B2171" w:rsidRPr="00BC5C6D">
        <w:rPr>
          <w:b w:val="0"/>
          <w:sz w:val="24"/>
          <w:szCs w:val="24"/>
        </w:rPr>
        <w:t>Rao–Scott Second-Order Adjustment</w:t>
      </w:r>
    </w:p>
    <w:p w14:paraId="4B73D213" w14:textId="77777777" w:rsidR="00F771CC" w:rsidRPr="00BC5C6D" w:rsidRDefault="008B2171" w:rsidP="00F771CC">
      <w:pPr>
        <w:pStyle w:val="Heading3"/>
      </w:pPr>
      <w:r w:rsidRPr="00BC5C6D">
        <w:tab/>
      </w:r>
      <w:r w:rsidR="00F771CC" w:rsidRPr="00BC5C6D">
        <w:rPr>
          <w:position w:val="-24"/>
        </w:rPr>
        <w:object w:dxaOrig="1200" w:dyaOrig="680" w14:anchorId="2AA6EE29">
          <v:shape id="_x0000_i1028" type="#_x0000_t75" style="width:59.9pt;height:34pt" o:ole="">
            <v:imagedata r:id="rId13" o:title=""/>
          </v:shape>
          <o:OLEObject Type="Embed" ProgID="Equation.DSMT4" ShapeID="_x0000_i1028" DrawAspect="Content" ObjectID="_1846930495" r:id="rId14"/>
        </w:object>
      </w:r>
    </w:p>
    <w:p w14:paraId="354EF6C0" w14:textId="77777777" w:rsidR="00F771CC" w:rsidRPr="00BC5C6D" w:rsidRDefault="00F771CC" w:rsidP="00F771CC">
      <w:pPr>
        <w:pStyle w:val="Heading3"/>
        <w:rPr>
          <w:b w:val="0"/>
          <w:sz w:val="24"/>
          <w:szCs w:val="24"/>
        </w:rPr>
      </w:pPr>
      <w:r w:rsidRPr="00BC5C6D">
        <w:rPr>
          <w:b w:val="0"/>
          <w:sz w:val="24"/>
          <w:szCs w:val="24"/>
        </w:rPr>
        <w:t>Mathematical Formulation of the Survey-Weighted Binary Logistic Regression</w:t>
      </w:r>
    </w:p>
    <w:p w14:paraId="315CE10B" w14:textId="77777777" w:rsidR="00F771CC" w:rsidRPr="00BC5C6D" w:rsidRDefault="00F771CC" w:rsidP="00F771CC">
      <w:pPr>
        <w:pStyle w:val="Heading3"/>
        <w:rPr>
          <w:b w:val="0"/>
          <w:sz w:val="24"/>
          <w:szCs w:val="24"/>
        </w:rPr>
      </w:pPr>
      <w:r w:rsidRPr="00BC5C6D">
        <w:rPr>
          <w:b w:val="0"/>
          <w:sz w:val="24"/>
          <w:szCs w:val="24"/>
        </w:rPr>
        <w:tab/>
      </w:r>
      <w:r w:rsidRPr="00BC5C6D">
        <w:rPr>
          <w:position w:val="-30"/>
        </w:rPr>
        <w:object w:dxaOrig="3879" w:dyaOrig="720" w14:anchorId="610B721C">
          <v:shape id="_x0000_i1029" type="#_x0000_t75" style="width:194.1pt;height:35.15pt" o:ole="">
            <v:imagedata r:id="rId15" o:title=""/>
          </v:shape>
          <o:OLEObject Type="Embed" ProgID="Equation.DSMT4" ShapeID="_x0000_i1029" DrawAspect="Content" ObjectID="_1846930496" r:id="rId16"/>
        </w:object>
      </w:r>
      <w:r w:rsidRPr="00BC5C6D">
        <w:rPr>
          <w:b w:val="0"/>
          <w:sz w:val="24"/>
          <w:szCs w:val="24"/>
        </w:rPr>
        <w:tab/>
      </w:r>
    </w:p>
    <w:p w14:paraId="53322CCD" w14:textId="77777777" w:rsidR="00F771CC" w:rsidRPr="00BC5C6D" w:rsidRDefault="00F771CC" w:rsidP="00F771CC">
      <w:pPr>
        <w:pStyle w:val="Heading3"/>
        <w:rPr>
          <w:b w:val="0"/>
          <w:sz w:val="24"/>
          <w:szCs w:val="24"/>
        </w:rPr>
      </w:pPr>
      <w:r w:rsidRPr="00BC5C6D">
        <w:rPr>
          <w:b w:val="0"/>
          <w:sz w:val="24"/>
          <w:szCs w:val="24"/>
        </w:rPr>
        <w:t>The probability that the ith child is fully vaccinated is specified as follows:</w:t>
      </w:r>
    </w:p>
    <w:p w14:paraId="46ED8B17" w14:textId="77777777" w:rsidR="00F771CC" w:rsidRPr="00BC5C6D" w:rsidRDefault="00F771CC" w:rsidP="00F771CC">
      <w:pPr>
        <w:pStyle w:val="Heading3"/>
      </w:pPr>
      <w:r w:rsidRPr="00BC5C6D">
        <w:rPr>
          <w:b w:val="0"/>
          <w:sz w:val="24"/>
          <w:szCs w:val="24"/>
        </w:rPr>
        <w:tab/>
      </w:r>
      <w:r w:rsidRPr="00BC5C6D">
        <w:rPr>
          <w:position w:val="-14"/>
        </w:rPr>
        <w:object w:dxaOrig="1359" w:dyaOrig="400" w14:anchorId="0F258680">
          <v:shape id="_x0000_i1030" type="#_x0000_t75" style="width:67.95pt;height:20.15pt" o:ole="">
            <v:imagedata r:id="rId17" o:title=""/>
          </v:shape>
          <o:OLEObject Type="Embed" ProgID="Equation.DSMT4" ShapeID="_x0000_i1030" DrawAspect="Content" ObjectID="_1846930497" r:id="rId18"/>
        </w:object>
      </w:r>
    </w:p>
    <w:p w14:paraId="21FDCA4C" w14:textId="77777777" w:rsidR="00F771CC" w:rsidRPr="00BC5C6D" w:rsidRDefault="00F771CC" w:rsidP="00F771CC">
      <w:pPr>
        <w:pStyle w:val="Heading3"/>
        <w:rPr>
          <w:b w:val="0"/>
        </w:rPr>
      </w:pPr>
      <w:r w:rsidRPr="00BC5C6D">
        <w:rPr>
          <w:b w:val="0"/>
        </w:rPr>
        <w:t xml:space="preserve">Since </w:t>
      </w:r>
      <w:r w:rsidRPr="00BC5C6D">
        <w:rPr>
          <w:b w:val="0"/>
          <w:position w:val="-12"/>
        </w:rPr>
        <w:object w:dxaOrig="940" w:dyaOrig="360" w14:anchorId="2DA58650">
          <v:shape id="_x0000_i1031" type="#_x0000_t75" style="width:46.65pt;height:17.85pt" o:ole="">
            <v:imagedata r:id="rId19" o:title=""/>
          </v:shape>
          <o:OLEObject Type="Embed" ProgID="Equation.DSMT4" ShapeID="_x0000_i1031" DrawAspect="Content" ObjectID="_1846930498" r:id="rId20"/>
        </w:object>
      </w:r>
    </w:p>
    <w:p w14:paraId="20469064" w14:textId="77777777" w:rsidR="00F771CC" w:rsidRPr="00BC5C6D" w:rsidRDefault="00F771CC" w:rsidP="00F771CC">
      <w:pPr>
        <w:pStyle w:val="pdq2pgselectionanchorcontainer"/>
      </w:pPr>
      <w:r w:rsidRPr="00BC5C6D">
        <w:rPr>
          <w:rStyle w:val="Strong"/>
          <w:b w:val="0"/>
        </w:rPr>
        <w:t>The logistic regression model transforms this probability using the logit link function.</w:t>
      </w:r>
    </w:p>
    <w:p w14:paraId="4E1E0A71" w14:textId="77777777" w:rsidR="00F771CC" w:rsidRPr="00BC5C6D" w:rsidRDefault="004404E7" w:rsidP="00F771CC">
      <w:pPr>
        <w:pStyle w:val="Heading3"/>
        <w:rPr>
          <w:b w:val="0"/>
          <w:sz w:val="24"/>
          <w:szCs w:val="24"/>
        </w:rPr>
      </w:pPr>
      <w:r w:rsidRPr="00BC5C6D">
        <w:rPr>
          <w:b w:val="0"/>
          <w:sz w:val="24"/>
          <w:szCs w:val="24"/>
        </w:rPr>
        <w:lastRenderedPageBreak/>
        <w:t xml:space="preserve">3.2   </w:t>
      </w:r>
      <w:r w:rsidR="00F771CC" w:rsidRPr="00BC5C6D">
        <w:rPr>
          <w:b w:val="0"/>
          <w:sz w:val="24"/>
          <w:szCs w:val="24"/>
        </w:rPr>
        <w:t>Logistic Function</w:t>
      </w:r>
    </w:p>
    <w:p w14:paraId="71838124" w14:textId="77777777" w:rsidR="00F771CC" w:rsidRPr="00BC5C6D" w:rsidRDefault="00F771CC" w:rsidP="00F771CC">
      <w:pPr>
        <w:pStyle w:val="NormalWeb"/>
      </w:pPr>
      <w:r w:rsidRPr="00BC5C6D">
        <w:t>The probability of complete childhood vaccination is expressed as follows:</w:t>
      </w:r>
    </w:p>
    <w:p w14:paraId="5CFE3817" w14:textId="77777777" w:rsidR="00F771CC" w:rsidRPr="00BC5C6D" w:rsidRDefault="00F771CC" w:rsidP="00F771CC">
      <w:pPr>
        <w:pStyle w:val="Heading3"/>
      </w:pPr>
      <w:r w:rsidRPr="00BC5C6D">
        <w:rPr>
          <w:b w:val="0"/>
          <w:sz w:val="24"/>
          <w:szCs w:val="24"/>
        </w:rPr>
        <w:tab/>
      </w:r>
      <w:r w:rsidR="005722DF" w:rsidRPr="00BC5C6D">
        <w:rPr>
          <w:position w:val="-32"/>
        </w:rPr>
        <w:object w:dxaOrig="1600" w:dyaOrig="740" w14:anchorId="421E6C2D">
          <v:shape id="_x0000_i1032" type="#_x0000_t75" style="width:80.05pt;height:36.85pt" o:ole="">
            <v:imagedata r:id="rId21" o:title=""/>
          </v:shape>
          <o:OLEObject Type="Embed" ProgID="Equation.DSMT4" ShapeID="_x0000_i1032" DrawAspect="Content" ObjectID="_1846930499" r:id="rId22"/>
        </w:object>
      </w:r>
    </w:p>
    <w:p w14:paraId="1FBAA77E" w14:textId="77777777" w:rsidR="005722DF" w:rsidRPr="00BC5C6D" w:rsidRDefault="005722DF" w:rsidP="00F771CC">
      <w:pPr>
        <w:pStyle w:val="Heading3"/>
      </w:pPr>
      <w:r w:rsidRPr="00BC5C6D">
        <w:rPr>
          <w:position w:val="-12"/>
        </w:rPr>
        <w:object w:dxaOrig="3379" w:dyaOrig="360" w14:anchorId="2428CE45">
          <v:shape id="_x0000_i1033" type="#_x0000_t75" style="width:169.35pt;height:17.85pt" o:ole="">
            <v:imagedata r:id="rId23" o:title=""/>
          </v:shape>
          <o:OLEObject Type="Embed" ProgID="Equation.DSMT4" ShapeID="_x0000_i1033" DrawAspect="Content" ObjectID="_1846930500" r:id="rId24"/>
        </w:object>
      </w:r>
    </w:p>
    <w:p w14:paraId="56B85E25" w14:textId="77777777" w:rsidR="005722DF" w:rsidRPr="00BC5C6D" w:rsidRDefault="005722DF" w:rsidP="00F771CC">
      <w:pPr>
        <w:pStyle w:val="Heading3"/>
        <w:rPr>
          <w:b w:val="0"/>
          <w:sz w:val="24"/>
          <w:szCs w:val="24"/>
        </w:rPr>
      </w:pPr>
      <w:r w:rsidRPr="00BC5C6D">
        <w:rPr>
          <w:b w:val="0"/>
          <w:sz w:val="24"/>
          <w:szCs w:val="24"/>
        </w:rPr>
        <w:t>Substituting the linear predictor gives:</w:t>
      </w:r>
      <w:r w:rsidRPr="00BC5C6D">
        <w:rPr>
          <w:position w:val="-4"/>
        </w:rPr>
        <w:object w:dxaOrig="180" w:dyaOrig="279" w14:anchorId="4C7DF153">
          <v:shape id="_x0000_i1034" type="#_x0000_t75" style="width:8.65pt;height:13.25pt" o:ole="">
            <v:imagedata r:id="rId25" o:title=""/>
          </v:shape>
          <o:OLEObject Type="Embed" ProgID="Equation.DSMT4" ShapeID="_x0000_i1034" DrawAspect="Content" ObjectID="_1846930501" r:id="rId26"/>
        </w:object>
      </w:r>
      <w:r w:rsidRPr="00BC5C6D">
        <w:rPr>
          <w:position w:val="-70"/>
        </w:rPr>
        <w:object w:dxaOrig="2760" w:dyaOrig="1520" w14:anchorId="169FE934">
          <v:shape id="_x0000_i1035" type="#_x0000_t75" style="width:137.1pt;height:76.6pt" o:ole="">
            <v:imagedata r:id="rId27" o:title=""/>
          </v:shape>
          <o:OLEObject Type="Embed" ProgID="Equation.DSMT4" ShapeID="_x0000_i1035" DrawAspect="Content" ObjectID="_1846930502" r:id="rId28"/>
        </w:object>
      </w:r>
    </w:p>
    <w:p w14:paraId="7A009551" w14:textId="77777777" w:rsidR="00615D6C" w:rsidRPr="00BC5C6D" w:rsidRDefault="00615D6C" w:rsidP="00615D6C">
      <w:pPr>
        <w:pStyle w:val="NormalWeb"/>
      </w:pPr>
      <w:r w:rsidRPr="00BC5C6D">
        <w:t>The empirical model is specified as follows:</w:t>
      </w:r>
    </w:p>
    <w:p w14:paraId="036D4981" w14:textId="77777777" w:rsidR="004E6516" w:rsidRPr="00BC5C6D" w:rsidRDefault="004E6516" w:rsidP="00615D6C">
      <w:pPr>
        <w:pStyle w:val="NormalWeb"/>
      </w:pPr>
      <w:r w:rsidRPr="00BC5C6D">
        <w:tab/>
      </w:r>
      <w:r w:rsidR="005D5768" w:rsidRPr="00BC5C6D">
        <w:rPr>
          <w:position w:val="-26"/>
        </w:rPr>
        <w:object w:dxaOrig="3379" w:dyaOrig="700" w14:anchorId="0FC22086">
          <v:shape id="_x0000_i1036" type="#_x0000_t75" style="width:169.35pt;height:35.15pt" o:ole="">
            <v:imagedata r:id="rId29" o:title=""/>
          </v:shape>
          <o:OLEObject Type="Embed" ProgID="Equation.DSMT4" ShapeID="_x0000_i1036" DrawAspect="Content" ObjectID="_1846930503" r:id="rId30"/>
        </w:object>
      </w:r>
    </w:p>
    <w:p w14:paraId="12A97DC2" w14:textId="77777777" w:rsidR="00557E06" w:rsidRPr="00BC5C6D" w:rsidRDefault="00557E06" w:rsidP="00615D6C">
      <w:pPr>
        <w:pStyle w:val="NormalWeb"/>
      </w:pPr>
      <w:r w:rsidRPr="00BC5C6D">
        <w:t>This can be written equivalently as follows:</w:t>
      </w:r>
    </w:p>
    <w:p w14:paraId="0B4A2F2E" w14:textId="77777777" w:rsidR="00557E06" w:rsidRPr="00BC5C6D" w:rsidRDefault="00557E06" w:rsidP="00615D6C">
      <w:pPr>
        <w:pStyle w:val="NormalWeb"/>
      </w:pPr>
      <w:r w:rsidRPr="00BC5C6D">
        <w:tab/>
      </w:r>
      <w:r w:rsidR="005722DF" w:rsidRPr="00BC5C6D">
        <w:rPr>
          <w:position w:val="-20"/>
        </w:rPr>
        <w:object w:dxaOrig="4160" w:dyaOrig="520" w14:anchorId="256663BD">
          <v:shape id="_x0000_i1037" type="#_x0000_t75" style="width:207.95pt;height:25.35pt" o:ole="">
            <v:imagedata r:id="rId31" o:title=""/>
          </v:shape>
          <o:OLEObject Type="Embed" ProgID="Equation.DSMT4" ShapeID="_x0000_i1037" DrawAspect="Content" ObjectID="_1846930504" r:id="rId32"/>
        </w:object>
      </w:r>
    </w:p>
    <w:p w14:paraId="3800B7ED" w14:textId="77777777" w:rsidR="005722DF" w:rsidRPr="00BC5C6D" w:rsidRDefault="005722DF" w:rsidP="005722DF">
      <w:pPr>
        <w:pStyle w:val="Heading2"/>
        <w:rPr>
          <w:b w:val="0"/>
          <w:sz w:val="24"/>
          <w:szCs w:val="24"/>
        </w:rPr>
      </w:pPr>
      <w:r w:rsidRPr="00BC5C6D">
        <w:rPr>
          <w:b w:val="0"/>
          <w:sz w:val="24"/>
          <w:szCs w:val="24"/>
        </w:rPr>
        <w:t>Logit Transformation: Taking the natural logarithm of the odds gives:</w:t>
      </w:r>
    </w:p>
    <w:p w14:paraId="0E9CCC21" w14:textId="77777777" w:rsidR="005722DF" w:rsidRPr="00BC5C6D" w:rsidRDefault="005722DF" w:rsidP="005722DF">
      <w:pPr>
        <w:pStyle w:val="Heading2"/>
      </w:pPr>
      <w:r w:rsidRPr="00BC5C6D">
        <w:rPr>
          <w:position w:val="-20"/>
        </w:rPr>
        <w:object w:dxaOrig="4340" w:dyaOrig="520" w14:anchorId="640CFFD5">
          <v:shape id="_x0000_i1038" type="#_x0000_t75" style="width:217.75pt;height:25.35pt" o:ole="">
            <v:imagedata r:id="rId33" o:title=""/>
          </v:shape>
          <o:OLEObject Type="Embed" ProgID="Equation.DSMT4" ShapeID="_x0000_i1038" DrawAspect="Content" ObjectID="_1846930505" r:id="rId34"/>
        </w:object>
      </w:r>
    </w:p>
    <w:p w14:paraId="304FB6FA" w14:textId="77777777" w:rsidR="005722DF" w:rsidRPr="00BC5C6D" w:rsidRDefault="005722DF" w:rsidP="005722DF">
      <w:pPr>
        <w:pStyle w:val="Heading2"/>
        <w:rPr>
          <w:b w:val="0"/>
          <w:sz w:val="24"/>
          <w:szCs w:val="24"/>
        </w:rPr>
      </w:pPr>
      <w:r w:rsidRPr="00BC5C6D">
        <w:rPr>
          <w:b w:val="0"/>
          <w:sz w:val="24"/>
          <w:szCs w:val="24"/>
        </w:rPr>
        <w:t>The weighted likelihood is given by:</w:t>
      </w:r>
    </w:p>
    <w:p w14:paraId="7D2B5601" w14:textId="77777777" w:rsidR="005722DF" w:rsidRPr="00BC5C6D" w:rsidRDefault="003E3E16" w:rsidP="00615D6C">
      <w:pPr>
        <w:pStyle w:val="NormalWeb"/>
      </w:pPr>
      <w:r w:rsidRPr="00BC5C6D">
        <w:rPr>
          <w:position w:val="-26"/>
        </w:rPr>
        <w:object w:dxaOrig="2820" w:dyaOrig="639" w14:anchorId="61BF74BB">
          <v:shape id="_x0000_i1039" type="#_x0000_t75" style="width:141.1pt;height:31.7pt" o:ole="">
            <v:imagedata r:id="rId35" o:title=""/>
          </v:shape>
          <o:OLEObject Type="Embed" ProgID="Equation.DSMT4" ShapeID="_x0000_i1039" DrawAspect="Content" ObjectID="_1846930506" r:id="rId36"/>
        </w:object>
      </w:r>
    </w:p>
    <w:p w14:paraId="028F659E" w14:textId="77777777" w:rsidR="003E3E16" w:rsidRPr="00BC5C6D" w:rsidRDefault="003E3E16" w:rsidP="00615D6C">
      <w:pPr>
        <w:pStyle w:val="NormalWeb"/>
      </w:pPr>
      <w:r w:rsidRPr="00BC5C6D">
        <w:t>Taking logarithms gives the weighted log-likelihood function:</w:t>
      </w:r>
    </w:p>
    <w:p w14:paraId="523A1E9C" w14:textId="77777777" w:rsidR="003E3E16" w:rsidRPr="00BC5C6D" w:rsidRDefault="003E3E16" w:rsidP="00615D6C">
      <w:pPr>
        <w:pStyle w:val="NormalWeb"/>
      </w:pPr>
      <w:r w:rsidRPr="00BC5C6D">
        <w:tab/>
      </w:r>
      <w:r w:rsidRPr="00BC5C6D">
        <w:rPr>
          <w:position w:val="-28"/>
        </w:rPr>
        <w:object w:dxaOrig="4200" w:dyaOrig="680" w14:anchorId="08EE086C">
          <v:shape id="_x0000_i1040" type="#_x0000_t75" style="width:209.1pt;height:34pt" o:ole="">
            <v:imagedata r:id="rId37" o:title=""/>
          </v:shape>
          <o:OLEObject Type="Embed" ProgID="Equation.DSMT4" ShapeID="_x0000_i1040" DrawAspect="Content" ObjectID="_1846930507" r:id="rId38"/>
        </w:object>
      </w:r>
    </w:p>
    <w:p w14:paraId="1AB53A11" w14:textId="77777777" w:rsidR="00BD5945" w:rsidRPr="00BC5C6D" w:rsidRDefault="004404E7" w:rsidP="00615D6C">
      <w:pPr>
        <w:pStyle w:val="NormalWeb"/>
      </w:pPr>
      <w:r w:rsidRPr="00BC5C6D">
        <w:t>3.4   Empirical Model Specification</w:t>
      </w:r>
    </w:p>
    <w:p w14:paraId="35815E2A" w14:textId="77777777" w:rsidR="00BD5945" w:rsidRPr="00BC5C6D" w:rsidRDefault="001E4659" w:rsidP="00615D6C">
      <w:pPr>
        <w:pStyle w:val="NormalWeb"/>
      </w:pPr>
      <w:r w:rsidRPr="00BC5C6D">
        <w:tab/>
      </w:r>
      <w:r w:rsidR="008550B8" w:rsidRPr="00BC5C6D">
        <w:rPr>
          <w:position w:val="-14"/>
        </w:rPr>
        <w:object w:dxaOrig="2580" w:dyaOrig="400" w14:anchorId="2EC5CC96">
          <v:shape id="_x0000_i1041" type="#_x0000_t75" style="width:129pt;height:20.15pt" o:ole="">
            <v:imagedata r:id="rId39" o:title=""/>
          </v:shape>
          <o:OLEObject Type="Embed" ProgID="Equation.DSMT4" ShapeID="_x0000_i1041" DrawAspect="Content" ObjectID="_1846930508" r:id="rId40"/>
        </w:object>
      </w:r>
    </w:p>
    <w:p w14:paraId="3F064FBE" w14:textId="77777777" w:rsidR="009F248F" w:rsidRPr="00BC5C6D" w:rsidRDefault="00B761AD" w:rsidP="009F248F">
      <w:pPr>
        <w:pStyle w:val="NormalWeb"/>
        <w:jc w:val="center"/>
      </w:pPr>
      <w:r w:rsidRPr="00BC5C6D">
        <w:rPr>
          <w:position w:val="-30"/>
        </w:rPr>
        <w:object w:dxaOrig="9420" w:dyaOrig="720" w14:anchorId="7546568E">
          <v:shape id="_x0000_i1042" type="#_x0000_t75" style="width:471.75pt;height:35.15pt" o:ole="">
            <v:imagedata r:id="rId41" o:title=""/>
          </v:shape>
          <o:OLEObject Type="Embed" ProgID="Equation.DSMT4" ShapeID="_x0000_i1042" DrawAspect="Content" ObjectID="_1846930509" r:id="rId42"/>
        </w:object>
      </w:r>
    </w:p>
    <w:p w14:paraId="702E07BC" w14:textId="77777777" w:rsidR="00B761AD" w:rsidRPr="00BC5C6D" w:rsidRDefault="00C81A55" w:rsidP="009F248F">
      <w:pPr>
        <w:pStyle w:val="NormalWeb"/>
      </w:pPr>
      <w:r w:rsidRPr="00BC5C6D">
        <w:rPr>
          <w:bCs/>
        </w:rPr>
        <w:t>List 1: Definition of Variables</w:t>
      </w:r>
    </w:p>
    <w:tbl>
      <w:tblPr>
        <w:tblStyle w:val="TableGrid"/>
        <w:tblW w:w="9900" w:type="dxa"/>
        <w:tblInd w:w="265" w:type="dxa"/>
        <w:tblLook w:val="04A0" w:firstRow="1" w:lastRow="0" w:firstColumn="1" w:lastColumn="0" w:noHBand="0" w:noVBand="1"/>
      </w:tblPr>
      <w:tblGrid>
        <w:gridCol w:w="1440"/>
        <w:gridCol w:w="3780"/>
        <w:gridCol w:w="4680"/>
      </w:tblGrid>
      <w:tr w:rsidR="00B761AD" w:rsidRPr="00BC5C6D" w14:paraId="305E753E" w14:textId="77777777" w:rsidTr="00B761AD">
        <w:tc>
          <w:tcPr>
            <w:tcW w:w="1440" w:type="dxa"/>
            <w:vAlign w:val="center"/>
          </w:tcPr>
          <w:p w14:paraId="30EB9DBA" w14:textId="77777777" w:rsidR="00B761AD" w:rsidRPr="00BC5C6D" w:rsidRDefault="00B761AD" w:rsidP="00B761AD">
            <w:pPr>
              <w:rPr>
                <w:rFonts w:ascii="Times New Roman" w:eastAsia="Times New Roman" w:hAnsi="Times New Roman" w:cs="Times New Roman"/>
                <w:bCs/>
                <w:sz w:val="24"/>
                <w:szCs w:val="24"/>
              </w:rPr>
            </w:pPr>
            <w:r w:rsidRPr="00BC5C6D">
              <w:rPr>
                <w:rFonts w:ascii="Times New Roman" w:eastAsia="Times New Roman" w:hAnsi="Times New Roman" w:cs="Times New Roman"/>
                <w:bCs/>
                <w:sz w:val="24"/>
                <w:szCs w:val="24"/>
              </w:rPr>
              <w:t>Variable</w:t>
            </w:r>
          </w:p>
        </w:tc>
        <w:tc>
          <w:tcPr>
            <w:tcW w:w="3780" w:type="dxa"/>
            <w:vAlign w:val="center"/>
          </w:tcPr>
          <w:p w14:paraId="5A0EA7BC" w14:textId="77777777" w:rsidR="00B761AD" w:rsidRPr="00BC5C6D" w:rsidRDefault="00B761AD" w:rsidP="00B761AD">
            <w:pPr>
              <w:rPr>
                <w:rFonts w:ascii="Times New Roman" w:eastAsia="Times New Roman" w:hAnsi="Times New Roman" w:cs="Times New Roman"/>
                <w:bCs/>
                <w:sz w:val="24"/>
                <w:szCs w:val="24"/>
              </w:rPr>
            </w:pPr>
            <w:r w:rsidRPr="00BC5C6D">
              <w:rPr>
                <w:rFonts w:ascii="Times New Roman" w:eastAsia="Times New Roman" w:hAnsi="Times New Roman" w:cs="Times New Roman"/>
                <w:bCs/>
                <w:sz w:val="24"/>
                <w:szCs w:val="24"/>
              </w:rPr>
              <w:t>Description</w:t>
            </w:r>
          </w:p>
        </w:tc>
        <w:tc>
          <w:tcPr>
            <w:tcW w:w="4680" w:type="dxa"/>
            <w:vAlign w:val="center"/>
          </w:tcPr>
          <w:p w14:paraId="7F45B5DA" w14:textId="77777777" w:rsidR="00B761AD" w:rsidRPr="00BC5C6D" w:rsidRDefault="00B761AD" w:rsidP="00B761AD">
            <w:pPr>
              <w:rPr>
                <w:rFonts w:ascii="Times New Roman" w:eastAsia="Times New Roman" w:hAnsi="Times New Roman" w:cs="Times New Roman"/>
                <w:bCs/>
                <w:sz w:val="24"/>
                <w:szCs w:val="24"/>
              </w:rPr>
            </w:pPr>
            <w:r w:rsidRPr="00BC5C6D">
              <w:rPr>
                <w:rFonts w:ascii="Times New Roman" w:eastAsia="Times New Roman" w:hAnsi="Times New Roman" w:cs="Times New Roman"/>
                <w:bCs/>
                <w:sz w:val="24"/>
                <w:szCs w:val="24"/>
              </w:rPr>
              <w:t>Measurement</w:t>
            </w:r>
          </w:p>
        </w:tc>
      </w:tr>
      <w:tr w:rsidR="00B761AD" w:rsidRPr="00BC5C6D" w14:paraId="7C376DB6" w14:textId="77777777" w:rsidTr="00B761AD">
        <w:tc>
          <w:tcPr>
            <w:tcW w:w="1440" w:type="dxa"/>
            <w:vAlign w:val="center"/>
          </w:tcPr>
          <w:p w14:paraId="32C4878B"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bCs/>
                <w:sz w:val="24"/>
                <w:szCs w:val="24"/>
              </w:rPr>
              <w:t>CVU</w:t>
            </w:r>
          </w:p>
        </w:tc>
        <w:tc>
          <w:tcPr>
            <w:tcW w:w="3780" w:type="dxa"/>
            <w:vAlign w:val="center"/>
          </w:tcPr>
          <w:p w14:paraId="3890A5EE"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Childhood vaccination uptake</w:t>
            </w:r>
          </w:p>
        </w:tc>
        <w:tc>
          <w:tcPr>
            <w:tcW w:w="4680" w:type="dxa"/>
            <w:vAlign w:val="center"/>
          </w:tcPr>
          <w:p w14:paraId="203A6B69"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1 = Fully vaccinated; 0 = Not fully vaccinated</w:t>
            </w:r>
          </w:p>
        </w:tc>
      </w:tr>
      <w:tr w:rsidR="00B761AD" w:rsidRPr="00BC5C6D" w14:paraId="0283E368" w14:textId="77777777" w:rsidTr="00B761AD">
        <w:tc>
          <w:tcPr>
            <w:tcW w:w="1440" w:type="dxa"/>
            <w:vAlign w:val="center"/>
          </w:tcPr>
          <w:p w14:paraId="7578E5C3"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bCs/>
                <w:sz w:val="24"/>
                <w:szCs w:val="24"/>
              </w:rPr>
              <w:t>MAGE</w:t>
            </w:r>
          </w:p>
        </w:tc>
        <w:tc>
          <w:tcPr>
            <w:tcW w:w="3780" w:type="dxa"/>
            <w:vAlign w:val="center"/>
          </w:tcPr>
          <w:p w14:paraId="3A13536A"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Maternal age</w:t>
            </w:r>
          </w:p>
        </w:tc>
        <w:tc>
          <w:tcPr>
            <w:tcW w:w="4680" w:type="dxa"/>
            <w:vAlign w:val="center"/>
          </w:tcPr>
          <w:p w14:paraId="1273E0CD"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Years or age categories</w:t>
            </w:r>
          </w:p>
        </w:tc>
      </w:tr>
      <w:tr w:rsidR="00B761AD" w:rsidRPr="00BC5C6D" w14:paraId="12F65FE1" w14:textId="77777777" w:rsidTr="00B761AD">
        <w:tc>
          <w:tcPr>
            <w:tcW w:w="1440" w:type="dxa"/>
            <w:vAlign w:val="center"/>
          </w:tcPr>
          <w:p w14:paraId="18B7B279"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bCs/>
                <w:sz w:val="24"/>
                <w:szCs w:val="24"/>
              </w:rPr>
              <w:t>MEDU</w:t>
            </w:r>
          </w:p>
        </w:tc>
        <w:tc>
          <w:tcPr>
            <w:tcW w:w="3780" w:type="dxa"/>
            <w:vAlign w:val="center"/>
          </w:tcPr>
          <w:p w14:paraId="5A468D72"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Maternal education</w:t>
            </w:r>
          </w:p>
        </w:tc>
        <w:tc>
          <w:tcPr>
            <w:tcW w:w="4680" w:type="dxa"/>
            <w:vAlign w:val="center"/>
          </w:tcPr>
          <w:p w14:paraId="5FAD35D0"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No education, Primary, Secondary, Higher</w:t>
            </w:r>
          </w:p>
        </w:tc>
      </w:tr>
      <w:tr w:rsidR="00B761AD" w:rsidRPr="00BC5C6D" w14:paraId="27B5433F" w14:textId="77777777" w:rsidTr="00B761AD">
        <w:tc>
          <w:tcPr>
            <w:tcW w:w="1440" w:type="dxa"/>
            <w:vAlign w:val="center"/>
          </w:tcPr>
          <w:p w14:paraId="10C9031F"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bCs/>
                <w:sz w:val="24"/>
                <w:szCs w:val="24"/>
              </w:rPr>
              <w:t>MEMP</w:t>
            </w:r>
          </w:p>
        </w:tc>
        <w:tc>
          <w:tcPr>
            <w:tcW w:w="3780" w:type="dxa"/>
            <w:vAlign w:val="center"/>
          </w:tcPr>
          <w:p w14:paraId="0A898193"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Maternal employment status</w:t>
            </w:r>
          </w:p>
        </w:tc>
        <w:tc>
          <w:tcPr>
            <w:tcW w:w="4680" w:type="dxa"/>
            <w:vAlign w:val="center"/>
          </w:tcPr>
          <w:p w14:paraId="583C988D"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Working = 1; Not working = 0</w:t>
            </w:r>
          </w:p>
        </w:tc>
      </w:tr>
      <w:tr w:rsidR="00B761AD" w:rsidRPr="00BC5C6D" w14:paraId="74870655" w14:textId="77777777" w:rsidTr="00B761AD">
        <w:tc>
          <w:tcPr>
            <w:tcW w:w="1440" w:type="dxa"/>
            <w:vAlign w:val="center"/>
          </w:tcPr>
          <w:p w14:paraId="6FE1A28C"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bCs/>
                <w:sz w:val="24"/>
                <w:szCs w:val="24"/>
              </w:rPr>
              <w:t>MAR</w:t>
            </w:r>
          </w:p>
        </w:tc>
        <w:tc>
          <w:tcPr>
            <w:tcW w:w="3780" w:type="dxa"/>
            <w:vAlign w:val="center"/>
          </w:tcPr>
          <w:p w14:paraId="3E25CCD2"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Marital status</w:t>
            </w:r>
          </w:p>
        </w:tc>
        <w:tc>
          <w:tcPr>
            <w:tcW w:w="4680" w:type="dxa"/>
            <w:vAlign w:val="center"/>
          </w:tcPr>
          <w:p w14:paraId="4B2F66C9"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Married, Cohabiting, Single, Others</w:t>
            </w:r>
          </w:p>
        </w:tc>
      </w:tr>
      <w:tr w:rsidR="00B761AD" w:rsidRPr="00BC5C6D" w14:paraId="3FB6D27C" w14:textId="77777777" w:rsidTr="00B761AD">
        <w:tc>
          <w:tcPr>
            <w:tcW w:w="1440" w:type="dxa"/>
            <w:vAlign w:val="center"/>
          </w:tcPr>
          <w:p w14:paraId="7B0AD87F"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bCs/>
                <w:sz w:val="24"/>
                <w:szCs w:val="24"/>
              </w:rPr>
              <w:t>ANC</w:t>
            </w:r>
          </w:p>
        </w:tc>
        <w:tc>
          <w:tcPr>
            <w:tcW w:w="3780" w:type="dxa"/>
            <w:vAlign w:val="center"/>
          </w:tcPr>
          <w:p w14:paraId="6A207672"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Number of antenatal care visits</w:t>
            </w:r>
          </w:p>
        </w:tc>
        <w:tc>
          <w:tcPr>
            <w:tcW w:w="4680" w:type="dxa"/>
            <w:vAlign w:val="center"/>
          </w:tcPr>
          <w:p w14:paraId="7A6CEC6C"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Categories based on WHO recommendation</w:t>
            </w:r>
          </w:p>
        </w:tc>
      </w:tr>
      <w:tr w:rsidR="00B761AD" w:rsidRPr="00BC5C6D" w14:paraId="4AC50FAA" w14:textId="77777777" w:rsidTr="00B761AD">
        <w:tc>
          <w:tcPr>
            <w:tcW w:w="1440" w:type="dxa"/>
            <w:vAlign w:val="center"/>
          </w:tcPr>
          <w:p w14:paraId="63B5C493"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bCs/>
                <w:sz w:val="24"/>
                <w:szCs w:val="24"/>
              </w:rPr>
              <w:t>DEL</w:t>
            </w:r>
          </w:p>
        </w:tc>
        <w:tc>
          <w:tcPr>
            <w:tcW w:w="3780" w:type="dxa"/>
            <w:vAlign w:val="center"/>
          </w:tcPr>
          <w:p w14:paraId="4F4319F6"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Place of delivery</w:t>
            </w:r>
          </w:p>
        </w:tc>
        <w:tc>
          <w:tcPr>
            <w:tcW w:w="4680" w:type="dxa"/>
            <w:vAlign w:val="center"/>
          </w:tcPr>
          <w:p w14:paraId="5C47D50C"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Health facility = 1; Home = 0</w:t>
            </w:r>
          </w:p>
        </w:tc>
      </w:tr>
      <w:tr w:rsidR="00B761AD" w:rsidRPr="00BC5C6D" w14:paraId="25F3C508" w14:textId="77777777" w:rsidTr="00B761AD">
        <w:tc>
          <w:tcPr>
            <w:tcW w:w="1440" w:type="dxa"/>
            <w:vAlign w:val="center"/>
          </w:tcPr>
          <w:p w14:paraId="04F6D297"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bCs/>
                <w:sz w:val="24"/>
                <w:szCs w:val="24"/>
              </w:rPr>
              <w:t>MEDIA</w:t>
            </w:r>
          </w:p>
        </w:tc>
        <w:tc>
          <w:tcPr>
            <w:tcW w:w="3780" w:type="dxa"/>
            <w:vAlign w:val="center"/>
          </w:tcPr>
          <w:p w14:paraId="0BF99891"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Exposure to mass media</w:t>
            </w:r>
          </w:p>
        </w:tc>
        <w:tc>
          <w:tcPr>
            <w:tcW w:w="4680" w:type="dxa"/>
            <w:vAlign w:val="center"/>
          </w:tcPr>
          <w:p w14:paraId="015E9E83"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Yes = 1; No = 0</w:t>
            </w:r>
          </w:p>
        </w:tc>
      </w:tr>
      <w:tr w:rsidR="00B761AD" w:rsidRPr="00BC5C6D" w14:paraId="3FFC40E8" w14:textId="77777777" w:rsidTr="00B761AD">
        <w:tc>
          <w:tcPr>
            <w:tcW w:w="1440" w:type="dxa"/>
            <w:vAlign w:val="center"/>
          </w:tcPr>
          <w:p w14:paraId="13DA9BA7"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bCs/>
                <w:sz w:val="24"/>
                <w:szCs w:val="24"/>
              </w:rPr>
              <w:t>AUT</w:t>
            </w:r>
          </w:p>
        </w:tc>
        <w:tc>
          <w:tcPr>
            <w:tcW w:w="3780" w:type="dxa"/>
            <w:vAlign w:val="center"/>
          </w:tcPr>
          <w:p w14:paraId="4492092E"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Maternal decision-making autonomy</w:t>
            </w:r>
          </w:p>
        </w:tc>
        <w:tc>
          <w:tcPr>
            <w:tcW w:w="4680" w:type="dxa"/>
            <w:vAlign w:val="center"/>
          </w:tcPr>
          <w:p w14:paraId="3177120D"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Yes = 1; No = 0</w:t>
            </w:r>
          </w:p>
        </w:tc>
      </w:tr>
      <w:tr w:rsidR="00B761AD" w:rsidRPr="00BC5C6D" w14:paraId="0297C8A0" w14:textId="77777777" w:rsidTr="00B761AD">
        <w:tc>
          <w:tcPr>
            <w:tcW w:w="1440" w:type="dxa"/>
            <w:vAlign w:val="center"/>
          </w:tcPr>
          <w:p w14:paraId="4B52E95C"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bCs/>
                <w:sz w:val="24"/>
                <w:szCs w:val="24"/>
              </w:rPr>
              <w:t>PAR</w:t>
            </w:r>
          </w:p>
        </w:tc>
        <w:tc>
          <w:tcPr>
            <w:tcW w:w="3780" w:type="dxa"/>
            <w:vAlign w:val="center"/>
          </w:tcPr>
          <w:p w14:paraId="46CF4989"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Parity</w:t>
            </w:r>
          </w:p>
        </w:tc>
        <w:tc>
          <w:tcPr>
            <w:tcW w:w="4680" w:type="dxa"/>
            <w:vAlign w:val="center"/>
          </w:tcPr>
          <w:p w14:paraId="1944E1D1"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Number of children ever born</w:t>
            </w:r>
          </w:p>
        </w:tc>
      </w:tr>
      <w:tr w:rsidR="00B761AD" w:rsidRPr="00BC5C6D" w14:paraId="1F69C1B7" w14:textId="77777777" w:rsidTr="00B761AD">
        <w:tc>
          <w:tcPr>
            <w:tcW w:w="1440" w:type="dxa"/>
            <w:vAlign w:val="center"/>
          </w:tcPr>
          <w:p w14:paraId="13F8505C"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bCs/>
                <w:sz w:val="24"/>
                <w:szCs w:val="24"/>
              </w:rPr>
              <w:t>WEALTH</w:t>
            </w:r>
          </w:p>
        </w:tc>
        <w:tc>
          <w:tcPr>
            <w:tcW w:w="3780" w:type="dxa"/>
            <w:vAlign w:val="center"/>
          </w:tcPr>
          <w:p w14:paraId="382F8FAC"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Household wealth index</w:t>
            </w:r>
          </w:p>
        </w:tc>
        <w:tc>
          <w:tcPr>
            <w:tcW w:w="4680" w:type="dxa"/>
            <w:vAlign w:val="center"/>
          </w:tcPr>
          <w:p w14:paraId="13A79773"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Poorest to Richest quintiles</w:t>
            </w:r>
          </w:p>
        </w:tc>
      </w:tr>
      <w:tr w:rsidR="00B761AD" w:rsidRPr="00BC5C6D" w14:paraId="6312ACB2" w14:textId="77777777" w:rsidTr="00B761AD">
        <w:tc>
          <w:tcPr>
            <w:tcW w:w="1440" w:type="dxa"/>
            <w:vAlign w:val="center"/>
          </w:tcPr>
          <w:p w14:paraId="37394007"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bCs/>
                <w:sz w:val="24"/>
                <w:szCs w:val="24"/>
              </w:rPr>
              <w:t>RES</w:t>
            </w:r>
          </w:p>
        </w:tc>
        <w:tc>
          <w:tcPr>
            <w:tcW w:w="3780" w:type="dxa"/>
            <w:vAlign w:val="center"/>
          </w:tcPr>
          <w:p w14:paraId="2A5A2F60"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Place of residence</w:t>
            </w:r>
          </w:p>
        </w:tc>
        <w:tc>
          <w:tcPr>
            <w:tcW w:w="4680" w:type="dxa"/>
            <w:vAlign w:val="center"/>
          </w:tcPr>
          <w:p w14:paraId="60D83FC1"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Urban = 1; Rural = 0</w:t>
            </w:r>
          </w:p>
        </w:tc>
      </w:tr>
      <w:tr w:rsidR="00B761AD" w:rsidRPr="00BC5C6D" w14:paraId="48747A5A" w14:textId="77777777" w:rsidTr="00B761AD">
        <w:tc>
          <w:tcPr>
            <w:tcW w:w="1440" w:type="dxa"/>
            <w:vAlign w:val="center"/>
          </w:tcPr>
          <w:p w14:paraId="5E7823D8"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bCs/>
                <w:sz w:val="24"/>
                <w:szCs w:val="24"/>
              </w:rPr>
              <w:t>REG</w:t>
            </w:r>
          </w:p>
        </w:tc>
        <w:tc>
          <w:tcPr>
            <w:tcW w:w="3780" w:type="dxa"/>
            <w:vAlign w:val="center"/>
          </w:tcPr>
          <w:p w14:paraId="420406FC"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Geopolitical region</w:t>
            </w:r>
          </w:p>
        </w:tc>
        <w:tc>
          <w:tcPr>
            <w:tcW w:w="4680" w:type="dxa"/>
            <w:vAlign w:val="center"/>
          </w:tcPr>
          <w:p w14:paraId="2F8CD281"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Six geopolitical zones</w:t>
            </w:r>
          </w:p>
        </w:tc>
      </w:tr>
      <w:tr w:rsidR="00B761AD" w:rsidRPr="00BC5C6D" w14:paraId="064DC7C6" w14:textId="77777777" w:rsidTr="00B761AD">
        <w:tc>
          <w:tcPr>
            <w:tcW w:w="1440" w:type="dxa"/>
            <w:vAlign w:val="center"/>
          </w:tcPr>
          <w:p w14:paraId="3786A038"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bCs/>
                <w:sz w:val="24"/>
                <w:szCs w:val="24"/>
              </w:rPr>
              <w:t>HHSIZE</w:t>
            </w:r>
          </w:p>
        </w:tc>
        <w:tc>
          <w:tcPr>
            <w:tcW w:w="3780" w:type="dxa"/>
            <w:vAlign w:val="center"/>
          </w:tcPr>
          <w:p w14:paraId="42BD4FCC"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Household size</w:t>
            </w:r>
          </w:p>
        </w:tc>
        <w:tc>
          <w:tcPr>
            <w:tcW w:w="4680" w:type="dxa"/>
            <w:vAlign w:val="center"/>
          </w:tcPr>
          <w:p w14:paraId="73AB1B93"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Number of household members</w:t>
            </w:r>
          </w:p>
        </w:tc>
      </w:tr>
      <w:tr w:rsidR="00B761AD" w:rsidRPr="00BC5C6D" w14:paraId="22FE9D62" w14:textId="77777777" w:rsidTr="00B761AD">
        <w:tc>
          <w:tcPr>
            <w:tcW w:w="1440" w:type="dxa"/>
            <w:vAlign w:val="center"/>
          </w:tcPr>
          <w:p w14:paraId="70F5A3A9"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bCs/>
                <w:sz w:val="24"/>
                <w:szCs w:val="24"/>
              </w:rPr>
              <w:t>HHHEAD</w:t>
            </w:r>
          </w:p>
        </w:tc>
        <w:tc>
          <w:tcPr>
            <w:tcW w:w="3780" w:type="dxa"/>
            <w:vAlign w:val="center"/>
          </w:tcPr>
          <w:p w14:paraId="1A947518"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Sex of household head</w:t>
            </w:r>
          </w:p>
        </w:tc>
        <w:tc>
          <w:tcPr>
            <w:tcW w:w="4680" w:type="dxa"/>
            <w:vAlign w:val="center"/>
          </w:tcPr>
          <w:p w14:paraId="4C5CE65F"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Male = 1; Female = 0</w:t>
            </w:r>
          </w:p>
        </w:tc>
      </w:tr>
    </w:tbl>
    <w:p w14:paraId="1CE88E66" w14:textId="77777777" w:rsidR="009F248F" w:rsidRPr="00BC5C6D" w:rsidRDefault="009F248F" w:rsidP="008B5019">
      <w:pPr>
        <w:spacing w:before="100" w:beforeAutospacing="1" w:after="100" w:afterAutospacing="1" w:line="240" w:lineRule="auto"/>
        <w:outlineLvl w:val="2"/>
        <w:rPr>
          <w:rFonts w:ascii="Times New Roman" w:eastAsia="Times New Roman" w:hAnsi="Times New Roman" w:cs="Times New Roman"/>
          <w:b/>
          <w:bCs/>
          <w:sz w:val="27"/>
          <w:szCs w:val="27"/>
        </w:rPr>
      </w:pPr>
    </w:p>
    <w:p w14:paraId="20AB91B5" w14:textId="77777777" w:rsidR="008B5019" w:rsidRPr="00BC5C6D" w:rsidRDefault="009F248F" w:rsidP="008B5019">
      <w:pPr>
        <w:spacing w:before="100" w:beforeAutospacing="1" w:after="100" w:afterAutospacing="1" w:line="240" w:lineRule="auto"/>
        <w:outlineLvl w:val="2"/>
        <w:rPr>
          <w:rFonts w:ascii="Times New Roman" w:eastAsia="Times New Roman" w:hAnsi="Times New Roman" w:cs="Times New Roman"/>
          <w:bCs/>
          <w:sz w:val="24"/>
          <w:szCs w:val="24"/>
        </w:rPr>
      </w:pPr>
      <w:r w:rsidRPr="00BC5C6D">
        <w:rPr>
          <w:rFonts w:ascii="Times New Roman" w:eastAsia="Times New Roman" w:hAnsi="Times New Roman" w:cs="Times New Roman"/>
          <w:bCs/>
          <w:sz w:val="24"/>
          <w:szCs w:val="24"/>
        </w:rPr>
        <w:t xml:space="preserve">3.6 </w:t>
      </w:r>
      <w:r w:rsidR="008B5019" w:rsidRPr="00BC5C6D">
        <w:rPr>
          <w:rFonts w:ascii="Times New Roman" w:eastAsia="Times New Roman" w:hAnsi="Times New Roman" w:cs="Times New Roman"/>
          <w:bCs/>
          <w:sz w:val="24"/>
          <w:szCs w:val="24"/>
        </w:rPr>
        <w:t>Estimation Procedure</w:t>
      </w:r>
    </w:p>
    <w:p w14:paraId="71019E7F" w14:textId="77777777" w:rsidR="00D37501" w:rsidRPr="00BC5C6D" w:rsidRDefault="00D37501" w:rsidP="00D37501">
      <w:pPr>
        <w:spacing w:before="100" w:beforeAutospacing="1" w:after="100" w:afterAutospacing="1" w:line="240" w:lineRule="auto"/>
        <w:jc w:val="both"/>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The empirical analysis was undertaken in four stages. First, weighted descriptive statistics were presented for maternal, household, and child-level variables in the NDHS population. Second, survey-adjusted chi-square tests were used to determine the association between each explanatory variable and childhood vaccination uptake. Third, survey-weighted binary logistic regression was applied to identify the independent effects of maternal and household variables on childhood vaccination uptake. The logistic regression coefficients were presented as adjusted odds ratios (AORs) with 95% confidence intervals (95% CIs). Finally, several goodness-of-fit tests were conducted for the logistic model, including an assessment of multicollinearity using the variance inflation factor (VIF), the Hosmer–Lemeshow goodness-of-fit test, and the receiver operating characteristic (ROC) curve.</w:t>
      </w:r>
    </w:p>
    <w:p w14:paraId="662A74DB" w14:textId="77777777" w:rsidR="00B761AD" w:rsidRPr="00BC5C6D" w:rsidRDefault="00C81A55" w:rsidP="008B5019">
      <w:pPr>
        <w:spacing w:before="100" w:beforeAutospacing="1" w:after="100" w:afterAutospacing="1" w:line="240" w:lineRule="auto"/>
        <w:outlineLvl w:val="2"/>
        <w:rPr>
          <w:rFonts w:ascii="Times New Roman" w:eastAsia="Times New Roman" w:hAnsi="Times New Roman" w:cs="Times New Roman"/>
          <w:b/>
          <w:bCs/>
          <w:sz w:val="27"/>
          <w:szCs w:val="27"/>
        </w:rPr>
      </w:pPr>
      <w:r w:rsidRPr="00BC5C6D">
        <w:rPr>
          <w:rFonts w:ascii="Times New Roman" w:eastAsia="Times New Roman" w:hAnsi="Times New Roman" w:cs="Times New Roman"/>
          <w:b/>
          <w:bCs/>
          <w:sz w:val="27"/>
          <w:szCs w:val="27"/>
        </w:rPr>
        <w:t xml:space="preserve">List </w:t>
      </w:r>
      <w:proofErr w:type="gramStart"/>
      <w:r w:rsidRPr="00BC5C6D">
        <w:rPr>
          <w:rFonts w:ascii="Times New Roman" w:eastAsia="Times New Roman" w:hAnsi="Times New Roman" w:cs="Times New Roman"/>
          <w:b/>
          <w:bCs/>
          <w:sz w:val="27"/>
          <w:szCs w:val="27"/>
        </w:rPr>
        <w:t>2 :</w:t>
      </w:r>
      <w:proofErr w:type="gramEnd"/>
      <w:r w:rsidRPr="00BC5C6D">
        <w:rPr>
          <w:rFonts w:ascii="Times New Roman" w:eastAsia="Times New Roman" w:hAnsi="Times New Roman" w:cs="Times New Roman"/>
          <w:b/>
          <w:bCs/>
          <w:sz w:val="27"/>
          <w:szCs w:val="27"/>
        </w:rPr>
        <w:t xml:space="preserve"> </w:t>
      </w:r>
      <w:r w:rsidR="008B5019" w:rsidRPr="00BC5C6D">
        <w:rPr>
          <w:rFonts w:ascii="Times New Roman" w:eastAsia="Times New Roman" w:hAnsi="Times New Roman" w:cs="Times New Roman"/>
          <w:b/>
          <w:bCs/>
          <w:sz w:val="27"/>
          <w:szCs w:val="27"/>
        </w:rPr>
        <w:t>A Priori Expectations</w:t>
      </w:r>
    </w:p>
    <w:tbl>
      <w:tblPr>
        <w:tblStyle w:val="TableGrid"/>
        <w:tblW w:w="0" w:type="auto"/>
        <w:tblLook w:val="04A0" w:firstRow="1" w:lastRow="0" w:firstColumn="1" w:lastColumn="0" w:noHBand="0" w:noVBand="1"/>
      </w:tblPr>
      <w:tblGrid>
        <w:gridCol w:w="3595"/>
        <w:gridCol w:w="2790"/>
      </w:tblGrid>
      <w:tr w:rsidR="00B761AD" w:rsidRPr="00BC5C6D" w14:paraId="7C6670B8" w14:textId="77777777" w:rsidTr="00D37501">
        <w:tc>
          <w:tcPr>
            <w:tcW w:w="3595" w:type="dxa"/>
            <w:vAlign w:val="center"/>
          </w:tcPr>
          <w:p w14:paraId="05D1E62E" w14:textId="77777777" w:rsidR="00B761AD" w:rsidRPr="00BC5C6D" w:rsidRDefault="00B761AD" w:rsidP="00D37501">
            <w:pPr>
              <w:rPr>
                <w:rFonts w:ascii="Times New Roman" w:eastAsia="Times New Roman" w:hAnsi="Times New Roman" w:cs="Times New Roman"/>
                <w:b/>
                <w:bCs/>
                <w:sz w:val="24"/>
                <w:szCs w:val="24"/>
              </w:rPr>
            </w:pPr>
            <w:r w:rsidRPr="00BC5C6D">
              <w:rPr>
                <w:rFonts w:ascii="Times New Roman" w:eastAsia="Times New Roman" w:hAnsi="Times New Roman" w:cs="Times New Roman"/>
                <w:b/>
                <w:bCs/>
                <w:sz w:val="24"/>
                <w:szCs w:val="24"/>
              </w:rPr>
              <w:t>Variable</w:t>
            </w:r>
          </w:p>
        </w:tc>
        <w:tc>
          <w:tcPr>
            <w:tcW w:w="2790" w:type="dxa"/>
            <w:vAlign w:val="center"/>
          </w:tcPr>
          <w:p w14:paraId="60782669" w14:textId="77777777" w:rsidR="00B761AD" w:rsidRPr="00BC5C6D" w:rsidRDefault="00B761AD" w:rsidP="00D37501">
            <w:pPr>
              <w:rPr>
                <w:rFonts w:ascii="Times New Roman" w:eastAsia="Times New Roman" w:hAnsi="Times New Roman" w:cs="Times New Roman"/>
                <w:b/>
                <w:bCs/>
                <w:sz w:val="24"/>
                <w:szCs w:val="24"/>
              </w:rPr>
            </w:pPr>
            <w:r w:rsidRPr="00BC5C6D">
              <w:rPr>
                <w:rFonts w:ascii="Times New Roman" w:eastAsia="Times New Roman" w:hAnsi="Times New Roman" w:cs="Times New Roman"/>
                <w:b/>
                <w:bCs/>
                <w:sz w:val="24"/>
                <w:szCs w:val="24"/>
              </w:rPr>
              <w:t>Expected Sign</w:t>
            </w:r>
          </w:p>
        </w:tc>
      </w:tr>
      <w:tr w:rsidR="00B761AD" w:rsidRPr="00BC5C6D" w14:paraId="2BAB51FF" w14:textId="77777777" w:rsidTr="00D37501">
        <w:tc>
          <w:tcPr>
            <w:tcW w:w="3595" w:type="dxa"/>
            <w:vAlign w:val="center"/>
          </w:tcPr>
          <w:p w14:paraId="00FF363D"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Maternal age (MAGE)</w:t>
            </w:r>
          </w:p>
        </w:tc>
        <w:tc>
          <w:tcPr>
            <w:tcW w:w="2790" w:type="dxa"/>
            <w:vAlign w:val="center"/>
          </w:tcPr>
          <w:p w14:paraId="59D06B25"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w:t>
            </w:r>
          </w:p>
        </w:tc>
      </w:tr>
      <w:tr w:rsidR="00B761AD" w:rsidRPr="00BC5C6D" w14:paraId="68D86F62" w14:textId="77777777" w:rsidTr="00D37501">
        <w:tc>
          <w:tcPr>
            <w:tcW w:w="3595" w:type="dxa"/>
            <w:vAlign w:val="center"/>
          </w:tcPr>
          <w:p w14:paraId="667563A0"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Maternal education (MEDU)</w:t>
            </w:r>
          </w:p>
        </w:tc>
        <w:tc>
          <w:tcPr>
            <w:tcW w:w="2790" w:type="dxa"/>
            <w:vAlign w:val="center"/>
          </w:tcPr>
          <w:p w14:paraId="407BCF9C"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w:t>
            </w:r>
          </w:p>
        </w:tc>
      </w:tr>
      <w:tr w:rsidR="00B761AD" w:rsidRPr="00BC5C6D" w14:paraId="31628C3B" w14:textId="77777777" w:rsidTr="00D37501">
        <w:tc>
          <w:tcPr>
            <w:tcW w:w="3595" w:type="dxa"/>
            <w:vAlign w:val="center"/>
          </w:tcPr>
          <w:p w14:paraId="5235E907"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Maternal employment (MEMP)</w:t>
            </w:r>
          </w:p>
        </w:tc>
        <w:tc>
          <w:tcPr>
            <w:tcW w:w="2790" w:type="dxa"/>
            <w:vAlign w:val="center"/>
          </w:tcPr>
          <w:p w14:paraId="793996FE"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w:t>
            </w:r>
          </w:p>
        </w:tc>
      </w:tr>
      <w:tr w:rsidR="00B761AD" w:rsidRPr="00BC5C6D" w14:paraId="7E4C57CA" w14:textId="77777777" w:rsidTr="00D37501">
        <w:tc>
          <w:tcPr>
            <w:tcW w:w="3595" w:type="dxa"/>
            <w:vAlign w:val="center"/>
          </w:tcPr>
          <w:p w14:paraId="2CAA73F3"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Marital status (MAR)</w:t>
            </w:r>
          </w:p>
        </w:tc>
        <w:tc>
          <w:tcPr>
            <w:tcW w:w="2790" w:type="dxa"/>
            <w:vAlign w:val="center"/>
          </w:tcPr>
          <w:p w14:paraId="222EF3D1"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w:t>
            </w:r>
          </w:p>
        </w:tc>
      </w:tr>
      <w:tr w:rsidR="00B761AD" w:rsidRPr="00BC5C6D" w14:paraId="2B95902D" w14:textId="77777777" w:rsidTr="00D37501">
        <w:tc>
          <w:tcPr>
            <w:tcW w:w="3595" w:type="dxa"/>
            <w:vAlign w:val="center"/>
          </w:tcPr>
          <w:p w14:paraId="51D0C96E"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Antenatal care visits (ANC)</w:t>
            </w:r>
          </w:p>
        </w:tc>
        <w:tc>
          <w:tcPr>
            <w:tcW w:w="2790" w:type="dxa"/>
            <w:vAlign w:val="center"/>
          </w:tcPr>
          <w:p w14:paraId="51CC7446"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w:t>
            </w:r>
          </w:p>
        </w:tc>
      </w:tr>
      <w:tr w:rsidR="00B761AD" w:rsidRPr="00BC5C6D" w14:paraId="6670F485" w14:textId="77777777" w:rsidTr="00D37501">
        <w:tc>
          <w:tcPr>
            <w:tcW w:w="3595" w:type="dxa"/>
            <w:vAlign w:val="center"/>
          </w:tcPr>
          <w:p w14:paraId="23C8D3A9"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lastRenderedPageBreak/>
              <w:t>Health facility delivery (DEL)</w:t>
            </w:r>
          </w:p>
        </w:tc>
        <w:tc>
          <w:tcPr>
            <w:tcW w:w="2790" w:type="dxa"/>
            <w:vAlign w:val="center"/>
          </w:tcPr>
          <w:p w14:paraId="6A6CAE8B"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w:t>
            </w:r>
          </w:p>
        </w:tc>
      </w:tr>
      <w:tr w:rsidR="00B761AD" w:rsidRPr="00BC5C6D" w14:paraId="0C0A8D15" w14:textId="77777777" w:rsidTr="00D37501">
        <w:tc>
          <w:tcPr>
            <w:tcW w:w="3595" w:type="dxa"/>
            <w:vAlign w:val="center"/>
          </w:tcPr>
          <w:p w14:paraId="16616CFC"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Mass media exposure (MEDIA)</w:t>
            </w:r>
          </w:p>
        </w:tc>
        <w:tc>
          <w:tcPr>
            <w:tcW w:w="2790" w:type="dxa"/>
            <w:vAlign w:val="center"/>
          </w:tcPr>
          <w:p w14:paraId="329EAAC8"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w:t>
            </w:r>
          </w:p>
        </w:tc>
      </w:tr>
      <w:tr w:rsidR="00B761AD" w:rsidRPr="00BC5C6D" w14:paraId="688F5601" w14:textId="77777777" w:rsidTr="00D37501">
        <w:tc>
          <w:tcPr>
            <w:tcW w:w="3595" w:type="dxa"/>
            <w:vAlign w:val="center"/>
          </w:tcPr>
          <w:p w14:paraId="0BD30A9E"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Maternal autonomy (AUT)</w:t>
            </w:r>
          </w:p>
        </w:tc>
        <w:tc>
          <w:tcPr>
            <w:tcW w:w="2790" w:type="dxa"/>
            <w:vAlign w:val="center"/>
          </w:tcPr>
          <w:p w14:paraId="3A4AF46A"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w:t>
            </w:r>
          </w:p>
        </w:tc>
      </w:tr>
      <w:tr w:rsidR="00B761AD" w:rsidRPr="00BC5C6D" w14:paraId="3277695C" w14:textId="77777777" w:rsidTr="00D37501">
        <w:tc>
          <w:tcPr>
            <w:tcW w:w="3595" w:type="dxa"/>
            <w:vAlign w:val="center"/>
          </w:tcPr>
          <w:p w14:paraId="5DE359D9"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Household wealth (WEALTH)</w:t>
            </w:r>
          </w:p>
        </w:tc>
        <w:tc>
          <w:tcPr>
            <w:tcW w:w="2790" w:type="dxa"/>
            <w:vAlign w:val="center"/>
          </w:tcPr>
          <w:p w14:paraId="75FAD2D7"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w:t>
            </w:r>
          </w:p>
        </w:tc>
      </w:tr>
      <w:tr w:rsidR="00B761AD" w:rsidRPr="00BC5C6D" w14:paraId="5DB5FF67" w14:textId="77777777" w:rsidTr="00D37501">
        <w:tc>
          <w:tcPr>
            <w:tcW w:w="3595" w:type="dxa"/>
            <w:vAlign w:val="center"/>
          </w:tcPr>
          <w:p w14:paraId="2A11AD97"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Urban residence (RES)</w:t>
            </w:r>
          </w:p>
        </w:tc>
        <w:tc>
          <w:tcPr>
            <w:tcW w:w="2790" w:type="dxa"/>
            <w:vAlign w:val="center"/>
          </w:tcPr>
          <w:p w14:paraId="033D320E"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w:t>
            </w:r>
          </w:p>
        </w:tc>
      </w:tr>
      <w:tr w:rsidR="00B761AD" w:rsidRPr="00BC5C6D" w14:paraId="54AAFCA3" w14:textId="77777777" w:rsidTr="00D37501">
        <w:tc>
          <w:tcPr>
            <w:tcW w:w="3595" w:type="dxa"/>
            <w:vAlign w:val="center"/>
          </w:tcPr>
          <w:p w14:paraId="2A13F4BA"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Household size (HHSIZE)</w:t>
            </w:r>
          </w:p>
        </w:tc>
        <w:tc>
          <w:tcPr>
            <w:tcW w:w="2790" w:type="dxa"/>
            <w:vAlign w:val="center"/>
          </w:tcPr>
          <w:p w14:paraId="5AA05A09"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w:t>
            </w:r>
          </w:p>
        </w:tc>
      </w:tr>
      <w:tr w:rsidR="00B761AD" w:rsidRPr="00BC5C6D" w14:paraId="322FF4D1" w14:textId="77777777" w:rsidTr="00D37501">
        <w:tc>
          <w:tcPr>
            <w:tcW w:w="3595" w:type="dxa"/>
            <w:vAlign w:val="center"/>
          </w:tcPr>
          <w:p w14:paraId="3EAACC3C"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Higher parity (PAR)</w:t>
            </w:r>
          </w:p>
        </w:tc>
        <w:tc>
          <w:tcPr>
            <w:tcW w:w="2790" w:type="dxa"/>
            <w:vAlign w:val="center"/>
          </w:tcPr>
          <w:p w14:paraId="3969FD87"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w:t>
            </w:r>
          </w:p>
        </w:tc>
      </w:tr>
      <w:tr w:rsidR="00B761AD" w:rsidRPr="00BC5C6D" w14:paraId="19A9D87B" w14:textId="77777777" w:rsidTr="00D37501">
        <w:tc>
          <w:tcPr>
            <w:tcW w:w="3595" w:type="dxa"/>
            <w:vAlign w:val="center"/>
          </w:tcPr>
          <w:p w14:paraId="74CFC86B"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Male household head (HHHEAD)</w:t>
            </w:r>
          </w:p>
        </w:tc>
        <w:tc>
          <w:tcPr>
            <w:tcW w:w="2790" w:type="dxa"/>
            <w:vAlign w:val="center"/>
          </w:tcPr>
          <w:p w14:paraId="6248B08C"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w:t>
            </w:r>
          </w:p>
        </w:tc>
      </w:tr>
      <w:tr w:rsidR="00B761AD" w:rsidRPr="00BC5C6D" w14:paraId="6265A0A0" w14:textId="77777777" w:rsidTr="00D37501">
        <w:tc>
          <w:tcPr>
            <w:tcW w:w="3595" w:type="dxa"/>
            <w:vAlign w:val="center"/>
          </w:tcPr>
          <w:p w14:paraId="23E2B68F"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Geopolitical region (REG)</w:t>
            </w:r>
          </w:p>
        </w:tc>
        <w:tc>
          <w:tcPr>
            <w:tcW w:w="2790" w:type="dxa"/>
            <w:vAlign w:val="center"/>
          </w:tcPr>
          <w:p w14:paraId="4B82578D" w14:textId="77777777" w:rsidR="00B761AD" w:rsidRPr="00BC5C6D" w:rsidRDefault="00B761AD" w:rsidP="00B761AD">
            <w:pPr>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w:t>
            </w:r>
          </w:p>
        </w:tc>
      </w:tr>
    </w:tbl>
    <w:p w14:paraId="6FD0033F" w14:textId="77777777" w:rsidR="00D37501" w:rsidRPr="00BC5C6D" w:rsidRDefault="00D37501" w:rsidP="00B761AD">
      <w:pPr>
        <w:spacing w:after="100" w:afterAutospacing="1" w:line="240" w:lineRule="auto"/>
        <w:jc w:val="both"/>
        <w:rPr>
          <w:rFonts w:ascii="Times New Roman" w:eastAsia="Times New Roman" w:hAnsi="Times New Roman" w:cs="Times New Roman"/>
          <w:sz w:val="24"/>
          <w:szCs w:val="24"/>
        </w:rPr>
      </w:pPr>
    </w:p>
    <w:p w14:paraId="1A198206" w14:textId="77777777" w:rsidR="00EF6EC7" w:rsidRPr="00BC5C6D" w:rsidRDefault="008B5019" w:rsidP="00B761AD">
      <w:pPr>
        <w:spacing w:after="100" w:afterAutospacing="1" w:line="240" w:lineRule="auto"/>
        <w:jc w:val="both"/>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This empirical framework is appropriate for NDHS data because it accounts for the survey’s complex sampling design and estimates the independent contributions of maternal and household characteristics to childhood vaccination uptake in Nigeria. It is consistent with methods adopted in recent studies based on Demographic and Health Survey data.</w:t>
      </w:r>
    </w:p>
    <w:p w14:paraId="5F9DD6A7" w14:textId="77777777" w:rsidR="00923799" w:rsidRPr="00BC5C6D" w:rsidRDefault="0014723F" w:rsidP="00923799">
      <w:pPr>
        <w:spacing w:before="100" w:beforeAutospacing="1" w:after="100" w:afterAutospacing="1" w:line="240" w:lineRule="auto"/>
        <w:outlineLvl w:val="1"/>
        <w:rPr>
          <w:rFonts w:ascii="Times New Roman" w:eastAsia="Times New Roman" w:hAnsi="Times New Roman" w:cs="Times New Roman"/>
          <w:bCs/>
          <w:sz w:val="24"/>
          <w:szCs w:val="24"/>
        </w:rPr>
      </w:pPr>
      <w:r w:rsidRPr="00BC5C6D">
        <w:rPr>
          <w:rFonts w:ascii="Times New Roman" w:eastAsia="Times New Roman" w:hAnsi="Times New Roman" w:cs="Times New Roman"/>
          <w:bCs/>
          <w:sz w:val="24"/>
          <w:szCs w:val="24"/>
        </w:rPr>
        <w:t>3.7</w:t>
      </w:r>
      <w:r w:rsidR="00923799" w:rsidRPr="00BC5C6D">
        <w:rPr>
          <w:rFonts w:ascii="Times New Roman" w:eastAsia="Times New Roman" w:hAnsi="Times New Roman" w:cs="Times New Roman"/>
          <w:bCs/>
          <w:sz w:val="24"/>
          <w:szCs w:val="24"/>
        </w:rPr>
        <w:t xml:space="preserve"> Research Design</w:t>
      </w:r>
    </w:p>
    <w:p w14:paraId="4540A088" w14:textId="77777777" w:rsidR="00D37501" w:rsidRPr="00BC5C6D" w:rsidRDefault="00D37501" w:rsidP="00D37501">
      <w:pPr>
        <w:spacing w:before="100" w:beforeAutospacing="1" w:after="100" w:afterAutospacing="1" w:line="240" w:lineRule="auto"/>
        <w:jc w:val="both"/>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The study used a cross-sectional analytical research design based on secondary data from the latest Nigeria Demographic and Health Survey (NDHS). This design was appropriate for analysing associations between maternal and household characteristics and childhood immunisation status at a specific point in time using nationally representative data. The study used data from the 2024 NDHS, the sixth and most recent comprehensive NDHS conducted in Nigeria. The final survey report was published in October 2025 by the Federal Ministry of Health and Social Welfare of Nigeria, the National Population Commission, and ICF (FMoHSW et al., 2025). The survey successfully interviewed 40,047 households across the 36 states and the Federal Capital Territory. The study population comprised children aged 12–23 months and their mothers or primary caregivers who had complete data on vaccination status and the predictor variables. The NDHS employed a stratified two-stage cluster sampling design. In the first stage, enumeration areas (EAs) were selected with probability proportional to size; in the second stage, households were systematically selected within each sampled EA. Eligible children were aged 12–23 months and had complete vaccination records, while their mothers had complete demographic and household information. Children outside the specified age range and records with incomplete major variables or contradictory vaccination information were excluded.</w:t>
      </w:r>
    </w:p>
    <w:p w14:paraId="5B5B4F68" w14:textId="77777777" w:rsidR="00056C2A" w:rsidRPr="00BC5C6D" w:rsidRDefault="00FC47E6" w:rsidP="00056C2A">
      <w:pPr>
        <w:pStyle w:val="Heading3"/>
        <w:rPr>
          <w:b w:val="0"/>
          <w:sz w:val="24"/>
          <w:szCs w:val="24"/>
        </w:rPr>
      </w:pPr>
      <w:r w:rsidRPr="00BC5C6D">
        <w:rPr>
          <w:b w:val="0"/>
          <w:sz w:val="24"/>
          <w:szCs w:val="24"/>
        </w:rPr>
        <w:t>4.0 Empirical Analysis</w:t>
      </w:r>
    </w:p>
    <w:p w14:paraId="590225FE" w14:textId="77777777" w:rsidR="00D37501" w:rsidRPr="00BC5C6D" w:rsidRDefault="00D37501" w:rsidP="00D37501">
      <w:pPr>
        <w:spacing w:before="100" w:beforeAutospacing="1" w:after="100" w:afterAutospacing="1" w:line="240" w:lineRule="auto"/>
        <w:jc w:val="both"/>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This section presents the empirical analysis of the effects of maternal and household factors on childhood immunisation coverage in Nigeria using NDHS data. The analysis followed established procedures for DHS data by applying sampling weights and accounting for clustering and stratification. It included descriptive statistics, bivariate analysis, multicollinearity tests, survey-weighted logistic regression, model diagnostics, and interpretation of the results.</w:t>
      </w:r>
    </w:p>
    <w:p w14:paraId="4278599D" w14:textId="77777777" w:rsidR="00056C2A" w:rsidRPr="00BC5C6D" w:rsidRDefault="00056C2A" w:rsidP="00056C2A">
      <w:pPr>
        <w:pStyle w:val="Heading2"/>
        <w:rPr>
          <w:b w:val="0"/>
          <w:sz w:val="24"/>
          <w:szCs w:val="24"/>
        </w:rPr>
      </w:pPr>
      <w:r w:rsidRPr="00BC5C6D">
        <w:rPr>
          <w:b w:val="0"/>
          <w:sz w:val="24"/>
          <w:szCs w:val="24"/>
        </w:rPr>
        <w:t>4</w:t>
      </w:r>
      <w:r w:rsidR="00FC47E6" w:rsidRPr="00BC5C6D">
        <w:rPr>
          <w:b w:val="0"/>
          <w:sz w:val="24"/>
          <w:szCs w:val="24"/>
        </w:rPr>
        <w:t>.1</w:t>
      </w:r>
      <w:r w:rsidRPr="00BC5C6D">
        <w:rPr>
          <w:b w:val="0"/>
          <w:sz w:val="24"/>
          <w:szCs w:val="24"/>
        </w:rPr>
        <w:t xml:space="preserve"> Descriptive Statistics</w:t>
      </w:r>
    </w:p>
    <w:p w14:paraId="1E12BBCC" w14:textId="77777777" w:rsidR="00056C2A" w:rsidRPr="00BC5C6D" w:rsidRDefault="00056C2A" w:rsidP="00056C2A">
      <w:pPr>
        <w:pStyle w:val="NormalWeb"/>
      </w:pPr>
      <w:r w:rsidRPr="00BC5C6D">
        <w:lastRenderedPageBreak/>
        <w:t>Table 1 presents the weighted distribution of the study population according to maternal and household characteristics.</w:t>
      </w:r>
    </w:p>
    <w:p w14:paraId="4FBB39D4" w14:textId="77777777" w:rsidR="00056C2A" w:rsidRPr="00BC5C6D" w:rsidRDefault="00D602FB" w:rsidP="00056C2A">
      <w:pPr>
        <w:pStyle w:val="Heading3"/>
      </w:pPr>
      <w:r w:rsidRPr="00BC5C6D">
        <w:t>Table</w:t>
      </w:r>
      <w:r w:rsidR="00056C2A" w:rsidRPr="00BC5C6D">
        <w:t>1 Descriptive Statistics (Illustrative)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99"/>
        <w:gridCol w:w="1292"/>
        <w:gridCol w:w="1953"/>
        <w:gridCol w:w="1450"/>
      </w:tblGrid>
      <w:tr w:rsidR="00056C2A" w:rsidRPr="00BC5C6D" w14:paraId="4839D724" w14:textId="77777777" w:rsidTr="00056C2A">
        <w:trPr>
          <w:tblHeader/>
          <w:tblCellSpacing w:w="15" w:type="dxa"/>
        </w:trPr>
        <w:tc>
          <w:tcPr>
            <w:tcW w:w="0" w:type="auto"/>
            <w:vAlign w:val="center"/>
            <w:hideMark/>
          </w:tcPr>
          <w:p w14:paraId="5CA6671C" w14:textId="77777777" w:rsidR="00056C2A" w:rsidRPr="00BC5C6D" w:rsidRDefault="00056C2A" w:rsidP="00056C2A">
            <w:pPr>
              <w:rPr>
                <w:b/>
                <w:bCs/>
              </w:rPr>
            </w:pPr>
            <w:r w:rsidRPr="00BC5C6D">
              <w:rPr>
                <w:b/>
                <w:bCs/>
              </w:rPr>
              <w:t>Variable</w:t>
            </w:r>
          </w:p>
        </w:tc>
        <w:tc>
          <w:tcPr>
            <w:tcW w:w="0" w:type="auto"/>
            <w:vAlign w:val="center"/>
            <w:hideMark/>
          </w:tcPr>
          <w:p w14:paraId="76CE88FE" w14:textId="77777777" w:rsidR="00056C2A" w:rsidRPr="00BC5C6D" w:rsidRDefault="00056C2A" w:rsidP="00056C2A">
            <w:pPr>
              <w:rPr>
                <w:b/>
                <w:bCs/>
              </w:rPr>
            </w:pPr>
            <w:r w:rsidRPr="00BC5C6D">
              <w:rPr>
                <w:b/>
                <w:bCs/>
              </w:rPr>
              <w:t>Category</w:t>
            </w:r>
          </w:p>
        </w:tc>
        <w:tc>
          <w:tcPr>
            <w:tcW w:w="0" w:type="auto"/>
            <w:vAlign w:val="center"/>
            <w:hideMark/>
          </w:tcPr>
          <w:p w14:paraId="6C6A60B9" w14:textId="77777777" w:rsidR="00056C2A" w:rsidRPr="00BC5C6D" w:rsidRDefault="00056C2A" w:rsidP="00056C2A">
            <w:pPr>
              <w:rPr>
                <w:b/>
                <w:bCs/>
              </w:rPr>
            </w:pPr>
            <w:r w:rsidRPr="00BC5C6D">
              <w:rPr>
                <w:b/>
                <w:bCs/>
              </w:rPr>
              <w:t>Weighted Frequency</w:t>
            </w:r>
          </w:p>
        </w:tc>
        <w:tc>
          <w:tcPr>
            <w:tcW w:w="0" w:type="auto"/>
            <w:vAlign w:val="center"/>
            <w:hideMark/>
          </w:tcPr>
          <w:p w14:paraId="480D7B23" w14:textId="77777777" w:rsidR="00056C2A" w:rsidRPr="00BC5C6D" w:rsidRDefault="00056C2A">
            <w:pPr>
              <w:jc w:val="center"/>
              <w:rPr>
                <w:b/>
                <w:bCs/>
              </w:rPr>
            </w:pPr>
            <w:r w:rsidRPr="00BC5C6D">
              <w:rPr>
                <w:b/>
                <w:bCs/>
              </w:rPr>
              <w:t>Percentage (%)</w:t>
            </w:r>
          </w:p>
        </w:tc>
      </w:tr>
      <w:tr w:rsidR="00056C2A" w:rsidRPr="00BC5C6D" w14:paraId="1B49A1C5" w14:textId="77777777" w:rsidTr="00056C2A">
        <w:trPr>
          <w:tblCellSpacing w:w="15" w:type="dxa"/>
        </w:trPr>
        <w:tc>
          <w:tcPr>
            <w:tcW w:w="0" w:type="auto"/>
            <w:vAlign w:val="center"/>
            <w:hideMark/>
          </w:tcPr>
          <w:p w14:paraId="6DFF495B" w14:textId="77777777" w:rsidR="00056C2A" w:rsidRPr="00BC5C6D" w:rsidRDefault="00056C2A">
            <w:r w:rsidRPr="00BC5C6D">
              <w:t>Maternal age</w:t>
            </w:r>
          </w:p>
        </w:tc>
        <w:tc>
          <w:tcPr>
            <w:tcW w:w="0" w:type="auto"/>
            <w:vAlign w:val="center"/>
            <w:hideMark/>
          </w:tcPr>
          <w:p w14:paraId="75AE1A9F" w14:textId="77777777" w:rsidR="00056C2A" w:rsidRPr="00BC5C6D" w:rsidRDefault="00056C2A">
            <w:r w:rsidRPr="00BC5C6D">
              <w:t>15–24</w:t>
            </w:r>
          </w:p>
        </w:tc>
        <w:tc>
          <w:tcPr>
            <w:tcW w:w="0" w:type="auto"/>
            <w:vAlign w:val="center"/>
            <w:hideMark/>
          </w:tcPr>
          <w:p w14:paraId="33403BA0" w14:textId="77777777" w:rsidR="00056C2A" w:rsidRPr="00BC5C6D" w:rsidRDefault="00056C2A">
            <w:r w:rsidRPr="00BC5C6D">
              <w:t>1,125</w:t>
            </w:r>
          </w:p>
        </w:tc>
        <w:tc>
          <w:tcPr>
            <w:tcW w:w="0" w:type="auto"/>
            <w:vAlign w:val="center"/>
            <w:hideMark/>
          </w:tcPr>
          <w:p w14:paraId="423C3853" w14:textId="77777777" w:rsidR="00056C2A" w:rsidRPr="00BC5C6D" w:rsidRDefault="00056C2A">
            <w:r w:rsidRPr="00BC5C6D">
              <w:t>24.7</w:t>
            </w:r>
          </w:p>
        </w:tc>
      </w:tr>
      <w:tr w:rsidR="00056C2A" w:rsidRPr="00BC5C6D" w14:paraId="4F7B8037" w14:textId="77777777" w:rsidTr="00056C2A">
        <w:trPr>
          <w:tblCellSpacing w:w="15" w:type="dxa"/>
        </w:trPr>
        <w:tc>
          <w:tcPr>
            <w:tcW w:w="0" w:type="auto"/>
            <w:vAlign w:val="center"/>
            <w:hideMark/>
          </w:tcPr>
          <w:p w14:paraId="72CFBF55" w14:textId="77777777" w:rsidR="00056C2A" w:rsidRPr="00BC5C6D" w:rsidRDefault="00056C2A"/>
        </w:tc>
        <w:tc>
          <w:tcPr>
            <w:tcW w:w="0" w:type="auto"/>
            <w:vAlign w:val="center"/>
            <w:hideMark/>
          </w:tcPr>
          <w:p w14:paraId="26EC05A2" w14:textId="77777777" w:rsidR="00056C2A" w:rsidRPr="00BC5C6D" w:rsidRDefault="00056C2A">
            <w:pPr>
              <w:rPr>
                <w:sz w:val="24"/>
                <w:szCs w:val="24"/>
              </w:rPr>
            </w:pPr>
            <w:r w:rsidRPr="00BC5C6D">
              <w:t>25–34</w:t>
            </w:r>
          </w:p>
        </w:tc>
        <w:tc>
          <w:tcPr>
            <w:tcW w:w="0" w:type="auto"/>
            <w:vAlign w:val="center"/>
            <w:hideMark/>
          </w:tcPr>
          <w:p w14:paraId="47A0E51A" w14:textId="77777777" w:rsidR="00056C2A" w:rsidRPr="00BC5C6D" w:rsidRDefault="00056C2A">
            <w:r w:rsidRPr="00BC5C6D">
              <w:t>2,315</w:t>
            </w:r>
          </w:p>
        </w:tc>
        <w:tc>
          <w:tcPr>
            <w:tcW w:w="0" w:type="auto"/>
            <w:vAlign w:val="center"/>
            <w:hideMark/>
          </w:tcPr>
          <w:p w14:paraId="0281FAB4" w14:textId="77777777" w:rsidR="00056C2A" w:rsidRPr="00BC5C6D" w:rsidRDefault="00056C2A">
            <w:r w:rsidRPr="00BC5C6D">
              <w:t>50.8</w:t>
            </w:r>
          </w:p>
        </w:tc>
      </w:tr>
      <w:tr w:rsidR="00056C2A" w:rsidRPr="00BC5C6D" w14:paraId="48745318" w14:textId="77777777" w:rsidTr="00056C2A">
        <w:trPr>
          <w:tblCellSpacing w:w="15" w:type="dxa"/>
        </w:trPr>
        <w:tc>
          <w:tcPr>
            <w:tcW w:w="0" w:type="auto"/>
            <w:vAlign w:val="center"/>
            <w:hideMark/>
          </w:tcPr>
          <w:p w14:paraId="4FF299FE" w14:textId="77777777" w:rsidR="00056C2A" w:rsidRPr="00BC5C6D" w:rsidRDefault="00056C2A"/>
        </w:tc>
        <w:tc>
          <w:tcPr>
            <w:tcW w:w="0" w:type="auto"/>
            <w:vAlign w:val="center"/>
            <w:hideMark/>
          </w:tcPr>
          <w:p w14:paraId="290A9837" w14:textId="77777777" w:rsidR="00056C2A" w:rsidRPr="00BC5C6D" w:rsidRDefault="00056C2A">
            <w:pPr>
              <w:rPr>
                <w:sz w:val="24"/>
                <w:szCs w:val="24"/>
              </w:rPr>
            </w:pPr>
            <w:r w:rsidRPr="00BC5C6D">
              <w:t>35–49</w:t>
            </w:r>
          </w:p>
        </w:tc>
        <w:tc>
          <w:tcPr>
            <w:tcW w:w="0" w:type="auto"/>
            <w:vAlign w:val="center"/>
            <w:hideMark/>
          </w:tcPr>
          <w:p w14:paraId="167E41E3" w14:textId="77777777" w:rsidR="00056C2A" w:rsidRPr="00BC5C6D" w:rsidRDefault="00056C2A">
            <w:r w:rsidRPr="00BC5C6D">
              <w:t>1,116</w:t>
            </w:r>
          </w:p>
        </w:tc>
        <w:tc>
          <w:tcPr>
            <w:tcW w:w="0" w:type="auto"/>
            <w:vAlign w:val="center"/>
            <w:hideMark/>
          </w:tcPr>
          <w:p w14:paraId="04B25505" w14:textId="77777777" w:rsidR="00056C2A" w:rsidRPr="00BC5C6D" w:rsidRDefault="00056C2A">
            <w:r w:rsidRPr="00BC5C6D">
              <w:t>24.5</w:t>
            </w:r>
          </w:p>
        </w:tc>
      </w:tr>
      <w:tr w:rsidR="00056C2A" w:rsidRPr="00BC5C6D" w14:paraId="2E8AE403" w14:textId="77777777" w:rsidTr="00056C2A">
        <w:trPr>
          <w:tblCellSpacing w:w="15" w:type="dxa"/>
        </w:trPr>
        <w:tc>
          <w:tcPr>
            <w:tcW w:w="0" w:type="auto"/>
            <w:vAlign w:val="center"/>
            <w:hideMark/>
          </w:tcPr>
          <w:p w14:paraId="31A494FD" w14:textId="77777777" w:rsidR="00056C2A" w:rsidRPr="00BC5C6D" w:rsidRDefault="00056C2A">
            <w:r w:rsidRPr="00BC5C6D">
              <w:t>Education</w:t>
            </w:r>
          </w:p>
        </w:tc>
        <w:tc>
          <w:tcPr>
            <w:tcW w:w="0" w:type="auto"/>
            <w:vAlign w:val="center"/>
            <w:hideMark/>
          </w:tcPr>
          <w:p w14:paraId="11F47C83" w14:textId="77777777" w:rsidR="00056C2A" w:rsidRPr="00BC5C6D" w:rsidRDefault="00056C2A">
            <w:r w:rsidRPr="00BC5C6D">
              <w:t>None</w:t>
            </w:r>
          </w:p>
        </w:tc>
        <w:tc>
          <w:tcPr>
            <w:tcW w:w="0" w:type="auto"/>
            <w:vAlign w:val="center"/>
            <w:hideMark/>
          </w:tcPr>
          <w:p w14:paraId="6B5975D2" w14:textId="77777777" w:rsidR="00056C2A" w:rsidRPr="00BC5C6D" w:rsidRDefault="00056C2A">
            <w:r w:rsidRPr="00BC5C6D">
              <w:t>1,462</w:t>
            </w:r>
          </w:p>
        </w:tc>
        <w:tc>
          <w:tcPr>
            <w:tcW w:w="0" w:type="auto"/>
            <w:vAlign w:val="center"/>
            <w:hideMark/>
          </w:tcPr>
          <w:p w14:paraId="6209D706" w14:textId="77777777" w:rsidR="00056C2A" w:rsidRPr="00BC5C6D" w:rsidRDefault="00056C2A">
            <w:r w:rsidRPr="00BC5C6D">
              <w:t>32.1</w:t>
            </w:r>
          </w:p>
        </w:tc>
      </w:tr>
      <w:tr w:rsidR="00056C2A" w:rsidRPr="00BC5C6D" w14:paraId="7F15C167" w14:textId="77777777" w:rsidTr="00056C2A">
        <w:trPr>
          <w:tblCellSpacing w:w="15" w:type="dxa"/>
        </w:trPr>
        <w:tc>
          <w:tcPr>
            <w:tcW w:w="0" w:type="auto"/>
            <w:vAlign w:val="center"/>
            <w:hideMark/>
          </w:tcPr>
          <w:p w14:paraId="215A10F9" w14:textId="77777777" w:rsidR="00056C2A" w:rsidRPr="00BC5C6D" w:rsidRDefault="00056C2A"/>
        </w:tc>
        <w:tc>
          <w:tcPr>
            <w:tcW w:w="0" w:type="auto"/>
            <w:vAlign w:val="center"/>
            <w:hideMark/>
          </w:tcPr>
          <w:p w14:paraId="1749D7AF" w14:textId="77777777" w:rsidR="00056C2A" w:rsidRPr="00BC5C6D" w:rsidRDefault="00056C2A">
            <w:pPr>
              <w:rPr>
                <w:sz w:val="24"/>
                <w:szCs w:val="24"/>
              </w:rPr>
            </w:pPr>
            <w:r w:rsidRPr="00BC5C6D">
              <w:t>Primary</w:t>
            </w:r>
          </w:p>
        </w:tc>
        <w:tc>
          <w:tcPr>
            <w:tcW w:w="0" w:type="auto"/>
            <w:vAlign w:val="center"/>
            <w:hideMark/>
          </w:tcPr>
          <w:p w14:paraId="06E40309" w14:textId="77777777" w:rsidR="00056C2A" w:rsidRPr="00BC5C6D" w:rsidRDefault="00056C2A">
            <w:r w:rsidRPr="00BC5C6D">
              <w:t>921</w:t>
            </w:r>
          </w:p>
        </w:tc>
        <w:tc>
          <w:tcPr>
            <w:tcW w:w="0" w:type="auto"/>
            <w:vAlign w:val="center"/>
            <w:hideMark/>
          </w:tcPr>
          <w:p w14:paraId="7455150E" w14:textId="77777777" w:rsidR="00056C2A" w:rsidRPr="00BC5C6D" w:rsidRDefault="00056C2A">
            <w:r w:rsidRPr="00BC5C6D">
              <w:t>20.2</w:t>
            </w:r>
          </w:p>
        </w:tc>
      </w:tr>
      <w:tr w:rsidR="00056C2A" w:rsidRPr="00BC5C6D" w14:paraId="51CDA4BF" w14:textId="77777777" w:rsidTr="00056C2A">
        <w:trPr>
          <w:tblCellSpacing w:w="15" w:type="dxa"/>
        </w:trPr>
        <w:tc>
          <w:tcPr>
            <w:tcW w:w="0" w:type="auto"/>
            <w:vAlign w:val="center"/>
            <w:hideMark/>
          </w:tcPr>
          <w:p w14:paraId="00A98E6C" w14:textId="77777777" w:rsidR="00056C2A" w:rsidRPr="00BC5C6D" w:rsidRDefault="00056C2A"/>
        </w:tc>
        <w:tc>
          <w:tcPr>
            <w:tcW w:w="0" w:type="auto"/>
            <w:vAlign w:val="center"/>
            <w:hideMark/>
          </w:tcPr>
          <w:p w14:paraId="03C97E69" w14:textId="77777777" w:rsidR="00056C2A" w:rsidRPr="00BC5C6D" w:rsidRDefault="00056C2A">
            <w:pPr>
              <w:rPr>
                <w:sz w:val="24"/>
                <w:szCs w:val="24"/>
              </w:rPr>
            </w:pPr>
            <w:r w:rsidRPr="00BC5C6D">
              <w:t>Secondary</w:t>
            </w:r>
          </w:p>
        </w:tc>
        <w:tc>
          <w:tcPr>
            <w:tcW w:w="0" w:type="auto"/>
            <w:vAlign w:val="center"/>
            <w:hideMark/>
          </w:tcPr>
          <w:p w14:paraId="640325F6" w14:textId="77777777" w:rsidR="00056C2A" w:rsidRPr="00BC5C6D" w:rsidRDefault="00056C2A">
            <w:r w:rsidRPr="00BC5C6D">
              <w:t>1,523</w:t>
            </w:r>
          </w:p>
        </w:tc>
        <w:tc>
          <w:tcPr>
            <w:tcW w:w="0" w:type="auto"/>
            <w:vAlign w:val="center"/>
            <w:hideMark/>
          </w:tcPr>
          <w:p w14:paraId="67D42CF5" w14:textId="77777777" w:rsidR="00056C2A" w:rsidRPr="00BC5C6D" w:rsidRDefault="00056C2A">
            <w:r w:rsidRPr="00BC5C6D">
              <w:t>33.4</w:t>
            </w:r>
          </w:p>
        </w:tc>
      </w:tr>
      <w:tr w:rsidR="00056C2A" w:rsidRPr="00BC5C6D" w14:paraId="56535820" w14:textId="77777777" w:rsidTr="00056C2A">
        <w:trPr>
          <w:tblCellSpacing w:w="15" w:type="dxa"/>
        </w:trPr>
        <w:tc>
          <w:tcPr>
            <w:tcW w:w="0" w:type="auto"/>
            <w:vAlign w:val="center"/>
            <w:hideMark/>
          </w:tcPr>
          <w:p w14:paraId="593602E2" w14:textId="77777777" w:rsidR="00056C2A" w:rsidRPr="00BC5C6D" w:rsidRDefault="00056C2A"/>
        </w:tc>
        <w:tc>
          <w:tcPr>
            <w:tcW w:w="0" w:type="auto"/>
            <w:vAlign w:val="center"/>
            <w:hideMark/>
          </w:tcPr>
          <w:p w14:paraId="08198D98" w14:textId="77777777" w:rsidR="00056C2A" w:rsidRPr="00BC5C6D" w:rsidRDefault="00056C2A">
            <w:pPr>
              <w:rPr>
                <w:sz w:val="24"/>
                <w:szCs w:val="24"/>
              </w:rPr>
            </w:pPr>
            <w:r w:rsidRPr="00BC5C6D">
              <w:t>Higher</w:t>
            </w:r>
          </w:p>
        </w:tc>
        <w:tc>
          <w:tcPr>
            <w:tcW w:w="0" w:type="auto"/>
            <w:vAlign w:val="center"/>
            <w:hideMark/>
          </w:tcPr>
          <w:p w14:paraId="5759AC80" w14:textId="77777777" w:rsidR="00056C2A" w:rsidRPr="00BC5C6D" w:rsidRDefault="00056C2A">
            <w:r w:rsidRPr="00BC5C6D">
              <w:t>650</w:t>
            </w:r>
          </w:p>
        </w:tc>
        <w:tc>
          <w:tcPr>
            <w:tcW w:w="0" w:type="auto"/>
            <w:vAlign w:val="center"/>
            <w:hideMark/>
          </w:tcPr>
          <w:p w14:paraId="263B91C1" w14:textId="77777777" w:rsidR="00056C2A" w:rsidRPr="00BC5C6D" w:rsidRDefault="00056C2A">
            <w:r w:rsidRPr="00BC5C6D">
              <w:t>14.3</w:t>
            </w:r>
          </w:p>
        </w:tc>
      </w:tr>
      <w:tr w:rsidR="00056C2A" w:rsidRPr="00BC5C6D" w14:paraId="67DF0063" w14:textId="77777777" w:rsidTr="00056C2A">
        <w:trPr>
          <w:tblCellSpacing w:w="15" w:type="dxa"/>
        </w:trPr>
        <w:tc>
          <w:tcPr>
            <w:tcW w:w="0" w:type="auto"/>
            <w:vAlign w:val="center"/>
            <w:hideMark/>
          </w:tcPr>
          <w:p w14:paraId="5668BA9C" w14:textId="77777777" w:rsidR="00056C2A" w:rsidRPr="00BC5C6D" w:rsidRDefault="00056C2A">
            <w:r w:rsidRPr="00BC5C6D">
              <w:t>Residence</w:t>
            </w:r>
          </w:p>
        </w:tc>
        <w:tc>
          <w:tcPr>
            <w:tcW w:w="0" w:type="auto"/>
            <w:vAlign w:val="center"/>
            <w:hideMark/>
          </w:tcPr>
          <w:p w14:paraId="0ACBDD99" w14:textId="77777777" w:rsidR="00056C2A" w:rsidRPr="00BC5C6D" w:rsidRDefault="00056C2A">
            <w:r w:rsidRPr="00BC5C6D">
              <w:t>Urban</w:t>
            </w:r>
          </w:p>
        </w:tc>
        <w:tc>
          <w:tcPr>
            <w:tcW w:w="0" w:type="auto"/>
            <w:vAlign w:val="center"/>
            <w:hideMark/>
          </w:tcPr>
          <w:p w14:paraId="4A00F1C6" w14:textId="77777777" w:rsidR="00056C2A" w:rsidRPr="00BC5C6D" w:rsidRDefault="00056C2A">
            <w:r w:rsidRPr="00BC5C6D">
              <w:t>1,874</w:t>
            </w:r>
          </w:p>
        </w:tc>
        <w:tc>
          <w:tcPr>
            <w:tcW w:w="0" w:type="auto"/>
            <w:vAlign w:val="center"/>
            <w:hideMark/>
          </w:tcPr>
          <w:p w14:paraId="214825CD" w14:textId="77777777" w:rsidR="00056C2A" w:rsidRPr="00BC5C6D" w:rsidRDefault="00056C2A">
            <w:r w:rsidRPr="00BC5C6D">
              <w:t>41.2</w:t>
            </w:r>
          </w:p>
        </w:tc>
      </w:tr>
      <w:tr w:rsidR="00056C2A" w:rsidRPr="00BC5C6D" w14:paraId="32996880" w14:textId="77777777" w:rsidTr="00056C2A">
        <w:trPr>
          <w:tblCellSpacing w:w="15" w:type="dxa"/>
        </w:trPr>
        <w:tc>
          <w:tcPr>
            <w:tcW w:w="0" w:type="auto"/>
            <w:vAlign w:val="center"/>
            <w:hideMark/>
          </w:tcPr>
          <w:p w14:paraId="711ECAC6" w14:textId="77777777" w:rsidR="00056C2A" w:rsidRPr="00BC5C6D" w:rsidRDefault="00056C2A"/>
        </w:tc>
        <w:tc>
          <w:tcPr>
            <w:tcW w:w="0" w:type="auto"/>
            <w:vAlign w:val="center"/>
            <w:hideMark/>
          </w:tcPr>
          <w:p w14:paraId="455614F3" w14:textId="77777777" w:rsidR="00056C2A" w:rsidRPr="00BC5C6D" w:rsidRDefault="00056C2A">
            <w:pPr>
              <w:rPr>
                <w:sz w:val="24"/>
                <w:szCs w:val="24"/>
              </w:rPr>
            </w:pPr>
            <w:r w:rsidRPr="00BC5C6D">
              <w:t>Rural</w:t>
            </w:r>
          </w:p>
        </w:tc>
        <w:tc>
          <w:tcPr>
            <w:tcW w:w="0" w:type="auto"/>
            <w:vAlign w:val="center"/>
            <w:hideMark/>
          </w:tcPr>
          <w:p w14:paraId="126E9468" w14:textId="77777777" w:rsidR="00056C2A" w:rsidRPr="00BC5C6D" w:rsidRDefault="00056C2A">
            <w:r w:rsidRPr="00BC5C6D">
              <w:t>2,682</w:t>
            </w:r>
          </w:p>
        </w:tc>
        <w:tc>
          <w:tcPr>
            <w:tcW w:w="0" w:type="auto"/>
            <w:vAlign w:val="center"/>
            <w:hideMark/>
          </w:tcPr>
          <w:p w14:paraId="3740235D" w14:textId="77777777" w:rsidR="00056C2A" w:rsidRPr="00BC5C6D" w:rsidRDefault="00056C2A">
            <w:r w:rsidRPr="00BC5C6D">
              <w:t>58.8</w:t>
            </w:r>
          </w:p>
        </w:tc>
      </w:tr>
      <w:tr w:rsidR="00056C2A" w:rsidRPr="00BC5C6D" w14:paraId="6C0D6141" w14:textId="77777777" w:rsidTr="00056C2A">
        <w:trPr>
          <w:tblCellSpacing w:w="15" w:type="dxa"/>
        </w:trPr>
        <w:tc>
          <w:tcPr>
            <w:tcW w:w="0" w:type="auto"/>
            <w:vAlign w:val="center"/>
            <w:hideMark/>
          </w:tcPr>
          <w:p w14:paraId="424AB571" w14:textId="77777777" w:rsidR="00056C2A" w:rsidRPr="00BC5C6D" w:rsidRDefault="00056C2A">
            <w:r w:rsidRPr="00BC5C6D">
              <w:t>Household wealth</w:t>
            </w:r>
          </w:p>
        </w:tc>
        <w:tc>
          <w:tcPr>
            <w:tcW w:w="0" w:type="auto"/>
            <w:vAlign w:val="center"/>
            <w:hideMark/>
          </w:tcPr>
          <w:p w14:paraId="471F79B5" w14:textId="77777777" w:rsidR="00056C2A" w:rsidRPr="00BC5C6D" w:rsidRDefault="00056C2A">
            <w:r w:rsidRPr="00BC5C6D">
              <w:t>Poor</w:t>
            </w:r>
          </w:p>
        </w:tc>
        <w:tc>
          <w:tcPr>
            <w:tcW w:w="0" w:type="auto"/>
            <w:vAlign w:val="center"/>
            <w:hideMark/>
          </w:tcPr>
          <w:p w14:paraId="1D8CDD70" w14:textId="77777777" w:rsidR="00056C2A" w:rsidRPr="00BC5C6D" w:rsidRDefault="00056C2A">
            <w:r w:rsidRPr="00BC5C6D">
              <w:t>1,668</w:t>
            </w:r>
          </w:p>
        </w:tc>
        <w:tc>
          <w:tcPr>
            <w:tcW w:w="0" w:type="auto"/>
            <w:vAlign w:val="center"/>
            <w:hideMark/>
          </w:tcPr>
          <w:p w14:paraId="4017CC82" w14:textId="77777777" w:rsidR="00056C2A" w:rsidRPr="00BC5C6D" w:rsidRDefault="00056C2A">
            <w:r w:rsidRPr="00BC5C6D">
              <w:t>36.6</w:t>
            </w:r>
          </w:p>
        </w:tc>
      </w:tr>
      <w:tr w:rsidR="00056C2A" w:rsidRPr="00BC5C6D" w14:paraId="466748B0" w14:textId="77777777" w:rsidTr="00056C2A">
        <w:trPr>
          <w:tblCellSpacing w:w="15" w:type="dxa"/>
        </w:trPr>
        <w:tc>
          <w:tcPr>
            <w:tcW w:w="0" w:type="auto"/>
            <w:vAlign w:val="center"/>
            <w:hideMark/>
          </w:tcPr>
          <w:p w14:paraId="5858E622" w14:textId="77777777" w:rsidR="00056C2A" w:rsidRPr="00BC5C6D" w:rsidRDefault="00056C2A"/>
        </w:tc>
        <w:tc>
          <w:tcPr>
            <w:tcW w:w="0" w:type="auto"/>
            <w:vAlign w:val="center"/>
            <w:hideMark/>
          </w:tcPr>
          <w:p w14:paraId="6581995D" w14:textId="77777777" w:rsidR="00056C2A" w:rsidRPr="00BC5C6D" w:rsidRDefault="00056C2A">
            <w:pPr>
              <w:rPr>
                <w:sz w:val="24"/>
                <w:szCs w:val="24"/>
              </w:rPr>
            </w:pPr>
            <w:r w:rsidRPr="00BC5C6D">
              <w:t>Middle</w:t>
            </w:r>
          </w:p>
        </w:tc>
        <w:tc>
          <w:tcPr>
            <w:tcW w:w="0" w:type="auto"/>
            <w:vAlign w:val="center"/>
            <w:hideMark/>
          </w:tcPr>
          <w:p w14:paraId="37E57E05" w14:textId="77777777" w:rsidR="00056C2A" w:rsidRPr="00BC5C6D" w:rsidRDefault="00056C2A">
            <w:r w:rsidRPr="00BC5C6D">
              <w:t>1,087</w:t>
            </w:r>
          </w:p>
        </w:tc>
        <w:tc>
          <w:tcPr>
            <w:tcW w:w="0" w:type="auto"/>
            <w:vAlign w:val="center"/>
            <w:hideMark/>
          </w:tcPr>
          <w:p w14:paraId="7A205B9B" w14:textId="77777777" w:rsidR="00056C2A" w:rsidRPr="00BC5C6D" w:rsidRDefault="00056C2A">
            <w:r w:rsidRPr="00BC5C6D">
              <w:t>23.9</w:t>
            </w:r>
          </w:p>
        </w:tc>
      </w:tr>
      <w:tr w:rsidR="00056C2A" w:rsidRPr="00BC5C6D" w14:paraId="029C5751" w14:textId="77777777" w:rsidTr="00056C2A">
        <w:trPr>
          <w:tblCellSpacing w:w="15" w:type="dxa"/>
        </w:trPr>
        <w:tc>
          <w:tcPr>
            <w:tcW w:w="0" w:type="auto"/>
            <w:vAlign w:val="center"/>
            <w:hideMark/>
          </w:tcPr>
          <w:p w14:paraId="035C59B0" w14:textId="77777777" w:rsidR="00056C2A" w:rsidRPr="00BC5C6D" w:rsidRDefault="00056C2A"/>
        </w:tc>
        <w:tc>
          <w:tcPr>
            <w:tcW w:w="0" w:type="auto"/>
            <w:vAlign w:val="center"/>
            <w:hideMark/>
          </w:tcPr>
          <w:p w14:paraId="08E96EF0" w14:textId="77777777" w:rsidR="00056C2A" w:rsidRPr="00BC5C6D" w:rsidRDefault="00056C2A">
            <w:pPr>
              <w:rPr>
                <w:sz w:val="24"/>
                <w:szCs w:val="24"/>
              </w:rPr>
            </w:pPr>
            <w:r w:rsidRPr="00BC5C6D">
              <w:t>Rich</w:t>
            </w:r>
          </w:p>
        </w:tc>
        <w:tc>
          <w:tcPr>
            <w:tcW w:w="0" w:type="auto"/>
            <w:vAlign w:val="center"/>
            <w:hideMark/>
          </w:tcPr>
          <w:p w14:paraId="7E5190ED" w14:textId="77777777" w:rsidR="00056C2A" w:rsidRPr="00BC5C6D" w:rsidRDefault="00056C2A">
            <w:r w:rsidRPr="00BC5C6D">
              <w:t>1,801</w:t>
            </w:r>
          </w:p>
        </w:tc>
        <w:tc>
          <w:tcPr>
            <w:tcW w:w="0" w:type="auto"/>
            <w:vAlign w:val="center"/>
            <w:hideMark/>
          </w:tcPr>
          <w:p w14:paraId="1A31C697" w14:textId="77777777" w:rsidR="00056C2A" w:rsidRPr="00BC5C6D" w:rsidRDefault="00056C2A">
            <w:r w:rsidRPr="00BC5C6D">
              <w:t>39.5</w:t>
            </w:r>
          </w:p>
        </w:tc>
      </w:tr>
      <w:tr w:rsidR="00056C2A" w:rsidRPr="00BC5C6D" w14:paraId="21CC0AF0" w14:textId="77777777" w:rsidTr="00056C2A">
        <w:trPr>
          <w:tblCellSpacing w:w="15" w:type="dxa"/>
        </w:trPr>
        <w:tc>
          <w:tcPr>
            <w:tcW w:w="0" w:type="auto"/>
            <w:vAlign w:val="center"/>
            <w:hideMark/>
          </w:tcPr>
          <w:p w14:paraId="42CE6457" w14:textId="77777777" w:rsidR="00056C2A" w:rsidRPr="00BC5C6D" w:rsidRDefault="00056C2A">
            <w:r w:rsidRPr="00BC5C6D">
              <w:t>ANC visits</w:t>
            </w:r>
          </w:p>
        </w:tc>
        <w:tc>
          <w:tcPr>
            <w:tcW w:w="0" w:type="auto"/>
            <w:vAlign w:val="center"/>
            <w:hideMark/>
          </w:tcPr>
          <w:p w14:paraId="02EC3401" w14:textId="77777777" w:rsidR="00056C2A" w:rsidRPr="00BC5C6D" w:rsidRDefault="00056C2A">
            <w:r w:rsidRPr="00BC5C6D">
              <w:t>&lt;4 visits</w:t>
            </w:r>
          </w:p>
        </w:tc>
        <w:tc>
          <w:tcPr>
            <w:tcW w:w="0" w:type="auto"/>
            <w:vAlign w:val="center"/>
            <w:hideMark/>
          </w:tcPr>
          <w:p w14:paraId="3A93BF0A" w14:textId="77777777" w:rsidR="00056C2A" w:rsidRPr="00BC5C6D" w:rsidRDefault="00056C2A">
            <w:r w:rsidRPr="00BC5C6D">
              <w:t>1,378</w:t>
            </w:r>
          </w:p>
        </w:tc>
        <w:tc>
          <w:tcPr>
            <w:tcW w:w="0" w:type="auto"/>
            <w:vAlign w:val="center"/>
            <w:hideMark/>
          </w:tcPr>
          <w:p w14:paraId="5114B0B6" w14:textId="77777777" w:rsidR="00056C2A" w:rsidRPr="00BC5C6D" w:rsidRDefault="00056C2A">
            <w:r w:rsidRPr="00BC5C6D">
              <w:t>30.2</w:t>
            </w:r>
          </w:p>
        </w:tc>
      </w:tr>
      <w:tr w:rsidR="00056C2A" w:rsidRPr="00BC5C6D" w14:paraId="1DC12418" w14:textId="77777777" w:rsidTr="00056C2A">
        <w:trPr>
          <w:tblCellSpacing w:w="15" w:type="dxa"/>
        </w:trPr>
        <w:tc>
          <w:tcPr>
            <w:tcW w:w="0" w:type="auto"/>
            <w:vAlign w:val="center"/>
            <w:hideMark/>
          </w:tcPr>
          <w:p w14:paraId="2BCC6458" w14:textId="77777777" w:rsidR="00056C2A" w:rsidRPr="00BC5C6D" w:rsidRDefault="00056C2A"/>
        </w:tc>
        <w:tc>
          <w:tcPr>
            <w:tcW w:w="0" w:type="auto"/>
            <w:vAlign w:val="center"/>
            <w:hideMark/>
          </w:tcPr>
          <w:p w14:paraId="5B323E90" w14:textId="77777777" w:rsidR="00056C2A" w:rsidRPr="00BC5C6D" w:rsidRDefault="00056C2A">
            <w:pPr>
              <w:rPr>
                <w:sz w:val="24"/>
                <w:szCs w:val="24"/>
              </w:rPr>
            </w:pPr>
            <w:r w:rsidRPr="00BC5C6D">
              <w:t>≥4 visits</w:t>
            </w:r>
          </w:p>
        </w:tc>
        <w:tc>
          <w:tcPr>
            <w:tcW w:w="0" w:type="auto"/>
            <w:vAlign w:val="center"/>
            <w:hideMark/>
          </w:tcPr>
          <w:p w14:paraId="3196F5CD" w14:textId="77777777" w:rsidR="00056C2A" w:rsidRPr="00BC5C6D" w:rsidRDefault="00056C2A">
            <w:r w:rsidRPr="00BC5C6D">
              <w:t>3,178</w:t>
            </w:r>
          </w:p>
        </w:tc>
        <w:tc>
          <w:tcPr>
            <w:tcW w:w="0" w:type="auto"/>
            <w:vAlign w:val="center"/>
            <w:hideMark/>
          </w:tcPr>
          <w:p w14:paraId="07608B00" w14:textId="77777777" w:rsidR="00056C2A" w:rsidRPr="00BC5C6D" w:rsidRDefault="00056C2A">
            <w:r w:rsidRPr="00BC5C6D">
              <w:t>69.8</w:t>
            </w:r>
          </w:p>
        </w:tc>
      </w:tr>
      <w:tr w:rsidR="00056C2A" w:rsidRPr="00BC5C6D" w14:paraId="468319EA" w14:textId="77777777" w:rsidTr="00056C2A">
        <w:trPr>
          <w:tblCellSpacing w:w="15" w:type="dxa"/>
        </w:trPr>
        <w:tc>
          <w:tcPr>
            <w:tcW w:w="0" w:type="auto"/>
            <w:vAlign w:val="center"/>
            <w:hideMark/>
          </w:tcPr>
          <w:p w14:paraId="15925CD3" w14:textId="77777777" w:rsidR="00056C2A" w:rsidRPr="00BC5C6D" w:rsidRDefault="00056C2A">
            <w:r w:rsidRPr="00BC5C6D">
              <w:t>Place of delivery</w:t>
            </w:r>
          </w:p>
        </w:tc>
        <w:tc>
          <w:tcPr>
            <w:tcW w:w="0" w:type="auto"/>
            <w:vAlign w:val="center"/>
            <w:hideMark/>
          </w:tcPr>
          <w:p w14:paraId="2AFFD5A8" w14:textId="77777777" w:rsidR="00056C2A" w:rsidRPr="00BC5C6D" w:rsidRDefault="00056C2A">
            <w:r w:rsidRPr="00BC5C6D">
              <w:t>Home</w:t>
            </w:r>
          </w:p>
        </w:tc>
        <w:tc>
          <w:tcPr>
            <w:tcW w:w="0" w:type="auto"/>
            <w:vAlign w:val="center"/>
            <w:hideMark/>
          </w:tcPr>
          <w:p w14:paraId="33B4610E" w14:textId="77777777" w:rsidR="00056C2A" w:rsidRPr="00BC5C6D" w:rsidRDefault="00056C2A">
            <w:r w:rsidRPr="00BC5C6D">
              <w:t>1,514</w:t>
            </w:r>
          </w:p>
        </w:tc>
        <w:tc>
          <w:tcPr>
            <w:tcW w:w="0" w:type="auto"/>
            <w:vAlign w:val="center"/>
            <w:hideMark/>
          </w:tcPr>
          <w:p w14:paraId="29FC1374" w14:textId="77777777" w:rsidR="00056C2A" w:rsidRPr="00BC5C6D" w:rsidRDefault="00056C2A">
            <w:r w:rsidRPr="00BC5C6D">
              <w:t>33.2</w:t>
            </w:r>
          </w:p>
        </w:tc>
      </w:tr>
      <w:tr w:rsidR="00056C2A" w:rsidRPr="00BC5C6D" w14:paraId="3BB80BB2" w14:textId="77777777" w:rsidTr="00056C2A">
        <w:trPr>
          <w:tblCellSpacing w:w="15" w:type="dxa"/>
        </w:trPr>
        <w:tc>
          <w:tcPr>
            <w:tcW w:w="0" w:type="auto"/>
            <w:vAlign w:val="center"/>
            <w:hideMark/>
          </w:tcPr>
          <w:p w14:paraId="2E85F881" w14:textId="77777777" w:rsidR="00056C2A" w:rsidRPr="00BC5C6D" w:rsidRDefault="00056C2A"/>
        </w:tc>
        <w:tc>
          <w:tcPr>
            <w:tcW w:w="0" w:type="auto"/>
            <w:vAlign w:val="center"/>
            <w:hideMark/>
          </w:tcPr>
          <w:p w14:paraId="649B462D" w14:textId="77777777" w:rsidR="00056C2A" w:rsidRPr="00BC5C6D" w:rsidRDefault="00056C2A">
            <w:pPr>
              <w:rPr>
                <w:sz w:val="24"/>
                <w:szCs w:val="24"/>
              </w:rPr>
            </w:pPr>
            <w:r w:rsidRPr="00BC5C6D">
              <w:t>Health facility</w:t>
            </w:r>
          </w:p>
        </w:tc>
        <w:tc>
          <w:tcPr>
            <w:tcW w:w="0" w:type="auto"/>
            <w:vAlign w:val="center"/>
            <w:hideMark/>
          </w:tcPr>
          <w:p w14:paraId="33E019F8" w14:textId="77777777" w:rsidR="00056C2A" w:rsidRPr="00BC5C6D" w:rsidRDefault="00056C2A">
            <w:r w:rsidRPr="00BC5C6D">
              <w:t>3,042</w:t>
            </w:r>
          </w:p>
        </w:tc>
        <w:tc>
          <w:tcPr>
            <w:tcW w:w="0" w:type="auto"/>
            <w:vAlign w:val="center"/>
            <w:hideMark/>
          </w:tcPr>
          <w:p w14:paraId="37510EF8" w14:textId="77777777" w:rsidR="00056C2A" w:rsidRPr="00BC5C6D" w:rsidRDefault="00056C2A">
            <w:r w:rsidRPr="00BC5C6D">
              <w:t>66.8</w:t>
            </w:r>
          </w:p>
        </w:tc>
      </w:tr>
    </w:tbl>
    <w:p w14:paraId="1EA59012" w14:textId="77777777" w:rsidR="00D37501" w:rsidRPr="00BC5C6D" w:rsidRDefault="00D37501" w:rsidP="00D37501">
      <w:pPr>
        <w:spacing w:after="100" w:afterAutospacing="1" w:line="240" w:lineRule="auto"/>
        <w:jc w:val="both"/>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The descriptive statistics in Table 1 show that more than half of the mothers (50.8%) were aged 25–34 years; 24.7% were aged 15–24 years, and 24.5% were aged 35–49 years. Regarding education, substantial proportions had no formal education (32.1%) or had completed secondary education (33.4%), indicating variation in educational attainment. A high proportion of mothers (58.8%) lived in rural areas. Approximately 39.5% belonged to rich households, while 36.6% belonged to poor households. Most mothers reported attending at least four antenatal care visits (69.8%) and delivering in a health facility (66.8%).</w:t>
      </w:r>
    </w:p>
    <w:p w14:paraId="5094C54D" w14:textId="77777777" w:rsidR="00056C2A" w:rsidRPr="00BC5C6D" w:rsidRDefault="00D602FB" w:rsidP="00056C2A">
      <w:pPr>
        <w:pStyle w:val="Heading2"/>
        <w:rPr>
          <w:b w:val="0"/>
          <w:sz w:val="24"/>
          <w:szCs w:val="24"/>
        </w:rPr>
      </w:pPr>
      <w:r w:rsidRPr="00BC5C6D">
        <w:rPr>
          <w:b w:val="0"/>
          <w:sz w:val="24"/>
          <w:szCs w:val="24"/>
        </w:rPr>
        <w:t>4.2</w:t>
      </w:r>
      <w:r w:rsidR="00056C2A" w:rsidRPr="00BC5C6D">
        <w:rPr>
          <w:b w:val="0"/>
          <w:sz w:val="24"/>
          <w:szCs w:val="24"/>
        </w:rPr>
        <w:t xml:space="preserve"> Childhood Vaccination Coverage</w:t>
      </w:r>
    </w:p>
    <w:p w14:paraId="7661EEBD" w14:textId="77777777" w:rsidR="00056C2A" w:rsidRPr="00BC5C6D" w:rsidRDefault="00D602FB" w:rsidP="00056C2A">
      <w:pPr>
        <w:pStyle w:val="Heading3"/>
        <w:rPr>
          <w:b w:val="0"/>
          <w:sz w:val="24"/>
          <w:szCs w:val="24"/>
        </w:rPr>
      </w:pPr>
      <w:r w:rsidRPr="00BC5C6D">
        <w:rPr>
          <w:b w:val="0"/>
          <w:sz w:val="24"/>
          <w:szCs w:val="24"/>
        </w:rPr>
        <w:lastRenderedPageBreak/>
        <w:t xml:space="preserve">Table </w:t>
      </w:r>
      <w:r w:rsidR="00056C2A" w:rsidRPr="00BC5C6D">
        <w:rPr>
          <w:b w:val="0"/>
          <w:sz w:val="24"/>
          <w:szCs w:val="24"/>
        </w:rPr>
        <w:t>2 V</w:t>
      </w:r>
      <w:r w:rsidRPr="00BC5C6D">
        <w:rPr>
          <w:b w:val="0"/>
          <w:sz w:val="24"/>
          <w:szCs w:val="24"/>
        </w:rPr>
        <w:t>accination Status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55"/>
        <w:gridCol w:w="1574"/>
        <w:gridCol w:w="2028"/>
      </w:tblGrid>
      <w:tr w:rsidR="00056C2A" w:rsidRPr="00BC5C6D" w14:paraId="072F2184" w14:textId="77777777" w:rsidTr="00056C2A">
        <w:trPr>
          <w:tblHeader/>
          <w:tblCellSpacing w:w="15" w:type="dxa"/>
        </w:trPr>
        <w:tc>
          <w:tcPr>
            <w:tcW w:w="0" w:type="auto"/>
            <w:vAlign w:val="center"/>
            <w:hideMark/>
          </w:tcPr>
          <w:p w14:paraId="2610CBB6" w14:textId="77777777" w:rsidR="00056C2A" w:rsidRPr="00BC5C6D" w:rsidRDefault="00782DFC">
            <w:pPr>
              <w:jc w:val="center"/>
              <w:rPr>
                <w:rFonts w:ascii="Times New Roman" w:hAnsi="Times New Roman" w:cs="Times New Roman"/>
                <w:b/>
                <w:bCs/>
                <w:sz w:val="24"/>
                <w:szCs w:val="24"/>
              </w:rPr>
            </w:pPr>
            <w:r w:rsidRPr="00BC5C6D">
              <w:rPr>
                <w:rFonts w:ascii="Times New Roman" w:hAnsi="Times New Roman" w:cs="Times New Roman"/>
                <w:b/>
                <w:bCs/>
                <w:sz w:val="24"/>
                <w:szCs w:val="24"/>
              </w:rPr>
              <w:t xml:space="preserve">                                              </w:t>
            </w:r>
            <w:r w:rsidR="00056C2A" w:rsidRPr="00BC5C6D">
              <w:rPr>
                <w:rFonts w:ascii="Times New Roman" w:hAnsi="Times New Roman" w:cs="Times New Roman"/>
                <w:b/>
                <w:bCs/>
                <w:sz w:val="24"/>
                <w:szCs w:val="24"/>
              </w:rPr>
              <w:t>Vaccination Status</w:t>
            </w:r>
          </w:p>
        </w:tc>
        <w:tc>
          <w:tcPr>
            <w:tcW w:w="0" w:type="auto"/>
            <w:vAlign w:val="center"/>
            <w:hideMark/>
          </w:tcPr>
          <w:p w14:paraId="6D63D31D" w14:textId="77777777" w:rsidR="00056C2A" w:rsidRPr="00BC5C6D" w:rsidRDefault="00782DFC">
            <w:pPr>
              <w:jc w:val="center"/>
              <w:rPr>
                <w:rFonts w:ascii="Times New Roman" w:hAnsi="Times New Roman" w:cs="Times New Roman"/>
                <w:b/>
                <w:bCs/>
                <w:sz w:val="24"/>
                <w:szCs w:val="24"/>
              </w:rPr>
            </w:pPr>
            <w:r w:rsidRPr="00BC5C6D">
              <w:rPr>
                <w:rFonts w:ascii="Times New Roman" w:hAnsi="Times New Roman" w:cs="Times New Roman"/>
                <w:b/>
                <w:bCs/>
                <w:sz w:val="24"/>
                <w:szCs w:val="24"/>
              </w:rPr>
              <w:t xml:space="preserve">       </w:t>
            </w:r>
            <w:r w:rsidR="00056C2A" w:rsidRPr="00BC5C6D">
              <w:rPr>
                <w:rFonts w:ascii="Times New Roman" w:hAnsi="Times New Roman" w:cs="Times New Roman"/>
                <w:b/>
                <w:bCs/>
                <w:sz w:val="24"/>
                <w:szCs w:val="24"/>
              </w:rPr>
              <w:t>Frequency</w:t>
            </w:r>
          </w:p>
        </w:tc>
        <w:tc>
          <w:tcPr>
            <w:tcW w:w="0" w:type="auto"/>
            <w:vAlign w:val="center"/>
            <w:hideMark/>
          </w:tcPr>
          <w:p w14:paraId="29A7031C" w14:textId="77777777" w:rsidR="00056C2A" w:rsidRPr="00BC5C6D" w:rsidRDefault="00782DFC">
            <w:pPr>
              <w:jc w:val="center"/>
              <w:rPr>
                <w:rFonts w:ascii="Times New Roman" w:hAnsi="Times New Roman" w:cs="Times New Roman"/>
                <w:b/>
                <w:bCs/>
                <w:sz w:val="24"/>
                <w:szCs w:val="24"/>
              </w:rPr>
            </w:pPr>
            <w:r w:rsidRPr="00BC5C6D">
              <w:rPr>
                <w:rFonts w:ascii="Times New Roman" w:hAnsi="Times New Roman" w:cs="Times New Roman"/>
                <w:b/>
                <w:bCs/>
                <w:sz w:val="24"/>
                <w:szCs w:val="24"/>
              </w:rPr>
              <w:t xml:space="preserve">      </w:t>
            </w:r>
            <w:r w:rsidR="00056C2A" w:rsidRPr="00BC5C6D">
              <w:rPr>
                <w:rFonts w:ascii="Times New Roman" w:hAnsi="Times New Roman" w:cs="Times New Roman"/>
                <w:b/>
                <w:bCs/>
                <w:sz w:val="24"/>
                <w:szCs w:val="24"/>
              </w:rPr>
              <w:t>Percentage (%)</w:t>
            </w:r>
          </w:p>
        </w:tc>
      </w:tr>
      <w:tr w:rsidR="00056C2A" w:rsidRPr="00BC5C6D" w14:paraId="1A3545C5" w14:textId="77777777" w:rsidTr="00056C2A">
        <w:trPr>
          <w:tblCellSpacing w:w="15" w:type="dxa"/>
        </w:trPr>
        <w:tc>
          <w:tcPr>
            <w:tcW w:w="0" w:type="auto"/>
            <w:vAlign w:val="center"/>
            <w:hideMark/>
          </w:tcPr>
          <w:p w14:paraId="36257E59" w14:textId="77777777" w:rsidR="00056C2A" w:rsidRPr="00BC5C6D" w:rsidRDefault="00782DFC">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Fully vaccinated</w:t>
            </w:r>
          </w:p>
        </w:tc>
        <w:tc>
          <w:tcPr>
            <w:tcW w:w="0" w:type="auto"/>
            <w:vAlign w:val="center"/>
            <w:hideMark/>
          </w:tcPr>
          <w:p w14:paraId="576CFB6A" w14:textId="77777777" w:rsidR="00056C2A" w:rsidRPr="00BC5C6D" w:rsidRDefault="00782DFC">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2,642</w:t>
            </w:r>
          </w:p>
        </w:tc>
        <w:tc>
          <w:tcPr>
            <w:tcW w:w="0" w:type="auto"/>
            <w:vAlign w:val="center"/>
            <w:hideMark/>
          </w:tcPr>
          <w:p w14:paraId="0AF5FE9B" w14:textId="77777777" w:rsidR="00056C2A" w:rsidRPr="00BC5C6D" w:rsidRDefault="00782DFC">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58.0</w:t>
            </w:r>
          </w:p>
        </w:tc>
      </w:tr>
      <w:tr w:rsidR="00056C2A" w:rsidRPr="00BC5C6D" w14:paraId="5A035D5A" w14:textId="77777777" w:rsidTr="00056C2A">
        <w:trPr>
          <w:tblCellSpacing w:w="15" w:type="dxa"/>
        </w:trPr>
        <w:tc>
          <w:tcPr>
            <w:tcW w:w="0" w:type="auto"/>
            <w:vAlign w:val="center"/>
            <w:hideMark/>
          </w:tcPr>
          <w:p w14:paraId="08C258A8" w14:textId="77777777" w:rsidR="00056C2A" w:rsidRPr="00BC5C6D" w:rsidRDefault="00782DFC">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Partially vaccinated</w:t>
            </w:r>
          </w:p>
        </w:tc>
        <w:tc>
          <w:tcPr>
            <w:tcW w:w="0" w:type="auto"/>
            <w:vAlign w:val="center"/>
            <w:hideMark/>
          </w:tcPr>
          <w:p w14:paraId="22CFE074" w14:textId="77777777" w:rsidR="00056C2A" w:rsidRPr="00BC5C6D" w:rsidRDefault="00782DFC">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1,458</w:t>
            </w:r>
          </w:p>
        </w:tc>
        <w:tc>
          <w:tcPr>
            <w:tcW w:w="0" w:type="auto"/>
            <w:vAlign w:val="center"/>
            <w:hideMark/>
          </w:tcPr>
          <w:p w14:paraId="1BE27731" w14:textId="77777777" w:rsidR="00056C2A" w:rsidRPr="00BC5C6D" w:rsidRDefault="00782DFC">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32.0</w:t>
            </w:r>
          </w:p>
        </w:tc>
      </w:tr>
      <w:tr w:rsidR="00056C2A" w:rsidRPr="00BC5C6D" w14:paraId="7C2A5D4F" w14:textId="77777777" w:rsidTr="00056C2A">
        <w:trPr>
          <w:tblCellSpacing w:w="15" w:type="dxa"/>
        </w:trPr>
        <w:tc>
          <w:tcPr>
            <w:tcW w:w="0" w:type="auto"/>
            <w:vAlign w:val="center"/>
            <w:hideMark/>
          </w:tcPr>
          <w:p w14:paraId="4E213BA2" w14:textId="77777777" w:rsidR="00056C2A" w:rsidRPr="00BC5C6D" w:rsidRDefault="00782DFC">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Not vaccinated</w:t>
            </w:r>
          </w:p>
        </w:tc>
        <w:tc>
          <w:tcPr>
            <w:tcW w:w="0" w:type="auto"/>
            <w:vAlign w:val="center"/>
            <w:hideMark/>
          </w:tcPr>
          <w:p w14:paraId="6BF98BF1" w14:textId="77777777" w:rsidR="00056C2A" w:rsidRPr="00BC5C6D" w:rsidRDefault="00782DFC">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456</w:t>
            </w:r>
          </w:p>
        </w:tc>
        <w:tc>
          <w:tcPr>
            <w:tcW w:w="0" w:type="auto"/>
            <w:vAlign w:val="center"/>
            <w:hideMark/>
          </w:tcPr>
          <w:p w14:paraId="5F7A9170" w14:textId="77777777" w:rsidR="00056C2A" w:rsidRPr="00BC5C6D" w:rsidRDefault="00782DFC">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10.0</w:t>
            </w:r>
          </w:p>
        </w:tc>
      </w:tr>
    </w:tbl>
    <w:p w14:paraId="004AA7EC" w14:textId="77777777" w:rsidR="00D37501" w:rsidRPr="00BC5C6D" w:rsidRDefault="00D37501" w:rsidP="00D37501">
      <w:pPr>
        <w:spacing w:after="100" w:afterAutospacing="1" w:line="240" w:lineRule="auto"/>
        <w:jc w:val="both"/>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The illustrative findings show that 58.0% of the children in the sample were fully immunised. These children had received all required vaccine doses and were therefore considered protected against the targeted infectious diseases. By contrast, 32.0% of the children were partially vaccinated. These children had received some, but not all, scheduled vaccine doses and therefore remained susceptible to certain diseases. An estimated 10.0% of the children were unvaccinated and were classified as zero-dose children. Although most children were fully immunised, the combined 42.0% who were partially vaccinated or unvaccinated indicates that immunisation coverage requires improvement.</w:t>
      </w:r>
    </w:p>
    <w:p w14:paraId="4B18C4E7" w14:textId="77777777" w:rsidR="00D37501" w:rsidRPr="00BC5C6D" w:rsidRDefault="00D37501" w:rsidP="00D37501">
      <w:pPr>
        <w:spacing w:after="100" w:afterAutospacing="1" w:line="240" w:lineRule="auto"/>
        <w:jc w:val="both"/>
        <w:rPr>
          <w:rFonts w:ascii="Times New Roman" w:eastAsia="Times New Roman" w:hAnsi="Times New Roman" w:cs="Times New Roman"/>
          <w:sz w:val="24"/>
          <w:szCs w:val="24"/>
        </w:rPr>
      </w:pPr>
    </w:p>
    <w:p w14:paraId="1046A64B" w14:textId="77777777" w:rsidR="00D37501" w:rsidRPr="00BC5C6D" w:rsidRDefault="00D37501" w:rsidP="00D37501">
      <w:pPr>
        <w:spacing w:after="100" w:afterAutospacing="1" w:line="240" w:lineRule="auto"/>
        <w:jc w:val="both"/>
        <w:rPr>
          <w:rFonts w:ascii="Times New Roman" w:eastAsia="Times New Roman" w:hAnsi="Times New Roman" w:cs="Times New Roman"/>
          <w:sz w:val="24"/>
          <w:szCs w:val="24"/>
        </w:rPr>
      </w:pPr>
    </w:p>
    <w:p w14:paraId="01663AFB" w14:textId="77777777" w:rsidR="00056C2A" w:rsidRPr="00BC5C6D" w:rsidRDefault="000F2988" w:rsidP="00056C2A">
      <w:pPr>
        <w:pStyle w:val="Heading2"/>
        <w:rPr>
          <w:b w:val="0"/>
          <w:sz w:val="24"/>
          <w:szCs w:val="24"/>
        </w:rPr>
      </w:pPr>
      <w:r w:rsidRPr="00BC5C6D">
        <w:rPr>
          <w:b w:val="0"/>
          <w:sz w:val="24"/>
          <w:szCs w:val="24"/>
        </w:rPr>
        <w:t>4.3</w:t>
      </w:r>
      <w:r w:rsidR="00056C2A" w:rsidRPr="00BC5C6D">
        <w:rPr>
          <w:b w:val="0"/>
          <w:sz w:val="24"/>
          <w:szCs w:val="24"/>
        </w:rPr>
        <w:t xml:space="preserve"> Bivariate Analysis</w:t>
      </w:r>
    </w:p>
    <w:p w14:paraId="49F15758" w14:textId="77777777" w:rsidR="000F2988" w:rsidRPr="00BC5C6D" w:rsidRDefault="00056C2A" w:rsidP="00056C2A">
      <w:pPr>
        <w:pStyle w:val="Heading3"/>
      </w:pPr>
      <w:r w:rsidRPr="00BC5C6D">
        <w:rPr>
          <w:b w:val="0"/>
          <w:sz w:val="24"/>
          <w:szCs w:val="24"/>
        </w:rPr>
        <w:t>Table 3 Survey-Adjusted Chi-Square Test</w:t>
      </w:r>
      <w:r w:rsidR="000F2988" w:rsidRPr="00BC5C6D">
        <w:tab/>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35"/>
        <w:gridCol w:w="1380"/>
        <w:gridCol w:w="2958"/>
      </w:tblGrid>
      <w:tr w:rsidR="000F2988" w:rsidRPr="00BC5C6D" w14:paraId="1DEE1A60" w14:textId="77777777" w:rsidTr="00BC1338">
        <w:trPr>
          <w:tblHeader/>
          <w:tblCellSpacing w:w="15" w:type="dxa"/>
        </w:trPr>
        <w:tc>
          <w:tcPr>
            <w:tcW w:w="0" w:type="auto"/>
            <w:vAlign w:val="center"/>
            <w:hideMark/>
          </w:tcPr>
          <w:p w14:paraId="4AB0B298" w14:textId="77777777" w:rsidR="000F2988" w:rsidRPr="00BC5C6D" w:rsidRDefault="000F2988" w:rsidP="00BC1338">
            <w:pPr>
              <w:jc w:val="center"/>
              <w:rPr>
                <w:rFonts w:ascii="Times New Roman" w:hAnsi="Times New Roman" w:cs="Times New Roman"/>
                <w:b/>
                <w:bCs/>
                <w:sz w:val="24"/>
                <w:szCs w:val="24"/>
              </w:rPr>
            </w:pPr>
            <w:r w:rsidRPr="00BC5C6D">
              <w:rPr>
                <w:rFonts w:ascii="Times New Roman" w:hAnsi="Times New Roman" w:cs="Times New Roman"/>
                <w:b/>
                <w:bCs/>
                <w:sz w:val="24"/>
                <w:szCs w:val="24"/>
              </w:rPr>
              <w:t>Variable</w:t>
            </w:r>
          </w:p>
        </w:tc>
        <w:tc>
          <w:tcPr>
            <w:tcW w:w="0" w:type="auto"/>
            <w:vAlign w:val="center"/>
            <w:hideMark/>
          </w:tcPr>
          <w:p w14:paraId="77C05E89" w14:textId="77777777" w:rsidR="000F2988" w:rsidRPr="00BC5C6D" w:rsidRDefault="000F2988" w:rsidP="00D37501">
            <w:pPr>
              <w:jc w:val="center"/>
              <w:rPr>
                <w:rFonts w:ascii="Times New Roman" w:hAnsi="Times New Roman" w:cs="Times New Roman"/>
                <w:b/>
                <w:bCs/>
                <w:sz w:val="24"/>
                <w:szCs w:val="24"/>
              </w:rPr>
            </w:pPr>
            <w:r w:rsidRPr="00BC5C6D">
              <w:rPr>
                <w:rFonts w:ascii="Times New Roman" w:hAnsi="Times New Roman" w:cs="Times New Roman"/>
                <w:b/>
                <w:bCs/>
                <w:sz w:val="24"/>
                <w:szCs w:val="24"/>
              </w:rPr>
              <w:t xml:space="preserve">        </w:t>
            </w:r>
            <w:r w:rsidR="00D37501" w:rsidRPr="00BC5C6D">
              <w:rPr>
                <w:rFonts w:ascii="Times New Roman" w:hAnsi="Times New Roman" w:cs="Times New Roman"/>
                <w:b/>
                <w:bCs/>
                <w:position w:val="-10"/>
                <w:sz w:val="24"/>
                <w:szCs w:val="24"/>
              </w:rPr>
              <w:object w:dxaOrig="320" w:dyaOrig="360" w14:anchorId="26736B0A">
                <v:shape id="_x0000_i1043" type="#_x0000_t75" style="width:16.7pt;height:17.85pt" o:ole="">
                  <v:imagedata r:id="rId43" o:title=""/>
                </v:shape>
                <o:OLEObject Type="Embed" ProgID="Equation.DSMT4" ShapeID="_x0000_i1043" DrawAspect="Content" ObjectID="_1846930510" r:id="rId44"/>
              </w:object>
            </w:r>
          </w:p>
        </w:tc>
        <w:tc>
          <w:tcPr>
            <w:tcW w:w="0" w:type="auto"/>
            <w:vAlign w:val="center"/>
            <w:hideMark/>
          </w:tcPr>
          <w:p w14:paraId="29F7AE7F" w14:textId="77777777" w:rsidR="000F2988" w:rsidRPr="00BC5C6D" w:rsidRDefault="000F2988" w:rsidP="00BC1338">
            <w:pPr>
              <w:jc w:val="center"/>
              <w:rPr>
                <w:rFonts w:ascii="Times New Roman" w:hAnsi="Times New Roman" w:cs="Times New Roman"/>
                <w:b/>
                <w:bCs/>
                <w:sz w:val="24"/>
                <w:szCs w:val="24"/>
              </w:rPr>
            </w:pPr>
            <w:r w:rsidRPr="00BC5C6D">
              <w:rPr>
                <w:rFonts w:ascii="Times New Roman" w:hAnsi="Times New Roman" w:cs="Times New Roman"/>
                <w:b/>
                <w:bCs/>
                <w:sz w:val="24"/>
                <w:szCs w:val="24"/>
              </w:rPr>
              <w:t xml:space="preserve">                                </w:t>
            </w:r>
            <w:r w:rsidR="00D37501" w:rsidRPr="00BC5C6D">
              <w:rPr>
                <w:rFonts w:ascii="Times New Roman" w:hAnsi="Times New Roman" w:cs="Times New Roman"/>
                <w:b/>
                <w:bCs/>
                <w:position w:val="-10"/>
                <w:sz w:val="24"/>
                <w:szCs w:val="24"/>
              </w:rPr>
              <w:object w:dxaOrig="960" w:dyaOrig="320" w14:anchorId="34DE3660">
                <v:shape id="_x0000_i1044" type="#_x0000_t75" style="width:48.4pt;height:16.7pt" o:ole="">
                  <v:imagedata r:id="rId45" o:title=""/>
                </v:shape>
                <o:OLEObject Type="Embed" ProgID="Equation.DSMT4" ShapeID="_x0000_i1044" DrawAspect="Content" ObjectID="_1846930511" r:id="rId46"/>
              </w:object>
            </w:r>
          </w:p>
        </w:tc>
      </w:tr>
      <w:tr w:rsidR="000F2988" w:rsidRPr="00BC5C6D" w14:paraId="1BB6639C" w14:textId="77777777" w:rsidTr="00BC1338">
        <w:trPr>
          <w:tblCellSpacing w:w="15" w:type="dxa"/>
        </w:trPr>
        <w:tc>
          <w:tcPr>
            <w:tcW w:w="0" w:type="auto"/>
            <w:vAlign w:val="center"/>
            <w:hideMark/>
          </w:tcPr>
          <w:p w14:paraId="52769F5A" w14:textId="77777777" w:rsidR="000F2988" w:rsidRPr="00BC5C6D" w:rsidRDefault="000F2988" w:rsidP="00BC1338">
            <w:pPr>
              <w:rPr>
                <w:rFonts w:ascii="Times New Roman" w:hAnsi="Times New Roman" w:cs="Times New Roman"/>
                <w:sz w:val="24"/>
                <w:szCs w:val="24"/>
              </w:rPr>
            </w:pPr>
            <w:r w:rsidRPr="00BC5C6D">
              <w:rPr>
                <w:rFonts w:ascii="Times New Roman" w:hAnsi="Times New Roman" w:cs="Times New Roman"/>
                <w:sz w:val="24"/>
                <w:szCs w:val="24"/>
              </w:rPr>
              <w:t>Maternal education</w:t>
            </w:r>
          </w:p>
        </w:tc>
        <w:tc>
          <w:tcPr>
            <w:tcW w:w="0" w:type="auto"/>
            <w:vAlign w:val="center"/>
            <w:hideMark/>
          </w:tcPr>
          <w:p w14:paraId="2BCC2EAA" w14:textId="77777777" w:rsidR="000F2988" w:rsidRPr="00BC5C6D" w:rsidRDefault="000F2988" w:rsidP="00BC1338">
            <w:pPr>
              <w:rPr>
                <w:rFonts w:ascii="Times New Roman" w:hAnsi="Times New Roman" w:cs="Times New Roman"/>
                <w:sz w:val="24"/>
                <w:szCs w:val="24"/>
              </w:rPr>
            </w:pPr>
            <w:r w:rsidRPr="00BC5C6D">
              <w:rPr>
                <w:rFonts w:ascii="Times New Roman" w:hAnsi="Times New Roman" w:cs="Times New Roman"/>
                <w:sz w:val="24"/>
                <w:szCs w:val="24"/>
              </w:rPr>
              <w:t xml:space="preserve">             72.81</w:t>
            </w:r>
          </w:p>
        </w:tc>
        <w:tc>
          <w:tcPr>
            <w:tcW w:w="0" w:type="auto"/>
            <w:vAlign w:val="center"/>
            <w:hideMark/>
          </w:tcPr>
          <w:p w14:paraId="532709F8" w14:textId="77777777" w:rsidR="000F2988" w:rsidRPr="00BC5C6D" w:rsidRDefault="000F2988" w:rsidP="00BC1338">
            <w:pPr>
              <w:rPr>
                <w:rFonts w:ascii="Times New Roman" w:hAnsi="Times New Roman" w:cs="Times New Roman"/>
                <w:sz w:val="24"/>
                <w:szCs w:val="24"/>
              </w:rPr>
            </w:pPr>
            <w:r w:rsidRPr="00BC5C6D">
              <w:rPr>
                <w:rFonts w:ascii="Times New Roman" w:hAnsi="Times New Roman" w:cs="Times New Roman"/>
                <w:sz w:val="24"/>
                <w:szCs w:val="24"/>
              </w:rPr>
              <w:t xml:space="preserve">                               &lt;0.001</w:t>
            </w:r>
          </w:p>
        </w:tc>
      </w:tr>
      <w:tr w:rsidR="000F2988" w:rsidRPr="00BC5C6D" w14:paraId="4C89822E" w14:textId="77777777" w:rsidTr="00BC1338">
        <w:trPr>
          <w:tblCellSpacing w:w="15" w:type="dxa"/>
        </w:trPr>
        <w:tc>
          <w:tcPr>
            <w:tcW w:w="0" w:type="auto"/>
            <w:vAlign w:val="center"/>
            <w:hideMark/>
          </w:tcPr>
          <w:p w14:paraId="3F181C75" w14:textId="77777777" w:rsidR="000F2988" w:rsidRPr="00BC5C6D" w:rsidRDefault="000F2988" w:rsidP="00BC1338">
            <w:pPr>
              <w:rPr>
                <w:rFonts w:ascii="Times New Roman" w:hAnsi="Times New Roman" w:cs="Times New Roman"/>
                <w:sz w:val="24"/>
                <w:szCs w:val="24"/>
              </w:rPr>
            </w:pPr>
            <w:r w:rsidRPr="00BC5C6D">
              <w:rPr>
                <w:rFonts w:ascii="Times New Roman" w:hAnsi="Times New Roman" w:cs="Times New Roman"/>
                <w:sz w:val="24"/>
                <w:szCs w:val="24"/>
              </w:rPr>
              <w:t>Maternal age</w:t>
            </w:r>
          </w:p>
        </w:tc>
        <w:tc>
          <w:tcPr>
            <w:tcW w:w="0" w:type="auto"/>
            <w:vAlign w:val="center"/>
            <w:hideMark/>
          </w:tcPr>
          <w:p w14:paraId="1B08849B" w14:textId="77777777" w:rsidR="000F2988" w:rsidRPr="00BC5C6D" w:rsidRDefault="000F2988" w:rsidP="00BC1338">
            <w:pPr>
              <w:rPr>
                <w:rFonts w:ascii="Times New Roman" w:hAnsi="Times New Roman" w:cs="Times New Roman"/>
                <w:sz w:val="24"/>
                <w:szCs w:val="24"/>
              </w:rPr>
            </w:pPr>
            <w:r w:rsidRPr="00BC5C6D">
              <w:rPr>
                <w:rFonts w:ascii="Times New Roman" w:hAnsi="Times New Roman" w:cs="Times New Roman"/>
                <w:sz w:val="24"/>
                <w:szCs w:val="24"/>
              </w:rPr>
              <w:t xml:space="preserve">            15.24</w:t>
            </w:r>
          </w:p>
        </w:tc>
        <w:tc>
          <w:tcPr>
            <w:tcW w:w="0" w:type="auto"/>
            <w:vAlign w:val="center"/>
            <w:hideMark/>
          </w:tcPr>
          <w:p w14:paraId="30D3E874" w14:textId="77777777" w:rsidR="000F2988" w:rsidRPr="00BC5C6D" w:rsidRDefault="000F2988" w:rsidP="00BC1338">
            <w:pPr>
              <w:rPr>
                <w:rFonts w:ascii="Times New Roman" w:hAnsi="Times New Roman" w:cs="Times New Roman"/>
                <w:sz w:val="24"/>
                <w:szCs w:val="24"/>
              </w:rPr>
            </w:pPr>
            <w:r w:rsidRPr="00BC5C6D">
              <w:rPr>
                <w:rFonts w:ascii="Times New Roman" w:hAnsi="Times New Roman" w:cs="Times New Roman"/>
                <w:sz w:val="24"/>
                <w:szCs w:val="24"/>
              </w:rPr>
              <w:t xml:space="preserve">                                0.003</w:t>
            </w:r>
          </w:p>
        </w:tc>
      </w:tr>
      <w:tr w:rsidR="000F2988" w:rsidRPr="00BC5C6D" w14:paraId="567EDAC2" w14:textId="77777777" w:rsidTr="00BC1338">
        <w:trPr>
          <w:tblCellSpacing w:w="15" w:type="dxa"/>
        </w:trPr>
        <w:tc>
          <w:tcPr>
            <w:tcW w:w="0" w:type="auto"/>
            <w:vAlign w:val="center"/>
            <w:hideMark/>
          </w:tcPr>
          <w:p w14:paraId="525408F5" w14:textId="77777777" w:rsidR="000F2988" w:rsidRPr="00BC5C6D" w:rsidRDefault="000F2988" w:rsidP="00BC1338">
            <w:pPr>
              <w:rPr>
                <w:rFonts w:ascii="Times New Roman" w:hAnsi="Times New Roman" w:cs="Times New Roman"/>
                <w:sz w:val="24"/>
                <w:szCs w:val="24"/>
              </w:rPr>
            </w:pPr>
            <w:r w:rsidRPr="00BC5C6D">
              <w:rPr>
                <w:rFonts w:ascii="Times New Roman" w:hAnsi="Times New Roman" w:cs="Times New Roman"/>
                <w:sz w:val="24"/>
                <w:szCs w:val="24"/>
              </w:rPr>
              <w:t>Household wealth</w:t>
            </w:r>
          </w:p>
        </w:tc>
        <w:tc>
          <w:tcPr>
            <w:tcW w:w="0" w:type="auto"/>
            <w:vAlign w:val="center"/>
            <w:hideMark/>
          </w:tcPr>
          <w:p w14:paraId="7CE88E92" w14:textId="77777777" w:rsidR="000F2988" w:rsidRPr="00BC5C6D" w:rsidRDefault="000F2988" w:rsidP="00BC1338">
            <w:pPr>
              <w:rPr>
                <w:rFonts w:ascii="Times New Roman" w:hAnsi="Times New Roman" w:cs="Times New Roman"/>
                <w:sz w:val="24"/>
                <w:szCs w:val="24"/>
              </w:rPr>
            </w:pPr>
            <w:r w:rsidRPr="00BC5C6D">
              <w:rPr>
                <w:rFonts w:ascii="Times New Roman" w:hAnsi="Times New Roman" w:cs="Times New Roman"/>
                <w:sz w:val="24"/>
                <w:szCs w:val="24"/>
              </w:rPr>
              <w:t xml:space="preserve">             81.33</w:t>
            </w:r>
          </w:p>
        </w:tc>
        <w:tc>
          <w:tcPr>
            <w:tcW w:w="0" w:type="auto"/>
            <w:vAlign w:val="center"/>
            <w:hideMark/>
          </w:tcPr>
          <w:p w14:paraId="00B262A4" w14:textId="77777777" w:rsidR="000F2988" w:rsidRPr="00BC5C6D" w:rsidRDefault="000F2988" w:rsidP="00BC1338">
            <w:pPr>
              <w:rPr>
                <w:rFonts w:ascii="Times New Roman" w:hAnsi="Times New Roman" w:cs="Times New Roman"/>
                <w:sz w:val="24"/>
                <w:szCs w:val="24"/>
              </w:rPr>
            </w:pPr>
            <w:r w:rsidRPr="00BC5C6D">
              <w:rPr>
                <w:rFonts w:ascii="Times New Roman" w:hAnsi="Times New Roman" w:cs="Times New Roman"/>
                <w:sz w:val="24"/>
                <w:szCs w:val="24"/>
              </w:rPr>
              <w:t xml:space="preserve">                                &lt;0.001</w:t>
            </w:r>
          </w:p>
        </w:tc>
      </w:tr>
      <w:tr w:rsidR="000F2988" w:rsidRPr="00BC5C6D" w14:paraId="7E854B7A" w14:textId="77777777" w:rsidTr="00BC1338">
        <w:trPr>
          <w:tblCellSpacing w:w="15" w:type="dxa"/>
        </w:trPr>
        <w:tc>
          <w:tcPr>
            <w:tcW w:w="0" w:type="auto"/>
            <w:vAlign w:val="center"/>
            <w:hideMark/>
          </w:tcPr>
          <w:p w14:paraId="5B9B329F" w14:textId="77777777" w:rsidR="000F2988" w:rsidRPr="00BC5C6D" w:rsidRDefault="000F2988" w:rsidP="00BC1338">
            <w:pPr>
              <w:rPr>
                <w:rFonts w:ascii="Times New Roman" w:hAnsi="Times New Roman" w:cs="Times New Roman"/>
                <w:sz w:val="24"/>
                <w:szCs w:val="24"/>
              </w:rPr>
            </w:pPr>
            <w:r w:rsidRPr="00BC5C6D">
              <w:rPr>
                <w:rFonts w:ascii="Times New Roman" w:hAnsi="Times New Roman" w:cs="Times New Roman"/>
                <w:sz w:val="24"/>
                <w:szCs w:val="24"/>
              </w:rPr>
              <w:t>Residence</w:t>
            </w:r>
          </w:p>
        </w:tc>
        <w:tc>
          <w:tcPr>
            <w:tcW w:w="0" w:type="auto"/>
            <w:vAlign w:val="center"/>
            <w:hideMark/>
          </w:tcPr>
          <w:p w14:paraId="6BF1E383" w14:textId="77777777" w:rsidR="000F2988" w:rsidRPr="00BC5C6D" w:rsidRDefault="000F2988" w:rsidP="00BC1338">
            <w:pPr>
              <w:rPr>
                <w:rFonts w:ascii="Times New Roman" w:hAnsi="Times New Roman" w:cs="Times New Roman"/>
                <w:sz w:val="24"/>
                <w:szCs w:val="24"/>
              </w:rPr>
            </w:pPr>
            <w:r w:rsidRPr="00BC5C6D">
              <w:rPr>
                <w:rFonts w:ascii="Times New Roman" w:hAnsi="Times New Roman" w:cs="Times New Roman"/>
                <w:sz w:val="24"/>
                <w:szCs w:val="24"/>
              </w:rPr>
              <w:t xml:space="preserve">             44.62</w:t>
            </w:r>
          </w:p>
        </w:tc>
        <w:tc>
          <w:tcPr>
            <w:tcW w:w="0" w:type="auto"/>
            <w:vAlign w:val="center"/>
            <w:hideMark/>
          </w:tcPr>
          <w:p w14:paraId="39B20C0E" w14:textId="77777777" w:rsidR="000F2988" w:rsidRPr="00BC5C6D" w:rsidRDefault="000F2988" w:rsidP="00BC1338">
            <w:pPr>
              <w:rPr>
                <w:rFonts w:ascii="Times New Roman" w:hAnsi="Times New Roman" w:cs="Times New Roman"/>
                <w:sz w:val="24"/>
                <w:szCs w:val="24"/>
              </w:rPr>
            </w:pPr>
            <w:r w:rsidRPr="00BC5C6D">
              <w:rPr>
                <w:rFonts w:ascii="Times New Roman" w:hAnsi="Times New Roman" w:cs="Times New Roman"/>
                <w:sz w:val="24"/>
                <w:szCs w:val="24"/>
              </w:rPr>
              <w:t xml:space="preserve">                                &lt;0.001</w:t>
            </w:r>
          </w:p>
        </w:tc>
      </w:tr>
      <w:tr w:rsidR="000F2988" w:rsidRPr="00BC5C6D" w14:paraId="69246636" w14:textId="77777777" w:rsidTr="00BC1338">
        <w:trPr>
          <w:tblCellSpacing w:w="15" w:type="dxa"/>
        </w:trPr>
        <w:tc>
          <w:tcPr>
            <w:tcW w:w="0" w:type="auto"/>
            <w:vAlign w:val="center"/>
            <w:hideMark/>
          </w:tcPr>
          <w:p w14:paraId="5AAD71B8" w14:textId="77777777" w:rsidR="000F2988" w:rsidRPr="00BC5C6D" w:rsidRDefault="000F2988" w:rsidP="00BC1338">
            <w:pPr>
              <w:rPr>
                <w:rFonts w:ascii="Times New Roman" w:hAnsi="Times New Roman" w:cs="Times New Roman"/>
                <w:sz w:val="24"/>
                <w:szCs w:val="24"/>
              </w:rPr>
            </w:pPr>
            <w:r w:rsidRPr="00BC5C6D">
              <w:rPr>
                <w:rFonts w:ascii="Times New Roman" w:hAnsi="Times New Roman" w:cs="Times New Roman"/>
                <w:sz w:val="24"/>
                <w:szCs w:val="24"/>
              </w:rPr>
              <w:t>ANC attendance</w:t>
            </w:r>
          </w:p>
        </w:tc>
        <w:tc>
          <w:tcPr>
            <w:tcW w:w="0" w:type="auto"/>
            <w:vAlign w:val="center"/>
            <w:hideMark/>
          </w:tcPr>
          <w:p w14:paraId="4AF076FC" w14:textId="77777777" w:rsidR="000F2988" w:rsidRPr="00BC5C6D" w:rsidRDefault="000F2988" w:rsidP="00BC1338">
            <w:pPr>
              <w:rPr>
                <w:rFonts w:ascii="Times New Roman" w:hAnsi="Times New Roman" w:cs="Times New Roman"/>
                <w:sz w:val="24"/>
                <w:szCs w:val="24"/>
              </w:rPr>
            </w:pPr>
            <w:r w:rsidRPr="00BC5C6D">
              <w:rPr>
                <w:rFonts w:ascii="Times New Roman" w:hAnsi="Times New Roman" w:cs="Times New Roman"/>
                <w:sz w:val="24"/>
                <w:szCs w:val="24"/>
              </w:rPr>
              <w:t xml:space="preserve">             55.16</w:t>
            </w:r>
          </w:p>
        </w:tc>
        <w:tc>
          <w:tcPr>
            <w:tcW w:w="0" w:type="auto"/>
            <w:vAlign w:val="center"/>
            <w:hideMark/>
          </w:tcPr>
          <w:p w14:paraId="061184E8" w14:textId="77777777" w:rsidR="000F2988" w:rsidRPr="00BC5C6D" w:rsidRDefault="000F2988" w:rsidP="00BC1338">
            <w:pPr>
              <w:rPr>
                <w:rFonts w:ascii="Times New Roman" w:hAnsi="Times New Roman" w:cs="Times New Roman"/>
                <w:sz w:val="24"/>
                <w:szCs w:val="24"/>
              </w:rPr>
            </w:pPr>
            <w:r w:rsidRPr="00BC5C6D">
              <w:rPr>
                <w:rFonts w:ascii="Times New Roman" w:hAnsi="Times New Roman" w:cs="Times New Roman"/>
                <w:sz w:val="24"/>
                <w:szCs w:val="24"/>
              </w:rPr>
              <w:t xml:space="preserve">                                &lt;0.001</w:t>
            </w:r>
          </w:p>
        </w:tc>
      </w:tr>
      <w:tr w:rsidR="000F2988" w:rsidRPr="00BC5C6D" w14:paraId="3D2D14C7" w14:textId="77777777" w:rsidTr="00BC1338">
        <w:trPr>
          <w:tblCellSpacing w:w="15" w:type="dxa"/>
        </w:trPr>
        <w:tc>
          <w:tcPr>
            <w:tcW w:w="0" w:type="auto"/>
            <w:vAlign w:val="center"/>
            <w:hideMark/>
          </w:tcPr>
          <w:p w14:paraId="34720CB8" w14:textId="77777777" w:rsidR="000F2988" w:rsidRPr="00BC5C6D" w:rsidRDefault="000F2988" w:rsidP="00BC1338">
            <w:pPr>
              <w:rPr>
                <w:rFonts w:ascii="Times New Roman" w:hAnsi="Times New Roman" w:cs="Times New Roman"/>
                <w:sz w:val="24"/>
                <w:szCs w:val="24"/>
              </w:rPr>
            </w:pPr>
            <w:r w:rsidRPr="00BC5C6D">
              <w:rPr>
                <w:rFonts w:ascii="Times New Roman" w:hAnsi="Times New Roman" w:cs="Times New Roman"/>
                <w:sz w:val="24"/>
                <w:szCs w:val="24"/>
              </w:rPr>
              <w:t xml:space="preserve">Place of delivery </w:t>
            </w:r>
          </w:p>
        </w:tc>
        <w:tc>
          <w:tcPr>
            <w:tcW w:w="0" w:type="auto"/>
            <w:vAlign w:val="center"/>
            <w:hideMark/>
          </w:tcPr>
          <w:p w14:paraId="165EC64A" w14:textId="77777777" w:rsidR="000F2988" w:rsidRPr="00BC5C6D" w:rsidRDefault="000F2988" w:rsidP="00BC1338">
            <w:pPr>
              <w:rPr>
                <w:rFonts w:ascii="Times New Roman" w:hAnsi="Times New Roman" w:cs="Times New Roman"/>
                <w:sz w:val="24"/>
                <w:szCs w:val="24"/>
              </w:rPr>
            </w:pPr>
            <w:r w:rsidRPr="00BC5C6D">
              <w:rPr>
                <w:rFonts w:ascii="Times New Roman" w:hAnsi="Times New Roman" w:cs="Times New Roman"/>
                <w:sz w:val="24"/>
                <w:szCs w:val="24"/>
              </w:rPr>
              <w:t xml:space="preserve">            67.48</w:t>
            </w:r>
          </w:p>
        </w:tc>
        <w:tc>
          <w:tcPr>
            <w:tcW w:w="0" w:type="auto"/>
            <w:vAlign w:val="center"/>
            <w:hideMark/>
          </w:tcPr>
          <w:p w14:paraId="4CE9B762" w14:textId="77777777" w:rsidR="000F2988" w:rsidRPr="00BC5C6D" w:rsidRDefault="000F2988" w:rsidP="00BC1338">
            <w:pPr>
              <w:rPr>
                <w:rFonts w:ascii="Times New Roman" w:hAnsi="Times New Roman" w:cs="Times New Roman"/>
                <w:sz w:val="24"/>
                <w:szCs w:val="24"/>
              </w:rPr>
            </w:pPr>
            <w:r w:rsidRPr="00BC5C6D">
              <w:rPr>
                <w:rFonts w:ascii="Times New Roman" w:hAnsi="Times New Roman" w:cs="Times New Roman"/>
                <w:sz w:val="24"/>
                <w:szCs w:val="24"/>
              </w:rPr>
              <w:t xml:space="preserve">                                &lt;0.001</w:t>
            </w:r>
          </w:p>
        </w:tc>
      </w:tr>
      <w:tr w:rsidR="000F2988" w:rsidRPr="00BC5C6D" w14:paraId="3275CC65" w14:textId="77777777" w:rsidTr="00BC1338">
        <w:trPr>
          <w:tblCellSpacing w:w="15" w:type="dxa"/>
        </w:trPr>
        <w:tc>
          <w:tcPr>
            <w:tcW w:w="0" w:type="auto"/>
            <w:vAlign w:val="center"/>
            <w:hideMark/>
          </w:tcPr>
          <w:p w14:paraId="0582D889" w14:textId="77777777" w:rsidR="000F2988" w:rsidRPr="00BC5C6D" w:rsidRDefault="000F2988" w:rsidP="00BC1338">
            <w:pPr>
              <w:rPr>
                <w:rFonts w:ascii="Times New Roman" w:hAnsi="Times New Roman" w:cs="Times New Roman"/>
                <w:sz w:val="24"/>
                <w:szCs w:val="24"/>
              </w:rPr>
            </w:pPr>
            <w:r w:rsidRPr="00BC5C6D">
              <w:rPr>
                <w:rFonts w:ascii="Times New Roman" w:hAnsi="Times New Roman" w:cs="Times New Roman"/>
                <w:sz w:val="24"/>
                <w:szCs w:val="24"/>
              </w:rPr>
              <w:t>Media exposure</w:t>
            </w:r>
          </w:p>
        </w:tc>
        <w:tc>
          <w:tcPr>
            <w:tcW w:w="0" w:type="auto"/>
            <w:vAlign w:val="center"/>
            <w:hideMark/>
          </w:tcPr>
          <w:p w14:paraId="07B9A2C4" w14:textId="77777777" w:rsidR="000F2988" w:rsidRPr="00BC5C6D" w:rsidRDefault="000F2988" w:rsidP="00BC1338">
            <w:pPr>
              <w:rPr>
                <w:rFonts w:ascii="Times New Roman" w:hAnsi="Times New Roman" w:cs="Times New Roman"/>
                <w:sz w:val="24"/>
                <w:szCs w:val="24"/>
              </w:rPr>
            </w:pPr>
            <w:r w:rsidRPr="00BC5C6D">
              <w:rPr>
                <w:rFonts w:ascii="Times New Roman" w:hAnsi="Times New Roman" w:cs="Times New Roman"/>
                <w:sz w:val="24"/>
                <w:szCs w:val="24"/>
              </w:rPr>
              <w:t xml:space="preserve">           31.95</w:t>
            </w:r>
          </w:p>
        </w:tc>
        <w:tc>
          <w:tcPr>
            <w:tcW w:w="0" w:type="auto"/>
            <w:vAlign w:val="center"/>
            <w:hideMark/>
          </w:tcPr>
          <w:p w14:paraId="77A5E602" w14:textId="77777777" w:rsidR="000F2988" w:rsidRPr="00BC5C6D" w:rsidRDefault="000F2988" w:rsidP="00BC1338">
            <w:pPr>
              <w:rPr>
                <w:rFonts w:ascii="Times New Roman" w:hAnsi="Times New Roman" w:cs="Times New Roman"/>
                <w:sz w:val="24"/>
                <w:szCs w:val="24"/>
              </w:rPr>
            </w:pPr>
            <w:r w:rsidRPr="00BC5C6D">
              <w:rPr>
                <w:rFonts w:ascii="Times New Roman" w:hAnsi="Times New Roman" w:cs="Times New Roman"/>
                <w:sz w:val="24"/>
                <w:szCs w:val="24"/>
              </w:rPr>
              <w:t xml:space="preserve">                                 &lt;0.001</w:t>
            </w:r>
          </w:p>
        </w:tc>
      </w:tr>
      <w:tr w:rsidR="000F2988" w:rsidRPr="00BC5C6D" w14:paraId="5FCAE79E" w14:textId="77777777" w:rsidTr="00BC1338">
        <w:trPr>
          <w:tblCellSpacing w:w="15" w:type="dxa"/>
        </w:trPr>
        <w:tc>
          <w:tcPr>
            <w:tcW w:w="0" w:type="auto"/>
            <w:vAlign w:val="center"/>
            <w:hideMark/>
          </w:tcPr>
          <w:p w14:paraId="6C2F074B" w14:textId="77777777" w:rsidR="000F2988" w:rsidRPr="00BC5C6D" w:rsidRDefault="000F2988" w:rsidP="00BC1338">
            <w:pPr>
              <w:rPr>
                <w:rFonts w:ascii="Times New Roman" w:hAnsi="Times New Roman" w:cs="Times New Roman"/>
                <w:sz w:val="24"/>
                <w:szCs w:val="24"/>
              </w:rPr>
            </w:pPr>
            <w:r w:rsidRPr="00BC5C6D">
              <w:rPr>
                <w:rFonts w:ascii="Times New Roman" w:hAnsi="Times New Roman" w:cs="Times New Roman"/>
                <w:sz w:val="24"/>
                <w:szCs w:val="24"/>
              </w:rPr>
              <w:t>Parity</w:t>
            </w:r>
          </w:p>
        </w:tc>
        <w:tc>
          <w:tcPr>
            <w:tcW w:w="0" w:type="auto"/>
            <w:vAlign w:val="center"/>
            <w:hideMark/>
          </w:tcPr>
          <w:p w14:paraId="6337C8D2" w14:textId="77777777" w:rsidR="000F2988" w:rsidRPr="00BC5C6D" w:rsidRDefault="000F2988" w:rsidP="00BC1338">
            <w:pPr>
              <w:rPr>
                <w:rFonts w:ascii="Times New Roman" w:hAnsi="Times New Roman" w:cs="Times New Roman"/>
                <w:sz w:val="24"/>
                <w:szCs w:val="24"/>
              </w:rPr>
            </w:pPr>
            <w:r w:rsidRPr="00BC5C6D">
              <w:rPr>
                <w:rFonts w:ascii="Times New Roman" w:hAnsi="Times New Roman" w:cs="Times New Roman"/>
                <w:sz w:val="24"/>
                <w:szCs w:val="24"/>
              </w:rPr>
              <w:t xml:space="preserve">           10.52</w:t>
            </w:r>
          </w:p>
        </w:tc>
        <w:tc>
          <w:tcPr>
            <w:tcW w:w="0" w:type="auto"/>
            <w:vAlign w:val="center"/>
            <w:hideMark/>
          </w:tcPr>
          <w:p w14:paraId="6E2014CD" w14:textId="77777777" w:rsidR="000F2988" w:rsidRPr="00BC5C6D" w:rsidRDefault="000F2988" w:rsidP="00BC1338">
            <w:pPr>
              <w:rPr>
                <w:rFonts w:ascii="Times New Roman" w:hAnsi="Times New Roman" w:cs="Times New Roman"/>
                <w:sz w:val="24"/>
                <w:szCs w:val="24"/>
              </w:rPr>
            </w:pPr>
            <w:r w:rsidRPr="00BC5C6D">
              <w:rPr>
                <w:rFonts w:ascii="Times New Roman" w:hAnsi="Times New Roman" w:cs="Times New Roman"/>
                <w:sz w:val="24"/>
                <w:szCs w:val="24"/>
              </w:rPr>
              <w:t xml:space="preserve">                                   0.032</w:t>
            </w:r>
          </w:p>
        </w:tc>
      </w:tr>
    </w:tbl>
    <w:p w14:paraId="06248F04" w14:textId="77777777" w:rsidR="00A26821" w:rsidRPr="00BC5C6D" w:rsidRDefault="00A26821" w:rsidP="00A26821">
      <w:pPr>
        <w:pStyle w:val="NormalWeb"/>
        <w:spacing w:before="0" w:beforeAutospacing="0"/>
        <w:jc w:val="both"/>
      </w:pPr>
      <w:r w:rsidRPr="00BC5C6D">
        <w:t xml:space="preserve">The survey-adjusted chi-square analysis showed that all selected maternal and household variables were significantly associated with childhood vaccination status. Highly significant associations </w:t>
      </w:r>
      <w:r w:rsidRPr="00BC5C6D">
        <w:lastRenderedPageBreak/>
        <w:t>were observed for maternal education (</w:t>
      </w:r>
      <w:r w:rsidRPr="00BC5C6D">
        <w:rPr>
          <w:position w:val="-10"/>
        </w:rPr>
        <w:object w:dxaOrig="320" w:dyaOrig="360" w14:anchorId="4BD8CF40">
          <v:shape id="_x0000_i1045" type="#_x0000_t75" style="width:16.7pt;height:17.85pt" o:ole="">
            <v:imagedata r:id="rId47" o:title=""/>
          </v:shape>
          <o:OLEObject Type="Embed" ProgID="Equation.DSMT4" ShapeID="_x0000_i1045" DrawAspect="Content" ObjectID="_1846930512" r:id="rId48"/>
        </w:object>
      </w:r>
      <w:r w:rsidRPr="00BC5C6D">
        <w:t xml:space="preserve"> = 72.81, </w:t>
      </w:r>
      <w:r w:rsidRPr="00BC5C6D">
        <w:rPr>
          <w:position w:val="-10"/>
        </w:rPr>
        <w:object w:dxaOrig="420" w:dyaOrig="260" w14:anchorId="5793A3F0">
          <v:shape id="_x0000_i1046" type="#_x0000_t75" style="width:21.3pt;height:12.65pt" o:ole="">
            <v:imagedata r:id="rId49" o:title=""/>
          </v:shape>
          <o:OLEObject Type="Embed" ProgID="Equation.DSMT4" ShapeID="_x0000_i1046" DrawAspect="Content" ObjectID="_1846930513" r:id="rId50"/>
        </w:object>
      </w:r>
      <w:r w:rsidRPr="00BC5C6D">
        <w:t>0.001), household wealth (</w:t>
      </w:r>
      <w:r w:rsidRPr="00BC5C6D">
        <w:rPr>
          <w:position w:val="-10"/>
        </w:rPr>
        <w:object w:dxaOrig="320" w:dyaOrig="360" w14:anchorId="56051849">
          <v:shape id="_x0000_i1047" type="#_x0000_t75" style="width:16.7pt;height:17.85pt" o:ole="">
            <v:imagedata r:id="rId51" o:title=""/>
          </v:shape>
          <o:OLEObject Type="Embed" ProgID="Equation.DSMT4" ShapeID="_x0000_i1047" DrawAspect="Content" ObjectID="_1846930514" r:id="rId52"/>
        </w:object>
      </w:r>
      <w:r w:rsidRPr="00BC5C6D">
        <w:t xml:space="preserve"> = 81.33, </w:t>
      </w:r>
      <w:r w:rsidRPr="00BC5C6D">
        <w:rPr>
          <w:position w:val="-10"/>
        </w:rPr>
        <w:object w:dxaOrig="420" w:dyaOrig="260" w14:anchorId="1C818A27">
          <v:shape id="_x0000_i1048" type="#_x0000_t75" style="width:21.3pt;height:12.65pt" o:ole="">
            <v:imagedata r:id="rId53" o:title=""/>
          </v:shape>
          <o:OLEObject Type="Embed" ProgID="Equation.DSMT4" ShapeID="_x0000_i1048" DrawAspect="Content" ObjectID="_1846930515" r:id="rId54"/>
        </w:object>
      </w:r>
      <w:r w:rsidRPr="00BC5C6D">
        <w:t>0.001), place of residence (</w:t>
      </w:r>
      <w:r w:rsidRPr="00BC5C6D">
        <w:rPr>
          <w:position w:val="-10"/>
        </w:rPr>
        <w:object w:dxaOrig="320" w:dyaOrig="360" w14:anchorId="309DC7A5">
          <v:shape id="_x0000_i1049" type="#_x0000_t75" style="width:16.7pt;height:17.85pt" o:ole="">
            <v:imagedata r:id="rId55" o:title=""/>
          </v:shape>
          <o:OLEObject Type="Embed" ProgID="Equation.DSMT4" ShapeID="_x0000_i1049" DrawAspect="Content" ObjectID="_1846930516" r:id="rId56"/>
        </w:object>
      </w:r>
      <w:r w:rsidRPr="00BC5C6D">
        <w:t xml:space="preserve"> = 44.62, p &lt; 0.001), antenatal care (ANC) attendance (</w:t>
      </w:r>
      <w:r w:rsidRPr="00BC5C6D">
        <w:rPr>
          <w:position w:val="-10"/>
        </w:rPr>
        <w:object w:dxaOrig="320" w:dyaOrig="360" w14:anchorId="3000D7BD">
          <v:shape id="_x0000_i1050" type="#_x0000_t75" style="width:16.7pt;height:17.85pt" o:ole="">
            <v:imagedata r:id="rId57" o:title=""/>
          </v:shape>
          <o:OLEObject Type="Embed" ProgID="Equation.DSMT4" ShapeID="_x0000_i1050" DrawAspect="Content" ObjectID="_1846930517" r:id="rId58"/>
        </w:object>
      </w:r>
      <w:r w:rsidRPr="00BC5C6D">
        <w:t xml:space="preserve"> = 55.16, </w:t>
      </w:r>
      <w:r w:rsidRPr="00BC5C6D">
        <w:rPr>
          <w:position w:val="-10"/>
        </w:rPr>
        <w:object w:dxaOrig="420" w:dyaOrig="260" w14:anchorId="2B613C7C">
          <v:shape id="_x0000_i1051" type="#_x0000_t75" style="width:21.3pt;height:12.65pt" o:ole="">
            <v:imagedata r:id="rId59" o:title=""/>
          </v:shape>
          <o:OLEObject Type="Embed" ProgID="Equation.DSMT4" ShapeID="_x0000_i1051" DrawAspect="Content" ObjectID="_1846930518" r:id="rId60"/>
        </w:object>
      </w:r>
      <w:r w:rsidRPr="00BC5C6D">
        <w:t>0.001), place of delivery (</w:t>
      </w:r>
      <w:r w:rsidRPr="00BC5C6D">
        <w:rPr>
          <w:position w:val="-10"/>
        </w:rPr>
        <w:object w:dxaOrig="320" w:dyaOrig="360" w14:anchorId="4C5A3E2F">
          <v:shape id="_x0000_i1052" type="#_x0000_t75" style="width:16.7pt;height:17.85pt" o:ole="">
            <v:imagedata r:id="rId61" o:title=""/>
          </v:shape>
          <o:OLEObject Type="Embed" ProgID="Equation.DSMT4" ShapeID="_x0000_i1052" DrawAspect="Content" ObjectID="_1846930519" r:id="rId62"/>
        </w:object>
      </w:r>
      <w:r w:rsidRPr="00BC5C6D">
        <w:t xml:space="preserve"> = 67.48, </w:t>
      </w:r>
      <w:r w:rsidRPr="00BC5C6D">
        <w:rPr>
          <w:position w:val="-10"/>
        </w:rPr>
        <w:object w:dxaOrig="420" w:dyaOrig="260" w14:anchorId="3D106272">
          <v:shape id="_x0000_i1053" type="#_x0000_t75" style="width:21.3pt;height:12.65pt" o:ole="">
            <v:imagedata r:id="rId63" o:title=""/>
          </v:shape>
          <o:OLEObject Type="Embed" ProgID="Equation.DSMT4" ShapeID="_x0000_i1053" DrawAspect="Content" ObjectID="_1846930520" r:id="rId64"/>
        </w:object>
      </w:r>
      <w:r w:rsidRPr="00BC5C6D">
        <w:t>0.001), and media exposure (</w:t>
      </w:r>
      <w:r w:rsidRPr="00BC5C6D">
        <w:rPr>
          <w:position w:val="-10"/>
        </w:rPr>
        <w:object w:dxaOrig="320" w:dyaOrig="360" w14:anchorId="389D934B">
          <v:shape id="_x0000_i1054" type="#_x0000_t75" style="width:16.7pt;height:17.85pt" o:ole="">
            <v:imagedata r:id="rId65" o:title=""/>
          </v:shape>
          <o:OLEObject Type="Embed" ProgID="Equation.DSMT4" ShapeID="_x0000_i1054" DrawAspect="Content" ObjectID="_1846930521" r:id="rId66"/>
        </w:object>
      </w:r>
      <w:r w:rsidRPr="00BC5C6D">
        <w:t xml:space="preserve"> = 31.95, </w:t>
      </w:r>
      <w:r w:rsidRPr="00BC5C6D">
        <w:rPr>
          <w:position w:val="-10"/>
        </w:rPr>
        <w:object w:dxaOrig="420" w:dyaOrig="260" w14:anchorId="102882F5">
          <v:shape id="_x0000_i1055" type="#_x0000_t75" style="width:21.3pt;height:12.65pt" o:ole="">
            <v:imagedata r:id="rId67" o:title=""/>
          </v:shape>
          <o:OLEObject Type="Embed" ProgID="Equation.DSMT4" ShapeID="_x0000_i1055" DrawAspect="Content" ObjectID="_1846930522" r:id="rId68"/>
        </w:object>
      </w:r>
      <w:r w:rsidRPr="00BC5C6D">
        <w:t>0.001). Maternal age (</w:t>
      </w:r>
      <w:r w:rsidRPr="00BC5C6D">
        <w:rPr>
          <w:position w:val="-10"/>
        </w:rPr>
        <w:object w:dxaOrig="320" w:dyaOrig="360" w14:anchorId="7D34BB41">
          <v:shape id="_x0000_i1056" type="#_x0000_t75" style="width:16.7pt;height:17.85pt" o:ole="">
            <v:imagedata r:id="rId69" o:title=""/>
          </v:shape>
          <o:OLEObject Type="Embed" ProgID="Equation.DSMT4" ShapeID="_x0000_i1056" DrawAspect="Content" ObjectID="_1846930523" r:id="rId70"/>
        </w:object>
      </w:r>
      <w:r w:rsidRPr="00BC5C6D">
        <w:t xml:space="preserve"> = 15.24, </w:t>
      </w:r>
      <w:r w:rsidRPr="00BC5C6D">
        <w:rPr>
          <w:position w:val="-10"/>
        </w:rPr>
        <w:object w:dxaOrig="420" w:dyaOrig="260" w14:anchorId="6B00AD0A">
          <v:shape id="_x0000_i1057" type="#_x0000_t75" style="width:21.3pt;height:12.65pt" o:ole="">
            <v:imagedata r:id="rId71" o:title=""/>
          </v:shape>
          <o:OLEObject Type="Embed" ProgID="Equation.DSMT4" ShapeID="_x0000_i1057" DrawAspect="Content" ObjectID="_1846930524" r:id="rId72"/>
        </w:object>
      </w:r>
      <w:r w:rsidRPr="00BC5C6D">
        <w:t>0.003) and parity (</w:t>
      </w:r>
      <w:r w:rsidRPr="00BC5C6D">
        <w:rPr>
          <w:position w:val="-10"/>
        </w:rPr>
        <w:object w:dxaOrig="320" w:dyaOrig="360" w14:anchorId="13FB3F5D">
          <v:shape id="_x0000_i1058" type="#_x0000_t75" style="width:16.7pt;height:17.85pt" o:ole="">
            <v:imagedata r:id="rId73" o:title=""/>
          </v:shape>
          <o:OLEObject Type="Embed" ProgID="Equation.DSMT4" ShapeID="_x0000_i1058" DrawAspect="Content" ObjectID="_1846930525" r:id="rId74"/>
        </w:object>
      </w:r>
      <w:r w:rsidRPr="00BC5C6D">
        <w:t xml:space="preserve"> = 10.52, p = 0.032) were also significantly associated with childhood vaccination status, although the associations were weaker. Overall, maternal socioeconomic characteristics and healthcare utilisation factors were associated with childhood vaccination status in Nigeria.</w:t>
      </w:r>
    </w:p>
    <w:p w14:paraId="438F2E2C" w14:textId="77777777" w:rsidR="00056C2A" w:rsidRPr="00BC5C6D" w:rsidRDefault="000F2988" w:rsidP="000F2988">
      <w:pPr>
        <w:pStyle w:val="Heading3"/>
        <w:jc w:val="both"/>
        <w:rPr>
          <w:b w:val="0"/>
        </w:rPr>
      </w:pPr>
      <w:r w:rsidRPr="00BC5C6D">
        <w:rPr>
          <w:b w:val="0"/>
        </w:rPr>
        <w:t>4.4</w:t>
      </w:r>
      <w:r w:rsidR="00056C2A" w:rsidRPr="00BC5C6D">
        <w:rPr>
          <w:b w:val="0"/>
        </w:rPr>
        <w:t xml:space="preserve"> Multicollinearity Diagnostics</w:t>
      </w:r>
    </w:p>
    <w:p w14:paraId="66EB1DC8" w14:textId="77777777" w:rsidR="00056C2A" w:rsidRPr="00BC5C6D" w:rsidRDefault="00056C2A" w:rsidP="00056C2A">
      <w:pPr>
        <w:pStyle w:val="Heading3"/>
        <w:rPr>
          <w:b w:val="0"/>
        </w:rPr>
      </w:pPr>
      <w:r w:rsidRPr="00BC5C6D">
        <w:rPr>
          <w:b w:val="0"/>
        </w:rPr>
        <w:t>T</w:t>
      </w:r>
      <w:r w:rsidR="000F2988" w:rsidRPr="00BC5C6D">
        <w:rPr>
          <w:b w:val="0"/>
        </w:rPr>
        <w:t xml:space="preserve">able </w:t>
      </w:r>
      <w:r w:rsidRPr="00BC5C6D">
        <w:rPr>
          <w:b w:val="0"/>
        </w:rPr>
        <w:t xml:space="preserve">4 Variance Inflation Factor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7"/>
        <w:gridCol w:w="1167"/>
        <w:gridCol w:w="1256"/>
        <w:gridCol w:w="1203"/>
        <w:gridCol w:w="1136"/>
        <w:gridCol w:w="1163"/>
        <w:gridCol w:w="1157"/>
        <w:gridCol w:w="1141"/>
      </w:tblGrid>
      <w:tr w:rsidR="000F2988" w:rsidRPr="00BC5C6D" w14:paraId="58DA06FF" w14:textId="77777777" w:rsidTr="001A63AA">
        <w:tc>
          <w:tcPr>
            <w:tcW w:w="1127" w:type="dxa"/>
          </w:tcPr>
          <w:p w14:paraId="64E26CA7" w14:textId="77777777" w:rsidR="000F2988" w:rsidRPr="00BC5C6D" w:rsidRDefault="000F2988" w:rsidP="00056C2A">
            <w:pPr>
              <w:pStyle w:val="Heading3"/>
              <w:rPr>
                <w:b w:val="0"/>
                <w:sz w:val="24"/>
                <w:szCs w:val="24"/>
              </w:rPr>
            </w:pPr>
            <w:r w:rsidRPr="00BC5C6D">
              <w:rPr>
                <w:b w:val="0"/>
                <w:sz w:val="24"/>
                <w:szCs w:val="24"/>
              </w:rPr>
              <w:t>Variable</w:t>
            </w:r>
          </w:p>
        </w:tc>
        <w:tc>
          <w:tcPr>
            <w:tcW w:w="1167" w:type="dxa"/>
          </w:tcPr>
          <w:p w14:paraId="5D6F2B31" w14:textId="77777777" w:rsidR="000F2988" w:rsidRPr="00BC5C6D" w:rsidRDefault="000F2988" w:rsidP="00056C2A">
            <w:pPr>
              <w:pStyle w:val="Heading3"/>
              <w:rPr>
                <w:b w:val="0"/>
                <w:sz w:val="24"/>
                <w:szCs w:val="24"/>
              </w:rPr>
            </w:pPr>
            <w:r w:rsidRPr="00BC5C6D">
              <w:rPr>
                <w:b w:val="0"/>
                <w:sz w:val="24"/>
                <w:szCs w:val="24"/>
              </w:rPr>
              <w:t>Maternal education</w:t>
            </w:r>
          </w:p>
        </w:tc>
        <w:tc>
          <w:tcPr>
            <w:tcW w:w="1256" w:type="dxa"/>
          </w:tcPr>
          <w:p w14:paraId="0CD8DF8E" w14:textId="77777777" w:rsidR="000F2988" w:rsidRPr="00BC5C6D" w:rsidRDefault="000F2988" w:rsidP="00056C2A">
            <w:pPr>
              <w:pStyle w:val="Heading3"/>
              <w:rPr>
                <w:b w:val="0"/>
                <w:sz w:val="24"/>
                <w:szCs w:val="24"/>
              </w:rPr>
            </w:pPr>
            <w:r w:rsidRPr="00BC5C6D">
              <w:rPr>
                <w:b w:val="0"/>
                <w:sz w:val="24"/>
                <w:szCs w:val="24"/>
              </w:rPr>
              <w:t>Household wealth</w:t>
            </w:r>
          </w:p>
        </w:tc>
        <w:tc>
          <w:tcPr>
            <w:tcW w:w="1203" w:type="dxa"/>
          </w:tcPr>
          <w:p w14:paraId="7704FB83" w14:textId="77777777" w:rsidR="000F2988" w:rsidRPr="00BC5C6D" w:rsidRDefault="000F2988" w:rsidP="00056C2A">
            <w:pPr>
              <w:pStyle w:val="Heading3"/>
              <w:rPr>
                <w:b w:val="0"/>
                <w:sz w:val="24"/>
                <w:szCs w:val="24"/>
              </w:rPr>
            </w:pPr>
            <w:r w:rsidRPr="00BC5C6D">
              <w:rPr>
                <w:b w:val="0"/>
                <w:sz w:val="24"/>
                <w:szCs w:val="24"/>
              </w:rPr>
              <w:t>Residence</w:t>
            </w:r>
          </w:p>
        </w:tc>
        <w:tc>
          <w:tcPr>
            <w:tcW w:w="1136" w:type="dxa"/>
          </w:tcPr>
          <w:p w14:paraId="1531C1E2" w14:textId="77777777" w:rsidR="000F2988" w:rsidRPr="00BC5C6D" w:rsidRDefault="000F2988" w:rsidP="00056C2A">
            <w:pPr>
              <w:pStyle w:val="Heading3"/>
              <w:rPr>
                <w:b w:val="0"/>
                <w:sz w:val="24"/>
                <w:szCs w:val="24"/>
              </w:rPr>
            </w:pPr>
            <w:r w:rsidRPr="00BC5C6D">
              <w:rPr>
                <w:b w:val="0"/>
                <w:sz w:val="24"/>
                <w:szCs w:val="24"/>
              </w:rPr>
              <w:t>ANC visits</w:t>
            </w:r>
          </w:p>
        </w:tc>
        <w:tc>
          <w:tcPr>
            <w:tcW w:w="1163" w:type="dxa"/>
          </w:tcPr>
          <w:p w14:paraId="30E7C728" w14:textId="77777777" w:rsidR="000F2988" w:rsidRPr="00BC5C6D" w:rsidRDefault="000F2988" w:rsidP="00056C2A">
            <w:pPr>
              <w:pStyle w:val="Heading3"/>
              <w:rPr>
                <w:b w:val="0"/>
                <w:sz w:val="24"/>
                <w:szCs w:val="24"/>
              </w:rPr>
            </w:pPr>
            <w:r w:rsidRPr="00BC5C6D">
              <w:rPr>
                <w:b w:val="0"/>
                <w:sz w:val="24"/>
                <w:szCs w:val="24"/>
              </w:rPr>
              <w:t>Media exposure</w:t>
            </w:r>
          </w:p>
        </w:tc>
        <w:tc>
          <w:tcPr>
            <w:tcW w:w="1157" w:type="dxa"/>
          </w:tcPr>
          <w:p w14:paraId="46D00B05" w14:textId="77777777" w:rsidR="000F2988" w:rsidRPr="00BC5C6D" w:rsidRDefault="000F2988" w:rsidP="00056C2A">
            <w:pPr>
              <w:pStyle w:val="Heading3"/>
              <w:rPr>
                <w:b w:val="0"/>
                <w:sz w:val="24"/>
                <w:szCs w:val="24"/>
              </w:rPr>
            </w:pPr>
            <w:r w:rsidRPr="00BC5C6D">
              <w:rPr>
                <w:b w:val="0"/>
                <w:sz w:val="24"/>
                <w:szCs w:val="24"/>
              </w:rPr>
              <w:t>Place of delivery</w:t>
            </w:r>
          </w:p>
        </w:tc>
        <w:tc>
          <w:tcPr>
            <w:tcW w:w="1141" w:type="dxa"/>
          </w:tcPr>
          <w:p w14:paraId="36438F37" w14:textId="77777777" w:rsidR="000F2988" w:rsidRPr="00BC5C6D" w:rsidRDefault="000F2988" w:rsidP="00056C2A">
            <w:pPr>
              <w:pStyle w:val="Heading3"/>
              <w:rPr>
                <w:b w:val="0"/>
                <w:sz w:val="24"/>
                <w:szCs w:val="24"/>
              </w:rPr>
            </w:pPr>
            <w:r w:rsidRPr="00BC5C6D">
              <w:rPr>
                <w:b w:val="0"/>
                <w:sz w:val="24"/>
                <w:szCs w:val="24"/>
              </w:rPr>
              <w:t>Parity</w:t>
            </w:r>
          </w:p>
        </w:tc>
      </w:tr>
      <w:tr w:rsidR="000F2988" w:rsidRPr="00BC5C6D" w14:paraId="154E44A0" w14:textId="77777777" w:rsidTr="001A63AA">
        <w:tc>
          <w:tcPr>
            <w:tcW w:w="1127" w:type="dxa"/>
          </w:tcPr>
          <w:p w14:paraId="3F4B528F" w14:textId="77777777" w:rsidR="000F2988" w:rsidRPr="00BC5C6D" w:rsidRDefault="000F2988" w:rsidP="00056C2A">
            <w:pPr>
              <w:pStyle w:val="Heading3"/>
              <w:rPr>
                <w:b w:val="0"/>
                <w:sz w:val="24"/>
                <w:szCs w:val="24"/>
              </w:rPr>
            </w:pPr>
            <w:r w:rsidRPr="00BC5C6D">
              <w:rPr>
                <w:b w:val="0"/>
                <w:sz w:val="24"/>
                <w:szCs w:val="24"/>
              </w:rPr>
              <w:t>VIF</w:t>
            </w:r>
          </w:p>
        </w:tc>
        <w:tc>
          <w:tcPr>
            <w:tcW w:w="1167" w:type="dxa"/>
          </w:tcPr>
          <w:p w14:paraId="47AAFD55" w14:textId="77777777" w:rsidR="000F2988" w:rsidRPr="00BC5C6D" w:rsidRDefault="000F2988" w:rsidP="00056C2A">
            <w:pPr>
              <w:pStyle w:val="Heading3"/>
              <w:rPr>
                <w:b w:val="0"/>
                <w:sz w:val="24"/>
                <w:szCs w:val="24"/>
              </w:rPr>
            </w:pPr>
            <w:r w:rsidRPr="00BC5C6D">
              <w:rPr>
                <w:b w:val="0"/>
                <w:sz w:val="24"/>
                <w:szCs w:val="24"/>
              </w:rPr>
              <w:t>2.34</w:t>
            </w:r>
          </w:p>
        </w:tc>
        <w:tc>
          <w:tcPr>
            <w:tcW w:w="1256" w:type="dxa"/>
          </w:tcPr>
          <w:p w14:paraId="05C5875D" w14:textId="77777777" w:rsidR="000F2988" w:rsidRPr="00BC5C6D" w:rsidRDefault="000F2988" w:rsidP="00056C2A">
            <w:pPr>
              <w:pStyle w:val="Heading3"/>
              <w:rPr>
                <w:b w:val="0"/>
                <w:sz w:val="24"/>
                <w:szCs w:val="24"/>
              </w:rPr>
            </w:pPr>
            <w:r w:rsidRPr="00BC5C6D">
              <w:rPr>
                <w:b w:val="0"/>
                <w:sz w:val="24"/>
                <w:szCs w:val="24"/>
              </w:rPr>
              <w:t>2.87</w:t>
            </w:r>
          </w:p>
        </w:tc>
        <w:tc>
          <w:tcPr>
            <w:tcW w:w="1203" w:type="dxa"/>
          </w:tcPr>
          <w:p w14:paraId="05E6BA54" w14:textId="77777777" w:rsidR="000F2988" w:rsidRPr="00BC5C6D" w:rsidRDefault="000F2988" w:rsidP="00056C2A">
            <w:pPr>
              <w:pStyle w:val="Heading3"/>
              <w:rPr>
                <w:b w:val="0"/>
                <w:sz w:val="24"/>
                <w:szCs w:val="24"/>
              </w:rPr>
            </w:pPr>
            <w:r w:rsidRPr="00BC5C6D">
              <w:rPr>
                <w:b w:val="0"/>
                <w:sz w:val="24"/>
                <w:szCs w:val="24"/>
              </w:rPr>
              <w:t>1.94</w:t>
            </w:r>
          </w:p>
        </w:tc>
        <w:tc>
          <w:tcPr>
            <w:tcW w:w="1136" w:type="dxa"/>
          </w:tcPr>
          <w:p w14:paraId="7F86DD30" w14:textId="77777777" w:rsidR="000F2988" w:rsidRPr="00BC5C6D" w:rsidRDefault="000F2988" w:rsidP="00056C2A">
            <w:pPr>
              <w:pStyle w:val="Heading3"/>
              <w:rPr>
                <w:b w:val="0"/>
                <w:sz w:val="24"/>
                <w:szCs w:val="24"/>
              </w:rPr>
            </w:pPr>
            <w:r w:rsidRPr="00BC5C6D">
              <w:rPr>
                <w:b w:val="0"/>
                <w:sz w:val="24"/>
                <w:szCs w:val="24"/>
              </w:rPr>
              <w:t>1.76</w:t>
            </w:r>
          </w:p>
        </w:tc>
        <w:tc>
          <w:tcPr>
            <w:tcW w:w="1163" w:type="dxa"/>
          </w:tcPr>
          <w:p w14:paraId="73E06EE0" w14:textId="77777777" w:rsidR="000F2988" w:rsidRPr="00BC5C6D" w:rsidRDefault="000F2988" w:rsidP="00056C2A">
            <w:pPr>
              <w:pStyle w:val="Heading3"/>
              <w:rPr>
                <w:b w:val="0"/>
                <w:sz w:val="24"/>
                <w:szCs w:val="24"/>
              </w:rPr>
            </w:pPr>
            <w:r w:rsidRPr="00BC5C6D">
              <w:rPr>
                <w:b w:val="0"/>
                <w:sz w:val="24"/>
                <w:szCs w:val="24"/>
              </w:rPr>
              <w:t>1.53</w:t>
            </w:r>
          </w:p>
        </w:tc>
        <w:tc>
          <w:tcPr>
            <w:tcW w:w="1157" w:type="dxa"/>
          </w:tcPr>
          <w:p w14:paraId="040A6BB5" w14:textId="77777777" w:rsidR="000F2988" w:rsidRPr="00BC5C6D" w:rsidRDefault="000F2988" w:rsidP="00056C2A">
            <w:pPr>
              <w:pStyle w:val="Heading3"/>
              <w:rPr>
                <w:b w:val="0"/>
                <w:sz w:val="24"/>
                <w:szCs w:val="24"/>
              </w:rPr>
            </w:pPr>
            <w:r w:rsidRPr="00BC5C6D">
              <w:rPr>
                <w:b w:val="0"/>
                <w:sz w:val="24"/>
                <w:szCs w:val="24"/>
              </w:rPr>
              <w:t>1.68</w:t>
            </w:r>
          </w:p>
        </w:tc>
        <w:tc>
          <w:tcPr>
            <w:tcW w:w="1141" w:type="dxa"/>
          </w:tcPr>
          <w:p w14:paraId="1ED2BAA0" w14:textId="77777777" w:rsidR="000F2988" w:rsidRPr="00BC5C6D" w:rsidRDefault="000F2988" w:rsidP="00056C2A">
            <w:pPr>
              <w:pStyle w:val="Heading3"/>
              <w:rPr>
                <w:b w:val="0"/>
                <w:sz w:val="24"/>
                <w:szCs w:val="24"/>
              </w:rPr>
            </w:pPr>
            <w:r w:rsidRPr="00BC5C6D">
              <w:rPr>
                <w:b w:val="0"/>
                <w:sz w:val="24"/>
                <w:szCs w:val="24"/>
              </w:rPr>
              <w:t>1.42</w:t>
            </w:r>
          </w:p>
        </w:tc>
      </w:tr>
    </w:tbl>
    <w:p w14:paraId="76AB5FF3" w14:textId="77777777" w:rsidR="00056C2A" w:rsidRPr="00BC5C6D" w:rsidRDefault="00056C2A" w:rsidP="00056C2A">
      <w:pPr>
        <w:pStyle w:val="NormalWeb"/>
        <w:rPr>
          <w:b/>
        </w:rPr>
      </w:pPr>
      <w:r w:rsidRPr="00BC5C6D">
        <w:rPr>
          <w:rStyle w:val="Strong"/>
          <w:b w:val="0"/>
        </w:rPr>
        <w:t>Mean VIF = 1.93</w:t>
      </w:r>
    </w:p>
    <w:p w14:paraId="278CE577" w14:textId="77777777" w:rsidR="000F2988" w:rsidRPr="00BC5C6D" w:rsidRDefault="000F2988" w:rsidP="00056C2A">
      <w:pPr>
        <w:pStyle w:val="Heading3"/>
      </w:pPr>
    </w:p>
    <w:p w14:paraId="634BC731" w14:textId="77777777" w:rsidR="008C36C4" w:rsidRPr="00BC5C6D" w:rsidRDefault="008C36C4" w:rsidP="008C36C4">
      <w:pPr>
        <w:pStyle w:val="NormalWeb"/>
        <w:jc w:val="both"/>
      </w:pPr>
      <w:r w:rsidRPr="00BC5C6D">
        <w:t>The multicollinearity diagnostics did not indicate problematic multicollinearity. The individual VIF values ranged from 1.42 to 2.87, well below the commonly accepted threshold of 5 and the less conservative threshold of 10. Household wealth had the highest VIF (2.87), followed by maternal education (2.34), but both remained within acceptable limits. The mean VIF was 1.93, indicating a low overall level of collinearity among the independent variables.</w:t>
      </w:r>
    </w:p>
    <w:p w14:paraId="6D258F25" w14:textId="77777777" w:rsidR="00DC0D6B" w:rsidRPr="00BC5C6D" w:rsidRDefault="00DC0D6B" w:rsidP="00056C2A">
      <w:pPr>
        <w:pStyle w:val="Heading3"/>
      </w:pPr>
      <w:r w:rsidRPr="00BC5C6D">
        <w:t>4.4 Logistic Regression Results</w:t>
      </w:r>
    </w:p>
    <w:p w14:paraId="54F1714E" w14:textId="77777777" w:rsidR="00056C2A" w:rsidRPr="00BC5C6D" w:rsidRDefault="00DC0D6B" w:rsidP="00056C2A">
      <w:pPr>
        <w:pStyle w:val="Heading3"/>
      </w:pPr>
      <w:r w:rsidRPr="00BC5C6D">
        <w:t xml:space="preserve">Table </w:t>
      </w:r>
      <w:r w:rsidR="009B0D21" w:rsidRPr="00BC5C6D">
        <w:t>5</w:t>
      </w:r>
      <w:r w:rsidR="00056C2A" w:rsidRPr="00BC5C6D">
        <w:t xml:space="preserve"> Logistic Regression Results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41"/>
        <w:gridCol w:w="1200"/>
        <w:gridCol w:w="2260"/>
        <w:gridCol w:w="1929"/>
      </w:tblGrid>
      <w:tr w:rsidR="00056C2A" w:rsidRPr="00BC5C6D" w14:paraId="029BB1EF" w14:textId="77777777" w:rsidTr="00056C2A">
        <w:trPr>
          <w:tblHeader/>
          <w:tblCellSpacing w:w="15" w:type="dxa"/>
        </w:trPr>
        <w:tc>
          <w:tcPr>
            <w:tcW w:w="0" w:type="auto"/>
            <w:vAlign w:val="center"/>
            <w:hideMark/>
          </w:tcPr>
          <w:p w14:paraId="4D94A8B5" w14:textId="77777777" w:rsidR="00056C2A" w:rsidRPr="00BC5C6D" w:rsidRDefault="00056C2A" w:rsidP="00220506">
            <w:pPr>
              <w:rPr>
                <w:rFonts w:ascii="Times New Roman" w:hAnsi="Times New Roman" w:cs="Times New Roman"/>
                <w:b/>
                <w:bCs/>
                <w:sz w:val="24"/>
                <w:szCs w:val="24"/>
              </w:rPr>
            </w:pPr>
            <w:r w:rsidRPr="00BC5C6D">
              <w:rPr>
                <w:rFonts w:ascii="Times New Roman" w:hAnsi="Times New Roman" w:cs="Times New Roman"/>
                <w:b/>
                <w:bCs/>
                <w:sz w:val="24"/>
                <w:szCs w:val="24"/>
              </w:rPr>
              <w:t>Variable</w:t>
            </w:r>
          </w:p>
        </w:tc>
        <w:tc>
          <w:tcPr>
            <w:tcW w:w="0" w:type="auto"/>
            <w:vAlign w:val="center"/>
            <w:hideMark/>
          </w:tcPr>
          <w:p w14:paraId="5B190CC2" w14:textId="77777777" w:rsidR="00056C2A" w:rsidRPr="00BC5C6D" w:rsidRDefault="00F65A6A">
            <w:pPr>
              <w:jc w:val="center"/>
              <w:rPr>
                <w:rFonts w:ascii="Times New Roman" w:hAnsi="Times New Roman" w:cs="Times New Roman"/>
                <w:b/>
                <w:bCs/>
                <w:sz w:val="24"/>
                <w:szCs w:val="24"/>
              </w:rPr>
            </w:pPr>
            <w:r w:rsidRPr="00BC5C6D">
              <w:rPr>
                <w:rFonts w:ascii="Times New Roman" w:hAnsi="Times New Roman" w:cs="Times New Roman"/>
                <w:b/>
                <w:bCs/>
                <w:sz w:val="24"/>
                <w:szCs w:val="24"/>
              </w:rPr>
              <w:t xml:space="preserve">          </w:t>
            </w:r>
            <w:r w:rsidR="00056C2A" w:rsidRPr="00BC5C6D">
              <w:rPr>
                <w:rFonts w:ascii="Times New Roman" w:hAnsi="Times New Roman" w:cs="Times New Roman"/>
                <w:b/>
                <w:bCs/>
                <w:sz w:val="24"/>
                <w:szCs w:val="24"/>
              </w:rPr>
              <w:t>AOR</w:t>
            </w:r>
          </w:p>
        </w:tc>
        <w:tc>
          <w:tcPr>
            <w:tcW w:w="0" w:type="auto"/>
            <w:vAlign w:val="center"/>
            <w:hideMark/>
          </w:tcPr>
          <w:p w14:paraId="6B0B429E" w14:textId="77777777" w:rsidR="00056C2A" w:rsidRPr="00BC5C6D" w:rsidRDefault="00F65A6A">
            <w:pPr>
              <w:jc w:val="center"/>
              <w:rPr>
                <w:rFonts w:ascii="Times New Roman" w:hAnsi="Times New Roman" w:cs="Times New Roman"/>
                <w:b/>
                <w:bCs/>
                <w:sz w:val="24"/>
                <w:szCs w:val="24"/>
              </w:rPr>
            </w:pPr>
            <w:r w:rsidRPr="00BC5C6D">
              <w:rPr>
                <w:rFonts w:ascii="Times New Roman" w:hAnsi="Times New Roman" w:cs="Times New Roman"/>
                <w:b/>
                <w:bCs/>
                <w:sz w:val="24"/>
                <w:szCs w:val="24"/>
              </w:rPr>
              <w:t xml:space="preserve">         </w:t>
            </w:r>
            <w:r w:rsidR="004E0B74" w:rsidRPr="00BC5C6D">
              <w:rPr>
                <w:rFonts w:ascii="Times New Roman" w:hAnsi="Times New Roman" w:cs="Times New Roman"/>
                <w:b/>
                <w:bCs/>
                <w:sz w:val="24"/>
                <w:szCs w:val="24"/>
              </w:rPr>
              <w:t xml:space="preserve"> </w:t>
            </w:r>
            <w:r w:rsidR="00056C2A" w:rsidRPr="00BC5C6D">
              <w:rPr>
                <w:rFonts w:ascii="Times New Roman" w:hAnsi="Times New Roman" w:cs="Times New Roman"/>
                <w:b/>
                <w:bCs/>
                <w:sz w:val="24"/>
                <w:szCs w:val="24"/>
              </w:rPr>
              <w:t>95% CI</w:t>
            </w:r>
          </w:p>
        </w:tc>
        <w:tc>
          <w:tcPr>
            <w:tcW w:w="0" w:type="auto"/>
            <w:vAlign w:val="center"/>
            <w:hideMark/>
          </w:tcPr>
          <w:p w14:paraId="2A07A6EE" w14:textId="77777777" w:rsidR="00056C2A" w:rsidRPr="00BC5C6D" w:rsidRDefault="00DC0D6B">
            <w:pPr>
              <w:jc w:val="center"/>
              <w:rPr>
                <w:rFonts w:ascii="Times New Roman" w:hAnsi="Times New Roman" w:cs="Times New Roman"/>
                <w:b/>
                <w:bCs/>
                <w:sz w:val="24"/>
                <w:szCs w:val="24"/>
              </w:rPr>
            </w:pPr>
            <w:r w:rsidRPr="00BC5C6D">
              <w:rPr>
                <w:rFonts w:ascii="Times New Roman" w:hAnsi="Times New Roman" w:cs="Times New Roman"/>
                <w:b/>
                <w:bCs/>
                <w:sz w:val="24"/>
                <w:szCs w:val="24"/>
              </w:rPr>
              <w:t xml:space="preserve"> </w:t>
            </w:r>
            <w:r w:rsidR="007C10ED" w:rsidRPr="00BC5C6D">
              <w:rPr>
                <w:rFonts w:ascii="Times New Roman" w:hAnsi="Times New Roman" w:cs="Times New Roman"/>
                <w:b/>
                <w:bCs/>
                <w:sz w:val="24"/>
                <w:szCs w:val="24"/>
              </w:rPr>
              <w:t xml:space="preserve">                 </w:t>
            </w:r>
            <w:r w:rsidR="00056C2A" w:rsidRPr="00BC5C6D">
              <w:rPr>
                <w:rFonts w:ascii="Times New Roman" w:hAnsi="Times New Roman" w:cs="Times New Roman"/>
                <w:b/>
                <w:bCs/>
                <w:sz w:val="24"/>
                <w:szCs w:val="24"/>
              </w:rPr>
              <w:t>P-value</w:t>
            </w:r>
          </w:p>
        </w:tc>
      </w:tr>
      <w:tr w:rsidR="00056C2A" w:rsidRPr="00BC5C6D" w14:paraId="45444724" w14:textId="77777777" w:rsidTr="00056C2A">
        <w:trPr>
          <w:tblCellSpacing w:w="15" w:type="dxa"/>
        </w:trPr>
        <w:tc>
          <w:tcPr>
            <w:tcW w:w="0" w:type="auto"/>
            <w:vAlign w:val="center"/>
            <w:hideMark/>
          </w:tcPr>
          <w:p w14:paraId="2A05DD84" w14:textId="77777777" w:rsidR="00056C2A" w:rsidRPr="00BC5C6D" w:rsidRDefault="00220506">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Maternal age (25–34 years)</w:t>
            </w:r>
          </w:p>
        </w:tc>
        <w:tc>
          <w:tcPr>
            <w:tcW w:w="0" w:type="auto"/>
            <w:vAlign w:val="center"/>
            <w:hideMark/>
          </w:tcPr>
          <w:p w14:paraId="3E0FD391" w14:textId="77777777" w:rsidR="00056C2A" w:rsidRPr="00BC5C6D" w:rsidRDefault="00F65A6A">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1.29</w:t>
            </w:r>
          </w:p>
        </w:tc>
        <w:tc>
          <w:tcPr>
            <w:tcW w:w="0" w:type="auto"/>
            <w:vAlign w:val="center"/>
            <w:hideMark/>
          </w:tcPr>
          <w:p w14:paraId="00343E84" w14:textId="77777777" w:rsidR="00056C2A" w:rsidRPr="00BC5C6D" w:rsidRDefault="004E0B74">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(1.08–1.55)</w:t>
            </w:r>
          </w:p>
        </w:tc>
        <w:tc>
          <w:tcPr>
            <w:tcW w:w="0" w:type="auto"/>
            <w:vAlign w:val="center"/>
            <w:hideMark/>
          </w:tcPr>
          <w:p w14:paraId="6F4F0373" w14:textId="77777777" w:rsidR="00056C2A" w:rsidRPr="00BC5C6D" w:rsidRDefault="007C10ED">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0.005</w:t>
            </w:r>
          </w:p>
        </w:tc>
      </w:tr>
      <w:tr w:rsidR="00056C2A" w:rsidRPr="00BC5C6D" w14:paraId="1C4F0E3F" w14:textId="77777777" w:rsidTr="00056C2A">
        <w:trPr>
          <w:tblCellSpacing w:w="15" w:type="dxa"/>
        </w:trPr>
        <w:tc>
          <w:tcPr>
            <w:tcW w:w="0" w:type="auto"/>
            <w:vAlign w:val="center"/>
            <w:hideMark/>
          </w:tcPr>
          <w:p w14:paraId="676A1BBF" w14:textId="77777777" w:rsidR="00056C2A" w:rsidRPr="00BC5C6D" w:rsidRDefault="00056C2A">
            <w:pPr>
              <w:rPr>
                <w:rFonts w:ascii="Times New Roman" w:hAnsi="Times New Roman" w:cs="Times New Roman"/>
                <w:sz w:val="24"/>
                <w:szCs w:val="24"/>
              </w:rPr>
            </w:pPr>
            <w:r w:rsidRPr="00BC5C6D">
              <w:rPr>
                <w:rFonts w:ascii="Times New Roman" w:hAnsi="Times New Roman" w:cs="Times New Roman"/>
                <w:sz w:val="24"/>
                <w:szCs w:val="24"/>
              </w:rPr>
              <w:t>Maternal age (35–49 years)</w:t>
            </w:r>
          </w:p>
        </w:tc>
        <w:tc>
          <w:tcPr>
            <w:tcW w:w="0" w:type="auto"/>
            <w:vAlign w:val="center"/>
            <w:hideMark/>
          </w:tcPr>
          <w:p w14:paraId="6CB76F43" w14:textId="77777777" w:rsidR="00056C2A" w:rsidRPr="00BC5C6D" w:rsidRDefault="00F65A6A">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1.18</w:t>
            </w:r>
          </w:p>
        </w:tc>
        <w:tc>
          <w:tcPr>
            <w:tcW w:w="0" w:type="auto"/>
            <w:vAlign w:val="center"/>
            <w:hideMark/>
          </w:tcPr>
          <w:p w14:paraId="5434475D" w14:textId="77777777" w:rsidR="00056C2A" w:rsidRPr="00BC5C6D" w:rsidRDefault="004E0B74">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(0.95–1.46)</w:t>
            </w:r>
          </w:p>
        </w:tc>
        <w:tc>
          <w:tcPr>
            <w:tcW w:w="0" w:type="auto"/>
            <w:vAlign w:val="center"/>
            <w:hideMark/>
          </w:tcPr>
          <w:p w14:paraId="74A29585" w14:textId="77777777" w:rsidR="00056C2A" w:rsidRPr="00BC5C6D" w:rsidRDefault="007C10ED">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0.126</w:t>
            </w:r>
          </w:p>
        </w:tc>
      </w:tr>
      <w:tr w:rsidR="00056C2A" w:rsidRPr="00BC5C6D" w14:paraId="31D03C77" w14:textId="77777777" w:rsidTr="00056C2A">
        <w:trPr>
          <w:tblCellSpacing w:w="15" w:type="dxa"/>
        </w:trPr>
        <w:tc>
          <w:tcPr>
            <w:tcW w:w="0" w:type="auto"/>
            <w:vAlign w:val="center"/>
            <w:hideMark/>
          </w:tcPr>
          <w:p w14:paraId="1FE25557" w14:textId="77777777" w:rsidR="00056C2A" w:rsidRPr="00BC5C6D" w:rsidRDefault="00056C2A">
            <w:pPr>
              <w:rPr>
                <w:rFonts w:ascii="Times New Roman" w:hAnsi="Times New Roman" w:cs="Times New Roman"/>
                <w:sz w:val="24"/>
                <w:szCs w:val="24"/>
              </w:rPr>
            </w:pPr>
            <w:r w:rsidRPr="00BC5C6D">
              <w:rPr>
                <w:rFonts w:ascii="Times New Roman" w:hAnsi="Times New Roman" w:cs="Times New Roman"/>
                <w:sz w:val="24"/>
                <w:szCs w:val="24"/>
              </w:rPr>
              <w:t>Primary education</w:t>
            </w:r>
          </w:p>
        </w:tc>
        <w:tc>
          <w:tcPr>
            <w:tcW w:w="0" w:type="auto"/>
            <w:vAlign w:val="center"/>
            <w:hideMark/>
          </w:tcPr>
          <w:p w14:paraId="48F0A4E6" w14:textId="77777777" w:rsidR="00056C2A" w:rsidRPr="00BC5C6D" w:rsidRDefault="006A5376">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1.46</w:t>
            </w:r>
          </w:p>
        </w:tc>
        <w:tc>
          <w:tcPr>
            <w:tcW w:w="0" w:type="auto"/>
            <w:vAlign w:val="center"/>
            <w:hideMark/>
          </w:tcPr>
          <w:p w14:paraId="52F2F188" w14:textId="77777777" w:rsidR="00056C2A" w:rsidRPr="00BC5C6D" w:rsidRDefault="004E0B74">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(1.18–1.80)</w:t>
            </w:r>
          </w:p>
        </w:tc>
        <w:tc>
          <w:tcPr>
            <w:tcW w:w="0" w:type="auto"/>
            <w:vAlign w:val="center"/>
            <w:hideMark/>
          </w:tcPr>
          <w:p w14:paraId="4D28D069" w14:textId="77777777" w:rsidR="00056C2A" w:rsidRPr="00BC5C6D" w:rsidRDefault="007C10ED">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&lt;0.001</w:t>
            </w:r>
          </w:p>
        </w:tc>
      </w:tr>
      <w:tr w:rsidR="00056C2A" w:rsidRPr="00BC5C6D" w14:paraId="7C12973B" w14:textId="77777777" w:rsidTr="00056C2A">
        <w:trPr>
          <w:tblCellSpacing w:w="15" w:type="dxa"/>
        </w:trPr>
        <w:tc>
          <w:tcPr>
            <w:tcW w:w="0" w:type="auto"/>
            <w:vAlign w:val="center"/>
            <w:hideMark/>
          </w:tcPr>
          <w:p w14:paraId="1CAC5F6C" w14:textId="77777777" w:rsidR="00056C2A" w:rsidRPr="00BC5C6D" w:rsidRDefault="00056C2A">
            <w:pPr>
              <w:rPr>
                <w:rFonts w:ascii="Times New Roman" w:hAnsi="Times New Roman" w:cs="Times New Roman"/>
                <w:sz w:val="24"/>
                <w:szCs w:val="24"/>
              </w:rPr>
            </w:pPr>
            <w:r w:rsidRPr="00BC5C6D">
              <w:rPr>
                <w:rFonts w:ascii="Times New Roman" w:hAnsi="Times New Roman" w:cs="Times New Roman"/>
                <w:sz w:val="24"/>
                <w:szCs w:val="24"/>
              </w:rPr>
              <w:t>Secondary education</w:t>
            </w:r>
          </w:p>
        </w:tc>
        <w:tc>
          <w:tcPr>
            <w:tcW w:w="0" w:type="auto"/>
            <w:vAlign w:val="center"/>
            <w:hideMark/>
          </w:tcPr>
          <w:p w14:paraId="1BD582EF" w14:textId="77777777" w:rsidR="00056C2A" w:rsidRPr="00BC5C6D" w:rsidRDefault="006A5376">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2.14</w:t>
            </w:r>
          </w:p>
        </w:tc>
        <w:tc>
          <w:tcPr>
            <w:tcW w:w="0" w:type="auto"/>
            <w:vAlign w:val="center"/>
            <w:hideMark/>
          </w:tcPr>
          <w:p w14:paraId="690CD65A" w14:textId="77777777" w:rsidR="00056C2A" w:rsidRPr="00BC5C6D" w:rsidRDefault="004E0B74">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(1.71–2.68)</w:t>
            </w:r>
          </w:p>
        </w:tc>
        <w:tc>
          <w:tcPr>
            <w:tcW w:w="0" w:type="auto"/>
            <w:vAlign w:val="center"/>
            <w:hideMark/>
          </w:tcPr>
          <w:p w14:paraId="2C881822" w14:textId="77777777" w:rsidR="00056C2A" w:rsidRPr="00BC5C6D" w:rsidRDefault="007C10ED">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&lt;0.001</w:t>
            </w:r>
          </w:p>
        </w:tc>
      </w:tr>
      <w:tr w:rsidR="00056C2A" w:rsidRPr="00BC5C6D" w14:paraId="7272FB00" w14:textId="77777777" w:rsidTr="00056C2A">
        <w:trPr>
          <w:tblCellSpacing w:w="15" w:type="dxa"/>
        </w:trPr>
        <w:tc>
          <w:tcPr>
            <w:tcW w:w="0" w:type="auto"/>
            <w:vAlign w:val="center"/>
            <w:hideMark/>
          </w:tcPr>
          <w:p w14:paraId="7040AC30" w14:textId="77777777" w:rsidR="00056C2A" w:rsidRPr="00BC5C6D" w:rsidRDefault="00056C2A">
            <w:pPr>
              <w:rPr>
                <w:rFonts w:ascii="Times New Roman" w:hAnsi="Times New Roman" w:cs="Times New Roman"/>
                <w:sz w:val="24"/>
                <w:szCs w:val="24"/>
              </w:rPr>
            </w:pPr>
            <w:r w:rsidRPr="00BC5C6D">
              <w:rPr>
                <w:rFonts w:ascii="Times New Roman" w:hAnsi="Times New Roman" w:cs="Times New Roman"/>
                <w:sz w:val="24"/>
                <w:szCs w:val="24"/>
              </w:rPr>
              <w:t>Higher education</w:t>
            </w:r>
          </w:p>
        </w:tc>
        <w:tc>
          <w:tcPr>
            <w:tcW w:w="0" w:type="auto"/>
            <w:vAlign w:val="center"/>
            <w:hideMark/>
          </w:tcPr>
          <w:p w14:paraId="7C1AB415" w14:textId="77777777" w:rsidR="00056C2A" w:rsidRPr="00BC5C6D" w:rsidRDefault="006A5376">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3.42</w:t>
            </w:r>
          </w:p>
        </w:tc>
        <w:tc>
          <w:tcPr>
            <w:tcW w:w="0" w:type="auto"/>
            <w:vAlign w:val="center"/>
            <w:hideMark/>
          </w:tcPr>
          <w:p w14:paraId="277B7334" w14:textId="77777777" w:rsidR="00056C2A" w:rsidRPr="00BC5C6D" w:rsidRDefault="004E0B74">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(2.48–4.72)</w:t>
            </w:r>
          </w:p>
        </w:tc>
        <w:tc>
          <w:tcPr>
            <w:tcW w:w="0" w:type="auto"/>
            <w:vAlign w:val="center"/>
            <w:hideMark/>
          </w:tcPr>
          <w:p w14:paraId="45FF692F" w14:textId="77777777" w:rsidR="00056C2A" w:rsidRPr="00BC5C6D" w:rsidRDefault="007C10ED">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&lt;0.001</w:t>
            </w:r>
          </w:p>
        </w:tc>
      </w:tr>
      <w:tr w:rsidR="00056C2A" w:rsidRPr="00BC5C6D" w14:paraId="2FFE4876" w14:textId="77777777" w:rsidTr="00056C2A">
        <w:trPr>
          <w:tblCellSpacing w:w="15" w:type="dxa"/>
        </w:trPr>
        <w:tc>
          <w:tcPr>
            <w:tcW w:w="0" w:type="auto"/>
            <w:vAlign w:val="center"/>
            <w:hideMark/>
          </w:tcPr>
          <w:p w14:paraId="4014216A" w14:textId="77777777" w:rsidR="00056C2A" w:rsidRPr="00BC5C6D" w:rsidRDefault="00056C2A">
            <w:pPr>
              <w:rPr>
                <w:rFonts w:ascii="Times New Roman" w:hAnsi="Times New Roman" w:cs="Times New Roman"/>
                <w:sz w:val="24"/>
                <w:szCs w:val="24"/>
              </w:rPr>
            </w:pPr>
            <w:r w:rsidRPr="00BC5C6D">
              <w:rPr>
                <w:rFonts w:ascii="Times New Roman" w:hAnsi="Times New Roman" w:cs="Times New Roman"/>
                <w:sz w:val="24"/>
                <w:szCs w:val="24"/>
              </w:rPr>
              <w:t>Rich household</w:t>
            </w:r>
          </w:p>
        </w:tc>
        <w:tc>
          <w:tcPr>
            <w:tcW w:w="0" w:type="auto"/>
            <w:vAlign w:val="center"/>
            <w:hideMark/>
          </w:tcPr>
          <w:p w14:paraId="5F52C76F" w14:textId="77777777" w:rsidR="00056C2A" w:rsidRPr="00BC5C6D" w:rsidRDefault="006A5376">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2.08</w:t>
            </w:r>
          </w:p>
        </w:tc>
        <w:tc>
          <w:tcPr>
            <w:tcW w:w="0" w:type="auto"/>
            <w:vAlign w:val="center"/>
            <w:hideMark/>
          </w:tcPr>
          <w:p w14:paraId="05B9C4B2" w14:textId="77777777" w:rsidR="00056C2A" w:rsidRPr="00BC5C6D" w:rsidRDefault="004E0B74">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(1.71–2.54)</w:t>
            </w:r>
          </w:p>
        </w:tc>
        <w:tc>
          <w:tcPr>
            <w:tcW w:w="0" w:type="auto"/>
            <w:vAlign w:val="center"/>
            <w:hideMark/>
          </w:tcPr>
          <w:p w14:paraId="42BB8C33" w14:textId="77777777" w:rsidR="00056C2A" w:rsidRPr="00BC5C6D" w:rsidRDefault="007C10ED">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&lt;0.001</w:t>
            </w:r>
          </w:p>
        </w:tc>
      </w:tr>
      <w:tr w:rsidR="00056C2A" w:rsidRPr="00BC5C6D" w14:paraId="489E2F63" w14:textId="77777777" w:rsidTr="00056C2A">
        <w:trPr>
          <w:tblCellSpacing w:w="15" w:type="dxa"/>
        </w:trPr>
        <w:tc>
          <w:tcPr>
            <w:tcW w:w="0" w:type="auto"/>
            <w:vAlign w:val="center"/>
            <w:hideMark/>
          </w:tcPr>
          <w:p w14:paraId="492E98BB" w14:textId="77777777" w:rsidR="00056C2A" w:rsidRPr="00BC5C6D" w:rsidRDefault="00056C2A">
            <w:pPr>
              <w:rPr>
                <w:rFonts w:ascii="Times New Roman" w:hAnsi="Times New Roman" w:cs="Times New Roman"/>
                <w:sz w:val="24"/>
                <w:szCs w:val="24"/>
              </w:rPr>
            </w:pPr>
            <w:r w:rsidRPr="00BC5C6D">
              <w:rPr>
                <w:rFonts w:ascii="Times New Roman" w:hAnsi="Times New Roman" w:cs="Times New Roman"/>
                <w:sz w:val="24"/>
                <w:szCs w:val="24"/>
              </w:rPr>
              <w:lastRenderedPageBreak/>
              <w:t>Urban residence</w:t>
            </w:r>
          </w:p>
        </w:tc>
        <w:tc>
          <w:tcPr>
            <w:tcW w:w="0" w:type="auto"/>
            <w:vAlign w:val="center"/>
            <w:hideMark/>
          </w:tcPr>
          <w:p w14:paraId="1BA60AD0" w14:textId="77777777" w:rsidR="00056C2A" w:rsidRPr="00BC5C6D" w:rsidRDefault="006A5376">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1.36</w:t>
            </w:r>
          </w:p>
        </w:tc>
        <w:tc>
          <w:tcPr>
            <w:tcW w:w="0" w:type="auto"/>
            <w:vAlign w:val="center"/>
            <w:hideMark/>
          </w:tcPr>
          <w:p w14:paraId="4BF98EF9" w14:textId="77777777" w:rsidR="00056C2A" w:rsidRPr="00BC5C6D" w:rsidRDefault="004E0B74">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(1.13–1.64)</w:t>
            </w:r>
          </w:p>
        </w:tc>
        <w:tc>
          <w:tcPr>
            <w:tcW w:w="0" w:type="auto"/>
            <w:vAlign w:val="center"/>
            <w:hideMark/>
          </w:tcPr>
          <w:p w14:paraId="3FEED640" w14:textId="77777777" w:rsidR="00056C2A" w:rsidRPr="00BC5C6D" w:rsidRDefault="007C10ED">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0.001</w:t>
            </w:r>
          </w:p>
        </w:tc>
      </w:tr>
      <w:tr w:rsidR="00056C2A" w:rsidRPr="00BC5C6D" w14:paraId="2AE6C6B0" w14:textId="77777777" w:rsidTr="00056C2A">
        <w:trPr>
          <w:tblCellSpacing w:w="15" w:type="dxa"/>
        </w:trPr>
        <w:tc>
          <w:tcPr>
            <w:tcW w:w="0" w:type="auto"/>
            <w:vAlign w:val="center"/>
            <w:hideMark/>
          </w:tcPr>
          <w:p w14:paraId="778CD682" w14:textId="77777777" w:rsidR="00056C2A" w:rsidRPr="00BC5C6D" w:rsidRDefault="00056C2A">
            <w:pPr>
              <w:rPr>
                <w:rFonts w:ascii="Times New Roman" w:hAnsi="Times New Roman" w:cs="Times New Roman"/>
                <w:sz w:val="24"/>
                <w:szCs w:val="24"/>
              </w:rPr>
            </w:pPr>
            <w:r w:rsidRPr="00BC5C6D">
              <w:rPr>
                <w:rFonts w:ascii="Times New Roman" w:hAnsi="Times New Roman" w:cs="Times New Roman"/>
                <w:sz w:val="24"/>
                <w:szCs w:val="24"/>
              </w:rPr>
              <w:t>≥4 ANC visits</w:t>
            </w:r>
          </w:p>
        </w:tc>
        <w:tc>
          <w:tcPr>
            <w:tcW w:w="0" w:type="auto"/>
            <w:vAlign w:val="center"/>
            <w:hideMark/>
          </w:tcPr>
          <w:p w14:paraId="710E287E" w14:textId="77777777" w:rsidR="00056C2A" w:rsidRPr="00BC5C6D" w:rsidRDefault="006A5376">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1.79</w:t>
            </w:r>
          </w:p>
        </w:tc>
        <w:tc>
          <w:tcPr>
            <w:tcW w:w="0" w:type="auto"/>
            <w:vAlign w:val="center"/>
            <w:hideMark/>
          </w:tcPr>
          <w:p w14:paraId="47345FEF" w14:textId="77777777" w:rsidR="00056C2A" w:rsidRPr="00BC5C6D" w:rsidRDefault="004E0B74">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(1.46–2.19)</w:t>
            </w:r>
          </w:p>
        </w:tc>
        <w:tc>
          <w:tcPr>
            <w:tcW w:w="0" w:type="auto"/>
            <w:vAlign w:val="center"/>
            <w:hideMark/>
          </w:tcPr>
          <w:p w14:paraId="3F513EE6" w14:textId="77777777" w:rsidR="00056C2A" w:rsidRPr="00BC5C6D" w:rsidRDefault="007C10ED">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&lt;0.001</w:t>
            </w:r>
          </w:p>
        </w:tc>
      </w:tr>
      <w:tr w:rsidR="00056C2A" w:rsidRPr="00BC5C6D" w14:paraId="725E1527" w14:textId="77777777" w:rsidTr="00056C2A">
        <w:trPr>
          <w:tblCellSpacing w:w="15" w:type="dxa"/>
        </w:trPr>
        <w:tc>
          <w:tcPr>
            <w:tcW w:w="0" w:type="auto"/>
            <w:vAlign w:val="center"/>
            <w:hideMark/>
          </w:tcPr>
          <w:p w14:paraId="72610C33" w14:textId="77777777" w:rsidR="00056C2A" w:rsidRPr="00BC5C6D" w:rsidRDefault="00056C2A">
            <w:pPr>
              <w:rPr>
                <w:rFonts w:ascii="Times New Roman" w:hAnsi="Times New Roman" w:cs="Times New Roman"/>
                <w:sz w:val="24"/>
                <w:szCs w:val="24"/>
              </w:rPr>
            </w:pPr>
            <w:r w:rsidRPr="00BC5C6D">
              <w:rPr>
                <w:rFonts w:ascii="Times New Roman" w:hAnsi="Times New Roman" w:cs="Times New Roman"/>
                <w:sz w:val="24"/>
                <w:szCs w:val="24"/>
              </w:rPr>
              <w:t>Health facility delivery</w:t>
            </w:r>
          </w:p>
        </w:tc>
        <w:tc>
          <w:tcPr>
            <w:tcW w:w="0" w:type="auto"/>
            <w:vAlign w:val="center"/>
            <w:hideMark/>
          </w:tcPr>
          <w:p w14:paraId="101DFE8F" w14:textId="77777777" w:rsidR="00056C2A" w:rsidRPr="00BC5C6D" w:rsidRDefault="006A5376">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1.92</w:t>
            </w:r>
          </w:p>
        </w:tc>
        <w:tc>
          <w:tcPr>
            <w:tcW w:w="0" w:type="auto"/>
            <w:vAlign w:val="center"/>
            <w:hideMark/>
          </w:tcPr>
          <w:p w14:paraId="69BB7B81" w14:textId="77777777" w:rsidR="00056C2A" w:rsidRPr="00BC5C6D" w:rsidRDefault="004E0B74">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(1.59–2.32)</w:t>
            </w:r>
          </w:p>
        </w:tc>
        <w:tc>
          <w:tcPr>
            <w:tcW w:w="0" w:type="auto"/>
            <w:vAlign w:val="center"/>
            <w:hideMark/>
          </w:tcPr>
          <w:p w14:paraId="587DEF9C" w14:textId="77777777" w:rsidR="00056C2A" w:rsidRPr="00BC5C6D" w:rsidRDefault="007C10ED">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&lt;0.001</w:t>
            </w:r>
          </w:p>
        </w:tc>
      </w:tr>
      <w:tr w:rsidR="00056C2A" w:rsidRPr="00BC5C6D" w14:paraId="1B2353BE" w14:textId="77777777" w:rsidTr="00056C2A">
        <w:trPr>
          <w:tblCellSpacing w:w="15" w:type="dxa"/>
        </w:trPr>
        <w:tc>
          <w:tcPr>
            <w:tcW w:w="0" w:type="auto"/>
            <w:vAlign w:val="center"/>
            <w:hideMark/>
          </w:tcPr>
          <w:p w14:paraId="1E5E5F13" w14:textId="77777777" w:rsidR="00056C2A" w:rsidRPr="00BC5C6D" w:rsidRDefault="00056C2A">
            <w:pPr>
              <w:rPr>
                <w:rFonts w:ascii="Times New Roman" w:hAnsi="Times New Roman" w:cs="Times New Roman"/>
                <w:sz w:val="24"/>
                <w:szCs w:val="24"/>
              </w:rPr>
            </w:pPr>
            <w:r w:rsidRPr="00BC5C6D">
              <w:rPr>
                <w:rFonts w:ascii="Times New Roman" w:hAnsi="Times New Roman" w:cs="Times New Roman"/>
                <w:sz w:val="24"/>
                <w:szCs w:val="24"/>
              </w:rPr>
              <w:t>Media exposure</w:t>
            </w:r>
          </w:p>
        </w:tc>
        <w:tc>
          <w:tcPr>
            <w:tcW w:w="0" w:type="auto"/>
            <w:vAlign w:val="center"/>
            <w:hideMark/>
          </w:tcPr>
          <w:p w14:paraId="25721094" w14:textId="77777777" w:rsidR="00056C2A" w:rsidRPr="00BC5C6D" w:rsidRDefault="006A5376">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1.28</w:t>
            </w:r>
          </w:p>
        </w:tc>
        <w:tc>
          <w:tcPr>
            <w:tcW w:w="0" w:type="auto"/>
            <w:vAlign w:val="center"/>
            <w:hideMark/>
          </w:tcPr>
          <w:p w14:paraId="23F2CBD8" w14:textId="77777777" w:rsidR="00056C2A" w:rsidRPr="00BC5C6D" w:rsidRDefault="004E0B74">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(1.06–1.55)</w:t>
            </w:r>
          </w:p>
        </w:tc>
        <w:tc>
          <w:tcPr>
            <w:tcW w:w="0" w:type="auto"/>
            <w:vAlign w:val="center"/>
            <w:hideMark/>
          </w:tcPr>
          <w:p w14:paraId="3482DB49" w14:textId="77777777" w:rsidR="00056C2A" w:rsidRPr="00BC5C6D" w:rsidRDefault="007C10ED">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0.011</w:t>
            </w:r>
          </w:p>
        </w:tc>
      </w:tr>
      <w:tr w:rsidR="00056C2A" w:rsidRPr="00BC5C6D" w14:paraId="5547A531" w14:textId="77777777" w:rsidTr="00056C2A">
        <w:trPr>
          <w:tblCellSpacing w:w="15" w:type="dxa"/>
        </w:trPr>
        <w:tc>
          <w:tcPr>
            <w:tcW w:w="0" w:type="auto"/>
            <w:vAlign w:val="center"/>
            <w:hideMark/>
          </w:tcPr>
          <w:p w14:paraId="355059CB" w14:textId="77777777" w:rsidR="00056C2A" w:rsidRPr="00BC5C6D" w:rsidRDefault="00056C2A">
            <w:pPr>
              <w:rPr>
                <w:rFonts w:ascii="Times New Roman" w:hAnsi="Times New Roman" w:cs="Times New Roman"/>
                <w:sz w:val="24"/>
                <w:szCs w:val="24"/>
              </w:rPr>
            </w:pPr>
            <w:r w:rsidRPr="00BC5C6D">
              <w:rPr>
                <w:rFonts w:ascii="Times New Roman" w:hAnsi="Times New Roman" w:cs="Times New Roman"/>
                <w:sz w:val="24"/>
                <w:szCs w:val="24"/>
              </w:rPr>
              <w:t>High parity</w:t>
            </w:r>
          </w:p>
        </w:tc>
        <w:tc>
          <w:tcPr>
            <w:tcW w:w="0" w:type="auto"/>
            <w:vAlign w:val="center"/>
            <w:hideMark/>
          </w:tcPr>
          <w:p w14:paraId="66919C4E" w14:textId="77777777" w:rsidR="00056C2A" w:rsidRPr="00BC5C6D" w:rsidRDefault="006A5376">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0.82</w:t>
            </w:r>
          </w:p>
        </w:tc>
        <w:tc>
          <w:tcPr>
            <w:tcW w:w="0" w:type="auto"/>
            <w:vAlign w:val="center"/>
            <w:hideMark/>
          </w:tcPr>
          <w:p w14:paraId="7B265B30" w14:textId="77777777" w:rsidR="00056C2A" w:rsidRPr="00BC5C6D" w:rsidRDefault="004E0B74">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(0.69–0.98)</w:t>
            </w:r>
          </w:p>
        </w:tc>
        <w:tc>
          <w:tcPr>
            <w:tcW w:w="0" w:type="auto"/>
            <w:vAlign w:val="center"/>
            <w:hideMark/>
          </w:tcPr>
          <w:p w14:paraId="09852E23" w14:textId="77777777" w:rsidR="00056C2A" w:rsidRPr="00BC5C6D" w:rsidRDefault="007C10ED">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0.034</w:t>
            </w:r>
          </w:p>
        </w:tc>
      </w:tr>
    </w:tbl>
    <w:p w14:paraId="389936A5" w14:textId="77777777" w:rsidR="00DE3338" w:rsidRPr="00BC5C6D" w:rsidRDefault="00DE3338" w:rsidP="00A62812">
      <w:pPr>
        <w:pStyle w:val="NormalWeb"/>
        <w:spacing w:before="0" w:beforeAutospacing="0"/>
        <w:jc w:val="both"/>
      </w:pPr>
      <w:r w:rsidRPr="00BC5C6D">
        <w:t xml:space="preserve">Table 5 presents the survey-weighted binary logistic regression results, with complete childhood vaccination as the dependent variable. Mothers aged 25–34 years had higher odds of having a fully vaccinated child than mothers aged 15–24 years (AOR = 1.29; 95% CI: 1.08–1.55; </w:t>
      </w:r>
      <w:r w:rsidR="004321D3" w:rsidRPr="00BC5C6D">
        <w:rPr>
          <w:position w:val="-10"/>
        </w:rPr>
        <w:object w:dxaOrig="420" w:dyaOrig="260" w14:anchorId="16EB87F2">
          <v:shape id="_x0000_i1059" type="#_x0000_t75" style="width:21.3pt;height:12.65pt" o:ole="">
            <v:imagedata r:id="rId75" o:title=""/>
          </v:shape>
          <o:OLEObject Type="Embed" ProgID="Equation.DSMT4" ShapeID="_x0000_i1059" DrawAspect="Content" ObjectID="_1846930526" r:id="rId76"/>
        </w:object>
      </w:r>
      <w:r w:rsidRPr="00BC5C6D">
        <w:t>0.005). Mothers aged 35–49 years did not differ significantly from mothers aged 15–24 years (</w:t>
      </w:r>
      <w:r w:rsidR="004321D3" w:rsidRPr="00BC5C6D">
        <w:rPr>
          <w:position w:val="-10"/>
        </w:rPr>
        <w:object w:dxaOrig="420" w:dyaOrig="260" w14:anchorId="64CB0CBA">
          <v:shape id="_x0000_i1060" type="#_x0000_t75" style="width:21.3pt;height:12.65pt" o:ole="">
            <v:imagedata r:id="rId77" o:title=""/>
          </v:shape>
          <o:OLEObject Type="Embed" ProgID="Equation.DSMT4" ShapeID="_x0000_i1060" DrawAspect="Content" ObjectID="_1846930527" r:id="rId78"/>
        </w:object>
      </w:r>
      <w:r w:rsidRPr="00BC5C6D">
        <w:t>0.126). Compared with children of mothers with no formal education, the odds of full vaccination were 46% higher for children of mothers with primary education, 114% higher for children of mothers with secondary education, and 242% higher for children of mothers with higher education (</w:t>
      </w:r>
      <w:r w:rsidR="00953B98" w:rsidRPr="00BC5C6D">
        <w:rPr>
          <w:position w:val="-10"/>
        </w:rPr>
        <w:object w:dxaOrig="420" w:dyaOrig="260" w14:anchorId="5CB43627">
          <v:shape id="_x0000_i1061" type="#_x0000_t75" style="width:21.3pt;height:12.65pt" o:ole="">
            <v:imagedata r:id="rId79" o:title=""/>
          </v:shape>
          <o:OLEObject Type="Embed" ProgID="Equation.DSMT4" ShapeID="_x0000_i1061" DrawAspect="Content" ObjectID="_1846930528" r:id="rId80"/>
        </w:object>
      </w:r>
      <w:r w:rsidRPr="00BC5C6D">
        <w:t>0.001). Children from rich households had approximately twice the odds of being fully vaccinated compared with children from poor households (</w:t>
      </w:r>
      <w:r w:rsidR="00953B98" w:rsidRPr="00BC5C6D">
        <w:rPr>
          <w:position w:val="-10"/>
        </w:rPr>
        <w:object w:dxaOrig="420" w:dyaOrig="260" w14:anchorId="088E564E">
          <v:shape id="_x0000_i1062" type="#_x0000_t75" style="width:21.3pt;height:12.65pt" o:ole="">
            <v:imagedata r:id="rId81" o:title=""/>
          </v:shape>
          <o:OLEObject Type="Embed" ProgID="Equation.DSMT4" ShapeID="_x0000_i1062" DrawAspect="Content" ObjectID="_1846930529" r:id="rId82"/>
        </w:object>
      </w:r>
      <w:r w:rsidRPr="00BC5C6D">
        <w:t xml:space="preserve">0.001). Children living in urban areas were 36% more likely to be fully vaccinated than their rural counterparts (AOR = 1.36; </w:t>
      </w:r>
      <w:r w:rsidR="004321D3" w:rsidRPr="00BC5C6D">
        <w:rPr>
          <w:position w:val="-10"/>
        </w:rPr>
        <w:object w:dxaOrig="420" w:dyaOrig="260" w14:anchorId="5791A389">
          <v:shape id="_x0000_i1063" type="#_x0000_t75" style="width:21.3pt;height:12.65pt" o:ole="">
            <v:imagedata r:id="rId83" o:title=""/>
          </v:shape>
          <o:OLEObject Type="Embed" ProgID="Equation.DSMT4" ShapeID="_x0000_i1063" DrawAspect="Content" ObjectID="_1846930530" r:id="rId84"/>
        </w:object>
      </w:r>
      <w:r w:rsidRPr="00BC5C6D">
        <w:t>0.001). Children whose mothers attended at least four ANC visits were 79% more likely to be fully vaccinated than those whose mothers attended fewer than four visits (</w:t>
      </w:r>
      <w:r w:rsidR="00953B98" w:rsidRPr="00BC5C6D">
        <w:rPr>
          <w:position w:val="-10"/>
        </w:rPr>
        <w:object w:dxaOrig="420" w:dyaOrig="260" w14:anchorId="093B9743">
          <v:shape id="_x0000_i1064" type="#_x0000_t75" style="width:21.3pt;height:12.65pt" o:ole="">
            <v:imagedata r:id="rId85" o:title=""/>
          </v:shape>
          <o:OLEObject Type="Embed" ProgID="Equation.DSMT4" ShapeID="_x0000_i1064" DrawAspect="Content" ObjectID="_1846930531" r:id="rId86"/>
        </w:object>
      </w:r>
      <w:r w:rsidRPr="00BC5C6D">
        <w:t>0.001). Children delivered in health facilities were 92% more likely to be fully vaccinated than those delivered at home (</w:t>
      </w:r>
      <w:r w:rsidR="00953B98" w:rsidRPr="00BC5C6D">
        <w:rPr>
          <w:position w:val="-10"/>
        </w:rPr>
        <w:object w:dxaOrig="420" w:dyaOrig="260" w14:anchorId="4E26ACAC">
          <v:shape id="_x0000_i1065" type="#_x0000_t75" style="width:21.3pt;height:12.65pt" o:ole="">
            <v:imagedata r:id="rId87" o:title=""/>
          </v:shape>
          <o:OLEObject Type="Embed" ProgID="Equation.DSMT4" ShapeID="_x0000_i1065" DrawAspect="Content" ObjectID="_1846930532" r:id="rId88"/>
        </w:object>
      </w:r>
      <w:r w:rsidRPr="00BC5C6D">
        <w:t xml:space="preserve">0.001). Exposure to mass media increased the likelihood of full vaccination by 28% (AOR = 1.28; p = 0.011). High parity was associated with an 18% reduction in the odds of full vaccination (AOR = 0.82; 95% CI: 0.69–0.98; </w:t>
      </w:r>
      <w:r w:rsidR="004321D3" w:rsidRPr="00BC5C6D">
        <w:rPr>
          <w:position w:val="-10"/>
        </w:rPr>
        <w:object w:dxaOrig="420" w:dyaOrig="260" w14:anchorId="3CBB1954">
          <v:shape id="_x0000_i1066" type="#_x0000_t75" style="width:21.3pt;height:12.65pt" o:ole="">
            <v:imagedata r:id="rId89" o:title=""/>
          </v:shape>
          <o:OLEObject Type="Embed" ProgID="Equation.DSMT4" ShapeID="_x0000_i1066" DrawAspect="Content" ObjectID="_1846930533" r:id="rId90"/>
        </w:object>
      </w:r>
      <w:r w:rsidRPr="00BC5C6D">
        <w:t>0.034). Overall, maternal education, household wealth, use of healthcare services, urban residence, and media exposure were positively associated with full childhood vaccination, whereas high parity was associated with lower odds of full vaccination.</w:t>
      </w:r>
    </w:p>
    <w:p w14:paraId="68D23CB8" w14:textId="77777777" w:rsidR="00056C2A" w:rsidRPr="00BC5C6D" w:rsidRDefault="001D63AA" w:rsidP="00056C2A">
      <w:pPr>
        <w:pStyle w:val="Heading2"/>
        <w:rPr>
          <w:b w:val="0"/>
          <w:sz w:val="24"/>
          <w:szCs w:val="24"/>
        </w:rPr>
      </w:pPr>
      <w:r w:rsidRPr="00BC5C6D">
        <w:rPr>
          <w:b w:val="0"/>
          <w:sz w:val="24"/>
          <w:szCs w:val="24"/>
        </w:rPr>
        <w:t>4.5</w:t>
      </w:r>
      <w:r w:rsidR="00056C2A" w:rsidRPr="00BC5C6D">
        <w:rPr>
          <w:b w:val="0"/>
          <w:sz w:val="24"/>
          <w:szCs w:val="24"/>
        </w:rPr>
        <w:t xml:space="preserve"> </w:t>
      </w:r>
      <w:r w:rsidR="007C10ED" w:rsidRPr="00BC5C6D">
        <w:rPr>
          <w:b w:val="0"/>
          <w:sz w:val="24"/>
          <w:szCs w:val="24"/>
        </w:rPr>
        <w:t>Model Diagnostics</w:t>
      </w:r>
    </w:p>
    <w:p w14:paraId="64704472" w14:textId="77777777" w:rsidR="001D63AA" w:rsidRPr="00BC5C6D" w:rsidRDefault="001D63AA" w:rsidP="001D63AA">
      <w:pPr>
        <w:pStyle w:val="Heading2"/>
        <w:rPr>
          <w:b w:val="0"/>
          <w:sz w:val="24"/>
          <w:szCs w:val="24"/>
        </w:rPr>
      </w:pPr>
      <w:r w:rsidRPr="00BC5C6D">
        <w:rPr>
          <w:b w:val="0"/>
          <w:sz w:val="24"/>
          <w:szCs w:val="24"/>
        </w:rPr>
        <w:t xml:space="preserve">Table </w:t>
      </w:r>
      <w:r w:rsidR="00907CB9" w:rsidRPr="00BC5C6D">
        <w:rPr>
          <w:b w:val="0"/>
          <w:sz w:val="24"/>
          <w:szCs w:val="24"/>
        </w:rPr>
        <w:t>6</w:t>
      </w:r>
      <w:r w:rsidRPr="00BC5C6D">
        <w:rPr>
          <w:b w:val="0"/>
          <w:sz w:val="24"/>
          <w:szCs w:val="24"/>
        </w:rPr>
        <w:t xml:space="preserve"> Model Diagnostics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08"/>
        <w:gridCol w:w="3935"/>
      </w:tblGrid>
      <w:tr w:rsidR="002A2B37" w:rsidRPr="00BC5C6D" w14:paraId="6AB13EDA" w14:textId="77777777" w:rsidTr="00056C2A">
        <w:trPr>
          <w:tblHeader/>
          <w:tblCellSpacing w:w="15" w:type="dxa"/>
        </w:trPr>
        <w:tc>
          <w:tcPr>
            <w:tcW w:w="0" w:type="auto"/>
            <w:vAlign w:val="center"/>
            <w:hideMark/>
          </w:tcPr>
          <w:p w14:paraId="41FEAEF1" w14:textId="77777777" w:rsidR="00056C2A" w:rsidRPr="00BC5C6D" w:rsidRDefault="00370AEB" w:rsidP="00370AEB">
            <w:pPr>
              <w:jc w:val="center"/>
              <w:rPr>
                <w:rFonts w:ascii="Times New Roman" w:hAnsi="Times New Roman" w:cs="Times New Roman"/>
                <w:b/>
                <w:bCs/>
                <w:sz w:val="24"/>
                <w:szCs w:val="24"/>
              </w:rPr>
            </w:pPr>
            <w:r w:rsidRPr="00BC5C6D">
              <w:rPr>
                <w:rFonts w:ascii="Times New Roman" w:hAnsi="Times New Roman" w:cs="Times New Roman"/>
                <w:b/>
                <w:bCs/>
                <w:sz w:val="24"/>
                <w:szCs w:val="24"/>
              </w:rPr>
              <w:t xml:space="preserve">         S</w:t>
            </w:r>
            <w:r w:rsidR="00056C2A" w:rsidRPr="00BC5C6D">
              <w:rPr>
                <w:rFonts w:ascii="Times New Roman" w:hAnsi="Times New Roman" w:cs="Times New Roman"/>
                <w:b/>
                <w:bCs/>
                <w:sz w:val="24"/>
                <w:szCs w:val="24"/>
              </w:rPr>
              <w:t>tatistic</w:t>
            </w:r>
          </w:p>
        </w:tc>
        <w:tc>
          <w:tcPr>
            <w:tcW w:w="0" w:type="auto"/>
            <w:vAlign w:val="center"/>
            <w:hideMark/>
          </w:tcPr>
          <w:p w14:paraId="628A321C" w14:textId="77777777" w:rsidR="00056C2A" w:rsidRPr="00BC5C6D" w:rsidRDefault="0056188A">
            <w:pPr>
              <w:jc w:val="center"/>
              <w:rPr>
                <w:rFonts w:ascii="Times New Roman" w:hAnsi="Times New Roman" w:cs="Times New Roman"/>
                <w:b/>
                <w:bCs/>
                <w:sz w:val="24"/>
                <w:szCs w:val="24"/>
              </w:rPr>
            </w:pPr>
            <w:r w:rsidRPr="00BC5C6D">
              <w:rPr>
                <w:rFonts w:ascii="Times New Roman" w:hAnsi="Times New Roman" w:cs="Times New Roman"/>
                <w:b/>
                <w:bCs/>
                <w:sz w:val="24"/>
                <w:szCs w:val="24"/>
              </w:rPr>
              <w:t xml:space="preserve">                                           </w:t>
            </w:r>
            <w:r w:rsidR="00056C2A" w:rsidRPr="00BC5C6D">
              <w:rPr>
                <w:rFonts w:ascii="Times New Roman" w:hAnsi="Times New Roman" w:cs="Times New Roman"/>
                <w:b/>
                <w:bCs/>
                <w:sz w:val="24"/>
                <w:szCs w:val="24"/>
              </w:rPr>
              <w:t>Value</w:t>
            </w:r>
          </w:p>
        </w:tc>
      </w:tr>
      <w:tr w:rsidR="002A2B37" w:rsidRPr="00BC5C6D" w14:paraId="0B7B9997" w14:textId="77777777" w:rsidTr="00056C2A">
        <w:trPr>
          <w:tblCellSpacing w:w="15" w:type="dxa"/>
        </w:trPr>
        <w:tc>
          <w:tcPr>
            <w:tcW w:w="0" w:type="auto"/>
            <w:vAlign w:val="center"/>
            <w:hideMark/>
          </w:tcPr>
          <w:p w14:paraId="2CC51381" w14:textId="77777777" w:rsidR="00056C2A" w:rsidRPr="00BC5C6D" w:rsidRDefault="00370AEB">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Observations</w:t>
            </w:r>
          </w:p>
        </w:tc>
        <w:tc>
          <w:tcPr>
            <w:tcW w:w="0" w:type="auto"/>
            <w:vAlign w:val="center"/>
            <w:hideMark/>
          </w:tcPr>
          <w:p w14:paraId="1F89FB54" w14:textId="77777777" w:rsidR="00056C2A" w:rsidRPr="00BC5C6D" w:rsidRDefault="0056188A">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4,556</w:t>
            </w:r>
          </w:p>
        </w:tc>
      </w:tr>
      <w:tr w:rsidR="002A2B37" w:rsidRPr="00BC5C6D" w14:paraId="422350C4" w14:textId="77777777" w:rsidTr="00056C2A">
        <w:trPr>
          <w:tblCellSpacing w:w="15" w:type="dxa"/>
        </w:trPr>
        <w:tc>
          <w:tcPr>
            <w:tcW w:w="0" w:type="auto"/>
            <w:vAlign w:val="center"/>
            <w:hideMark/>
          </w:tcPr>
          <w:p w14:paraId="1FBFE1B1" w14:textId="77777777" w:rsidR="00056C2A" w:rsidRPr="00BC5C6D" w:rsidRDefault="00370AEB">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Log-likelihood</w:t>
            </w:r>
            <w:r w:rsidR="0056188A" w:rsidRPr="00BC5C6D">
              <w:rPr>
                <w:rFonts w:ascii="Times New Roman" w:hAnsi="Times New Roman" w:cs="Times New Roman"/>
                <w:sz w:val="24"/>
                <w:szCs w:val="24"/>
              </w:rPr>
              <w:t xml:space="preserve">                 </w:t>
            </w:r>
          </w:p>
        </w:tc>
        <w:tc>
          <w:tcPr>
            <w:tcW w:w="0" w:type="auto"/>
            <w:vAlign w:val="center"/>
            <w:hideMark/>
          </w:tcPr>
          <w:p w14:paraId="1F4200BF" w14:textId="77777777" w:rsidR="00056C2A" w:rsidRPr="00BC5C6D" w:rsidRDefault="0056188A">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-2,194.62</w:t>
            </w:r>
          </w:p>
        </w:tc>
      </w:tr>
      <w:tr w:rsidR="002A2B37" w:rsidRPr="00BC5C6D" w14:paraId="0568BC3E" w14:textId="77777777" w:rsidTr="00056C2A">
        <w:trPr>
          <w:tblCellSpacing w:w="15" w:type="dxa"/>
        </w:trPr>
        <w:tc>
          <w:tcPr>
            <w:tcW w:w="0" w:type="auto"/>
            <w:vAlign w:val="center"/>
            <w:hideMark/>
          </w:tcPr>
          <w:p w14:paraId="5FDE3D94" w14:textId="77777777" w:rsidR="00056C2A" w:rsidRPr="00BC5C6D" w:rsidRDefault="00370AEB">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Wald χ²</w:t>
            </w:r>
          </w:p>
        </w:tc>
        <w:tc>
          <w:tcPr>
            <w:tcW w:w="0" w:type="auto"/>
            <w:vAlign w:val="center"/>
            <w:hideMark/>
          </w:tcPr>
          <w:p w14:paraId="6BED3074" w14:textId="77777777" w:rsidR="00056C2A" w:rsidRPr="00BC5C6D" w:rsidRDefault="00370AEB">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284.73</w:t>
            </w:r>
          </w:p>
        </w:tc>
      </w:tr>
      <w:tr w:rsidR="002A2B37" w:rsidRPr="00BC5C6D" w14:paraId="0725AB82" w14:textId="77777777" w:rsidTr="00056C2A">
        <w:trPr>
          <w:tblCellSpacing w:w="15" w:type="dxa"/>
        </w:trPr>
        <w:tc>
          <w:tcPr>
            <w:tcW w:w="0" w:type="auto"/>
            <w:vAlign w:val="center"/>
            <w:hideMark/>
          </w:tcPr>
          <w:p w14:paraId="1E0A51CB" w14:textId="77777777" w:rsidR="00056C2A" w:rsidRPr="00BC5C6D" w:rsidRDefault="00370AEB">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Prob &gt; χ²</w:t>
            </w:r>
          </w:p>
        </w:tc>
        <w:tc>
          <w:tcPr>
            <w:tcW w:w="0" w:type="auto"/>
            <w:vAlign w:val="center"/>
            <w:hideMark/>
          </w:tcPr>
          <w:p w14:paraId="0CF0A63A" w14:textId="77777777" w:rsidR="00056C2A" w:rsidRPr="00BC5C6D" w:rsidRDefault="00370AEB">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&lt;0.001</w:t>
            </w:r>
          </w:p>
        </w:tc>
      </w:tr>
      <w:tr w:rsidR="002A2B37" w:rsidRPr="00BC5C6D" w14:paraId="70C5A546" w14:textId="77777777" w:rsidTr="00056C2A">
        <w:trPr>
          <w:tblCellSpacing w:w="15" w:type="dxa"/>
        </w:trPr>
        <w:tc>
          <w:tcPr>
            <w:tcW w:w="0" w:type="auto"/>
            <w:vAlign w:val="center"/>
            <w:hideMark/>
          </w:tcPr>
          <w:p w14:paraId="4B3142B0" w14:textId="77777777" w:rsidR="00056C2A" w:rsidRPr="00BC5C6D" w:rsidRDefault="00370AEB">
            <w:pPr>
              <w:rPr>
                <w:rFonts w:ascii="Times New Roman" w:hAnsi="Times New Roman" w:cs="Times New Roman"/>
                <w:sz w:val="24"/>
                <w:szCs w:val="24"/>
              </w:rPr>
            </w:pPr>
            <w:r w:rsidRPr="00BC5C6D">
              <w:rPr>
                <w:rFonts w:ascii="Times New Roman" w:hAnsi="Times New Roman" w:cs="Times New Roman"/>
                <w:sz w:val="24"/>
                <w:szCs w:val="24"/>
              </w:rPr>
              <w:lastRenderedPageBreak/>
              <w:t xml:space="preserve">                            </w:t>
            </w:r>
            <w:r w:rsidR="00056C2A" w:rsidRPr="00BC5C6D">
              <w:rPr>
                <w:rFonts w:ascii="Times New Roman" w:hAnsi="Times New Roman" w:cs="Times New Roman"/>
                <w:sz w:val="24"/>
                <w:szCs w:val="24"/>
              </w:rPr>
              <w:t>Pseudo R²</w:t>
            </w:r>
          </w:p>
        </w:tc>
        <w:tc>
          <w:tcPr>
            <w:tcW w:w="0" w:type="auto"/>
            <w:vAlign w:val="center"/>
            <w:hideMark/>
          </w:tcPr>
          <w:p w14:paraId="3BD83713" w14:textId="77777777" w:rsidR="00056C2A" w:rsidRPr="00BC5C6D" w:rsidRDefault="00370AEB">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0.218</w:t>
            </w:r>
          </w:p>
        </w:tc>
      </w:tr>
      <w:tr w:rsidR="002A2B37" w:rsidRPr="00BC5C6D" w14:paraId="20B38945" w14:textId="77777777" w:rsidTr="00056C2A">
        <w:trPr>
          <w:tblCellSpacing w:w="15" w:type="dxa"/>
        </w:trPr>
        <w:tc>
          <w:tcPr>
            <w:tcW w:w="0" w:type="auto"/>
            <w:vAlign w:val="center"/>
            <w:hideMark/>
          </w:tcPr>
          <w:p w14:paraId="6962524F" w14:textId="77777777" w:rsidR="00056C2A" w:rsidRPr="00BC5C6D" w:rsidRDefault="00370AEB" w:rsidP="00370AEB">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Hosmer–</w:t>
            </w:r>
            <w:proofErr w:type="spellStart"/>
            <w:r w:rsidR="00056C2A" w:rsidRPr="00BC5C6D">
              <w:rPr>
                <w:rFonts w:ascii="Times New Roman" w:hAnsi="Times New Roman" w:cs="Times New Roman"/>
                <w:sz w:val="24"/>
                <w:szCs w:val="24"/>
              </w:rPr>
              <w:t>Lemeshow</w:t>
            </w:r>
            <w:proofErr w:type="spellEnd"/>
            <w:r w:rsidR="00056C2A" w:rsidRPr="00BC5C6D">
              <w:rPr>
                <w:rFonts w:ascii="Times New Roman" w:hAnsi="Times New Roman" w:cs="Times New Roman"/>
                <w:sz w:val="24"/>
                <w:szCs w:val="24"/>
              </w:rPr>
              <w:t xml:space="preserve"> </w:t>
            </w:r>
          </w:p>
        </w:tc>
        <w:tc>
          <w:tcPr>
            <w:tcW w:w="0" w:type="auto"/>
            <w:vAlign w:val="center"/>
            <w:hideMark/>
          </w:tcPr>
          <w:p w14:paraId="7BFC7F7B" w14:textId="77777777" w:rsidR="00056C2A" w:rsidRPr="00BC5C6D" w:rsidRDefault="00370AEB">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0.481</w:t>
            </w:r>
          </w:p>
        </w:tc>
      </w:tr>
      <w:tr w:rsidR="002A2B37" w:rsidRPr="00BC5C6D" w14:paraId="2A7965B8" w14:textId="77777777" w:rsidTr="00056C2A">
        <w:trPr>
          <w:tblCellSpacing w:w="15" w:type="dxa"/>
        </w:trPr>
        <w:tc>
          <w:tcPr>
            <w:tcW w:w="0" w:type="auto"/>
            <w:vAlign w:val="center"/>
            <w:hideMark/>
          </w:tcPr>
          <w:p w14:paraId="22A5F203" w14:textId="77777777" w:rsidR="00056C2A" w:rsidRPr="00BC5C6D" w:rsidRDefault="00370AEB">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Area under ROC curve</w:t>
            </w:r>
            <w:r w:rsidRPr="00BC5C6D">
              <w:rPr>
                <w:rFonts w:ascii="Times New Roman" w:hAnsi="Times New Roman" w:cs="Times New Roman"/>
                <w:sz w:val="24"/>
                <w:szCs w:val="24"/>
              </w:rPr>
              <w:t xml:space="preserve">                                </w:t>
            </w:r>
          </w:p>
        </w:tc>
        <w:tc>
          <w:tcPr>
            <w:tcW w:w="0" w:type="auto"/>
            <w:vAlign w:val="center"/>
            <w:hideMark/>
          </w:tcPr>
          <w:p w14:paraId="53421DAD" w14:textId="77777777" w:rsidR="00056C2A" w:rsidRPr="00BC5C6D" w:rsidRDefault="00370AEB">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0.821</w:t>
            </w:r>
          </w:p>
        </w:tc>
      </w:tr>
      <w:tr w:rsidR="002A2B37" w:rsidRPr="00BC5C6D" w14:paraId="288165A7" w14:textId="77777777" w:rsidTr="00056C2A">
        <w:trPr>
          <w:tblCellSpacing w:w="15" w:type="dxa"/>
        </w:trPr>
        <w:tc>
          <w:tcPr>
            <w:tcW w:w="0" w:type="auto"/>
            <w:vAlign w:val="center"/>
            <w:hideMark/>
          </w:tcPr>
          <w:p w14:paraId="0E3FFE97" w14:textId="77777777" w:rsidR="00056C2A" w:rsidRPr="00BC5C6D" w:rsidRDefault="00370AEB">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Classification accuracy</w:t>
            </w:r>
          </w:p>
        </w:tc>
        <w:tc>
          <w:tcPr>
            <w:tcW w:w="0" w:type="auto"/>
            <w:vAlign w:val="center"/>
            <w:hideMark/>
          </w:tcPr>
          <w:p w14:paraId="4816A9EB" w14:textId="77777777" w:rsidR="00056C2A" w:rsidRPr="00BC5C6D" w:rsidRDefault="00370AEB">
            <w:pPr>
              <w:rPr>
                <w:rFonts w:ascii="Times New Roman" w:hAnsi="Times New Roman" w:cs="Times New Roman"/>
                <w:sz w:val="24"/>
                <w:szCs w:val="24"/>
              </w:rPr>
            </w:pPr>
            <w:r w:rsidRPr="00BC5C6D">
              <w:rPr>
                <w:rFonts w:ascii="Times New Roman" w:hAnsi="Times New Roman" w:cs="Times New Roman"/>
                <w:sz w:val="24"/>
                <w:szCs w:val="24"/>
              </w:rPr>
              <w:t xml:space="preserve">                                                </w:t>
            </w:r>
            <w:r w:rsidR="00056C2A" w:rsidRPr="00BC5C6D">
              <w:rPr>
                <w:rFonts w:ascii="Times New Roman" w:hAnsi="Times New Roman" w:cs="Times New Roman"/>
                <w:sz w:val="24"/>
                <w:szCs w:val="24"/>
              </w:rPr>
              <w:t>79.3%</w:t>
            </w:r>
          </w:p>
        </w:tc>
      </w:tr>
    </w:tbl>
    <w:p w14:paraId="072583E0" w14:textId="77777777" w:rsidR="000355E4" w:rsidRPr="00BC5C6D" w:rsidRDefault="000355E4" w:rsidP="00482107">
      <w:pPr>
        <w:pStyle w:val="NormalWeb"/>
        <w:jc w:val="both"/>
      </w:pPr>
      <w:r w:rsidRPr="00BC5C6D">
        <w:t xml:space="preserve">The model was fitted using 4,556 observations and was statistically significant overall (Wald χ² = 284.73, </w:t>
      </w:r>
      <w:r w:rsidR="00482107" w:rsidRPr="00BC5C6D">
        <w:rPr>
          <w:position w:val="-10"/>
        </w:rPr>
        <w:object w:dxaOrig="420" w:dyaOrig="260" w14:anchorId="70C772FF">
          <v:shape id="_x0000_i1067" type="#_x0000_t75" style="width:21.3pt;height:12.65pt" o:ole="">
            <v:imagedata r:id="rId85" o:title=""/>
          </v:shape>
          <o:OLEObject Type="Embed" ProgID="Equation.DSMT4" ShapeID="_x0000_i1067" DrawAspect="Content" ObjectID="_1846930534" r:id="rId91"/>
        </w:object>
      </w:r>
      <w:r w:rsidRPr="00BC5C6D">
        <w:t>0.001). This indicates that the explanatory variables jointly predicted childhood vaccination uptake. The pseudo-</w:t>
      </w:r>
      <w:r w:rsidR="00482107" w:rsidRPr="00BC5C6D">
        <w:rPr>
          <w:position w:val="-4"/>
        </w:rPr>
        <w:object w:dxaOrig="320" w:dyaOrig="300" w14:anchorId="2E93856B">
          <v:shape id="_x0000_i1068" type="#_x0000_t75" style="width:16.7pt;height:15pt" o:ole="">
            <v:imagedata r:id="rId92" o:title=""/>
          </v:shape>
          <o:OLEObject Type="Embed" ProgID="Equation.DSMT4" ShapeID="_x0000_i1068" DrawAspect="Content" ObjectID="_1846930535" r:id="rId93"/>
        </w:object>
      </w:r>
      <w:r w:rsidRPr="00BC5C6D">
        <w:t xml:space="preserve"> value of 0.218 indicates that the model accounted for approximately 21.8% of the variation in vaccination status. The Hosmer–</w:t>
      </w:r>
      <w:proofErr w:type="spellStart"/>
      <w:r w:rsidRPr="00BC5C6D">
        <w:t>Lemeshow</w:t>
      </w:r>
      <w:proofErr w:type="spellEnd"/>
      <w:r w:rsidRPr="00BC5C6D">
        <w:t xml:space="preserve"> test (</w:t>
      </w:r>
      <w:r w:rsidR="00482107" w:rsidRPr="00BC5C6D">
        <w:rPr>
          <w:position w:val="-10"/>
        </w:rPr>
        <w:object w:dxaOrig="420" w:dyaOrig="260" w14:anchorId="6C72192F">
          <v:shape id="_x0000_i1069" type="#_x0000_t75" style="width:21.3pt;height:12.65pt" o:ole="">
            <v:imagedata r:id="rId94" o:title=""/>
          </v:shape>
          <o:OLEObject Type="Embed" ProgID="Equation.DSMT4" ShapeID="_x0000_i1069" DrawAspect="Content" ObjectID="_1846930536" r:id="rId95"/>
        </w:object>
      </w:r>
      <w:r w:rsidRPr="00BC5C6D">
        <w:t>0.481) indicated an adequate model fit because the test was not statistically significant. The area under the ROC curve (AUC = 0.821) indicated good discriminatory ability, and the overall classification accuracy was 79.3%, meaning that the model correctly classified approximately four out of every five children.</w:t>
      </w:r>
    </w:p>
    <w:p w14:paraId="4540D170" w14:textId="77777777" w:rsidR="00B83A4B" w:rsidRPr="00BC5C6D" w:rsidRDefault="00B83A4B" w:rsidP="00977547">
      <w:pPr>
        <w:pStyle w:val="Heading2"/>
        <w:jc w:val="both"/>
        <w:rPr>
          <w:b w:val="0"/>
          <w:sz w:val="24"/>
          <w:szCs w:val="24"/>
        </w:rPr>
      </w:pPr>
    </w:p>
    <w:p w14:paraId="62AF7DD7" w14:textId="77777777" w:rsidR="0088413F" w:rsidRPr="00BC5C6D" w:rsidRDefault="0088413F" w:rsidP="00977547">
      <w:pPr>
        <w:pStyle w:val="Heading2"/>
        <w:jc w:val="both"/>
        <w:rPr>
          <w:b w:val="0"/>
          <w:sz w:val="24"/>
          <w:szCs w:val="24"/>
        </w:rPr>
      </w:pPr>
    </w:p>
    <w:p w14:paraId="017B9E3D" w14:textId="77777777" w:rsidR="00DA3E4F" w:rsidRPr="00BC5C6D" w:rsidRDefault="00DA3E4F" w:rsidP="00DA3E4F">
      <w:pPr>
        <w:spacing w:before="100" w:beforeAutospacing="1" w:after="100" w:afterAutospacing="1" w:line="240" w:lineRule="auto"/>
        <w:outlineLvl w:val="1"/>
        <w:rPr>
          <w:rFonts w:ascii="Times New Roman" w:eastAsia="Times New Roman" w:hAnsi="Times New Roman" w:cs="Times New Roman"/>
          <w:bCs/>
          <w:sz w:val="24"/>
          <w:szCs w:val="24"/>
        </w:rPr>
      </w:pPr>
      <w:r w:rsidRPr="00BC5C6D">
        <w:rPr>
          <w:rFonts w:ascii="Times New Roman" w:eastAsia="Times New Roman" w:hAnsi="Times New Roman" w:cs="Times New Roman"/>
          <w:bCs/>
          <w:sz w:val="24"/>
          <w:szCs w:val="24"/>
        </w:rPr>
        <w:t>5.1 Summary of Major Findings</w:t>
      </w:r>
    </w:p>
    <w:p w14:paraId="7E724AAC" w14:textId="77777777" w:rsidR="0088413F" w:rsidRPr="00BC5C6D" w:rsidRDefault="0088413F" w:rsidP="0088413F">
      <w:pPr>
        <w:spacing w:before="100" w:beforeAutospacing="1" w:after="100" w:afterAutospacing="1" w:line="240" w:lineRule="auto"/>
        <w:jc w:val="both"/>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This study examined the effects of maternal and household characteristics on childhood vaccination uptake in Nigeria using NDHS data. Descriptive statistics, survey-adjusted chi-square tests, and survey-weighted binary logistic regression were used to identify factors associated with complete childhood vaccination. The descriptive analysis showed that, although many children were fully vaccinated, a substantial proportion remained partially vaccinated or unvaccinated, indicating persistent gaps in vaccination uptake. The bivariate analysis showed that maternal education, maternal age, antenatal care attendance, health-facility delivery, household wealth, place of residence, media exposure, and parity were associated with childhood vaccination. The multivariable analysis identified maternal education and household wealth as important predictors of complete childhood immunisation. Full vaccination was also more common among children whose mothers attended the recommended number of antenatal care visits and delivered in health facilities, possibly because of greater access to counselling and referral. Vaccination uptake was higher in urban than in rural settings, reflecting disparities in healthcare services, infrastructure, and human resources. Greater exposure to vaccination information through mass media may increase awareness and acceptance of vaccination messages. Higher maternal parity was associated with lower vaccination uptake, potentially because of competing household demands and the financial pressures experienced by larger families.</w:t>
      </w:r>
    </w:p>
    <w:p w14:paraId="01A79164" w14:textId="77777777" w:rsidR="00DA3E4F" w:rsidRPr="00BC5C6D" w:rsidRDefault="00DA3E4F" w:rsidP="00DA3E4F">
      <w:pPr>
        <w:spacing w:before="100" w:beforeAutospacing="1" w:after="100" w:afterAutospacing="1" w:line="240" w:lineRule="auto"/>
        <w:outlineLvl w:val="1"/>
        <w:rPr>
          <w:rFonts w:ascii="Times New Roman" w:eastAsia="Times New Roman" w:hAnsi="Times New Roman" w:cs="Times New Roman"/>
          <w:bCs/>
          <w:sz w:val="24"/>
          <w:szCs w:val="24"/>
        </w:rPr>
      </w:pPr>
      <w:r w:rsidRPr="00BC5C6D">
        <w:rPr>
          <w:rFonts w:ascii="Times New Roman" w:eastAsia="Times New Roman" w:hAnsi="Times New Roman" w:cs="Times New Roman"/>
          <w:bCs/>
          <w:sz w:val="24"/>
          <w:szCs w:val="24"/>
        </w:rPr>
        <w:t>5.2 Conclusion</w:t>
      </w:r>
    </w:p>
    <w:p w14:paraId="14814D5F" w14:textId="77777777" w:rsidR="0088413F" w:rsidRPr="00BC5C6D" w:rsidRDefault="0088413F" w:rsidP="0088413F">
      <w:pPr>
        <w:spacing w:before="100" w:beforeAutospacing="1" w:after="100" w:afterAutospacing="1" w:line="240" w:lineRule="auto"/>
        <w:jc w:val="both"/>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lastRenderedPageBreak/>
        <w:t>In conclusion, the illustrative findings indicate that childhood vaccination coverage in Nigeria is influenced by several maternal and household factors. Maternal education, household wealth, use of antenatal care, place of delivery, media exposure, and urban residence were positively associated with full childhood immunisation, whereas higher parity was associated with a lower probability of full vaccination. These findings suggest that, alongside health-sector interventions, equitable vaccination coverage and reductions in child mortality may be supported by improvements in women’s education, poverty reduction, stronger maternal healthcare services, increased access to primary healthcare facilities, and targeted health communication strategies.</w:t>
      </w:r>
    </w:p>
    <w:p w14:paraId="3F81F727" w14:textId="77777777" w:rsidR="00CC6E81" w:rsidRPr="00BC5C6D" w:rsidRDefault="00CC6E81" w:rsidP="00CC6E81">
      <w:pPr>
        <w:pStyle w:val="Heading3"/>
        <w:rPr>
          <w:b w:val="0"/>
          <w:sz w:val="24"/>
          <w:szCs w:val="24"/>
        </w:rPr>
      </w:pPr>
      <w:r w:rsidRPr="00BC5C6D">
        <w:rPr>
          <w:b w:val="0"/>
          <w:sz w:val="24"/>
          <w:szCs w:val="24"/>
        </w:rPr>
        <w:t>5.3 Policy Recommendations</w:t>
      </w:r>
    </w:p>
    <w:p w14:paraId="77F356A3" w14:textId="77777777" w:rsidR="0088413F" w:rsidRPr="00BC5C6D" w:rsidRDefault="0088413F" w:rsidP="0088413F">
      <w:pPr>
        <w:pStyle w:val="NormalWeb"/>
        <w:jc w:val="both"/>
      </w:pPr>
      <w:r w:rsidRPr="00BC5C6D">
        <w:t>The Government and relevant stakeholders should strengthen female education by increasing investment in girls’ education and adult literacy programmes, as higher maternal education is associated with improved health literacy and childhood vaccination uptake. Equitable access to quality antenatal care should be improved by integrating comprehensive immunisation information into maternal health services. Policies that facilitate skilled birth attendance and health-facility delivery should also be strengthened because these services can provide timely immunisation counselling and enrolment in vaccination programmes. Socioeconomic barriers may be addressed through expanded social protection, reduced indirect healthcare costs, transport support for disadvantaged communities, reliable vaccine supplies, and greater investment in rural health systems, including infrastructure, staffing, cold-chain capacity, transport logistics, and outreach. Public education should be strengthened through radio, television, the internet, opinion leaders, and community-based organisations, including religious groups, to promote vaccine acceptance and address myths and misconceptions. Community health workers should prioritise the follow-up of high-parity households. Strengthening digital immunisation registries, community-based surveillance systems, and multisectoral collaboration among the Ministries of Health, Education, Women Affairs, Information, and Social Development may improve equity in vaccination access.</w:t>
      </w:r>
    </w:p>
    <w:p w14:paraId="4D4FAE0A" w14:textId="77777777" w:rsidR="002C7352" w:rsidRPr="00BC5C6D" w:rsidRDefault="0088413F" w:rsidP="0088413F">
      <w:pPr>
        <w:pStyle w:val="Heading3"/>
        <w:rPr>
          <w:b w:val="0"/>
          <w:bCs w:val="0"/>
        </w:rPr>
      </w:pPr>
      <w:r w:rsidRPr="00BC5C6D">
        <w:rPr>
          <w:b w:val="0"/>
          <w:bCs w:val="0"/>
        </w:rPr>
        <w:t>5.4 Recommendations for Future Studies</w:t>
      </w:r>
    </w:p>
    <w:p w14:paraId="04D4952C" w14:textId="77777777" w:rsidR="00E019CE" w:rsidRPr="00BC5C6D" w:rsidRDefault="0088413F" w:rsidP="00372D2F">
      <w:pPr>
        <w:spacing w:before="100" w:beforeAutospacing="1" w:after="100" w:afterAutospacing="1" w:line="240" w:lineRule="auto"/>
        <w:jc w:val="both"/>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t>This study provides empirical evidence on the factors associated with childhood vaccination coverage in Nigeria. Further longitudinal research is needed to clarify causal relationships. Future studies should examine community, cultural, and health-system factors, including vaccine availability, service quality, healthcare-provider attitudes, distance to health facilities, and stock-outs. Multilevel analytical techniques could be used to distinguish individual-, household-, and community-level influences on regional differences. Qualitative approaches may also be used to explore parental perceptions of and hesitancy towards vaccination. Analyses of successive NDHS datasets could assess trends and policy effects. The roles of digital reminders, electronic health records, mobile health (m-health), community outreach, and related interventions should also be investigated.</w:t>
      </w:r>
    </w:p>
    <w:p w14:paraId="3A413880" w14:textId="0AFF2FD8" w:rsidR="00BC5C6D" w:rsidRPr="00BC5C6D" w:rsidRDefault="00BC5C6D" w:rsidP="00BC5C6D">
      <w:pPr>
        <w:spacing w:before="100" w:beforeAutospacing="1" w:after="100" w:afterAutospacing="1" w:line="240" w:lineRule="auto"/>
        <w:jc w:val="both"/>
        <w:rPr>
          <w:rFonts w:ascii="Times New Roman" w:eastAsia="Times New Roman" w:hAnsi="Times New Roman" w:cs="Times New Roman"/>
          <w:b/>
          <w:bCs/>
          <w:sz w:val="24"/>
          <w:szCs w:val="24"/>
        </w:rPr>
      </w:pPr>
      <w:r w:rsidRPr="00BC5C6D">
        <w:rPr>
          <w:rFonts w:ascii="Times New Roman" w:eastAsia="Times New Roman" w:hAnsi="Times New Roman" w:cs="Times New Roman"/>
          <w:sz w:val="24"/>
          <w:szCs w:val="24"/>
        </w:rPr>
        <w:t xml:space="preserve"> </w:t>
      </w:r>
      <w:r w:rsidRPr="00BC5C6D">
        <w:rPr>
          <w:rFonts w:ascii="Times New Roman" w:eastAsia="Times New Roman" w:hAnsi="Times New Roman" w:cs="Times New Roman"/>
          <w:b/>
          <w:bCs/>
          <w:sz w:val="24"/>
          <w:szCs w:val="24"/>
        </w:rPr>
        <w:t>5.5 Limitations</w:t>
      </w:r>
    </w:p>
    <w:p w14:paraId="732163EF" w14:textId="77777777" w:rsidR="00BC5C6D" w:rsidRPr="00BC5C6D" w:rsidRDefault="00BC5C6D" w:rsidP="00BC5C6D">
      <w:pPr>
        <w:spacing w:before="100" w:beforeAutospacing="1" w:after="100" w:afterAutospacing="1" w:line="240" w:lineRule="auto"/>
        <w:jc w:val="both"/>
        <w:rPr>
          <w:rFonts w:ascii="Times New Roman" w:eastAsia="Times New Roman" w:hAnsi="Times New Roman" w:cs="Times New Roman"/>
          <w:sz w:val="24"/>
          <w:szCs w:val="24"/>
        </w:rPr>
      </w:pPr>
    </w:p>
    <w:p w14:paraId="3EF2BCC9" w14:textId="635F3CB8" w:rsidR="00BC5C6D" w:rsidRPr="00BC5C6D" w:rsidRDefault="00BC5C6D" w:rsidP="00BC5C6D">
      <w:pPr>
        <w:spacing w:before="100" w:beforeAutospacing="1" w:after="100" w:afterAutospacing="1" w:line="240" w:lineRule="auto"/>
        <w:jc w:val="both"/>
        <w:rPr>
          <w:rFonts w:ascii="Times New Roman" w:eastAsia="Times New Roman" w:hAnsi="Times New Roman" w:cs="Times New Roman"/>
          <w:sz w:val="24"/>
          <w:szCs w:val="24"/>
        </w:rPr>
      </w:pPr>
      <w:r w:rsidRPr="00BC5C6D">
        <w:rPr>
          <w:rFonts w:ascii="Times New Roman" w:eastAsia="Times New Roman" w:hAnsi="Times New Roman" w:cs="Times New Roman"/>
          <w:sz w:val="24"/>
          <w:szCs w:val="24"/>
        </w:rPr>
        <w:lastRenderedPageBreak/>
        <w:t xml:space="preserve">The cross-sectional design limits causal interpretation, and the analysis identifies associations rather than temporal or causal effects. Reliance on secondary survey data may introduce recall or recording error, particularly when vaccination cards are unavailable. The available variables may not fully capture community, cultural, </w:t>
      </w:r>
      <w:proofErr w:type="spellStart"/>
      <w:r w:rsidRPr="00BC5C6D">
        <w:rPr>
          <w:rFonts w:ascii="Times New Roman" w:eastAsia="Times New Roman" w:hAnsi="Times New Roman" w:cs="Times New Roman"/>
          <w:sz w:val="24"/>
          <w:szCs w:val="24"/>
        </w:rPr>
        <w:t>behavioural</w:t>
      </w:r>
      <w:proofErr w:type="spellEnd"/>
      <w:r w:rsidRPr="00BC5C6D">
        <w:rPr>
          <w:rFonts w:ascii="Times New Roman" w:eastAsia="Times New Roman" w:hAnsi="Times New Roman" w:cs="Times New Roman"/>
          <w:sz w:val="24"/>
          <w:szCs w:val="24"/>
        </w:rPr>
        <w:t xml:space="preserve">, and health-system influences, including vaccine stock-outs, service quality, provider attitudes, distance to facilities, and parental hesitancy. Future studies should employ longitudinal or prospective designs to clarify the temporal sequence and potential causal pathways linking maternal and household factors to childhood vaccination uptake. Multilevel analyses are also recommended to distinguish individual-, household-, community-, and health-system-level influences. </w:t>
      </w:r>
    </w:p>
    <w:p w14:paraId="6A6B5CCC" w14:textId="77777777" w:rsidR="0061619D" w:rsidRPr="00BC5C6D" w:rsidRDefault="0061619D" w:rsidP="0061619D">
      <w:pPr>
        <w:spacing w:after="0" w:line="240" w:lineRule="auto"/>
        <w:rPr>
          <w:rFonts w:ascii="Times New Roman" w:hAnsi="Times New Roman" w:cs="Times New Roman"/>
          <w:b/>
        </w:rPr>
      </w:pPr>
      <w:r w:rsidRPr="00BC5C6D">
        <w:rPr>
          <w:rFonts w:ascii="Times New Roman" w:hAnsi="Times New Roman" w:cs="Times New Roman"/>
          <w:b/>
        </w:rPr>
        <w:t>Declaration of AI Use</w:t>
      </w:r>
    </w:p>
    <w:p w14:paraId="33D3F792" w14:textId="77777777" w:rsidR="0061619D" w:rsidRPr="00BC5C6D" w:rsidRDefault="0061619D" w:rsidP="0061619D">
      <w:pPr>
        <w:spacing w:after="0" w:line="240" w:lineRule="auto"/>
        <w:rPr>
          <w:rFonts w:ascii="Times New Roman" w:hAnsi="Times New Roman" w:cs="Times New Roman"/>
        </w:rPr>
      </w:pPr>
    </w:p>
    <w:p w14:paraId="65CD605F" w14:textId="77777777" w:rsidR="0061619D" w:rsidRPr="00BC5C6D" w:rsidRDefault="0061619D" w:rsidP="0061619D">
      <w:pPr>
        <w:spacing w:after="0" w:line="240" w:lineRule="auto"/>
        <w:jc w:val="both"/>
        <w:rPr>
          <w:rFonts w:ascii="Times New Roman" w:hAnsi="Times New Roman" w:cs="Times New Roman"/>
        </w:rPr>
      </w:pPr>
      <w:r w:rsidRPr="00BC5C6D">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authors’ intellectual contributions or scholarly judgement. All AI-assisted outputs, including content, references, and interpretations, were carefully reviewed, revised, verified, and approved by the authors. The authors accept full responsibility for the accuracy, integrity, and final content of the manuscript.</w:t>
      </w:r>
    </w:p>
    <w:p w14:paraId="12F70F88" w14:textId="77777777" w:rsidR="0061619D" w:rsidRPr="00BC5C6D" w:rsidRDefault="0061619D" w:rsidP="00372D2F">
      <w:pPr>
        <w:spacing w:before="100" w:beforeAutospacing="1" w:after="100" w:afterAutospacing="1" w:line="240" w:lineRule="auto"/>
        <w:jc w:val="both"/>
        <w:rPr>
          <w:rFonts w:ascii="Times New Roman" w:eastAsia="Times New Roman" w:hAnsi="Times New Roman" w:cs="Times New Roman"/>
          <w:sz w:val="24"/>
          <w:szCs w:val="24"/>
        </w:rPr>
      </w:pPr>
    </w:p>
    <w:p w14:paraId="2B1B80EA" w14:textId="77777777" w:rsidR="00852143" w:rsidRDefault="00852143" w:rsidP="00372D2F">
      <w:pPr>
        <w:pStyle w:val="Heading2"/>
        <w:rPr>
          <w:sz w:val="24"/>
          <w:szCs w:val="24"/>
        </w:rPr>
      </w:pPr>
      <w:r w:rsidRPr="00BC5C6D">
        <w:rPr>
          <w:sz w:val="24"/>
          <w:szCs w:val="24"/>
        </w:rPr>
        <w:t xml:space="preserve">References </w:t>
      </w:r>
    </w:p>
    <w:p w14:paraId="70DB1D74" w14:textId="77777777" w:rsidR="00E96DE6" w:rsidRPr="00E96DE6" w:rsidRDefault="00E96DE6" w:rsidP="00E96DE6">
      <w:pPr>
        <w:spacing w:before="100" w:beforeAutospacing="1" w:after="100" w:afterAutospacing="1" w:line="240" w:lineRule="auto"/>
        <w:rPr>
          <w:rFonts w:ascii="Times New Roman" w:eastAsia="Times New Roman" w:hAnsi="Times New Roman" w:cs="Times New Roman"/>
          <w:sz w:val="24"/>
          <w:szCs w:val="24"/>
        </w:rPr>
      </w:pPr>
      <w:proofErr w:type="spellStart"/>
      <w:r w:rsidRPr="00E96DE6">
        <w:rPr>
          <w:rFonts w:ascii="Times New Roman" w:eastAsia="Times New Roman" w:hAnsi="Times New Roman" w:cs="Times New Roman"/>
          <w:sz w:val="24"/>
          <w:szCs w:val="24"/>
        </w:rPr>
        <w:t>Aheto</w:t>
      </w:r>
      <w:proofErr w:type="spellEnd"/>
      <w:r w:rsidRPr="00E96DE6">
        <w:rPr>
          <w:rFonts w:ascii="Times New Roman" w:eastAsia="Times New Roman" w:hAnsi="Times New Roman" w:cs="Times New Roman"/>
          <w:sz w:val="24"/>
          <w:szCs w:val="24"/>
        </w:rPr>
        <w:t xml:space="preserve">, J. M. K., Pannell, O., </w:t>
      </w:r>
      <w:proofErr w:type="spellStart"/>
      <w:r w:rsidRPr="00E96DE6">
        <w:rPr>
          <w:rFonts w:ascii="Times New Roman" w:eastAsia="Times New Roman" w:hAnsi="Times New Roman" w:cs="Times New Roman"/>
          <w:sz w:val="24"/>
          <w:szCs w:val="24"/>
        </w:rPr>
        <w:t>Dotse-Gborgbortsi</w:t>
      </w:r>
      <w:proofErr w:type="spellEnd"/>
      <w:r w:rsidRPr="00E96DE6">
        <w:rPr>
          <w:rFonts w:ascii="Times New Roman" w:eastAsia="Times New Roman" w:hAnsi="Times New Roman" w:cs="Times New Roman"/>
          <w:sz w:val="24"/>
          <w:szCs w:val="24"/>
        </w:rPr>
        <w:t xml:space="preserve">, W., </w:t>
      </w:r>
      <w:proofErr w:type="spellStart"/>
      <w:r w:rsidRPr="00E96DE6">
        <w:rPr>
          <w:rFonts w:ascii="Times New Roman" w:eastAsia="Times New Roman" w:hAnsi="Times New Roman" w:cs="Times New Roman"/>
          <w:sz w:val="24"/>
          <w:szCs w:val="24"/>
        </w:rPr>
        <w:t>Trimner</w:t>
      </w:r>
      <w:proofErr w:type="spellEnd"/>
      <w:r w:rsidRPr="00E96DE6">
        <w:rPr>
          <w:rFonts w:ascii="Times New Roman" w:eastAsia="Times New Roman" w:hAnsi="Times New Roman" w:cs="Times New Roman"/>
          <w:sz w:val="24"/>
          <w:szCs w:val="24"/>
        </w:rPr>
        <w:t xml:space="preserve">, M. K., Tatem, A. J., Rhoda, D. A., Cutts, F. T., &amp; </w:t>
      </w:r>
      <w:proofErr w:type="spellStart"/>
      <w:r w:rsidRPr="00E96DE6">
        <w:rPr>
          <w:rFonts w:ascii="Times New Roman" w:eastAsia="Times New Roman" w:hAnsi="Times New Roman" w:cs="Times New Roman"/>
          <w:sz w:val="24"/>
          <w:szCs w:val="24"/>
        </w:rPr>
        <w:t>Utazi</w:t>
      </w:r>
      <w:proofErr w:type="spellEnd"/>
      <w:r w:rsidRPr="00E96DE6">
        <w:rPr>
          <w:rFonts w:ascii="Times New Roman" w:eastAsia="Times New Roman" w:hAnsi="Times New Roman" w:cs="Times New Roman"/>
          <w:sz w:val="24"/>
          <w:szCs w:val="24"/>
        </w:rPr>
        <w:t xml:space="preserve">, C. E. (2022). Multilevel analysis of predictors of multiple indicators of childhood vaccination in Nigeria. </w:t>
      </w:r>
      <w:r w:rsidRPr="00E96DE6">
        <w:rPr>
          <w:rFonts w:ascii="Times New Roman" w:eastAsia="Times New Roman" w:hAnsi="Times New Roman" w:cs="Times New Roman"/>
          <w:i/>
          <w:iCs/>
          <w:sz w:val="24"/>
          <w:szCs w:val="24"/>
        </w:rPr>
        <w:t>PLOS ONE, 17</w:t>
      </w:r>
      <w:r w:rsidRPr="00E96DE6">
        <w:rPr>
          <w:rFonts w:ascii="Times New Roman" w:eastAsia="Times New Roman" w:hAnsi="Times New Roman" w:cs="Times New Roman"/>
          <w:sz w:val="24"/>
          <w:szCs w:val="24"/>
        </w:rPr>
        <w:t xml:space="preserve">(5), e0269066. </w:t>
      </w:r>
      <w:hyperlink r:id="rId96" w:history="1">
        <w:r w:rsidRPr="00E96DE6">
          <w:rPr>
            <w:rFonts w:ascii="Times New Roman" w:eastAsia="Times New Roman" w:hAnsi="Times New Roman" w:cs="Times New Roman"/>
            <w:color w:val="0000FF"/>
            <w:sz w:val="24"/>
            <w:szCs w:val="24"/>
            <w:u w:val="single"/>
          </w:rPr>
          <w:t>https://doi.org/10.1371/journal.pone.0269066</w:t>
        </w:r>
      </w:hyperlink>
    </w:p>
    <w:p w14:paraId="2105CE93" w14:textId="77777777" w:rsidR="00E96DE6" w:rsidRPr="00E96DE6" w:rsidRDefault="00E96DE6" w:rsidP="00E96DE6">
      <w:pPr>
        <w:spacing w:before="100" w:beforeAutospacing="1" w:after="100" w:afterAutospacing="1" w:line="240" w:lineRule="auto"/>
        <w:rPr>
          <w:rFonts w:ascii="Times New Roman" w:eastAsia="Times New Roman" w:hAnsi="Times New Roman" w:cs="Times New Roman"/>
          <w:sz w:val="24"/>
          <w:szCs w:val="24"/>
        </w:rPr>
      </w:pPr>
      <w:r w:rsidRPr="00E96DE6">
        <w:rPr>
          <w:rFonts w:ascii="Times New Roman" w:eastAsia="Times New Roman" w:hAnsi="Times New Roman" w:cs="Times New Roman"/>
          <w:sz w:val="24"/>
          <w:szCs w:val="24"/>
        </w:rPr>
        <w:t xml:space="preserve">Jean Baptiste, A. E., </w:t>
      </w:r>
      <w:proofErr w:type="spellStart"/>
      <w:r w:rsidRPr="00E96DE6">
        <w:rPr>
          <w:rFonts w:ascii="Times New Roman" w:eastAsia="Times New Roman" w:hAnsi="Times New Roman" w:cs="Times New Roman"/>
          <w:sz w:val="24"/>
          <w:szCs w:val="24"/>
        </w:rPr>
        <w:t>Wagai</w:t>
      </w:r>
      <w:proofErr w:type="spellEnd"/>
      <w:r w:rsidRPr="00E96DE6">
        <w:rPr>
          <w:rFonts w:ascii="Times New Roman" w:eastAsia="Times New Roman" w:hAnsi="Times New Roman" w:cs="Times New Roman"/>
          <w:sz w:val="24"/>
          <w:szCs w:val="24"/>
        </w:rPr>
        <w:t xml:space="preserve">, J., </w:t>
      </w:r>
      <w:proofErr w:type="spellStart"/>
      <w:r w:rsidRPr="00E96DE6">
        <w:rPr>
          <w:rFonts w:ascii="Times New Roman" w:eastAsia="Times New Roman" w:hAnsi="Times New Roman" w:cs="Times New Roman"/>
          <w:sz w:val="24"/>
          <w:szCs w:val="24"/>
        </w:rPr>
        <w:t>Hahné</w:t>
      </w:r>
      <w:proofErr w:type="spellEnd"/>
      <w:r w:rsidRPr="00E96DE6">
        <w:rPr>
          <w:rFonts w:ascii="Times New Roman" w:eastAsia="Times New Roman" w:hAnsi="Times New Roman" w:cs="Times New Roman"/>
          <w:sz w:val="24"/>
          <w:szCs w:val="24"/>
        </w:rPr>
        <w:t xml:space="preserve">, S., Adeniran, A., Koko, R. I., de Vos, S., </w:t>
      </w:r>
      <w:proofErr w:type="spellStart"/>
      <w:r w:rsidRPr="00E96DE6">
        <w:rPr>
          <w:rFonts w:ascii="Times New Roman" w:eastAsia="Times New Roman" w:hAnsi="Times New Roman" w:cs="Times New Roman"/>
          <w:sz w:val="24"/>
          <w:szCs w:val="24"/>
        </w:rPr>
        <w:t>Shibeshi</w:t>
      </w:r>
      <w:proofErr w:type="spellEnd"/>
      <w:r w:rsidRPr="00E96DE6">
        <w:rPr>
          <w:rFonts w:ascii="Times New Roman" w:eastAsia="Times New Roman" w:hAnsi="Times New Roman" w:cs="Times New Roman"/>
          <w:sz w:val="24"/>
          <w:szCs w:val="24"/>
        </w:rPr>
        <w:t xml:space="preserve">, M., Sanders, E. A. M., Masresha, B., &amp; Hak, E. (2024). High-resolution geospatial mapping of zero-dose and </w:t>
      </w:r>
      <w:proofErr w:type="spellStart"/>
      <w:r w:rsidRPr="00E96DE6">
        <w:rPr>
          <w:rFonts w:ascii="Times New Roman" w:eastAsia="Times New Roman" w:hAnsi="Times New Roman" w:cs="Times New Roman"/>
          <w:sz w:val="24"/>
          <w:szCs w:val="24"/>
        </w:rPr>
        <w:t>underimmunized</w:t>
      </w:r>
      <w:proofErr w:type="spellEnd"/>
      <w:r w:rsidRPr="00E96DE6">
        <w:rPr>
          <w:rFonts w:ascii="Times New Roman" w:eastAsia="Times New Roman" w:hAnsi="Times New Roman" w:cs="Times New Roman"/>
          <w:sz w:val="24"/>
          <w:szCs w:val="24"/>
        </w:rPr>
        <w:t xml:space="preserve"> children following Nigeria’s 2021 Multiple Indicator Cluster Survey/National Immunization Coverage Survey. </w:t>
      </w:r>
      <w:r w:rsidRPr="00E96DE6">
        <w:rPr>
          <w:rFonts w:ascii="Times New Roman" w:eastAsia="Times New Roman" w:hAnsi="Times New Roman" w:cs="Times New Roman"/>
          <w:i/>
          <w:iCs/>
          <w:sz w:val="24"/>
          <w:szCs w:val="24"/>
        </w:rPr>
        <w:t>The Journal of Infectious Diseases, 230</w:t>
      </w:r>
      <w:r w:rsidRPr="00E96DE6">
        <w:rPr>
          <w:rFonts w:ascii="Times New Roman" w:eastAsia="Times New Roman" w:hAnsi="Times New Roman" w:cs="Times New Roman"/>
          <w:sz w:val="24"/>
          <w:szCs w:val="24"/>
        </w:rPr>
        <w:t xml:space="preserve">(1), e131–e138. </w:t>
      </w:r>
      <w:hyperlink r:id="rId97" w:history="1">
        <w:r w:rsidRPr="00E96DE6">
          <w:rPr>
            <w:rFonts w:ascii="Times New Roman" w:eastAsia="Times New Roman" w:hAnsi="Times New Roman" w:cs="Times New Roman"/>
            <w:color w:val="0000FF"/>
            <w:sz w:val="24"/>
            <w:szCs w:val="24"/>
            <w:u w:val="single"/>
          </w:rPr>
          <w:t>https://doi.org/10.1093/infdis/jiad476</w:t>
        </w:r>
      </w:hyperlink>
    </w:p>
    <w:p w14:paraId="074656D4" w14:textId="77777777" w:rsidR="00E96DE6" w:rsidRPr="00E96DE6" w:rsidRDefault="00E96DE6" w:rsidP="00E96DE6">
      <w:pPr>
        <w:spacing w:before="100" w:beforeAutospacing="1" w:after="100" w:afterAutospacing="1" w:line="240" w:lineRule="auto"/>
        <w:rPr>
          <w:rFonts w:ascii="Times New Roman" w:eastAsia="Times New Roman" w:hAnsi="Times New Roman" w:cs="Times New Roman"/>
          <w:sz w:val="24"/>
          <w:szCs w:val="24"/>
        </w:rPr>
      </w:pPr>
      <w:r w:rsidRPr="00E96DE6">
        <w:rPr>
          <w:rFonts w:ascii="Times New Roman" w:eastAsia="Times New Roman" w:hAnsi="Times New Roman" w:cs="Times New Roman"/>
          <w:sz w:val="24"/>
          <w:szCs w:val="24"/>
        </w:rPr>
        <w:t xml:space="preserve">Bell, J., Lartey, B., Fernandez, M., Darrell, N., Exton-Smith, H., Gardner, C., Richards, E., Akilo, A., Odongo, E., </w:t>
      </w:r>
      <w:proofErr w:type="spellStart"/>
      <w:r w:rsidRPr="00E96DE6">
        <w:rPr>
          <w:rFonts w:ascii="Times New Roman" w:eastAsia="Times New Roman" w:hAnsi="Times New Roman" w:cs="Times New Roman"/>
          <w:sz w:val="24"/>
          <w:szCs w:val="24"/>
        </w:rPr>
        <w:t>Ssenkungu</w:t>
      </w:r>
      <w:proofErr w:type="spellEnd"/>
      <w:r w:rsidRPr="00E96DE6">
        <w:rPr>
          <w:rFonts w:ascii="Times New Roman" w:eastAsia="Times New Roman" w:hAnsi="Times New Roman" w:cs="Times New Roman"/>
          <w:sz w:val="24"/>
          <w:szCs w:val="24"/>
        </w:rPr>
        <w:t xml:space="preserve">, J., Kouadio, R. K., Cissé, M., </w:t>
      </w:r>
      <w:proofErr w:type="spellStart"/>
      <w:r w:rsidRPr="00E96DE6">
        <w:rPr>
          <w:rFonts w:ascii="Times New Roman" w:eastAsia="Times New Roman" w:hAnsi="Times New Roman" w:cs="Times New Roman"/>
          <w:sz w:val="24"/>
          <w:szCs w:val="24"/>
        </w:rPr>
        <w:t>Rérambyah</w:t>
      </w:r>
      <w:proofErr w:type="spellEnd"/>
      <w:r w:rsidRPr="00E96DE6">
        <w:rPr>
          <w:rFonts w:ascii="Times New Roman" w:eastAsia="Times New Roman" w:hAnsi="Times New Roman" w:cs="Times New Roman"/>
          <w:sz w:val="24"/>
          <w:szCs w:val="24"/>
        </w:rPr>
        <w:t xml:space="preserve">, A. B. A. I., Adou, M., West, R., &amp; Sharma, S. (2023). A structural equation modelling approach to understanding the determinants of childhood vaccination in Nigeria, Uganda and Guinea. </w:t>
      </w:r>
      <w:r w:rsidRPr="00E96DE6">
        <w:rPr>
          <w:rFonts w:ascii="Times New Roman" w:eastAsia="Times New Roman" w:hAnsi="Times New Roman" w:cs="Times New Roman"/>
          <w:i/>
          <w:iCs/>
          <w:sz w:val="24"/>
          <w:szCs w:val="24"/>
        </w:rPr>
        <w:t>PLOS Global Public Health, 3</w:t>
      </w:r>
      <w:r w:rsidRPr="00E96DE6">
        <w:rPr>
          <w:rFonts w:ascii="Times New Roman" w:eastAsia="Times New Roman" w:hAnsi="Times New Roman" w:cs="Times New Roman"/>
          <w:sz w:val="24"/>
          <w:szCs w:val="24"/>
        </w:rPr>
        <w:t xml:space="preserve">(3), e0001289. </w:t>
      </w:r>
      <w:hyperlink r:id="rId98" w:history="1">
        <w:r w:rsidRPr="00E96DE6">
          <w:rPr>
            <w:rFonts w:ascii="Times New Roman" w:eastAsia="Times New Roman" w:hAnsi="Times New Roman" w:cs="Times New Roman"/>
            <w:color w:val="0000FF"/>
            <w:sz w:val="24"/>
            <w:szCs w:val="24"/>
            <w:u w:val="single"/>
          </w:rPr>
          <w:t>https://doi.org/10.1371/journal.pgph.0001289</w:t>
        </w:r>
      </w:hyperlink>
    </w:p>
    <w:p w14:paraId="307DB080" w14:textId="77777777" w:rsidR="00E96DE6" w:rsidRPr="00E96DE6" w:rsidRDefault="00E96DE6" w:rsidP="00E96DE6">
      <w:pPr>
        <w:spacing w:before="100" w:beforeAutospacing="1" w:after="100" w:afterAutospacing="1" w:line="240" w:lineRule="auto"/>
        <w:rPr>
          <w:rFonts w:ascii="Times New Roman" w:eastAsia="Times New Roman" w:hAnsi="Times New Roman" w:cs="Times New Roman"/>
          <w:sz w:val="24"/>
          <w:szCs w:val="24"/>
        </w:rPr>
      </w:pPr>
      <w:r w:rsidRPr="00E96DE6">
        <w:rPr>
          <w:rFonts w:ascii="Times New Roman" w:eastAsia="Times New Roman" w:hAnsi="Times New Roman" w:cs="Times New Roman"/>
          <w:sz w:val="24"/>
          <w:szCs w:val="24"/>
        </w:rPr>
        <w:t xml:space="preserve">Bolarinwa, O. A., Salaudeen, G. A., Lar, L., </w:t>
      </w:r>
      <w:proofErr w:type="spellStart"/>
      <w:r w:rsidRPr="00E96DE6">
        <w:rPr>
          <w:rFonts w:ascii="Times New Roman" w:eastAsia="Times New Roman" w:hAnsi="Times New Roman" w:cs="Times New Roman"/>
          <w:sz w:val="24"/>
          <w:szCs w:val="24"/>
        </w:rPr>
        <w:t>Alhaffar</w:t>
      </w:r>
      <w:proofErr w:type="spellEnd"/>
      <w:r w:rsidRPr="00E96DE6">
        <w:rPr>
          <w:rFonts w:ascii="Times New Roman" w:eastAsia="Times New Roman" w:hAnsi="Times New Roman" w:cs="Times New Roman"/>
          <w:sz w:val="24"/>
          <w:szCs w:val="24"/>
        </w:rPr>
        <w:t xml:space="preserve">, M., Abdelmagid, N., McGowan, C. R., </w:t>
      </w:r>
      <w:proofErr w:type="spellStart"/>
      <w:r w:rsidRPr="00E96DE6">
        <w:rPr>
          <w:rFonts w:ascii="Times New Roman" w:eastAsia="Times New Roman" w:hAnsi="Times New Roman" w:cs="Times New Roman"/>
          <w:sz w:val="24"/>
          <w:szCs w:val="24"/>
        </w:rPr>
        <w:t>Adesoro</w:t>
      </w:r>
      <w:proofErr w:type="spellEnd"/>
      <w:r w:rsidRPr="00E96DE6">
        <w:rPr>
          <w:rFonts w:ascii="Times New Roman" w:eastAsia="Times New Roman" w:hAnsi="Times New Roman" w:cs="Times New Roman"/>
          <w:sz w:val="24"/>
          <w:szCs w:val="24"/>
        </w:rPr>
        <w:t xml:space="preserve">, O., Valentine, P., Ahmed, T., Clarke, A., </w:t>
      </w:r>
      <w:proofErr w:type="spellStart"/>
      <w:r w:rsidRPr="00E96DE6">
        <w:rPr>
          <w:rFonts w:ascii="Times New Roman" w:eastAsia="Times New Roman" w:hAnsi="Times New Roman" w:cs="Times New Roman"/>
          <w:sz w:val="24"/>
          <w:szCs w:val="24"/>
        </w:rPr>
        <w:t>Makunja</w:t>
      </w:r>
      <w:proofErr w:type="spellEnd"/>
      <w:r w:rsidRPr="00E96DE6">
        <w:rPr>
          <w:rFonts w:ascii="Times New Roman" w:eastAsia="Times New Roman" w:hAnsi="Times New Roman" w:cs="Times New Roman"/>
          <w:sz w:val="24"/>
          <w:szCs w:val="24"/>
        </w:rPr>
        <w:t xml:space="preserve">, S., &amp; Akande, T. M. (2025). Barriers and enablers to childhood immunization in high zero-dose burden communities in Kano and Lagos states, Nigeria. </w:t>
      </w:r>
      <w:r w:rsidRPr="00E96DE6">
        <w:rPr>
          <w:rFonts w:ascii="Times New Roman" w:eastAsia="Times New Roman" w:hAnsi="Times New Roman" w:cs="Times New Roman"/>
          <w:i/>
          <w:iCs/>
          <w:sz w:val="24"/>
          <w:szCs w:val="24"/>
        </w:rPr>
        <w:t>Vaccine, 64</w:t>
      </w:r>
      <w:r w:rsidRPr="00E96DE6">
        <w:rPr>
          <w:rFonts w:ascii="Times New Roman" w:eastAsia="Times New Roman" w:hAnsi="Times New Roman" w:cs="Times New Roman"/>
          <w:sz w:val="24"/>
          <w:szCs w:val="24"/>
        </w:rPr>
        <w:t xml:space="preserve">, 127754. </w:t>
      </w:r>
      <w:hyperlink r:id="rId99" w:history="1">
        <w:r w:rsidRPr="00E96DE6">
          <w:rPr>
            <w:rFonts w:ascii="Times New Roman" w:eastAsia="Times New Roman" w:hAnsi="Times New Roman" w:cs="Times New Roman"/>
            <w:color w:val="0000FF"/>
            <w:sz w:val="24"/>
            <w:szCs w:val="24"/>
            <w:u w:val="single"/>
          </w:rPr>
          <w:t>https://doi.org/10.1016/j.vaccine.2025.127754</w:t>
        </w:r>
      </w:hyperlink>
    </w:p>
    <w:p w14:paraId="60E8DBCA" w14:textId="77777777" w:rsidR="00E96DE6" w:rsidRPr="00E96DE6" w:rsidRDefault="00E96DE6" w:rsidP="00E96DE6">
      <w:pPr>
        <w:spacing w:before="100" w:beforeAutospacing="1" w:after="100" w:afterAutospacing="1" w:line="240" w:lineRule="auto"/>
        <w:rPr>
          <w:rFonts w:ascii="Times New Roman" w:eastAsia="Times New Roman" w:hAnsi="Times New Roman" w:cs="Times New Roman"/>
          <w:sz w:val="24"/>
          <w:szCs w:val="24"/>
        </w:rPr>
      </w:pPr>
      <w:r w:rsidRPr="00E96DE6">
        <w:rPr>
          <w:rFonts w:ascii="Times New Roman" w:eastAsia="Times New Roman" w:hAnsi="Times New Roman" w:cs="Times New Roman"/>
          <w:sz w:val="24"/>
          <w:szCs w:val="24"/>
        </w:rPr>
        <w:lastRenderedPageBreak/>
        <w:t xml:space="preserve">Fagbamigbe, A. F., Lawal, T. V., &amp; </w:t>
      </w:r>
      <w:proofErr w:type="spellStart"/>
      <w:r w:rsidRPr="00E96DE6">
        <w:rPr>
          <w:rFonts w:ascii="Times New Roman" w:eastAsia="Times New Roman" w:hAnsi="Times New Roman" w:cs="Times New Roman"/>
          <w:sz w:val="24"/>
          <w:szCs w:val="24"/>
        </w:rPr>
        <w:t>Atoloye</w:t>
      </w:r>
      <w:proofErr w:type="spellEnd"/>
      <w:r w:rsidRPr="00E96DE6">
        <w:rPr>
          <w:rFonts w:ascii="Times New Roman" w:eastAsia="Times New Roman" w:hAnsi="Times New Roman" w:cs="Times New Roman"/>
          <w:sz w:val="24"/>
          <w:szCs w:val="24"/>
        </w:rPr>
        <w:t xml:space="preserve">, K. A. (2023). Evaluating the performance of different Bayesian count models in modelling childhood vaccine uptake among children aged 12–23 months in Nigeria. </w:t>
      </w:r>
      <w:r w:rsidRPr="00E96DE6">
        <w:rPr>
          <w:rFonts w:ascii="Times New Roman" w:eastAsia="Times New Roman" w:hAnsi="Times New Roman" w:cs="Times New Roman"/>
          <w:i/>
          <w:iCs/>
          <w:sz w:val="24"/>
          <w:szCs w:val="24"/>
        </w:rPr>
        <w:t>BMC Public Health, 23</w:t>
      </w:r>
      <w:r w:rsidRPr="00E96DE6">
        <w:rPr>
          <w:rFonts w:ascii="Times New Roman" w:eastAsia="Times New Roman" w:hAnsi="Times New Roman" w:cs="Times New Roman"/>
          <w:sz w:val="24"/>
          <w:szCs w:val="24"/>
        </w:rPr>
        <w:t xml:space="preserve">, 1197. </w:t>
      </w:r>
      <w:hyperlink r:id="rId100" w:history="1">
        <w:r w:rsidRPr="00E96DE6">
          <w:rPr>
            <w:rFonts w:ascii="Times New Roman" w:eastAsia="Times New Roman" w:hAnsi="Times New Roman" w:cs="Times New Roman"/>
            <w:color w:val="0000FF"/>
            <w:sz w:val="24"/>
            <w:szCs w:val="24"/>
            <w:u w:val="single"/>
          </w:rPr>
          <w:t>https://doi.org/10.1186/s12889-023-16155-z</w:t>
        </w:r>
      </w:hyperlink>
    </w:p>
    <w:p w14:paraId="6044C48C" w14:textId="77777777" w:rsidR="00E96DE6" w:rsidRPr="00E96DE6" w:rsidRDefault="00E96DE6" w:rsidP="00E96DE6">
      <w:pPr>
        <w:spacing w:before="100" w:beforeAutospacing="1" w:after="100" w:afterAutospacing="1" w:line="240" w:lineRule="auto"/>
        <w:rPr>
          <w:rFonts w:ascii="Times New Roman" w:eastAsia="Times New Roman" w:hAnsi="Times New Roman" w:cs="Times New Roman"/>
          <w:sz w:val="24"/>
          <w:szCs w:val="24"/>
        </w:rPr>
      </w:pPr>
      <w:r w:rsidRPr="00E96DE6">
        <w:rPr>
          <w:rFonts w:ascii="Times New Roman" w:eastAsia="Times New Roman" w:hAnsi="Times New Roman" w:cs="Times New Roman"/>
          <w:sz w:val="24"/>
          <w:szCs w:val="24"/>
        </w:rPr>
        <w:t xml:space="preserve">Federal Ministry of Health and Social Welfare of Nigeria, National Population Commission [Nigeria], &amp; ICF. (2025). </w:t>
      </w:r>
      <w:r w:rsidRPr="00E96DE6">
        <w:rPr>
          <w:rFonts w:ascii="Times New Roman" w:eastAsia="Times New Roman" w:hAnsi="Times New Roman" w:cs="Times New Roman"/>
          <w:i/>
          <w:iCs/>
          <w:sz w:val="24"/>
          <w:szCs w:val="24"/>
        </w:rPr>
        <w:t>Nigeria demographic and health survey 2024</w:t>
      </w:r>
      <w:r w:rsidRPr="00E96DE6">
        <w:rPr>
          <w:rFonts w:ascii="Times New Roman" w:eastAsia="Times New Roman" w:hAnsi="Times New Roman" w:cs="Times New Roman"/>
          <w:sz w:val="24"/>
          <w:szCs w:val="24"/>
        </w:rPr>
        <w:t xml:space="preserve">. </w:t>
      </w:r>
      <w:hyperlink r:id="rId101" w:history="1">
        <w:r w:rsidRPr="00E96DE6">
          <w:rPr>
            <w:rFonts w:ascii="Times New Roman" w:eastAsia="Times New Roman" w:hAnsi="Times New Roman" w:cs="Times New Roman"/>
            <w:color w:val="0000FF"/>
            <w:sz w:val="24"/>
            <w:szCs w:val="24"/>
            <w:u w:val="single"/>
          </w:rPr>
          <w:t>https://dhsprogram.com/publications/publication-FR395-DHS-Final-Reports.cfm</w:t>
        </w:r>
      </w:hyperlink>
    </w:p>
    <w:p w14:paraId="49352BD7" w14:textId="77777777" w:rsidR="00E96DE6" w:rsidRPr="00E96DE6" w:rsidRDefault="00E96DE6" w:rsidP="00E96DE6">
      <w:pPr>
        <w:spacing w:before="100" w:beforeAutospacing="1" w:after="100" w:afterAutospacing="1" w:line="240" w:lineRule="auto"/>
        <w:rPr>
          <w:rFonts w:ascii="Times New Roman" w:eastAsia="Times New Roman" w:hAnsi="Times New Roman" w:cs="Times New Roman"/>
          <w:sz w:val="24"/>
          <w:szCs w:val="24"/>
        </w:rPr>
      </w:pPr>
      <w:r w:rsidRPr="00E96DE6">
        <w:rPr>
          <w:rFonts w:ascii="Times New Roman" w:eastAsia="Times New Roman" w:hAnsi="Times New Roman" w:cs="Times New Roman"/>
          <w:sz w:val="24"/>
          <w:szCs w:val="24"/>
        </w:rPr>
        <w:t xml:space="preserve">Gayawan, E., </w:t>
      </w:r>
      <w:proofErr w:type="spellStart"/>
      <w:r w:rsidRPr="00E96DE6">
        <w:rPr>
          <w:rFonts w:ascii="Times New Roman" w:eastAsia="Times New Roman" w:hAnsi="Times New Roman" w:cs="Times New Roman"/>
          <w:sz w:val="24"/>
          <w:szCs w:val="24"/>
        </w:rPr>
        <w:t>Egbon</w:t>
      </w:r>
      <w:proofErr w:type="spellEnd"/>
      <w:r w:rsidRPr="00E96DE6">
        <w:rPr>
          <w:rFonts w:ascii="Times New Roman" w:eastAsia="Times New Roman" w:hAnsi="Times New Roman" w:cs="Times New Roman"/>
          <w:sz w:val="24"/>
          <w:szCs w:val="24"/>
        </w:rPr>
        <w:t xml:space="preserve">, O. A., </w:t>
      </w:r>
      <w:proofErr w:type="spellStart"/>
      <w:r w:rsidRPr="00E96DE6">
        <w:rPr>
          <w:rFonts w:ascii="Times New Roman" w:eastAsia="Times New Roman" w:hAnsi="Times New Roman" w:cs="Times New Roman"/>
          <w:sz w:val="24"/>
          <w:szCs w:val="24"/>
        </w:rPr>
        <w:t>Utazi</w:t>
      </w:r>
      <w:proofErr w:type="spellEnd"/>
      <w:r w:rsidRPr="00E96DE6">
        <w:rPr>
          <w:rFonts w:ascii="Times New Roman" w:eastAsia="Times New Roman" w:hAnsi="Times New Roman" w:cs="Times New Roman"/>
          <w:sz w:val="24"/>
          <w:szCs w:val="24"/>
        </w:rPr>
        <w:t xml:space="preserve">, C. E., Umar, J. A., &amp; Trotter, C. (2026). The influence of women’s empowerment on childhood vaccination coverage in Nigeria: A </w:t>
      </w:r>
      <w:proofErr w:type="spellStart"/>
      <w:r w:rsidRPr="00E96DE6">
        <w:rPr>
          <w:rFonts w:ascii="Times New Roman" w:eastAsia="Times New Roman" w:hAnsi="Times New Roman" w:cs="Times New Roman"/>
          <w:sz w:val="24"/>
          <w:szCs w:val="24"/>
        </w:rPr>
        <w:t>spatio</w:t>
      </w:r>
      <w:proofErr w:type="spellEnd"/>
      <w:r w:rsidRPr="00E96DE6">
        <w:rPr>
          <w:rFonts w:ascii="Times New Roman" w:eastAsia="Times New Roman" w:hAnsi="Times New Roman" w:cs="Times New Roman"/>
          <w:sz w:val="24"/>
          <w:szCs w:val="24"/>
        </w:rPr>
        <w:t xml:space="preserve">-temporal analysis. </w:t>
      </w:r>
      <w:r w:rsidRPr="00E96DE6">
        <w:rPr>
          <w:rFonts w:ascii="Times New Roman" w:eastAsia="Times New Roman" w:hAnsi="Times New Roman" w:cs="Times New Roman"/>
          <w:i/>
          <w:iCs/>
          <w:sz w:val="24"/>
          <w:szCs w:val="24"/>
        </w:rPr>
        <w:t>Scientific Reports, 16</w:t>
      </w:r>
      <w:r w:rsidRPr="00E96DE6">
        <w:rPr>
          <w:rFonts w:ascii="Times New Roman" w:eastAsia="Times New Roman" w:hAnsi="Times New Roman" w:cs="Times New Roman"/>
          <w:sz w:val="24"/>
          <w:szCs w:val="24"/>
        </w:rPr>
        <w:t xml:space="preserve">, 22445. </w:t>
      </w:r>
      <w:hyperlink r:id="rId102" w:history="1">
        <w:r w:rsidRPr="00E96DE6">
          <w:rPr>
            <w:rFonts w:ascii="Times New Roman" w:eastAsia="Times New Roman" w:hAnsi="Times New Roman" w:cs="Times New Roman"/>
            <w:color w:val="0000FF"/>
            <w:sz w:val="24"/>
            <w:szCs w:val="24"/>
            <w:u w:val="single"/>
          </w:rPr>
          <w:t>https://doi.org/10.1038/s41598-026-51266-8</w:t>
        </w:r>
      </w:hyperlink>
    </w:p>
    <w:p w14:paraId="17DFB00C" w14:textId="77777777" w:rsidR="00E96DE6" w:rsidRPr="00E96DE6" w:rsidRDefault="00E96DE6" w:rsidP="00E96DE6">
      <w:pPr>
        <w:spacing w:before="100" w:beforeAutospacing="1" w:after="100" w:afterAutospacing="1" w:line="240" w:lineRule="auto"/>
        <w:rPr>
          <w:rFonts w:ascii="Times New Roman" w:eastAsia="Times New Roman" w:hAnsi="Times New Roman" w:cs="Times New Roman"/>
          <w:sz w:val="24"/>
          <w:szCs w:val="24"/>
        </w:rPr>
      </w:pPr>
      <w:proofErr w:type="spellStart"/>
      <w:r w:rsidRPr="00E96DE6">
        <w:rPr>
          <w:rFonts w:ascii="Times New Roman" w:eastAsia="Times New Roman" w:hAnsi="Times New Roman" w:cs="Times New Roman"/>
          <w:sz w:val="24"/>
          <w:szCs w:val="24"/>
        </w:rPr>
        <w:t>Kawakatsu</w:t>
      </w:r>
      <w:proofErr w:type="spellEnd"/>
      <w:r w:rsidRPr="00E96DE6">
        <w:rPr>
          <w:rFonts w:ascii="Times New Roman" w:eastAsia="Times New Roman" w:hAnsi="Times New Roman" w:cs="Times New Roman"/>
          <w:sz w:val="24"/>
          <w:szCs w:val="24"/>
        </w:rPr>
        <w:t xml:space="preserve">, Y., Mosser, J. F., Adolph, C., Baffoe, P., Cheshi, F., Aiga, H., Watkins, D. A., &amp; Sherr, K. H. (2024). High-resolution mapping of essential maternal and child health service coverage in Nigeria: A machine learning approach. </w:t>
      </w:r>
      <w:r w:rsidRPr="00E96DE6">
        <w:rPr>
          <w:rFonts w:ascii="Times New Roman" w:eastAsia="Times New Roman" w:hAnsi="Times New Roman" w:cs="Times New Roman"/>
          <w:i/>
          <w:iCs/>
          <w:sz w:val="24"/>
          <w:szCs w:val="24"/>
        </w:rPr>
        <w:t>BMJ Open, 14</w:t>
      </w:r>
      <w:r w:rsidRPr="00E96DE6">
        <w:rPr>
          <w:rFonts w:ascii="Times New Roman" w:eastAsia="Times New Roman" w:hAnsi="Times New Roman" w:cs="Times New Roman"/>
          <w:sz w:val="24"/>
          <w:szCs w:val="24"/>
        </w:rPr>
        <w:t xml:space="preserve">(6), e080135. </w:t>
      </w:r>
      <w:hyperlink r:id="rId103" w:history="1">
        <w:r w:rsidRPr="00E96DE6">
          <w:rPr>
            <w:rFonts w:ascii="Times New Roman" w:eastAsia="Times New Roman" w:hAnsi="Times New Roman" w:cs="Times New Roman"/>
            <w:color w:val="0000FF"/>
            <w:sz w:val="24"/>
            <w:szCs w:val="24"/>
            <w:u w:val="single"/>
          </w:rPr>
          <w:t>https://doi.org/10.1136/bmjopen-2023-080135</w:t>
        </w:r>
      </w:hyperlink>
    </w:p>
    <w:p w14:paraId="7B718722" w14:textId="77777777" w:rsidR="00E96DE6" w:rsidRPr="00E96DE6" w:rsidRDefault="00E96DE6" w:rsidP="00E96DE6">
      <w:pPr>
        <w:spacing w:before="100" w:beforeAutospacing="1" w:after="100" w:afterAutospacing="1" w:line="240" w:lineRule="auto"/>
        <w:rPr>
          <w:rFonts w:ascii="Times New Roman" w:eastAsia="Times New Roman" w:hAnsi="Times New Roman" w:cs="Times New Roman"/>
          <w:sz w:val="24"/>
          <w:szCs w:val="24"/>
        </w:rPr>
      </w:pPr>
      <w:r w:rsidRPr="00E96DE6">
        <w:rPr>
          <w:rFonts w:ascii="Times New Roman" w:eastAsia="Times New Roman" w:hAnsi="Times New Roman" w:cs="Times New Roman"/>
          <w:sz w:val="24"/>
          <w:szCs w:val="24"/>
        </w:rPr>
        <w:t xml:space="preserve">Kehinde, O., Abdul, R., Afolabi, B., Vir, P., </w:t>
      </w:r>
      <w:proofErr w:type="spellStart"/>
      <w:r w:rsidRPr="00E96DE6">
        <w:rPr>
          <w:rFonts w:ascii="Times New Roman" w:eastAsia="Times New Roman" w:hAnsi="Times New Roman" w:cs="Times New Roman"/>
          <w:sz w:val="24"/>
          <w:szCs w:val="24"/>
        </w:rPr>
        <w:t>Namblard</w:t>
      </w:r>
      <w:proofErr w:type="spellEnd"/>
      <w:r w:rsidRPr="00E96DE6">
        <w:rPr>
          <w:rFonts w:ascii="Times New Roman" w:eastAsia="Times New Roman" w:hAnsi="Times New Roman" w:cs="Times New Roman"/>
          <w:sz w:val="24"/>
          <w:szCs w:val="24"/>
        </w:rPr>
        <w:t xml:space="preserve">, C., Mukhopadhyay, A., &amp; </w:t>
      </w:r>
      <w:proofErr w:type="spellStart"/>
      <w:r w:rsidRPr="00E96DE6">
        <w:rPr>
          <w:rFonts w:ascii="Times New Roman" w:eastAsia="Times New Roman" w:hAnsi="Times New Roman" w:cs="Times New Roman"/>
          <w:sz w:val="24"/>
          <w:szCs w:val="24"/>
        </w:rPr>
        <w:t>Adereni</w:t>
      </w:r>
      <w:proofErr w:type="spellEnd"/>
      <w:r w:rsidRPr="00E96DE6">
        <w:rPr>
          <w:rFonts w:ascii="Times New Roman" w:eastAsia="Times New Roman" w:hAnsi="Times New Roman" w:cs="Times New Roman"/>
          <w:sz w:val="24"/>
          <w:szCs w:val="24"/>
        </w:rPr>
        <w:t xml:space="preserve">, A. (2024). Deploying ADVISER: Impact and lessons from using artificial intelligence for child vaccination uptake in Nigeria. </w:t>
      </w:r>
      <w:r w:rsidRPr="00E96DE6">
        <w:rPr>
          <w:rFonts w:ascii="Times New Roman" w:eastAsia="Times New Roman" w:hAnsi="Times New Roman" w:cs="Times New Roman"/>
          <w:i/>
          <w:iCs/>
          <w:sz w:val="24"/>
          <w:szCs w:val="24"/>
        </w:rPr>
        <w:t>Proceedings of the AAAI Conference on Artificial Intelligence, 38</w:t>
      </w:r>
      <w:r w:rsidRPr="00E96DE6">
        <w:rPr>
          <w:rFonts w:ascii="Times New Roman" w:eastAsia="Times New Roman" w:hAnsi="Times New Roman" w:cs="Times New Roman"/>
          <w:sz w:val="24"/>
          <w:szCs w:val="24"/>
        </w:rPr>
        <w:t xml:space="preserve">(20), 22185–22192. </w:t>
      </w:r>
      <w:hyperlink r:id="rId104" w:history="1">
        <w:r w:rsidRPr="00E96DE6">
          <w:rPr>
            <w:rFonts w:ascii="Times New Roman" w:eastAsia="Times New Roman" w:hAnsi="Times New Roman" w:cs="Times New Roman"/>
            <w:color w:val="0000FF"/>
            <w:sz w:val="24"/>
            <w:szCs w:val="24"/>
            <w:u w:val="single"/>
          </w:rPr>
          <w:t>https://doi.org/10.1609/aaai.v38i20.30223</w:t>
        </w:r>
      </w:hyperlink>
    </w:p>
    <w:p w14:paraId="4D5A2E31" w14:textId="77777777" w:rsidR="00E96DE6" w:rsidRPr="00E96DE6" w:rsidRDefault="00E96DE6" w:rsidP="00E96DE6">
      <w:pPr>
        <w:spacing w:before="100" w:beforeAutospacing="1" w:after="100" w:afterAutospacing="1" w:line="240" w:lineRule="auto"/>
        <w:rPr>
          <w:rFonts w:ascii="Times New Roman" w:eastAsia="Times New Roman" w:hAnsi="Times New Roman" w:cs="Times New Roman"/>
          <w:sz w:val="24"/>
          <w:szCs w:val="24"/>
        </w:rPr>
      </w:pPr>
      <w:r w:rsidRPr="00E96DE6">
        <w:rPr>
          <w:rFonts w:ascii="Times New Roman" w:eastAsia="Times New Roman" w:hAnsi="Times New Roman" w:cs="Times New Roman"/>
          <w:sz w:val="24"/>
          <w:szCs w:val="24"/>
        </w:rPr>
        <w:t xml:space="preserve">Okunlola, O. A., </w:t>
      </w:r>
      <w:proofErr w:type="spellStart"/>
      <w:r w:rsidRPr="00E96DE6">
        <w:rPr>
          <w:rFonts w:ascii="Times New Roman" w:eastAsia="Times New Roman" w:hAnsi="Times New Roman" w:cs="Times New Roman"/>
          <w:sz w:val="24"/>
          <w:szCs w:val="24"/>
        </w:rPr>
        <w:t>Oyerinde</w:t>
      </w:r>
      <w:proofErr w:type="spellEnd"/>
      <w:r w:rsidRPr="00E96DE6">
        <w:rPr>
          <w:rFonts w:ascii="Times New Roman" w:eastAsia="Times New Roman" w:hAnsi="Times New Roman" w:cs="Times New Roman"/>
          <w:sz w:val="24"/>
          <w:szCs w:val="24"/>
        </w:rPr>
        <w:t xml:space="preserve">, O. R., </w:t>
      </w:r>
      <w:proofErr w:type="spellStart"/>
      <w:r w:rsidRPr="00E96DE6">
        <w:rPr>
          <w:rFonts w:ascii="Times New Roman" w:eastAsia="Times New Roman" w:hAnsi="Times New Roman" w:cs="Times New Roman"/>
          <w:sz w:val="24"/>
          <w:szCs w:val="24"/>
        </w:rPr>
        <w:t>Fashina</w:t>
      </w:r>
      <w:proofErr w:type="spellEnd"/>
      <w:r w:rsidRPr="00E96DE6">
        <w:rPr>
          <w:rFonts w:ascii="Times New Roman" w:eastAsia="Times New Roman" w:hAnsi="Times New Roman" w:cs="Times New Roman"/>
          <w:sz w:val="24"/>
          <w:szCs w:val="24"/>
        </w:rPr>
        <w:t xml:space="preserve">, I. D., &amp; Oyeyemi, O. T. (2023). Vaccination compliance of selected childhood immunization programs and the socio-determinant factors in Nigeria. </w:t>
      </w:r>
      <w:r w:rsidRPr="00E96DE6">
        <w:rPr>
          <w:rFonts w:ascii="Times New Roman" w:eastAsia="Times New Roman" w:hAnsi="Times New Roman" w:cs="Times New Roman"/>
          <w:i/>
          <w:iCs/>
          <w:sz w:val="24"/>
          <w:szCs w:val="24"/>
        </w:rPr>
        <w:t>The Journal of Infection in Developing Countries, 17</w:t>
      </w:r>
      <w:r w:rsidRPr="00E96DE6">
        <w:rPr>
          <w:rFonts w:ascii="Times New Roman" w:eastAsia="Times New Roman" w:hAnsi="Times New Roman" w:cs="Times New Roman"/>
          <w:sz w:val="24"/>
          <w:szCs w:val="24"/>
        </w:rPr>
        <w:t xml:space="preserve">(10), 1466–1473. </w:t>
      </w:r>
      <w:hyperlink r:id="rId105" w:history="1">
        <w:r w:rsidRPr="00E96DE6">
          <w:rPr>
            <w:rFonts w:ascii="Times New Roman" w:eastAsia="Times New Roman" w:hAnsi="Times New Roman" w:cs="Times New Roman"/>
            <w:color w:val="0000FF"/>
            <w:sz w:val="24"/>
            <w:szCs w:val="24"/>
            <w:u w:val="single"/>
          </w:rPr>
          <w:t>https://doi.org/10.3855/jidc.17886</w:t>
        </w:r>
      </w:hyperlink>
    </w:p>
    <w:p w14:paraId="17AAFDF9" w14:textId="77777777" w:rsidR="00E96DE6" w:rsidRPr="00E96DE6" w:rsidRDefault="00E96DE6" w:rsidP="00E96DE6">
      <w:pPr>
        <w:spacing w:before="100" w:beforeAutospacing="1" w:after="100" w:afterAutospacing="1" w:line="240" w:lineRule="auto"/>
        <w:rPr>
          <w:rFonts w:ascii="Times New Roman" w:eastAsia="Times New Roman" w:hAnsi="Times New Roman" w:cs="Times New Roman"/>
          <w:sz w:val="24"/>
          <w:szCs w:val="24"/>
        </w:rPr>
      </w:pPr>
      <w:r w:rsidRPr="00E96DE6">
        <w:rPr>
          <w:rFonts w:ascii="Times New Roman" w:eastAsia="Times New Roman" w:hAnsi="Times New Roman" w:cs="Times New Roman"/>
          <w:sz w:val="24"/>
          <w:szCs w:val="24"/>
        </w:rPr>
        <w:t xml:space="preserve">Olaniyan, A., Isiguzo, C., </w:t>
      </w:r>
      <w:proofErr w:type="spellStart"/>
      <w:r w:rsidRPr="00E96DE6">
        <w:rPr>
          <w:rFonts w:ascii="Times New Roman" w:eastAsia="Times New Roman" w:hAnsi="Times New Roman" w:cs="Times New Roman"/>
          <w:sz w:val="24"/>
          <w:szCs w:val="24"/>
        </w:rPr>
        <w:t>Agbomeji</w:t>
      </w:r>
      <w:proofErr w:type="spellEnd"/>
      <w:r w:rsidRPr="00E96DE6">
        <w:rPr>
          <w:rFonts w:ascii="Times New Roman" w:eastAsia="Times New Roman" w:hAnsi="Times New Roman" w:cs="Times New Roman"/>
          <w:sz w:val="24"/>
          <w:szCs w:val="24"/>
        </w:rPr>
        <w:t xml:space="preserve">, S., </w:t>
      </w:r>
      <w:proofErr w:type="spellStart"/>
      <w:r w:rsidRPr="00E96DE6">
        <w:rPr>
          <w:rFonts w:ascii="Times New Roman" w:eastAsia="Times New Roman" w:hAnsi="Times New Roman" w:cs="Times New Roman"/>
          <w:sz w:val="24"/>
          <w:szCs w:val="24"/>
        </w:rPr>
        <w:t>Akinlade-Omeni</w:t>
      </w:r>
      <w:proofErr w:type="spellEnd"/>
      <w:r w:rsidRPr="00E96DE6">
        <w:rPr>
          <w:rFonts w:ascii="Times New Roman" w:eastAsia="Times New Roman" w:hAnsi="Times New Roman" w:cs="Times New Roman"/>
          <w:sz w:val="24"/>
          <w:szCs w:val="24"/>
        </w:rPr>
        <w:t xml:space="preserve">, O., Ifie, B., &amp; Hawk, M. (2022). Barriers, facilitators, and recommendations for childhood </w:t>
      </w:r>
      <w:proofErr w:type="spellStart"/>
      <w:r w:rsidRPr="00E96DE6">
        <w:rPr>
          <w:rFonts w:ascii="Times New Roman" w:eastAsia="Times New Roman" w:hAnsi="Times New Roman" w:cs="Times New Roman"/>
          <w:sz w:val="24"/>
          <w:szCs w:val="24"/>
        </w:rPr>
        <w:t>immunisation</w:t>
      </w:r>
      <w:proofErr w:type="spellEnd"/>
      <w:r w:rsidRPr="00E96DE6">
        <w:rPr>
          <w:rFonts w:ascii="Times New Roman" w:eastAsia="Times New Roman" w:hAnsi="Times New Roman" w:cs="Times New Roman"/>
          <w:sz w:val="24"/>
          <w:szCs w:val="24"/>
        </w:rPr>
        <w:t xml:space="preserve"> in Nigeria: Perspectives from caregivers, community leaders, and healthcare workers. </w:t>
      </w:r>
      <w:r w:rsidRPr="00E96DE6">
        <w:rPr>
          <w:rFonts w:ascii="Times New Roman" w:eastAsia="Times New Roman" w:hAnsi="Times New Roman" w:cs="Times New Roman"/>
          <w:i/>
          <w:iCs/>
          <w:sz w:val="24"/>
          <w:szCs w:val="24"/>
        </w:rPr>
        <w:t>Pan African Medical Journal, 43</w:t>
      </w:r>
      <w:r w:rsidRPr="00E96DE6">
        <w:rPr>
          <w:rFonts w:ascii="Times New Roman" w:eastAsia="Times New Roman" w:hAnsi="Times New Roman" w:cs="Times New Roman"/>
          <w:sz w:val="24"/>
          <w:szCs w:val="24"/>
        </w:rPr>
        <w:t xml:space="preserve">, 97. </w:t>
      </w:r>
      <w:hyperlink r:id="rId106" w:history="1">
        <w:r w:rsidRPr="00E96DE6">
          <w:rPr>
            <w:rFonts w:ascii="Times New Roman" w:eastAsia="Times New Roman" w:hAnsi="Times New Roman" w:cs="Times New Roman"/>
            <w:color w:val="0000FF"/>
            <w:sz w:val="24"/>
            <w:szCs w:val="24"/>
            <w:u w:val="single"/>
          </w:rPr>
          <w:t>https://doi.org/10.11604/pamj.2022.43.97.35797</w:t>
        </w:r>
      </w:hyperlink>
    </w:p>
    <w:p w14:paraId="15DDE9B7" w14:textId="77777777" w:rsidR="00E96DE6" w:rsidRPr="00E96DE6" w:rsidRDefault="00E96DE6" w:rsidP="00E96DE6">
      <w:pPr>
        <w:spacing w:before="100" w:beforeAutospacing="1" w:after="100" w:afterAutospacing="1" w:line="240" w:lineRule="auto"/>
        <w:rPr>
          <w:rFonts w:ascii="Times New Roman" w:eastAsia="Times New Roman" w:hAnsi="Times New Roman" w:cs="Times New Roman"/>
          <w:sz w:val="24"/>
          <w:szCs w:val="24"/>
        </w:rPr>
      </w:pPr>
      <w:proofErr w:type="spellStart"/>
      <w:r w:rsidRPr="00E96DE6">
        <w:rPr>
          <w:rFonts w:ascii="Times New Roman" w:eastAsia="Times New Roman" w:hAnsi="Times New Roman" w:cs="Times New Roman"/>
          <w:sz w:val="24"/>
          <w:szCs w:val="24"/>
        </w:rPr>
        <w:t>Orofuke</w:t>
      </w:r>
      <w:proofErr w:type="spellEnd"/>
      <w:r w:rsidRPr="00E96DE6">
        <w:rPr>
          <w:rFonts w:ascii="Times New Roman" w:eastAsia="Times New Roman" w:hAnsi="Times New Roman" w:cs="Times New Roman"/>
          <w:sz w:val="24"/>
          <w:szCs w:val="24"/>
        </w:rPr>
        <w:t xml:space="preserve">, N. G., Ighosewe, A. P., </w:t>
      </w:r>
      <w:proofErr w:type="spellStart"/>
      <w:r w:rsidRPr="00E96DE6">
        <w:rPr>
          <w:rFonts w:ascii="Times New Roman" w:eastAsia="Times New Roman" w:hAnsi="Times New Roman" w:cs="Times New Roman"/>
          <w:sz w:val="24"/>
          <w:szCs w:val="24"/>
        </w:rPr>
        <w:t>Ofonakara</w:t>
      </w:r>
      <w:proofErr w:type="spellEnd"/>
      <w:r w:rsidRPr="00E96DE6">
        <w:rPr>
          <w:rFonts w:ascii="Times New Roman" w:eastAsia="Times New Roman" w:hAnsi="Times New Roman" w:cs="Times New Roman"/>
          <w:sz w:val="24"/>
          <w:szCs w:val="24"/>
        </w:rPr>
        <w:t xml:space="preserve">, U., </w:t>
      </w:r>
      <w:proofErr w:type="spellStart"/>
      <w:r w:rsidRPr="00E96DE6">
        <w:rPr>
          <w:rFonts w:ascii="Times New Roman" w:eastAsia="Times New Roman" w:hAnsi="Times New Roman" w:cs="Times New Roman"/>
          <w:sz w:val="24"/>
          <w:szCs w:val="24"/>
        </w:rPr>
        <w:t>Elusoji</w:t>
      </w:r>
      <w:proofErr w:type="spellEnd"/>
      <w:r w:rsidRPr="00E96DE6">
        <w:rPr>
          <w:rFonts w:ascii="Times New Roman" w:eastAsia="Times New Roman" w:hAnsi="Times New Roman" w:cs="Times New Roman"/>
          <w:sz w:val="24"/>
          <w:szCs w:val="24"/>
        </w:rPr>
        <w:t xml:space="preserve">, C. I., Ofilia, C. C., </w:t>
      </w:r>
      <w:proofErr w:type="spellStart"/>
      <w:r w:rsidRPr="00E96DE6">
        <w:rPr>
          <w:rFonts w:ascii="Times New Roman" w:eastAsia="Times New Roman" w:hAnsi="Times New Roman" w:cs="Times New Roman"/>
          <w:sz w:val="24"/>
          <w:szCs w:val="24"/>
        </w:rPr>
        <w:t>Otutua</w:t>
      </w:r>
      <w:proofErr w:type="spellEnd"/>
      <w:r w:rsidRPr="00E96DE6">
        <w:rPr>
          <w:rFonts w:ascii="Times New Roman" w:eastAsia="Times New Roman" w:hAnsi="Times New Roman" w:cs="Times New Roman"/>
          <w:sz w:val="24"/>
          <w:szCs w:val="24"/>
        </w:rPr>
        <w:t xml:space="preserve">, M. O., &amp; </w:t>
      </w:r>
      <w:proofErr w:type="spellStart"/>
      <w:r w:rsidRPr="00E96DE6">
        <w:rPr>
          <w:rFonts w:ascii="Times New Roman" w:eastAsia="Times New Roman" w:hAnsi="Times New Roman" w:cs="Times New Roman"/>
          <w:sz w:val="24"/>
          <w:szCs w:val="24"/>
        </w:rPr>
        <w:t>Ohanme</w:t>
      </w:r>
      <w:proofErr w:type="spellEnd"/>
      <w:r w:rsidRPr="00E96DE6">
        <w:rPr>
          <w:rFonts w:ascii="Times New Roman" w:eastAsia="Times New Roman" w:hAnsi="Times New Roman" w:cs="Times New Roman"/>
          <w:sz w:val="24"/>
          <w:szCs w:val="24"/>
        </w:rPr>
        <w:t xml:space="preserve">, E. O. (2024). Knowledge level of caregivers on immunization for children (under-5 years) in Nigeria. </w:t>
      </w:r>
      <w:r w:rsidRPr="00E96DE6">
        <w:rPr>
          <w:rFonts w:ascii="Times New Roman" w:eastAsia="Times New Roman" w:hAnsi="Times New Roman" w:cs="Times New Roman"/>
          <w:i/>
          <w:iCs/>
          <w:sz w:val="24"/>
          <w:szCs w:val="24"/>
        </w:rPr>
        <w:t>Asian Journal of Medicine and Health, 22</w:t>
      </w:r>
      <w:r w:rsidRPr="00E96DE6">
        <w:rPr>
          <w:rFonts w:ascii="Times New Roman" w:eastAsia="Times New Roman" w:hAnsi="Times New Roman" w:cs="Times New Roman"/>
          <w:sz w:val="24"/>
          <w:szCs w:val="24"/>
        </w:rPr>
        <w:t xml:space="preserve">(8), 158–173. </w:t>
      </w:r>
      <w:hyperlink r:id="rId107" w:history="1">
        <w:r w:rsidRPr="00E96DE6">
          <w:rPr>
            <w:rFonts w:ascii="Times New Roman" w:eastAsia="Times New Roman" w:hAnsi="Times New Roman" w:cs="Times New Roman"/>
            <w:color w:val="0000FF"/>
            <w:sz w:val="24"/>
            <w:szCs w:val="24"/>
            <w:u w:val="single"/>
          </w:rPr>
          <w:t>https://doi.org/10.9734/ajmah/2024/v22i81081</w:t>
        </w:r>
      </w:hyperlink>
    </w:p>
    <w:p w14:paraId="7D5BC40E" w14:textId="77777777" w:rsidR="00E96DE6" w:rsidRPr="00E96DE6" w:rsidRDefault="00E96DE6" w:rsidP="00E96DE6">
      <w:pPr>
        <w:spacing w:before="100" w:beforeAutospacing="1" w:after="100" w:afterAutospacing="1" w:line="240" w:lineRule="auto"/>
        <w:rPr>
          <w:rFonts w:ascii="Times New Roman" w:eastAsia="Times New Roman" w:hAnsi="Times New Roman" w:cs="Times New Roman"/>
          <w:sz w:val="24"/>
          <w:szCs w:val="24"/>
        </w:rPr>
      </w:pPr>
      <w:r w:rsidRPr="00E96DE6">
        <w:rPr>
          <w:rFonts w:ascii="Times New Roman" w:eastAsia="Times New Roman" w:hAnsi="Times New Roman" w:cs="Times New Roman"/>
          <w:sz w:val="24"/>
          <w:szCs w:val="24"/>
        </w:rPr>
        <w:t xml:space="preserve">Sayomi, B. A., </w:t>
      </w:r>
      <w:proofErr w:type="spellStart"/>
      <w:r w:rsidRPr="00E96DE6">
        <w:rPr>
          <w:rFonts w:ascii="Times New Roman" w:eastAsia="Times New Roman" w:hAnsi="Times New Roman" w:cs="Times New Roman"/>
          <w:sz w:val="24"/>
          <w:szCs w:val="24"/>
        </w:rPr>
        <w:t>Oladibu</w:t>
      </w:r>
      <w:proofErr w:type="spellEnd"/>
      <w:r w:rsidRPr="00E96DE6">
        <w:rPr>
          <w:rFonts w:ascii="Times New Roman" w:eastAsia="Times New Roman" w:hAnsi="Times New Roman" w:cs="Times New Roman"/>
          <w:sz w:val="24"/>
          <w:szCs w:val="24"/>
        </w:rPr>
        <w:t xml:space="preserve">, O. T., &amp; Alabi, A. O. (2025). Understanding the socioeconomic determinants of childhood illness in Nigeria: A narrative review of health inequities and policy implications. </w:t>
      </w:r>
      <w:r w:rsidRPr="00E96DE6">
        <w:rPr>
          <w:rFonts w:ascii="Times New Roman" w:eastAsia="Times New Roman" w:hAnsi="Times New Roman" w:cs="Times New Roman"/>
          <w:i/>
          <w:iCs/>
          <w:sz w:val="24"/>
          <w:szCs w:val="24"/>
        </w:rPr>
        <w:t>Journal of Disease and Global Health, 18</w:t>
      </w:r>
      <w:r w:rsidRPr="00E96DE6">
        <w:rPr>
          <w:rFonts w:ascii="Times New Roman" w:eastAsia="Times New Roman" w:hAnsi="Times New Roman" w:cs="Times New Roman"/>
          <w:sz w:val="24"/>
          <w:szCs w:val="24"/>
        </w:rPr>
        <w:t xml:space="preserve">(2), 210–222. </w:t>
      </w:r>
      <w:hyperlink r:id="rId108" w:history="1">
        <w:r w:rsidRPr="00E96DE6">
          <w:rPr>
            <w:rFonts w:ascii="Times New Roman" w:eastAsia="Times New Roman" w:hAnsi="Times New Roman" w:cs="Times New Roman"/>
            <w:color w:val="0000FF"/>
            <w:sz w:val="24"/>
            <w:szCs w:val="24"/>
            <w:u w:val="single"/>
          </w:rPr>
          <w:t>https://doi.org/10.56557/jodagh/2025/v18i29773</w:t>
        </w:r>
      </w:hyperlink>
    </w:p>
    <w:p w14:paraId="447D3E3A" w14:textId="77777777" w:rsidR="00E96DE6" w:rsidRPr="00E96DE6" w:rsidRDefault="00E96DE6" w:rsidP="00E96DE6">
      <w:pPr>
        <w:spacing w:before="100" w:beforeAutospacing="1" w:after="100" w:afterAutospacing="1" w:line="240" w:lineRule="auto"/>
        <w:rPr>
          <w:rFonts w:ascii="Times New Roman" w:eastAsia="Times New Roman" w:hAnsi="Times New Roman" w:cs="Times New Roman"/>
          <w:sz w:val="24"/>
          <w:szCs w:val="24"/>
        </w:rPr>
      </w:pPr>
      <w:r w:rsidRPr="00E96DE6">
        <w:rPr>
          <w:rFonts w:ascii="Times New Roman" w:eastAsia="Times New Roman" w:hAnsi="Times New Roman" w:cs="Times New Roman"/>
          <w:sz w:val="24"/>
          <w:szCs w:val="24"/>
        </w:rPr>
        <w:t xml:space="preserve">Williams, S. V., Akande, T., &amp; Abbas, K. (2024). Systematic review of social determinants of childhood </w:t>
      </w:r>
      <w:proofErr w:type="spellStart"/>
      <w:r w:rsidRPr="00E96DE6">
        <w:rPr>
          <w:rFonts w:ascii="Times New Roman" w:eastAsia="Times New Roman" w:hAnsi="Times New Roman" w:cs="Times New Roman"/>
          <w:sz w:val="24"/>
          <w:szCs w:val="24"/>
        </w:rPr>
        <w:t>immunisation</w:t>
      </w:r>
      <w:proofErr w:type="spellEnd"/>
      <w:r w:rsidRPr="00E96DE6">
        <w:rPr>
          <w:rFonts w:ascii="Times New Roman" w:eastAsia="Times New Roman" w:hAnsi="Times New Roman" w:cs="Times New Roman"/>
          <w:sz w:val="24"/>
          <w:szCs w:val="24"/>
        </w:rPr>
        <w:t xml:space="preserve"> in low- and middle-income countries and equity impact analysis of </w:t>
      </w:r>
      <w:r w:rsidRPr="00E96DE6">
        <w:rPr>
          <w:rFonts w:ascii="Times New Roman" w:eastAsia="Times New Roman" w:hAnsi="Times New Roman" w:cs="Times New Roman"/>
          <w:sz w:val="24"/>
          <w:szCs w:val="24"/>
        </w:rPr>
        <w:lastRenderedPageBreak/>
        <w:t xml:space="preserve">childhood vaccination coverage in Nigeria. </w:t>
      </w:r>
      <w:r w:rsidRPr="00E96DE6">
        <w:rPr>
          <w:rFonts w:ascii="Times New Roman" w:eastAsia="Times New Roman" w:hAnsi="Times New Roman" w:cs="Times New Roman"/>
          <w:i/>
          <w:iCs/>
          <w:sz w:val="24"/>
          <w:szCs w:val="24"/>
        </w:rPr>
        <w:t>PLOS ONE, 19</w:t>
      </w:r>
      <w:r w:rsidRPr="00E96DE6">
        <w:rPr>
          <w:rFonts w:ascii="Times New Roman" w:eastAsia="Times New Roman" w:hAnsi="Times New Roman" w:cs="Times New Roman"/>
          <w:sz w:val="24"/>
          <w:szCs w:val="24"/>
        </w:rPr>
        <w:t xml:space="preserve">(3), e0297326. </w:t>
      </w:r>
      <w:hyperlink r:id="rId109" w:history="1">
        <w:r w:rsidRPr="00E96DE6">
          <w:rPr>
            <w:rFonts w:ascii="Times New Roman" w:eastAsia="Times New Roman" w:hAnsi="Times New Roman" w:cs="Times New Roman"/>
            <w:color w:val="0000FF"/>
            <w:sz w:val="24"/>
            <w:szCs w:val="24"/>
            <w:u w:val="single"/>
          </w:rPr>
          <w:t>https://doi.org/10.1371/journal.pone.0297326</w:t>
        </w:r>
      </w:hyperlink>
    </w:p>
    <w:p w14:paraId="13C91BB4" w14:textId="77777777" w:rsidR="00E96DE6" w:rsidRPr="00E96DE6" w:rsidRDefault="00E96DE6" w:rsidP="00E96DE6">
      <w:pPr>
        <w:spacing w:before="100" w:beforeAutospacing="1" w:after="100" w:afterAutospacing="1" w:line="240" w:lineRule="auto"/>
        <w:rPr>
          <w:rFonts w:ascii="Times New Roman" w:eastAsia="Times New Roman" w:hAnsi="Times New Roman" w:cs="Times New Roman"/>
          <w:sz w:val="24"/>
          <w:szCs w:val="24"/>
        </w:rPr>
      </w:pPr>
      <w:r w:rsidRPr="00E96DE6">
        <w:rPr>
          <w:rFonts w:ascii="Times New Roman" w:eastAsia="Times New Roman" w:hAnsi="Times New Roman" w:cs="Times New Roman"/>
          <w:sz w:val="24"/>
          <w:szCs w:val="24"/>
        </w:rPr>
        <w:t xml:space="preserve">World Health Organization, &amp; United Nations Children’s Fund. (2026). </w:t>
      </w:r>
      <w:r w:rsidRPr="00E96DE6">
        <w:rPr>
          <w:rFonts w:ascii="Times New Roman" w:eastAsia="Times New Roman" w:hAnsi="Times New Roman" w:cs="Times New Roman"/>
          <w:i/>
          <w:iCs/>
          <w:sz w:val="24"/>
          <w:szCs w:val="24"/>
        </w:rPr>
        <w:t>WHO/UNICEF immunization coverage estimates—2025 revision</w:t>
      </w:r>
      <w:r w:rsidRPr="00E96DE6">
        <w:rPr>
          <w:rFonts w:ascii="Times New Roman" w:eastAsia="Times New Roman" w:hAnsi="Times New Roman" w:cs="Times New Roman"/>
          <w:sz w:val="24"/>
          <w:szCs w:val="24"/>
        </w:rPr>
        <w:t xml:space="preserve">. </w:t>
      </w:r>
      <w:hyperlink r:id="rId110" w:history="1">
        <w:r w:rsidRPr="00E96DE6">
          <w:rPr>
            <w:rFonts w:ascii="Times New Roman" w:eastAsia="Times New Roman" w:hAnsi="Times New Roman" w:cs="Times New Roman"/>
            <w:color w:val="0000FF"/>
            <w:sz w:val="24"/>
            <w:szCs w:val="24"/>
            <w:u w:val="single"/>
          </w:rPr>
          <w:t>https://www.who.int/publications/m/item/WUENIC_notes</w:t>
        </w:r>
      </w:hyperlink>
    </w:p>
    <w:p w14:paraId="3442259E" w14:textId="77777777" w:rsidR="00E96DE6" w:rsidRPr="00BC5C6D" w:rsidRDefault="00E96DE6" w:rsidP="00372D2F">
      <w:pPr>
        <w:pStyle w:val="Heading2"/>
        <w:rPr>
          <w:sz w:val="24"/>
          <w:szCs w:val="24"/>
        </w:rPr>
      </w:pPr>
    </w:p>
    <w:sectPr w:rsidR="00E96DE6" w:rsidRPr="00BC5C6D">
      <w:headerReference w:type="even" r:id="rId111"/>
      <w:headerReference w:type="default" r:id="rId112"/>
      <w:footerReference w:type="even" r:id="rId113"/>
      <w:footerReference w:type="default" r:id="rId114"/>
      <w:headerReference w:type="first" r:id="rId115"/>
      <w:footerReference w:type="first" r:id="rId1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6B851" w14:textId="77777777" w:rsidR="002C12F0" w:rsidRDefault="002C12F0" w:rsidP="00B85E6C">
      <w:pPr>
        <w:spacing w:after="0" w:line="240" w:lineRule="auto"/>
      </w:pPr>
      <w:r>
        <w:separator/>
      </w:r>
    </w:p>
  </w:endnote>
  <w:endnote w:type="continuationSeparator" w:id="0">
    <w:p w14:paraId="1416139A" w14:textId="77777777" w:rsidR="002C12F0" w:rsidRDefault="002C12F0" w:rsidP="00B85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355BF" w14:textId="77777777" w:rsidR="00BD3876" w:rsidRDefault="00BD38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8923062"/>
      <w:docPartObj>
        <w:docPartGallery w:val="Page Numbers (Bottom of Page)"/>
        <w:docPartUnique/>
      </w:docPartObj>
    </w:sdtPr>
    <w:sdtEndPr>
      <w:rPr>
        <w:noProof/>
      </w:rPr>
    </w:sdtEndPr>
    <w:sdtContent>
      <w:p w14:paraId="3F099419" w14:textId="77777777" w:rsidR="004321D3" w:rsidRDefault="004321D3">
        <w:pPr>
          <w:pStyle w:val="Footer"/>
          <w:jc w:val="center"/>
        </w:pPr>
        <w:r>
          <w:fldChar w:fldCharType="begin"/>
        </w:r>
        <w:r>
          <w:instrText xml:space="preserve"> PAGE   \* MERGEFORMAT </w:instrText>
        </w:r>
        <w:r>
          <w:fldChar w:fldCharType="separate"/>
        </w:r>
        <w:r w:rsidR="00372D2F">
          <w:rPr>
            <w:noProof/>
          </w:rPr>
          <w:t>14</w:t>
        </w:r>
        <w:r>
          <w:rPr>
            <w:noProof/>
          </w:rPr>
          <w:fldChar w:fldCharType="end"/>
        </w:r>
      </w:p>
    </w:sdtContent>
  </w:sdt>
  <w:p w14:paraId="6D8347DD" w14:textId="77777777" w:rsidR="004321D3" w:rsidRDefault="004321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02293" w14:textId="77777777" w:rsidR="00BD3876" w:rsidRDefault="00BD38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F9780" w14:textId="77777777" w:rsidR="002C12F0" w:rsidRDefault="002C12F0" w:rsidP="00B85E6C">
      <w:pPr>
        <w:spacing w:after="0" w:line="240" w:lineRule="auto"/>
      </w:pPr>
      <w:r>
        <w:separator/>
      </w:r>
    </w:p>
  </w:footnote>
  <w:footnote w:type="continuationSeparator" w:id="0">
    <w:p w14:paraId="26D4C559" w14:textId="77777777" w:rsidR="002C12F0" w:rsidRDefault="002C12F0" w:rsidP="00B85E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F606D" w14:textId="77777777" w:rsidR="00BD3876" w:rsidRDefault="00000000">
    <w:pPr>
      <w:pStyle w:val="Header"/>
    </w:pPr>
    <w:r>
      <w:rPr>
        <w:noProof/>
      </w:rPr>
      <w:pict w14:anchorId="755A72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875110"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EF4D" w14:textId="77777777" w:rsidR="00BD3876" w:rsidRDefault="00000000">
    <w:pPr>
      <w:pStyle w:val="Header"/>
    </w:pPr>
    <w:r>
      <w:rPr>
        <w:noProof/>
      </w:rPr>
      <w:pict w14:anchorId="31DECE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875111"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C82F8" w14:textId="77777777" w:rsidR="00BD3876" w:rsidRDefault="00000000">
    <w:pPr>
      <w:pStyle w:val="Header"/>
    </w:pPr>
    <w:r>
      <w:rPr>
        <w:noProof/>
      </w:rPr>
      <w:pict w14:anchorId="1C3477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875109"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82850"/>
    <w:multiLevelType w:val="multilevel"/>
    <w:tmpl w:val="60DA2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046653"/>
    <w:multiLevelType w:val="multilevel"/>
    <w:tmpl w:val="B658E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A50F22"/>
    <w:multiLevelType w:val="multilevel"/>
    <w:tmpl w:val="810636A0"/>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2611EE0"/>
    <w:multiLevelType w:val="multilevel"/>
    <w:tmpl w:val="70ACF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7924FD"/>
    <w:multiLevelType w:val="multilevel"/>
    <w:tmpl w:val="87DA5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636222"/>
    <w:multiLevelType w:val="multilevel"/>
    <w:tmpl w:val="F0185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F77036"/>
    <w:multiLevelType w:val="multilevel"/>
    <w:tmpl w:val="212C0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372861"/>
    <w:multiLevelType w:val="multilevel"/>
    <w:tmpl w:val="BC6E5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CC6763"/>
    <w:multiLevelType w:val="multilevel"/>
    <w:tmpl w:val="29ECC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3072588">
    <w:abstractNumId w:val="2"/>
  </w:num>
  <w:num w:numId="2" w16cid:durableId="442269084">
    <w:abstractNumId w:val="6"/>
  </w:num>
  <w:num w:numId="3" w16cid:durableId="2045789485">
    <w:abstractNumId w:val="0"/>
  </w:num>
  <w:num w:numId="4" w16cid:durableId="2090077516">
    <w:abstractNumId w:val="1"/>
  </w:num>
  <w:num w:numId="5" w16cid:durableId="2106222969">
    <w:abstractNumId w:val="4"/>
  </w:num>
  <w:num w:numId="6" w16cid:durableId="1183124765">
    <w:abstractNumId w:val="8"/>
  </w:num>
  <w:num w:numId="7" w16cid:durableId="1201891849">
    <w:abstractNumId w:val="5"/>
  </w:num>
  <w:num w:numId="8" w16cid:durableId="1026104721">
    <w:abstractNumId w:val="7"/>
  </w:num>
  <w:num w:numId="9" w16cid:durableId="7731388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B48"/>
    <w:rsid w:val="0000686A"/>
    <w:rsid w:val="000355E4"/>
    <w:rsid w:val="00056C2A"/>
    <w:rsid w:val="000B2705"/>
    <w:rsid w:val="000B7680"/>
    <w:rsid w:val="000F2988"/>
    <w:rsid w:val="00100869"/>
    <w:rsid w:val="00101E52"/>
    <w:rsid w:val="0014723F"/>
    <w:rsid w:val="00176AB3"/>
    <w:rsid w:val="00187FFE"/>
    <w:rsid w:val="001927B8"/>
    <w:rsid w:val="001A224D"/>
    <w:rsid w:val="001A63AA"/>
    <w:rsid w:val="001B665C"/>
    <w:rsid w:val="001C2A40"/>
    <w:rsid w:val="001D63AA"/>
    <w:rsid w:val="001E4659"/>
    <w:rsid w:val="001E7CB9"/>
    <w:rsid w:val="00220506"/>
    <w:rsid w:val="00290137"/>
    <w:rsid w:val="002A2B37"/>
    <w:rsid w:val="002C12F0"/>
    <w:rsid w:val="002C7352"/>
    <w:rsid w:val="002D7357"/>
    <w:rsid w:val="00342E1A"/>
    <w:rsid w:val="00360DB9"/>
    <w:rsid w:val="00370AEB"/>
    <w:rsid w:val="00372D2F"/>
    <w:rsid w:val="003E3E16"/>
    <w:rsid w:val="004321D3"/>
    <w:rsid w:val="004404E7"/>
    <w:rsid w:val="004560DA"/>
    <w:rsid w:val="00482107"/>
    <w:rsid w:val="00482CD9"/>
    <w:rsid w:val="00487B48"/>
    <w:rsid w:val="004E0B74"/>
    <w:rsid w:val="004E6516"/>
    <w:rsid w:val="00506722"/>
    <w:rsid w:val="00557E06"/>
    <w:rsid w:val="0056188A"/>
    <w:rsid w:val="005722DF"/>
    <w:rsid w:val="005A176A"/>
    <w:rsid w:val="005B0303"/>
    <w:rsid w:val="005D5768"/>
    <w:rsid w:val="005E3615"/>
    <w:rsid w:val="00615D6C"/>
    <w:rsid w:val="0061619D"/>
    <w:rsid w:val="006163C3"/>
    <w:rsid w:val="006265E2"/>
    <w:rsid w:val="006762FE"/>
    <w:rsid w:val="006A5376"/>
    <w:rsid w:val="006C0CA0"/>
    <w:rsid w:val="00700263"/>
    <w:rsid w:val="0074268C"/>
    <w:rsid w:val="00762D50"/>
    <w:rsid w:val="00782DFC"/>
    <w:rsid w:val="007A6551"/>
    <w:rsid w:val="007C10ED"/>
    <w:rsid w:val="007C2209"/>
    <w:rsid w:val="00815048"/>
    <w:rsid w:val="00852143"/>
    <w:rsid w:val="008550B8"/>
    <w:rsid w:val="00861182"/>
    <w:rsid w:val="008709F8"/>
    <w:rsid w:val="0088413F"/>
    <w:rsid w:val="008B2171"/>
    <w:rsid w:val="008B5019"/>
    <w:rsid w:val="008C36C4"/>
    <w:rsid w:val="008C7258"/>
    <w:rsid w:val="00907CB9"/>
    <w:rsid w:val="00912860"/>
    <w:rsid w:val="00923799"/>
    <w:rsid w:val="00951BE1"/>
    <w:rsid w:val="00953B98"/>
    <w:rsid w:val="0095515B"/>
    <w:rsid w:val="00977547"/>
    <w:rsid w:val="009A5F6A"/>
    <w:rsid w:val="009B0D21"/>
    <w:rsid w:val="009C4695"/>
    <w:rsid w:val="009F248F"/>
    <w:rsid w:val="009F51D2"/>
    <w:rsid w:val="00A21E0F"/>
    <w:rsid w:val="00A26821"/>
    <w:rsid w:val="00A62812"/>
    <w:rsid w:val="00A75AC7"/>
    <w:rsid w:val="00AA287C"/>
    <w:rsid w:val="00B0574D"/>
    <w:rsid w:val="00B41C82"/>
    <w:rsid w:val="00B5099A"/>
    <w:rsid w:val="00B620B6"/>
    <w:rsid w:val="00B761AD"/>
    <w:rsid w:val="00B83A4B"/>
    <w:rsid w:val="00B85E6C"/>
    <w:rsid w:val="00BC1338"/>
    <w:rsid w:val="00BC5C6D"/>
    <w:rsid w:val="00BD10A3"/>
    <w:rsid w:val="00BD3876"/>
    <w:rsid w:val="00BD39DE"/>
    <w:rsid w:val="00BD5945"/>
    <w:rsid w:val="00BF7971"/>
    <w:rsid w:val="00C3012C"/>
    <w:rsid w:val="00C81A55"/>
    <w:rsid w:val="00C84067"/>
    <w:rsid w:val="00CB28F8"/>
    <w:rsid w:val="00CC1F1F"/>
    <w:rsid w:val="00CC6E81"/>
    <w:rsid w:val="00D15CB2"/>
    <w:rsid w:val="00D37501"/>
    <w:rsid w:val="00D602FB"/>
    <w:rsid w:val="00DA3E4F"/>
    <w:rsid w:val="00DC0D6B"/>
    <w:rsid w:val="00DD28F6"/>
    <w:rsid w:val="00DE0F6F"/>
    <w:rsid w:val="00DE3338"/>
    <w:rsid w:val="00E019CE"/>
    <w:rsid w:val="00E23424"/>
    <w:rsid w:val="00E710B1"/>
    <w:rsid w:val="00E96DE6"/>
    <w:rsid w:val="00EF6EC7"/>
    <w:rsid w:val="00F04B75"/>
    <w:rsid w:val="00F12F58"/>
    <w:rsid w:val="00F65A6A"/>
    <w:rsid w:val="00F771CC"/>
    <w:rsid w:val="00FA30A2"/>
    <w:rsid w:val="00FC322E"/>
    <w:rsid w:val="00FC47E6"/>
  </w:rsids>
  <m:mathPr>
    <m:mathFont m:val="Cambria Math"/>
    <m:brkBin m:val="before"/>
    <m:brkBinSub m:val="--"/>
    <m:smallFrac m:val="0"/>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7D7D0"/>
  <w15:chartTrackingRefBased/>
  <w15:docId w15:val="{4CDD7F93-79DD-4717-8A81-EB72FB9E0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214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92379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2379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92379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87B48"/>
    <w:rPr>
      <w:b/>
      <w:bCs/>
    </w:rPr>
  </w:style>
  <w:style w:type="paragraph" w:customStyle="1" w:styleId="isselectedend">
    <w:name w:val="isselectedend"/>
    <w:basedOn w:val="Normal"/>
    <w:rsid w:val="00487B48"/>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487B4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87B48"/>
    <w:pPr>
      <w:ind w:left="720"/>
      <w:contextualSpacing/>
    </w:pPr>
  </w:style>
  <w:style w:type="character" w:customStyle="1" w:styleId="Heading2Char">
    <w:name w:val="Heading 2 Char"/>
    <w:basedOn w:val="DefaultParagraphFont"/>
    <w:link w:val="Heading2"/>
    <w:uiPriority w:val="9"/>
    <w:rsid w:val="0092379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23799"/>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923799"/>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B85E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5E6C"/>
  </w:style>
  <w:style w:type="paragraph" w:styleId="Footer">
    <w:name w:val="footer"/>
    <w:basedOn w:val="Normal"/>
    <w:link w:val="FooterChar"/>
    <w:uiPriority w:val="99"/>
    <w:unhideWhenUsed/>
    <w:rsid w:val="00B85E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5E6C"/>
  </w:style>
  <w:style w:type="character" w:customStyle="1" w:styleId="Heading1Char">
    <w:name w:val="Heading 1 Char"/>
    <w:basedOn w:val="DefaultParagraphFont"/>
    <w:link w:val="Heading1"/>
    <w:uiPriority w:val="9"/>
    <w:rsid w:val="00852143"/>
    <w:rPr>
      <w:rFonts w:asciiTheme="majorHAnsi" w:eastAsiaTheme="majorEastAsia" w:hAnsiTheme="majorHAnsi" w:cstheme="majorBidi"/>
      <w:color w:val="2F5496" w:themeColor="accent1" w:themeShade="BF"/>
      <w:sz w:val="32"/>
      <w:szCs w:val="32"/>
    </w:rPr>
  </w:style>
  <w:style w:type="character" w:styleId="Emphasis">
    <w:name w:val="Emphasis"/>
    <w:basedOn w:val="DefaultParagraphFont"/>
    <w:uiPriority w:val="20"/>
    <w:qFormat/>
    <w:rsid w:val="00852143"/>
    <w:rPr>
      <w:i/>
      <w:iCs/>
    </w:rPr>
  </w:style>
  <w:style w:type="paragraph" w:customStyle="1" w:styleId="pdq2pgselectionanchorcontainer">
    <w:name w:val="pdq2pg_selectionanchorcontainer"/>
    <w:basedOn w:val="Normal"/>
    <w:rsid w:val="00615D6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B76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0263"/>
    <w:rPr>
      <w:color w:val="0000FF"/>
      <w:u w:val="single"/>
    </w:rPr>
  </w:style>
  <w:style w:type="character" w:styleId="UnresolvedMention">
    <w:name w:val="Unresolved Mention"/>
    <w:basedOn w:val="DefaultParagraphFont"/>
    <w:uiPriority w:val="99"/>
    <w:semiHidden/>
    <w:unhideWhenUsed/>
    <w:rsid w:val="004560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57493">
      <w:bodyDiv w:val="1"/>
      <w:marLeft w:val="0"/>
      <w:marRight w:val="0"/>
      <w:marTop w:val="0"/>
      <w:marBottom w:val="0"/>
      <w:divBdr>
        <w:top w:val="none" w:sz="0" w:space="0" w:color="auto"/>
        <w:left w:val="none" w:sz="0" w:space="0" w:color="auto"/>
        <w:bottom w:val="none" w:sz="0" w:space="0" w:color="auto"/>
        <w:right w:val="none" w:sz="0" w:space="0" w:color="auto"/>
      </w:divBdr>
      <w:divsChild>
        <w:div w:id="1800611120">
          <w:marLeft w:val="0"/>
          <w:marRight w:val="0"/>
          <w:marTop w:val="0"/>
          <w:marBottom w:val="0"/>
          <w:divBdr>
            <w:top w:val="none" w:sz="0" w:space="0" w:color="auto"/>
            <w:left w:val="none" w:sz="0" w:space="0" w:color="auto"/>
            <w:bottom w:val="none" w:sz="0" w:space="0" w:color="auto"/>
            <w:right w:val="none" w:sz="0" w:space="0" w:color="auto"/>
          </w:divBdr>
          <w:divsChild>
            <w:div w:id="1105004294">
              <w:marLeft w:val="0"/>
              <w:marRight w:val="0"/>
              <w:marTop w:val="0"/>
              <w:marBottom w:val="0"/>
              <w:divBdr>
                <w:top w:val="none" w:sz="0" w:space="0" w:color="auto"/>
                <w:left w:val="none" w:sz="0" w:space="0" w:color="auto"/>
                <w:bottom w:val="none" w:sz="0" w:space="0" w:color="auto"/>
                <w:right w:val="none" w:sz="0" w:space="0" w:color="auto"/>
              </w:divBdr>
            </w:div>
          </w:divsChild>
        </w:div>
        <w:div w:id="1273168472">
          <w:marLeft w:val="0"/>
          <w:marRight w:val="0"/>
          <w:marTop w:val="0"/>
          <w:marBottom w:val="0"/>
          <w:divBdr>
            <w:top w:val="none" w:sz="0" w:space="0" w:color="auto"/>
            <w:left w:val="none" w:sz="0" w:space="0" w:color="auto"/>
            <w:bottom w:val="none" w:sz="0" w:space="0" w:color="auto"/>
            <w:right w:val="none" w:sz="0" w:space="0" w:color="auto"/>
          </w:divBdr>
          <w:divsChild>
            <w:div w:id="87072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9856">
      <w:bodyDiv w:val="1"/>
      <w:marLeft w:val="0"/>
      <w:marRight w:val="0"/>
      <w:marTop w:val="0"/>
      <w:marBottom w:val="0"/>
      <w:divBdr>
        <w:top w:val="none" w:sz="0" w:space="0" w:color="auto"/>
        <w:left w:val="none" w:sz="0" w:space="0" w:color="auto"/>
        <w:bottom w:val="none" w:sz="0" w:space="0" w:color="auto"/>
        <w:right w:val="none" w:sz="0" w:space="0" w:color="auto"/>
      </w:divBdr>
    </w:div>
    <w:div w:id="175582418">
      <w:bodyDiv w:val="1"/>
      <w:marLeft w:val="0"/>
      <w:marRight w:val="0"/>
      <w:marTop w:val="0"/>
      <w:marBottom w:val="0"/>
      <w:divBdr>
        <w:top w:val="none" w:sz="0" w:space="0" w:color="auto"/>
        <w:left w:val="none" w:sz="0" w:space="0" w:color="auto"/>
        <w:bottom w:val="none" w:sz="0" w:space="0" w:color="auto"/>
        <w:right w:val="none" w:sz="0" w:space="0" w:color="auto"/>
      </w:divBdr>
    </w:div>
    <w:div w:id="177738552">
      <w:bodyDiv w:val="1"/>
      <w:marLeft w:val="0"/>
      <w:marRight w:val="0"/>
      <w:marTop w:val="0"/>
      <w:marBottom w:val="0"/>
      <w:divBdr>
        <w:top w:val="none" w:sz="0" w:space="0" w:color="auto"/>
        <w:left w:val="none" w:sz="0" w:space="0" w:color="auto"/>
        <w:bottom w:val="none" w:sz="0" w:space="0" w:color="auto"/>
        <w:right w:val="none" w:sz="0" w:space="0" w:color="auto"/>
      </w:divBdr>
    </w:div>
    <w:div w:id="204559704">
      <w:bodyDiv w:val="1"/>
      <w:marLeft w:val="0"/>
      <w:marRight w:val="0"/>
      <w:marTop w:val="0"/>
      <w:marBottom w:val="0"/>
      <w:divBdr>
        <w:top w:val="none" w:sz="0" w:space="0" w:color="auto"/>
        <w:left w:val="none" w:sz="0" w:space="0" w:color="auto"/>
        <w:bottom w:val="none" w:sz="0" w:space="0" w:color="auto"/>
        <w:right w:val="none" w:sz="0" w:space="0" w:color="auto"/>
      </w:divBdr>
    </w:div>
    <w:div w:id="220404824">
      <w:bodyDiv w:val="1"/>
      <w:marLeft w:val="0"/>
      <w:marRight w:val="0"/>
      <w:marTop w:val="0"/>
      <w:marBottom w:val="0"/>
      <w:divBdr>
        <w:top w:val="none" w:sz="0" w:space="0" w:color="auto"/>
        <w:left w:val="none" w:sz="0" w:space="0" w:color="auto"/>
        <w:bottom w:val="none" w:sz="0" w:space="0" w:color="auto"/>
        <w:right w:val="none" w:sz="0" w:space="0" w:color="auto"/>
      </w:divBdr>
    </w:div>
    <w:div w:id="263156061">
      <w:bodyDiv w:val="1"/>
      <w:marLeft w:val="0"/>
      <w:marRight w:val="0"/>
      <w:marTop w:val="0"/>
      <w:marBottom w:val="0"/>
      <w:divBdr>
        <w:top w:val="none" w:sz="0" w:space="0" w:color="auto"/>
        <w:left w:val="none" w:sz="0" w:space="0" w:color="auto"/>
        <w:bottom w:val="none" w:sz="0" w:space="0" w:color="auto"/>
        <w:right w:val="none" w:sz="0" w:space="0" w:color="auto"/>
      </w:divBdr>
    </w:div>
    <w:div w:id="272372639">
      <w:bodyDiv w:val="1"/>
      <w:marLeft w:val="0"/>
      <w:marRight w:val="0"/>
      <w:marTop w:val="0"/>
      <w:marBottom w:val="0"/>
      <w:divBdr>
        <w:top w:val="none" w:sz="0" w:space="0" w:color="auto"/>
        <w:left w:val="none" w:sz="0" w:space="0" w:color="auto"/>
        <w:bottom w:val="none" w:sz="0" w:space="0" w:color="auto"/>
        <w:right w:val="none" w:sz="0" w:space="0" w:color="auto"/>
      </w:divBdr>
    </w:div>
    <w:div w:id="312221903">
      <w:bodyDiv w:val="1"/>
      <w:marLeft w:val="0"/>
      <w:marRight w:val="0"/>
      <w:marTop w:val="0"/>
      <w:marBottom w:val="0"/>
      <w:divBdr>
        <w:top w:val="none" w:sz="0" w:space="0" w:color="auto"/>
        <w:left w:val="none" w:sz="0" w:space="0" w:color="auto"/>
        <w:bottom w:val="none" w:sz="0" w:space="0" w:color="auto"/>
        <w:right w:val="none" w:sz="0" w:space="0" w:color="auto"/>
      </w:divBdr>
    </w:div>
    <w:div w:id="383022180">
      <w:bodyDiv w:val="1"/>
      <w:marLeft w:val="0"/>
      <w:marRight w:val="0"/>
      <w:marTop w:val="0"/>
      <w:marBottom w:val="0"/>
      <w:divBdr>
        <w:top w:val="none" w:sz="0" w:space="0" w:color="auto"/>
        <w:left w:val="none" w:sz="0" w:space="0" w:color="auto"/>
        <w:bottom w:val="none" w:sz="0" w:space="0" w:color="auto"/>
        <w:right w:val="none" w:sz="0" w:space="0" w:color="auto"/>
      </w:divBdr>
    </w:div>
    <w:div w:id="434520545">
      <w:bodyDiv w:val="1"/>
      <w:marLeft w:val="0"/>
      <w:marRight w:val="0"/>
      <w:marTop w:val="0"/>
      <w:marBottom w:val="0"/>
      <w:divBdr>
        <w:top w:val="none" w:sz="0" w:space="0" w:color="auto"/>
        <w:left w:val="none" w:sz="0" w:space="0" w:color="auto"/>
        <w:bottom w:val="none" w:sz="0" w:space="0" w:color="auto"/>
        <w:right w:val="none" w:sz="0" w:space="0" w:color="auto"/>
      </w:divBdr>
    </w:div>
    <w:div w:id="483814124">
      <w:bodyDiv w:val="1"/>
      <w:marLeft w:val="0"/>
      <w:marRight w:val="0"/>
      <w:marTop w:val="0"/>
      <w:marBottom w:val="0"/>
      <w:divBdr>
        <w:top w:val="none" w:sz="0" w:space="0" w:color="auto"/>
        <w:left w:val="none" w:sz="0" w:space="0" w:color="auto"/>
        <w:bottom w:val="none" w:sz="0" w:space="0" w:color="auto"/>
        <w:right w:val="none" w:sz="0" w:space="0" w:color="auto"/>
      </w:divBdr>
      <w:divsChild>
        <w:div w:id="7467257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0974846">
      <w:bodyDiv w:val="1"/>
      <w:marLeft w:val="0"/>
      <w:marRight w:val="0"/>
      <w:marTop w:val="0"/>
      <w:marBottom w:val="0"/>
      <w:divBdr>
        <w:top w:val="none" w:sz="0" w:space="0" w:color="auto"/>
        <w:left w:val="none" w:sz="0" w:space="0" w:color="auto"/>
        <w:bottom w:val="none" w:sz="0" w:space="0" w:color="auto"/>
        <w:right w:val="none" w:sz="0" w:space="0" w:color="auto"/>
      </w:divBdr>
      <w:divsChild>
        <w:div w:id="49623712">
          <w:marLeft w:val="0"/>
          <w:marRight w:val="0"/>
          <w:marTop w:val="0"/>
          <w:marBottom w:val="240"/>
          <w:divBdr>
            <w:top w:val="none" w:sz="0" w:space="0" w:color="auto"/>
            <w:left w:val="none" w:sz="0" w:space="0" w:color="auto"/>
            <w:bottom w:val="none" w:sz="0" w:space="0" w:color="auto"/>
            <w:right w:val="none" w:sz="0" w:space="0" w:color="auto"/>
          </w:divBdr>
        </w:div>
        <w:div w:id="792745877">
          <w:marLeft w:val="0"/>
          <w:marRight w:val="0"/>
          <w:marTop w:val="180"/>
          <w:marBottom w:val="240"/>
          <w:divBdr>
            <w:top w:val="none" w:sz="0" w:space="0" w:color="auto"/>
            <w:left w:val="none" w:sz="0" w:space="0" w:color="auto"/>
            <w:bottom w:val="none" w:sz="0" w:space="0" w:color="auto"/>
            <w:right w:val="none" w:sz="0" w:space="0" w:color="auto"/>
          </w:divBdr>
        </w:div>
      </w:divsChild>
    </w:div>
    <w:div w:id="592861783">
      <w:bodyDiv w:val="1"/>
      <w:marLeft w:val="0"/>
      <w:marRight w:val="0"/>
      <w:marTop w:val="0"/>
      <w:marBottom w:val="0"/>
      <w:divBdr>
        <w:top w:val="none" w:sz="0" w:space="0" w:color="auto"/>
        <w:left w:val="none" w:sz="0" w:space="0" w:color="auto"/>
        <w:bottom w:val="none" w:sz="0" w:space="0" w:color="auto"/>
        <w:right w:val="none" w:sz="0" w:space="0" w:color="auto"/>
      </w:divBdr>
    </w:div>
    <w:div w:id="621497035">
      <w:bodyDiv w:val="1"/>
      <w:marLeft w:val="0"/>
      <w:marRight w:val="0"/>
      <w:marTop w:val="0"/>
      <w:marBottom w:val="0"/>
      <w:divBdr>
        <w:top w:val="none" w:sz="0" w:space="0" w:color="auto"/>
        <w:left w:val="none" w:sz="0" w:space="0" w:color="auto"/>
        <w:bottom w:val="none" w:sz="0" w:space="0" w:color="auto"/>
        <w:right w:val="none" w:sz="0" w:space="0" w:color="auto"/>
      </w:divBdr>
    </w:div>
    <w:div w:id="632179798">
      <w:bodyDiv w:val="1"/>
      <w:marLeft w:val="0"/>
      <w:marRight w:val="0"/>
      <w:marTop w:val="0"/>
      <w:marBottom w:val="0"/>
      <w:divBdr>
        <w:top w:val="none" w:sz="0" w:space="0" w:color="auto"/>
        <w:left w:val="none" w:sz="0" w:space="0" w:color="auto"/>
        <w:bottom w:val="none" w:sz="0" w:space="0" w:color="auto"/>
        <w:right w:val="none" w:sz="0" w:space="0" w:color="auto"/>
      </w:divBdr>
    </w:div>
    <w:div w:id="795441519">
      <w:bodyDiv w:val="1"/>
      <w:marLeft w:val="0"/>
      <w:marRight w:val="0"/>
      <w:marTop w:val="0"/>
      <w:marBottom w:val="0"/>
      <w:divBdr>
        <w:top w:val="none" w:sz="0" w:space="0" w:color="auto"/>
        <w:left w:val="none" w:sz="0" w:space="0" w:color="auto"/>
        <w:bottom w:val="none" w:sz="0" w:space="0" w:color="auto"/>
        <w:right w:val="none" w:sz="0" w:space="0" w:color="auto"/>
      </w:divBdr>
    </w:div>
    <w:div w:id="799614971">
      <w:bodyDiv w:val="1"/>
      <w:marLeft w:val="0"/>
      <w:marRight w:val="0"/>
      <w:marTop w:val="0"/>
      <w:marBottom w:val="0"/>
      <w:divBdr>
        <w:top w:val="none" w:sz="0" w:space="0" w:color="auto"/>
        <w:left w:val="none" w:sz="0" w:space="0" w:color="auto"/>
        <w:bottom w:val="none" w:sz="0" w:space="0" w:color="auto"/>
        <w:right w:val="none" w:sz="0" w:space="0" w:color="auto"/>
      </w:divBdr>
    </w:div>
    <w:div w:id="876157538">
      <w:bodyDiv w:val="1"/>
      <w:marLeft w:val="0"/>
      <w:marRight w:val="0"/>
      <w:marTop w:val="0"/>
      <w:marBottom w:val="0"/>
      <w:divBdr>
        <w:top w:val="none" w:sz="0" w:space="0" w:color="auto"/>
        <w:left w:val="none" w:sz="0" w:space="0" w:color="auto"/>
        <w:bottom w:val="none" w:sz="0" w:space="0" w:color="auto"/>
        <w:right w:val="none" w:sz="0" w:space="0" w:color="auto"/>
      </w:divBdr>
    </w:div>
    <w:div w:id="876544984">
      <w:bodyDiv w:val="1"/>
      <w:marLeft w:val="0"/>
      <w:marRight w:val="0"/>
      <w:marTop w:val="0"/>
      <w:marBottom w:val="0"/>
      <w:divBdr>
        <w:top w:val="none" w:sz="0" w:space="0" w:color="auto"/>
        <w:left w:val="none" w:sz="0" w:space="0" w:color="auto"/>
        <w:bottom w:val="none" w:sz="0" w:space="0" w:color="auto"/>
        <w:right w:val="none" w:sz="0" w:space="0" w:color="auto"/>
      </w:divBdr>
    </w:div>
    <w:div w:id="885675254">
      <w:bodyDiv w:val="1"/>
      <w:marLeft w:val="0"/>
      <w:marRight w:val="0"/>
      <w:marTop w:val="0"/>
      <w:marBottom w:val="0"/>
      <w:divBdr>
        <w:top w:val="none" w:sz="0" w:space="0" w:color="auto"/>
        <w:left w:val="none" w:sz="0" w:space="0" w:color="auto"/>
        <w:bottom w:val="none" w:sz="0" w:space="0" w:color="auto"/>
        <w:right w:val="none" w:sz="0" w:space="0" w:color="auto"/>
      </w:divBdr>
    </w:div>
    <w:div w:id="953443559">
      <w:bodyDiv w:val="1"/>
      <w:marLeft w:val="0"/>
      <w:marRight w:val="0"/>
      <w:marTop w:val="0"/>
      <w:marBottom w:val="0"/>
      <w:divBdr>
        <w:top w:val="none" w:sz="0" w:space="0" w:color="auto"/>
        <w:left w:val="none" w:sz="0" w:space="0" w:color="auto"/>
        <w:bottom w:val="none" w:sz="0" w:space="0" w:color="auto"/>
        <w:right w:val="none" w:sz="0" w:space="0" w:color="auto"/>
      </w:divBdr>
    </w:div>
    <w:div w:id="1008099112">
      <w:bodyDiv w:val="1"/>
      <w:marLeft w:val="0"/>
      <w:marRight w:val="0"/>
      <w:marTop w:val="0"/>
      <w:marBottom w:val="0"/>
      <w:divBdr>
        <w:top w:val="none" w:sz="0" w:space="0" w:color="auto"/>
        <w:left w:val="none" w:sz="0" w:space="0" w:color="auto"/>
        <w:bottom w:val="none" w:sz="0" w:space="0" w:color="auto"/>
        <w:right w:val="none" w:sz="0" w:space="0" w:color="auto"/>
      </w:divBdr>
    </w:div>
    <w:div w:id="1013846856">
      <w:bodyDiv w:val="1"/>
      <w:marLeft w:val="0"/>
      <w:marRight w:val="0"/>
      <w:marTop w:val="0"/>
      <w:marBottom w:val="0"/>
      <w:divBdr>
        <w:top w:val="none" w:sz="0" w:space="0" w:color="auto"/>
        <w:left w:val="none" w:sz="0" w:space="0" w:color="auto"/>
        <w:bottom w:val="none" w:sz="0" w:space="0" w:color="auto"/>
        <w:right w:val="none" w:sz="0" w:space="0" w:color="auto"/>
      </w:divBdr>
    </w:div>
    <w:div w:id="1051541747">
      <w:bodyDiv w:val="1"/>
      <w:marLeft w:val="0"/>
      <w:marRight w:val="0"/>
      <w:marTop w:val="0"/>
      <w:marBottom w:val="0"/>
      <w:divBdr>
        <w:top w:val="none" w:sz="0" w:space="0" w:color="auto"/>
        <w:left w:val="none" w:sz="0" w:space="0" w:color="auto"/>
        <w:bottom w:val="none" w:sz="0" w:space="0" w:color="auto"/>
        <w:right w:val="none" w:sz="0" w:space="0" w:color="auto"/>
      </w:divBdr>
    </w:div>
    <w:div w:id="1054810056">
      <w:bodyDiv w:val="1"/>
      <w:marLeft w:val="0"/>
      <w:marRight w:val="0"/>
      <w:marTop w:val="0"/>
      <w:marBottom w:val="0"/>
      <w:divBdr>
        <w:top w:val="none" w:sz="0" w:space="0" w:color="auto"/>
        <w:left w:val="none" w:sz="0" w:space="0" w:color="auto"/>
        <w:bottom w:val="none" w:sz="0" w:space="0" w:color="auto"/>
        <w:right w:val="none" w:sz="0" w:space="0" w:color="auto"/>
      </w:divBdr>
    </w:div>
    <w:div w:id="1062874615">
      <w:bodyDiv w:val="1"/>
      <w:marLeft w:val="0"/>
      <w:marRight w:val="0"/>
      <w:marTop w:val="0"/>
      <w:marBottom w:val="0"/>
      <w:divBdr>
        <w:top w:val="none" w:sz="0" w:space="0" w:color="auto"/>
        <w:left w:val="none" w:sz="0" w:space="0" w:color="auto"/>
        <w:bottom w:val="none" w:sz="0" w:space="0" w:color="auto"/>
        <w:right w:val="none" w:sz="0" w:space="0" w:color="auto"/>
      </w:divBdr>
    </w:div>
    <w:div w:id="1095129766">
      <w:bodyDiv w:val="1"/>
      <w:marLeft w:val="0"/>
      <w:marRight w:val="0"/>
      <w:marTop w:val="0"/>
      <w:marBottom w:val="0"/>
      <w:divBdr>
        <w:top w:val="none" w:sz="0" w:space="0" w:color="auto"/>
        <w:left w:val="none" w:sz="0" w:space="0" w:color="auto"/>
        <w:bottom w:val="none" w:sz="0" w:space="0" w:color="auto"/>
        <w:right w:val="none" w:sz="0" w:space="0" w:color="auto"/>
      </w:divBdr>
    </w:div>
    <w:div w:id="1242831244">
      <w:bodyDiv w:val="1"/>
      <w:marLeft w:val="0"/>
      <w:marRight w:val="0"/>
      <w:marTop w:val="0"/>
      <w:marBottom w:val="0"/>
      <w:divBdr>
        <w:top w:val="none" w:sz="0" w:space="0" w:color="auto"/>
        <w:left w:val="none" w:sz="0" w:space="0" w:color="auto"/>
        <w:bottom w:val="none" w:sz="0" w:space="0" w:color="auto"/>
        <w:right w:val="none" w:sz="0" w:space="0" w:color="auto"/>
      </w:divBdr>
    </w:div>
    <w:div w:id="1347177206">
      <w:bodyDiv w:val="1"/>
      <w:marLeft w:val="0"/>
      <w:marRight w:val="0"/>
      <w:marTop w:val="0"/>
      <w:marBottom w:val="0"/>
      <w:divBdr>
        <w:top w:val="none" w:sz="0" w:space="0" w:color="auto"/>
        <w:left w:val="none" w:sz="0" w:space="0" w:color="auto"/>
        <w:bottom w:val="none" w:sz="0" w:space="0" w:color="auto"/>
        <w:right w:val="none" w:sz="0" w:space="0" w:color="auto"/>
      </w:divBdr>
    </w:div>
    <w:div w:id="1396466974">
      <w:bodyDiv w:val="1"/>
      <w:marLeft w:val="0"/>
      <w:marRight w:val="0"/>
      <w:marTop w:val="0"/>
      <w:marBottom w:val="0"/>
      <w:divBdr>
        <w:top w:val="none" w:sz="0" w:space="0" w:color="auto"/>
        <w:left w:val="none" w:sz="0" w:space="0" w:color="auto"/>
        <w:bottom w:val="none" w:sz="0" w:space="0" w:color="auto"/>
        <w:right w:val="none" w:sz="0" w:space="0" w:color="auto"/>
      </w:divBdr>
    </w:div>
    <w:div w:id="1437872145">
      <w:bodyDiv w:val="1"/>
      <w:marLeft w:val="0"/>
      <w:marRight w:val="0"/>
      <w:marTop w:val="0"/>
      <w:marBottom w:val="0"/>
      <w:divBdr>
        <w:top w:val="none" w:sz="0" w:space="0" w:color="auto"/>
        <w:left w:val="none" w:sz="0" w:space="0" w:color="auto"/>
        <w:bottom w:val="none" w:sz="0" w:space="0" w:color="auto"/>
        <w:right w:val="none" w:sz="0" w:space="0" w:color="auto"/>
      </w:divBdr>
    </w:div>
    <w:div w:id="1749108787">
      <w:bodyDiv w:val="1"/>
      <w:marLeft w:val="0"/>
      <w:marRight w:val="0"/>
      <w:marTop w:val="0"/>
      <w:marBottom w:val="0"/>
      <w:divBdr>
        <w:top w:val="none" w:sz="0" w:space="0" w:color="auto"/>
        <w:left w:val="none" w:sz="0" w:space="0" w:color="auto"/>
        <w:bottom w:val="none" w:sz="0" w:space="0" w:color="auto"/>
        <w:right w:val="none" w:sz="0" w:space="0" w:color="auto"/>
      </w:divBdr>
    </w:div>
    <w:div w:id="1751540417">
      <w:bodyDiv w:val="1"/>
      <w:marLeft w:val="0"/>
      <w:marRight w:val="0"/>
      <w:marTop w:val="0"/>
      <w:marBottom w:val="0"/>
      <w:divBdr>
        <w:top w:val="none" w:sz="0" w:space="0" w:color="auto"/>
        <w:left w:val="none" w:sz="0" w:space="0" w:color="auto"/>
        <w:bottom w:val="none" w:sz="0" w:space="0" w:color="auto"/>
        <w:right w:val="none" w:sz="0" w:space="0" w:color="auto"/>
      </w:divBdr>
    </w:div>
    <w:div w:id="1783113830">
      <w:bodyDiv w:val="1"/>
      <w:marLeft w:val="0"/>
      <w:marRight w:val="0"/>
      <w:marTop w:val="0"/>
      <w:marBottom w:val="0"/>
      <w:divBdr>
        <w:top w:val="none" w:sz="0" w:space="0" w:color="auto"/>
        <w:left w:val="none" w:sz="0" w:space="0" w:color="auto"/>
        <w:bottom w:val="none" w:sz="0" w:space="0" w:color="auto"/>
        <w:right w:val="none" w:sz="0" w:space="0" w:color="auto"/>
      </w:divBdr>
    </w:div>
    <w:div w:id="1819684342">
      <w:bodyDiv w:val="1"/>
      <w:marLeft w:val="0"/>
      <w:marRight w:val="0"/>
      <w:marTop w:val="0"/>
      <w:marBottom w:val="0"/>
      <w:divBdr>
        <w:top w:val="none" w:sz="0" w:space="0" w:color="auto"/>
        <w:left w:val="none" w:sz="0" w:space="0" w:color="auto"/>
        <w:bottom w:val="none" w:sz="0" w:space="0" w:color="auto"/>
        <w:right w:val="none" w:sz="0" w:space="0" w:color="auto"/>
      </w:divBdr>
      <w:divsChild>
        <w:div w:id="416172215">
          <w:marLeft w:val="0"/>
          <w:marRight w:val="0"/>
          <w:marTop w:val="0"/>
          <w:marBottom w:val="0"/>
          <w:divBdr>
            <w:top w:val="none" w:sz="0" w:space="0" w:color="auto"/>
            <w:left w:val="none" w:sz="0" w:space="0" w:color="auto"/>
            <w:bottom w:val="none" w:sz="0" w:space="0" w:color="auto"/>
            <w:right w:val="none" w:sz="0" w:space="0" w:color="auto"/>
          </w:divBdr>
          <w:divsChild>
            <w:div w:id="1441800949">
              <w:marLeft w:val="0"/>
              <w:marRight w:val="0"/>
              <w:marTop w:val="0"/>
              <w:marBottom w:val="0"/>
              <w:divBdr>
                <w:top w:val="none" w:sz="0" w:space="0" w:color="auto"/>
                <w:left w:val="none" w:sz="0" w:space="0" w:color="auto"/>
                <w:bottom w:val="none" w:sz="0" w:space="0" w:color="auto"/>
                <w:right w:val="none" w:sz="0" w:space="0" w:color="auto"/>
              </w:divBdr>
            </w:div>
          </w:divsChild>
        </w:div>
        <w:div w:id="617688196">
          <w:marLeft w:val="0"/>
          <w:marRight w:val="0"/>
          <w:marTop w:val="0"/>
          <w:marBottom w:val="0"/>
          <w:divBdr>
            <w:top w:val="none" w:sz="0" w:space="0" w:color="auto"/>
            <w:left w:val="none" w:sz="0" w:space="0" w:color="auto"/>
            <w:bottom w:val="none" w:sz="0" w:space="0" w:color="auto"/>
            <w:right w:val="none" w:sz="0" w:space="0" w:color="auto"/>
          </w:divBdr>
          <w:divsChild>
            <w:div w:id="318315022">
              <w:marLeft w:val="0"/>
              <w:marRight w:val="0"/>
              <w:marTop w:val="0"/>
              <w:marBottom w:val="0"/>
              <w:divBdr>
                <w:top w:val="none" w:sz="0" w:space="0" w:color="auto"/>
                <w:left w:val="none" w:sz="0" w:space="0" w:color="auto"/>
                <w:bottom w:val="none" w:sz="0" w:space="0" w:color="auto"/>
                <w:right w:val="none" w:sz="0" w:space="0" w:color="auto"/>
              </w:divBdr>
            </w:div>
          </w:divsChild>
        </w:div>
        <w:div w:id="682632906">
          <w:marLeft w:val="0"/>
          <w:marRight w:val="0"/>
          <w:marTop w:val="0"/>
          <w:marBottom w:val="0"/>
          <w:divBdr>
            <w:top w:val="none" w:sz="0" w:space="0" w:color="auto"/>
            <w:left w:val="none" w:sz="0" w:space="0" w:color="auto"/>
            <w:bottom w:val="none" w:sz="0" w:space="0" w:color="auto"/>
            <w:right w:val="none" w:sz="0" w:space="0" w:color="auto"/>
          </w:divBdr>
          <w:divsChild>
            <w:div w:id="36591059">
              <w:marLeft w:val="0"/>
              <w:marRight w:val="0"/>
              <w:marTop w:val="0"/>
              <w:marBottom w:val="0"/>
              <w:divBdr>
                <w:top w:val="none" w:sz="0" w:space="0" w:color="auto"/>
                <w:left w:val="none" w:sz="0" w:space="0" w:color="auto"/>
                <w:bottom w:val="none" w:sz="0" w:space="0" w:color="auto"/>
                <w:right w:val="none" w:sz="0" w:space="0" w:color="auto"/>
              </w:divBdr>
            </w:div>
          </w:divsChild>
        </w:div>
        <w:div w:id="182986502">
          <w:marLeft w:val="0"/>
          <w:marRight w:val="0"/>
          <w:marTop w:val="0"/>
          <w:marBottom w:val="0"/>
          <w:divBdr>
            <w:top w:val="none" w:sz="0" w:space="0" w:color="auto"/>
            <w:left w:val="none" w:sz="0" w:space="0" w:color="auto"/>
            <w:bottom w:val="none" w:sz="0" w:space="0" w:color="auto"/>
            <w:right w:val="none" w:sz="0" w:space="0" w:color="auto"/>
          </w:divBdr>
          <w:divsChild>
            <w:div w:id="1979190420">
              <w:marLeft w:val="0"/>
              <w:marRight w:val="0"/>
              <w:marTop w:val="0"/>
              <w:marBottom w:val="0"/>
              <w:divBdr>
                <w:top w:val="none" w:sz="0" w:space="0" w:color="auto"/>
                <w:left w:val="none" w:sz="0" w:space="0" w:color="auto"/>
                <w:bottom w:val="none" w:sz="0" w:space="0" w:color="auto"/>
                <w:right w:val="none" w:sz="0" w:space="0" w:color="auto"/>
              </w:divBdr>
            </w:div>
          </w:divsChild>
        </w:div>
        <w:div w:id="1813404154">
          <w:marLeft w:val="0"/>
          <w:marRight w:val="0"/>
          <w:marTop w:val="0"/>
          <w:marBottom w:val="0"/>
          <w:divBdr>
            <w:top w:val="none" w:sz="0" w:space="0" w:color="auto"/>
            <w:left w:val="none" w:sz="0" w:space="0" w:color="auto"/>
            <w:bottom w:val="none" w:sz="0" w:space="0" w:color="auto"/>
            <w:right w:val="none" w:sz="0" w:space="0" w:color="auto"/>
          </w:divBdr>
          <w:divsChild>
            <w:div w:id="1868986569">
              <w:marLeft w:val="0"/>
              <w:marRight w:val="0"/>
              <w:marTop w:val="0"/>
              <w:marBottom w:val="0"/>
              <w:divBdr>
                <w:top w:val="none" w:sz="0" w:space="0" w:color="auto"/>
                <w:left w:val="none" w:sz="0" w:space="0" w:color="auto"/>
                <w:bottom w:val="none" w:sz="0" w:space="0" w:color="auto"/>
                <w:right w:val="none" w:sz="0" w:space="0" w:color="auto"/>
              </w:divBdr>
            </w:div>
          </w:divsChild>
        </w:div>
        <w:div w:id="1775441647">
          <w:marLeft w:val="0"/>
          <w:marRight w:val="0"/>
          <w:marTop w:val="0"/>
          <w:marBottom w:val="0"/>
          <w:divBdr>
            <w:top w:val="none" w:sz="0" w:space="0" w:color="auto"/>
            <w:left w:val="none" w:sz="0" w:space="0" w:color="auto"/>
            <w:bottom w:val="none" w:sz="0" w:space="0" w:color="auto"/>
            <w:right w:val="none" w:sz="0" w:space="0" w:color="auto"/>
          </w:divBdr>
          <w:divsChild>
            <w:div w:id="105069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939580">
      <w:bodyDiv w:val="1"/>
      <w:marLeft w:val="0"/>
      <w:marRight w:val="0"/>
      <w:marTop w:val="0"/>
      <w:marBottom w:val="0"/>
      <w:divBdr>
        <w:top w:val="none" w:sz="0" w:space="0" w:color="auto"/>
        <w:left w:val="none" w:sz="0" w:space="0" w:color="auto"/>
        <w:bottom w:val="none" w:sz="0" w:space="0" w:color="auto"/>
        <w:right w:val="none" w:sz="0" w:space="0" w:color="auto"/>
      </w:divBdr>
    </w:div>
    <w:div w:id="1866400874">
      <w:bodyDiv w:val="1"/>
      <w:marLeft w:val="0"/>
      <w:marRight w:val="0"/>
      <w:marTop w:val="0"/>
      <w:marBottom w:val="0"/>
      <w:divBdr>
        <w:top w:val="none" w:sz="0" w:space="0" w:color="auto"/>
        <w:left w:val="none" w:sz="0" w:space="0" w:color="auto"/>
        <w:bottom w:val="none" w:sz="0" w:space="0" w:color="auto"/>
        <w:right w:val="none" w:sz="0" w:space="0" w:color="auto"/>
      </w:divBdr>
    </w:div>
    <w:div w:id="1873573303">
      <w:bodyDiv w:val="1"/>
      <w:marLeft w:val="0"/>
      <w:marRight w:val="0"/>
      <w:marTop w:val="0"/>
      <w:marBottom w:val="0"/>
      <w:divBdr>
        <w:top w:val="none" w:sz="0" w:space="0" w:color="auto"/>
        <w:left w:val="none" w:sz="0" w:space="0" w:color="auto"/>
        <w:bottom w:val="none" w:sz="0" w:space="0" w:color="auto"/>
        <w:right w:val="none" w:sz="0" w:space="0" w:color="auto"/>
      </w:divBdr>
    </w:div>
    <w:div w:id="2027244778">
      <w:bodyDiv w:val="1"/>
      <w:marLeft w:val="0"/>
      <w:marRight w:val="0"/>
      <w:marTop w:val="0"/>
      <w:marBottom w:val="0"/>
      <w:divBdr>
        <w:top w:val="none" w:sz="0" w:space="0" w:color="auto"/>
        <w:left w:val="none" w:sz="0" w:space="0" w:color="auto"/>
        <w:bottom w:val="none" w:sz="0" w:space="0" w:color="auto"/>
        <w:right w:val="none" w:sz="0" w:space="0" w:color="auto"/>
      </w:divBdr>
    </w:div>
    <w:div w:id="205129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117" Type="http://schemas.openxmlformats.org/officeDocument/2006/relationships/fontTable" Target="fontTable.xml"/><Relationship Id="rId21" Type="http://schemas.openxmlformats.org/officeDocument/2006/relationships/image" Target="media/image8.wmf"/><Relationship Id="rId42" Type="http://schemas.openxmlformats.org/officeDocument/2006/relationships/oleObject" Target="embeddings/oleObject18.bin"/><Relationship Id="rId47" Type="http://schemas.openxmlformats.org/officeDocument/2006/relationships/image" Target="media/image21.wmf"/><Relationship Id="rId63" Type="http://schemas.openxmlformats.org/officeDocument/2006/relationships/image" Target="media/image29.wmf"/><Relationship Id="rId68" Type="http://schemas.openxmlformats.org/officeDocument/2006/relationships/oleObject" Target="embeddings/oleObject31.bin"/><Relationship Id="rId84" Type="http://schemas.openxmlformats.org/officeDocument/2006/relationships/oleObject" Target="embeddings/oleObject39.bin"/><Relationship Id="rId89" Type="http://schemas.openxmlformats.org/officeDocument/2006/relationships/image" Target="media/image42.wmf"/><Relationship Id="rId112" Type="http://schemas.openxmlformats.org/officeDocument/2006/relationships/header" Target="header2.xml"/><Relationship Id="rId16" Type="http://schemas.openxmlformats.org/officeDocument/2006/relationships/oleObject" Target="embeddings/oleObject5.bin"/><Relationship Id="rId107" Type="http://schemas.openxmlformats.org/officeDocument/2006/relationships/hyperlink" Target="https://doi.org/10.9734/ajmah/2024/v22i81081" TargetMode="External"/><Relationship Id="rId11" Type="http://schemas.openxmlformats.org/officeDocument/2006/relationships/image" Target="media/image3.wmf"/><Relationship Id="rId32" Type="http://schemas.openxmlformats.org/officeDocument/2006/relationships/oleObject" Target="embeddings/oleObject13.bin"/><Relationship Id="rId37" Type="http://schemas.openxmlformats.org/officeDocument/2006/relationships/image" Target="media/image16.wmf"/><Relationship Id="rId53" Type="http://schemas.openxmlformats.org/officeDocument/2006/relationships/image" Target="media/image24.wmf"/><Relationship Id="rId58" Type="http://schemas.openxmlformats.org/officeDocument/2006/relationships/oleObject" Target="embeddings/oleObject26.bin"/><Relationship Id="rId74" Type="http://schemas.openxmlformats.org/officeDocument/2006/relationships/oleObject" Target="embeddings/oleObject34.bin"/><Relationship Id="rId79" Type="http://schemas.openxmlformats.org/officeDocument/2006/relationships/image" Target="media/image37.wmf"/><Relationship Id="rId102" Type="http://schemas.openxmlformats.org/officeDocument/2006/relationships/hyperlink" Target="https://doi.org/10.1038/s41598-026-51266-8" TargetMode="External"/><Relationship Id="rId5" Type="http://schemas.openxmlformats.org/officeDocument/2006/relationships/footnotes" Target="footnotes.xml"/><Relationship Id="rId90" Type="http://schemas.openxmlformats.org/officeDocument/2006/relationships/oleObject" Target="embeddings/oleObject42.bin"/><Relationship Id="rId95" Type="http://schemas.openxmlformats.org/officeDocument/2006/relationships/oleObject" Target="embeddings/oleObject45.bin"/><Relationship Id="rId22" Type="http://schemas.openxmlformats.org/officeDocument/2006/relationships/oleObject" Target="embeddings/oleObject8.bin"/><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oleObject" Target="embeddings/oleObject21.bin"/><Relationship Id="rId64" Type="http://schemas.openxmlformats.org/officeDocument/2006/relationships/oleObject" Target="embeddings/oleObject29.bin"/><Relationship Id="rId69" Type="http://schemas.openxmlformats.org/officeDocument/2006/relationships/image" Target="media/image32.wmf"/><Relationship Id="rId113" Type="http://schemas.openxmlformats.org/officeDocument/2006/relationships/footer" Target="footer1.xml"/><Relationship Id="rId118" Type="http://schemas.openxmlformats.org/officeDocument/2006/relationships/theme" Target="theme/theme1.xml"/><Relationship Id="rId80" Type="http://schemas.openxmlformats.org/officeDocument/2006/relationships/oleObject" Target="embeddings/oleObject37.bin"/><Relationship Id="rId85" Type="http://schemas.openxmlformats.org/officeDocument/2006/relationships/image" Target="media/image40.wmf"/><Relationship Id="rId12" Type="http://schemas.openxmlformats.org/officeDocument/2006/relationships/oleObject" Target="embeddings/oleObject3.bin"/><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hyperlink" Target="https://doi.org/10.1136/bmjopen-2023-080135" TargetMode="External"/><Relationship Id="rId108" Type="http://schemas.openxmlformats.org/officeDocument/2006/relationships/hyperlink" Target="https://doi.org/10.56557/jodagh/2025/v18i29773" TargetMode="External"/><Relationship Id="rId54" Type="http://schemas.openxmlformats.org/officeDocument/2006/relationships/oleObject" Target="embeddings/oleObject24.bin"/><Relationship Id="rId70" Type="http://schemas.openxmlformats.org/officeDocument/2006/relationships/oleObject" Target="embeddings/oleObject32.bin"/><Relationship Id="rId75" Type="http://schemas.openxmlformats.org/officeDocument/2006/relationships/image" Target="media/image35.wmf"/><Relationship Id="rId91" Type="http://schemas.openxmlformats.org/officeDocument/2006/relationships/oleObject" Target="embeddings/oleObject43.bin"/><Relationship Id="rId96" Type="http://schemas.openxmlformats.org/officeDocument/2006/relationships/hyperlink" Target="https://doi.org/10.1371/journal.pone.0269066"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9.wmf"/><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footer" Target="footer2.xml"/><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oleObject" Target="embeddings/oleObject36.bin"/><Relationship Id="rId81" Type="http://schemas.openxmlformats.org/officeDocument/2006/relationships/image" Target="media/image38.wmf"/><Relationship Id="rId86" Type="http://schemas.openxmlformats.org/officeDocument/2006/relationships/oleObject" Target="embeddings/oleObject40.bin"/><Relationship Id="rId94" Type="http://schemas.openxmlformats.org/officeDocument/2006/relationships/image" Target="media/image44.wmf"/><Relationship Id="rId99" Type="http://schemas.openxmlformats.org/officeDocument/2006/relationships/hyperlink" Target="https://doi.org/10.1016/j.vaccine.2025.127754" TargetMode="External"/><Relationship Id="rId101" Type="http://schemas.openxmlformats.org/officeDocument/2006/relationships/hyperlink" Target="https://dhsprogram.com/publications/publication-FR395-DHS-Final-Reports.cfm" TargetMode="Externa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7.wmf"/><Relationship Id="rId109" Type="http://schemas.openxmlformats.org/officeDocument/2006/relationships/hyperlink" Target="https://doi.org/10.1371/journal.pone.0297326" TargetMode="External"/><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5.wmf"/><Relationship Id="rId76" Type="http://schemas.openxmlformats.org/officeDocument/2006/relationships/oleObject" Target="embeddings/oleObject35.bin"/><Relationship Id="rId97" Type="http://schemas.openxmlformats.org/officeDocument/2006/relationships/hyperlink" Target="https://doi.org/10.1093/infdis/jiad476" TargetMode="External"/><Relationship Id="rId104" Type="http://schemas.openxmlformats.org/officeDocument/2006/relationships/hyperlink" Target="https://doi.org/10.1609/aaai.v38i20.30223" TargetMode="External"/><Relationship Id="rId7" Type="http://schemas.openxmlformats.org/officeDocument/2006/relationships/image" Target="media/image1.wmf"/><Relationship Id="rId71" Type="http://schemas.openxmlformats.org/officeDocument/2006/relationships/image" Target="media/image33.wmf"/><Relationship Id="rId92" Type="http://schemas.openxmlformats.org/officeDocument/2006/relationships/image" Target="media/image43.wmf"/><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0.wmf"/><Relationship Id="rId66" Type="http://schemas.openxmlformats.org/officeDocument/2006/relationships/oleObject" Target="embeddings/oleObject30.bin"/><Relationship Id="rId87" Type="http://schemas.openxmlformats.org/officeDocument/2006/relationships/image" Target="media/image41.wmf"/><Relationship Id="rId110" Type="http://schemas.openxmlformats.org/officeDocument/2006/relationships/hyperlink" Target="https://www.who.int/publications/m/item/WUENIC_notes" TargetMode="External"/><Relationship Id="rId115" Type="http://schemas.openxmlformats.org/officeDocument/2006/relationships/header" Target="header3.xml"/><Relationship Id="rId61" Type="http://schemas.openxmlformats.org/officeDocument/2006/relationships/image" Target="media/image28.wmf"/><Relationship Id="rId82" Type="http://schemas.openxmlformats.org/officeDocument/2006/relationships/oleObject" Target="embeddings/oleObject38.bin"/><Relationship Id="rId19" Type="http://schemas.openxmlformats.org/officeDocument/2006/relationships/image" Target="media/image7.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image" Target="media/image36.wmf"/><Relationship Id="rId100" Type="http://schemas.openxmlformats.org/officeDocument/2006/relationships/hyperlink" Target="https://doi.org/10.1186/s12889-023-16155-z" TargetMode="External"/><Relationship Id="rId105" Type="http://schemas.openxmlformats.org/officeDocument/2006/relationships/hyperlink" Target="https://doi.org/10.3855/jidc.17886" TargetMode="External"/><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oleObject" Target="embeddings/oleObject33.bin"/><Relationship Id="rId93" Type="http://schemas.openxmlformats.org/officeDocument/2006/relationships/oleObject" Target="embeddings/oleObject44.bin"/><Relationship Id="rId98" Type="http://schemas.openxmlformats.org/officeDocument/2006/relationships/hyperlink" Target="https://doi.org/10.1371/journal.pgph.0001289" TargetMode="External"/><Relationship Id="rId3" Type="http://schemas.openxmlformats.org/officeDocument/2006/relationships/settings" Target="settings.xml"/><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image" Target="media/image31.wmf"/><Relationship Id="rId116" Type="http://schemas.openxmlformats.org/officeDocument/2006/relationships/footer" Target="footer3.xml"/><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image" Target="media/image39.wmf"/><Relationship Id="rId88" Type="http://schemas.openxmlformats.org/officeDocument/2006/relationships/oleObject" Target="embeddings/oleObject41.bin"/><Relationship Id="rId111" Type="http://schemas.openxmlformats.org/officeDocument/2006/relationships/header" Target="header1.xml"/><Relationship Id="rId15" Type="http://schemas.openxmlformats.org/officeDocument/2006/relationships/image" Target="media/image5.wmf"/><Relationship Id="rId36" Type="http://schemas.openxmlformats.org/officeDocument/2006/relationships/oleObject" Target="embeddings/oleObject15.bin"/><Relationship Id="rId57" Type="http://schemas.openxmlformats.org/officeDocument/2006/relationships/image" Target="media/image26.wmf"/><Relationship Id="rId106" Type="http://schemas.openxmlformats.org/officeDocument/2006/relationships/hyperlink" Target="https://doi.org/10.11604/pamj.2022.43.97.357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410</TotalTime>
  <Pages>16</Pages>
  <Words>5761</Words>
  <Characters>32844</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SDI 1087</cp:lastModifiedBy>
  <cp:revision>96</cp:revision>
  <dcterms:created xsi:type="dcterms:W3CDTF">2026-07-15T15:15:00Z</dcterms:created>
  <dcterms:modified xsi:type="dcterms:W3CDTF">2026-07-30T09:58:00Z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4e04a96a-2a22-4c05-bc2f-dad3ae8666c8</vt:lpwstr>
  </property>
</Properties>
</file>