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76E3E" w14:textId="77777777" w:rsidR="0095058E" w:rsidRPr="0095058E" w:rsidRDefault="0095058E" w:rsidP="00816A47">
      <w:pPr>
        <w:spacing w:before="100" w:beforeAutospacing="1" w:after="100" w:afterAutospacing="1"/>
        <w:jc w:val="both"/>
        <w:rPr>
          <w:b/>
          <w:bCs/>
          <w:i/>
          <w:iCs/>
          <w:sz w:val="32"/>
          <w:szCs w:val="32"/>
          <w:u w:val="single"/>
          <w:lang w:val="en-US"/>
        </w:rPr>
      </w:pPr>
      <w:r w:rsidRPr="0095058E">
        <w:rPr>
          <w:b/>
          <w:bCs/>
          <w:i/>
          <w:iCs/>
          <w:sz w:val="32"/>
          <w:szCs w:val="32"/>
          <w:u w:val="single"/>
          <w:lang w:val="en-US"/>
        </w:rPr>
        <w:t>Review Article</w:t>
      </w:r>
    </w:p>
    <w:p w14:paraId="411309B9" w14:textId="77777777" w:rsidR="007979F8" w:rsidRDefault="007979F8" w:rsidP="00816A47">
      <w:pPr>
        <w:pStyle w:val="Heading1"/>
        <w:spacing w:before="100" w:beforeAutospacing="1" w:after="100" w:afterAutospacing="1"/>
        <w:jc w:val="both"/>
        <w:rPr>
          <w:b/>
          <w:bCs/>
          <w:color w:val="auto"/>
        </w:rPr>
      </w:pPr>
      <w:r w:rsidRPr="007979F8">
        <w:rPr>
          <w:b/>
          <w:bCs/>
          <w:color w:val="auto"/>
        </w:rPr>
        <w:t>Machine learning for the detection of fake news on social media: a critical narrative review of methods, evaluation validity and deployment readiness</w:t>
      </w:r>
    </w:p>
    <w:p w14:paraId="1C2F0815" w14:textId="798366FE" w:rsidR="00715AFA" w:rsidRDefault="00000000" w:rsidP="00816A47">
      <w:pPr>
        <w:pStyle w:val="Heading1"/>
        <w:spacing w:before="100" w:beforeAutospacing="1" w:after="100" w:afterAutospacing="1"/>
        <w:jc w:val="both"/>
      </w:pPr>
      <w:r>
        <w:rPr>
          <w:b/>
          <w:bCs/>
          <w:color w:val="000000"/>
          <w:sz w:val="26"/>
          <w:szCs w:val="26"/>
        </w:rPr>
        <w:t>Abstract</w:t>
      </w:r>
    </w:p>
    <w:p w14:paraId="5355C407" w14:textId="77777777" w:rsidR="00715AFA" w:rsidRDefault="00000000" w:rsidP="00816A47">
      <w:pPr>
        <w:spacing w:before="100" w:beforeAutospacing="1" w:after="100" w:afterAutospacing="1"/>
        <w:jc w:val="both"/>
      </w:pPr>
      <w:r>
        <w:t>Automated detection of false and misleading news circulating on social media has become one of the most heavily researched applications of machine learning in the computational social sciences, yet the practical value of the resulting systems remains contested. Reported classification accuracies on standard benchmarks frequently approach ceiling, while independent assessments of the same model families under temporal, topical and adversarial shift record substantially weaker performance. This review examines the disjunction between benchmark success and operational capability, and asks what the accumulated evidence genuinely supports. The literature was identified through structured searching of openly accessible scholarly indexes and metadata registries, supplemented by backward and forward citation tracking from recent reviews and by targeted retrieval of methodological and institutional sources. Evidence was appraised for construct validity of labels, evaluation design, transparency, replication and external validity, and was synthesised thematically rather than catalogued study by study. Four findings emerge with reasonable confidence. Label provenance, rather than model architecture, is the dominant determinant of what a classifier learns, and source-level labelling propagates publisher-specific stylistic signals that inflate apparent accuracy. Social-context and propagation models achieve stronger discrimination than content-only models but forfeit the early-detection window and depend on platform data whose availability has narrowed. Multimodal and evidence-retrieval systems address genuine failure modes of text-only classification, although gains are reported on heterogeneous benchmarks that resist direct comparison. Large language models function simultaneously as a generative threat that decouples writing style from veracity and as a source of reasoning and rationale that improves small detectors, with the second role better evidenced than autonomous zero-shot verification. Evidence remains concentrated in English-language, politically framed, text-dominant corpora drawn from a small number of platforms, and almost no study measures downstream effects on audiences or on fact-checking workflows. Progress now depends less on architectural novelty than on label construction, temporally honest evaluation and outcome measurement beyond the confusion matrix.</w:t>
      </w:r>
    </w:p>
    <w:p w14:paraId="1C4E1570" w14:textId="77777777" w:rsidR="00715AFA" w:rsidRDefault="00000000" w:rsidP="00816A47">
      <w:pPr>
        <w:pStyle w:val="Heading1"/>
        <w:spacing w:before="100" w:beforeAutospacing="1" w:after="100" w:afterAutospacing="1"/>
        <w:jc w:val="both"/>
      </w:pPr>
      <w:r>
        <w:rPr>
          <w:b/>
          <w:bCs/>
          <w:color w:val="000000"/>
          <w:sz w:val="26"/>
          <w:szCs w:val="26"/>
        </w:rPr>
        <w:t>Keywords</w:t>
      </w:r>
    </w:p>
    <w:p w14:paraId="7A993BCE" w14:textId="77777777" w:rsidR="00715AFA" w:rsidRDefault="00000000" w:rsidP="00816A47">
      <w:pPr>
        <w:spacing w:before="100" w:beforeAutospacing="1" w:after="100" w:afterAutospacing="1"/>
        <w:jc w:val="both"/>
      </w:pPr>
      <w:r>
        <w:t>misinformation detection; benchmark validity; domain generalisation; natural language processing; large language models; automated fact-checking; social media analytics</w:t>
      </w:r>
    </w:p>
    <w:p w14:paraId="63985109" w14:textId="77777777" w:rsidR="00715AFA" w:rsidRDefault="00000000" w:rsidP="00816A47">
      <w:pPr>
        <w:pStyle w:val="Heading1"/>
        <w:spacing w:before="100" w:beforeAutospacing="1" w:after="100" w:afterAutospacing="1"/>
        <w:jc w:val="both"/>
      </w:pPr>
      <w:r>
        <w:rPr>
          <w:b/>
          <w:bCs/>
          <w:color w:val="000000"/>
          <w:sz w:val="26"/>
          <w:szCs w:val="26"/>
        </w:rPr>
        <w:t>1. Introduction</w:t>
      </w:r>
    </w:p>
    <w:p w14:paraId="6569A234" w14:textId="77777777" w:rsidR="00715AFA" w:rsidRDefault="00000000" w:rsidP="00816A47">
      <w:pPr>
        <w:spacing w:before="100" w:beforeAutospacing="1" w:after="100" w:afterAutospacing="1"/>
        <w:jc w:val="both"/>
      </w:pPr>
      <w:r>
        <w:t xml:space="preserve">False and misleading claims travelling through social platforms have been studied intensively since the middle of the last decade, when the confluence of a contested United States presidential election and the maturation of large-scale platform data made the phenomenon tractable for quantitative research. Analysis of cascades on Twitter established that verifiably false stories propagated further, faster and more broadly than true stories, and that the difference was attributable primarily to human sharing rather than to automated accounts (Vosoughi et al., 2018). A parallel body of work situated the problem within the economics and sociology of information markets, arguing that the collapse of gatekeeping costs and the incentive structure of engagement-driven distribution had altered the conditions under which fabricated content could reach mass audiences (Allcott &amp; Gentzkow, 2017; Lazer et al., 2018). Subsequent measurement studies qualified the scale of the phenomenon: exposure to sources classified as untrustworthy was found to be heavily concentrated in a small fraction of accounts rather than evenly distributed across the electorate (Grinberg et al., 2019), and the share of low-credibility material within </w:t>
      </w:r>
      <w:r>
        <w:lastRenderedPageBreak/>
        <w:t xml:space="preserve">the overall political information diet was estimated to be modest relative to mainstream sources (Bovet &amp; </w:t>
      </w:r>
      <w:proofErr w:type="spellStart"/>
      <w:r>
        <w:t>Makse</w:t>
      </w:r>
      <w:proofErr w:type="spellEnd"/>
      <w:r>
        <w:t>, 2019). Automated accounts were shown to play a disproportionate role in the earliest moments of diffusion and in the targeting of influential users, without accounting for the bulk of downstream spread (Shao et al., 2018).</w:t>
      </w:r>
    </w:p>
    <w:p w14:paraId="2080A03A" w14:textId="77777777" w:rsidR="00715AFA" w:rsidRPr="00816A47" w:rsidRDefault="00000000" w:rsidP="00816A47">
      <w:pPr>
        <w:spacing w:before="100" w:beforeAutospacing="1" w:after="100" w:afterAutospacing="1"/>
        <w:jc w:val="both"/>
      </w:pPr>
      <w:r>
        <w:t>These empirical findings motivated a research programme aimed at identifying false content computationally. An early and widely adopted framing described the task as a data-mining problem defined over three information channels: the linguistic content of the item, the social context in which it circulates, and external knowledge against which its claims can be checked (Shu et al., 2017). That framing organised much of the subsequent literature. Successive surveys documented rapid architectural turnover, from handcrafted lexical and stylometric features fed into conventional classifiers, through recurrent and convolutional networks, to fine-tuned transformer encoders and, most recently, generative language models (</w:t>
      </w:r>
      <w:proofErr w:type="spellStart"/>
      <w:r>
        <w:t>Bondielli</w:t>
      </w:r>
      <w:proofErr w:type="spellEnd"/>
      <w:r>
        <w:t xml:space="preserve"> &amp; </w:t>
      </w:r>
      <w:proofErr w:type="spellStart"/>
      <w:r>
        <w:t>Marcelloni</w:t>
      </w:r>
      <w:proofErr w:type="spellEnd"/>
      <w:r>
        <w:t xml:space="preserve">, 2019; Capuano et al., 2023; Islam et al., 2020; Sharma et al., 2019). Graph-based formulations that model diffusion structure rather than text alone have developed into a </w:t>
      </w:r>
      <w:r w:rsidRPr="00816A47">
        <w:t>distinct subfield with its own review literature (Phan et al., 2023), and rumour analysis in social streams contributed a complementary set of tasks concerned with stance, veracity and resolution over time (Zubiaga et al., 2018).</w:t>
      </w:r>
    </w:p>
    <w:p w14:paraId="018F83CD" w14:textId="77777777" w:rsidR="0011070F" w:rsidRPr="00816A47" w:rsidRDefault="00000000" w:rsidP="00816A47">
      <w:pPr>
        <w:spacing w:before="100" w:beforeAutospacing="1" w:after="100" w:afterAutospacing="1"/>
        <w:jc w:val="both"/>
      </w:pPr>
      <w:r w:rsidRPr="00816A47">
        <w:rPr>
          <w:highlight w:val="yellow"/>
        </w:rPr>
        <w:t>Recent journal studies further illustrate this methodological diversification through dynamic multimodal propagation modelling and modular fusion of textual, visual and social-network signals (Jing et al., 2025; Martirano et al., 2025).</w:t>
      </w:r>
    </w:p>
    <w:p w14:paraId="79C001D2" w14:textId="77777777" w:rsidR="00715AFA" w:rsidRPr="00816A47" w:rsidRDefault="00000000" w:rsidP="00816A47">
      <w:pPr>
        <w:spacing w:before="100" w:beforeAutospacing="1" w:after="100" w:afterAutospacing="1"/>
        <w:jc w:val="both"/>
      </w:pPr>
      <w:r w:rsidRPr="00816A47">
        <w:t>Terminology has remained unsettled throughout this period, and the instability is consequential rather than merely semantic. Reviews differ in whether fabricated news, propaganda, satire, clickbait, rumour, conspiracy narrative and unverified claim belong to a single construct or to several (</w:t>
      </w:r>
      <w:proofErr w:type="spellStart"/>
      <w:r w:rsidRPr="00816A47">
        <w:t>Aïmeur</w:t>
      </w:r>
      <w:proofErr w:type="spellEnd"/>
      <w:r w:rsidRPr="00816A47">
        <w:t xml:space="preserve"> et al., 2023; Zhou &amp; </w:t>
      </w:r>
      <w:proofErr w:type="spellStart"/>
      <w:r w:rsidRPr="00816A47">
        <w:t>Zafarani</w:t>
      </w:r>
      <w:proofErr w:type="spellEnd"/>
      <w:r w:rsidRPr="00816A47">
        <w:t>, 2020). Because supervised learning requires a fixed target, each definitional choice becomes embedded in a dataset and thereafter in the models trained upon it. The heterogeneity of available corpora, documented in a dedicated survey of evaluation datasets, reflects this divergence directly: the corpora vary in unit of analysis, in labelling authority, in class balance and in the presence or absence of social signals (</w:t>
      </w:r>
      <w:proofErr w:type="spellStart"/>
      <w:r w:rsidRPr="00816A47">
        <w:t>D’Ulizia</w:t>
      </w:r>
      <w:proofErr w:type="spellEnd"/>
      <w:r w:rsidRPr="00816A47">
        <w:t xml:space="preserve"> et al., 2021).</w:t>
      </w:r>
    </w:p>
    <w:p w14:paraId="5612D7E4" w14:textId="0B14A02F" w:rsidR="00715AFA" w:rsidRPr="00816A47" w:rsidRDefault="00000000" w:rsidP="00816A47">
      <w:pPr>
        <w:spacing w:before="100" w:beforeAutospacing="1" w:after="100" w:afterAutospacing="1"/>
        <w:jc w:val="both"/>
      </w:pPr>
      <w:r w:rsidRPr="00816A47">
        <w:t>Against this background, the field presents an unusual pattern. Individual studies routinely report accuracy or macro-averaged F-scores above ninety per cent on established benchmarks, and comparative reviews reproduce these figures side by side as though they were commensurable (</w:t>
      </w:r>
      <w:proofErr w:type="spellStart"/>
      <w:r w:rsidRPr="00816A47">
        <w:t>Bashaddadh</w:t>
      </w:r>
      <w:proofErr w:type="spellEnd"/>
      <w:r w:rsidRPr="00816A47">
        <w:t xml:space="preserve"> et al., 2025; Hussain et al., 2025; Hamed et al., 2023). Independent evaluations designed to test the same model families outside their training</w:t>
      </w:r>
      <w:r>
        <w:t xml:space="preserve"> distribution report markedly different results. Systematic re-analysis of published pipelines found that apparent performance depended strongly on how </w:t>
      </w:r>
      <w:r w:rsidRPr="00816A47">
        <w:t>source-level credibility labels had been propagated to individual articles and on how the evaluation sets had been constructed (Bozarth &amp; Budak, 2020). Assessments conducted across time and under simple content manipulation showed that classifiers which discriminate well within a fixed corpus degrade when the news environment shifts or when an adversary alters surface features (Horne et al., 2019). Analyses of the data underlying the field reached a similar conclusion from the opposite direction, arguing that much of the labelled material available for training carries a coarse and partly circular relationship to the veracity of individual claims (Torabi Asr &amp; Taboada, 2019).</w:t>
      </w:r>
    </w:p>
    <w:p w14:paraId="5BC8FB42" w14:textId="5EE13B0D" w:rsidR="0011070F" w:rsidRPr="00816A47" w:rsidRDefault="00000000" w:rsidP="00816A47">
      <w:pPr>
        <w:spacing w:before="100" w:beforeAutospacing="1" w:after="100" w:afterAutospacing="1"/>
        <w:jc w:val="both"/>
      </w:pPr>
      <w:r w:rsidRPr="00816A47">
        <w:rPr>
          <w:highlight w:val="yellow"/>
        </w:rPr>
        <w:t>Recent cross-dataset evidence similarly indicates that strong performance under conventional hold-out evaluation may not persist on unseen datasets, reinforcing the distinction between within-corpus discrimination and generalisability (Hoy &amp; Koulouri, 2025).</w:t>
      </w:r>
      <w:r w:rsidR="00816A47" w:rsidRPr="00816A47">
        <w:t xml:space="preserve"> </w:t>
      </w:r>
      <w:r w:rsidRPr="00816A47">
        <w:rPr>
          <w:highlight w:val="yellow"/>
        </w:rPr>
        <w:t>Approaches developed for emerging events have consequently begun to treat continual knowledge transfer across events as part of the detection problem rather than assuming a stationary test distribution (Ding et al., 2025).</w:t>
      </w:r>
    </w:p>
    <w:p w14:paraId="485BFA9A" w14:textId="77777777" w:rsidR="00715AFA" w:rsidRDefault="00000000" w:rsidP="00816A47">
      <w:pPr>
        <w:spacing w:before="100" w:beforeAutospacing="1" w:after="100" w:afterAutospacing="1"/>
        <w:jc w:val="both"/>
      </w:pPr>
      <w:r w:rsidRPr="00816A47">
        <w:t>A further tension has emerged in the adjacent social-science literature. Influential critical assessments contend that the harms attributed to online misinformation have often been overstated through reliance on unrepresentative exposure measures,</w:t>
      </w:r>
      <w:r>
        <w:t xml:space="preserve"> broad source-level classifications and inference from engagement metrics to belief and behaviour (Altay et al., 2023; Budak et al., 2024). If the prevalence and </w:t>
      </w:r>
      <w:r>
        <w:lastRenderedPageBreak/>
        <w:t>impact of false content are more limited and more concentrated than early framings implied, then the operational value of a detector depends less on aggregate classification accuracy than on its behaviour in the specific, rare and consequential cases that matter. Very little of the detection literature is designed to answer that question.</w:t>
      </w:r>
    </w:p>
    <w:p w14:paraId="0BA9C7CE" w14:textId="1008BF52" w:rsidR="00715AFA" w:rsidRDefault="00000000" w:rsidP="00816A47">
      <w:pPr>
        <w:spacing w:before="100" w:beforeAutospacing="1" w:after="100" w:afterAutospacing="1"/>
        <w:jc w:val="both"/>
      </w:pPr>
      <w:r>
        <w:t>Existing reviews address parts of this landscape but leave the central tension unresolved. Architecture-oriented surveys provide comprehensive taxonomies of models and datasets yet treat reported metrics largely at face value (Hussain et al., 2025; Hamed et al., 2023; Khan et al., 2021). Modality-specific and method-specific reviews examine multimodal fusion, graph learning or dataset construction in depth without integrating the evaluation-validity critique across families (</w:t>
      </w:r>
      <w:proofErr w:type="spellStart"/>
      <w:r>
        <w:t>D’Ulizia</w:t>
      </w:r>
      <w:proofErr w:type="spellEnd"/>
      <w:r>
        <w:t xml:space="preserve"> et al., 2021; </w:t>
      </w:r>
      <w:proofErr w:type="spellStart"/>
      <w:r>
        <w:t>Hangloo</w:t>
      </w:r>
      <w:proofErr w:type="spellEnd"/>
      <w:r>
        <w:t xml:space="preserve"> &amp; Arora, 2022; Phan et al., 2023). Recent syntheses have begun to incorporate generative language models, but they concentrate on enumerating applications rather than on appraising the strength of the underlying evidence (</w:t>
      </w:r>
      <w:proofErr w:type="spellStart"/>
      <w:r>
        <w:t>Elgammal</w:t>
      </w:r>
      <w:proofErr w:type="spellEnd"/>
      <w:r>
        <w:t xml:space="preserve"> &amp; Alhajj, 2026; Papageorgiou et al., 2024). Reviews of multilingual work document the imbalance in language coverage without connecting it to the generalisation problem that motivates it (Alghamdi et al., 2026; Touahri &amp; Mazroui, 2024). What is missing is an integrated appraisal that treats label construction, evaluation design, distribution shift, adversarial adaptation and downstream use as a single problem rather than as separate chapters.</w:t>
      </w:r>
    </w:p>
    <w:p w14:paraId="0B62E5DB" w14:textId="77777777" w:rsidR="00715AFA" w:rsidRDefault="00000000" w:rsidP="00816A47">
      <w:pPr>
        <w:pStyle w:val="Heading2"/>
        <w:spacing w:before="100" w:beforeAutospacing="1" w:after="100" w:afterAutospacing="1"/>
        <w:jc w:val="both"/>
      </w:pPr>
      <w:r>
        <w:rPr>
          <w:b/>
          <w:bCs/>
          <w:i/>
          <w:iCs/>
          <w:color w:val="000000"/>
          <w:sz w:val="23"/>
          <w:szCs w:val="23"/>
        </w:rPr>
        <w:t>1.1 Scope, Research Gap and Objectives</w:t>
      </w:r>
    </w:p>
    <w:p w14:paraId="6C18C8FD" w14:textId="77777777" w:rsidR="00715AFA" w:rsidRDefault="00000000" w:rsidP="00816A47">
      <w:pPr>
        <w:spacing w:before="100" w:beforeAutospacing="1" w:after="100" w:afterAutospacing="1"/>
        <w:jc w:val="both"/>
      </w:pPr>
      <w:r>
        <w:t>This review examines supervised and generative machine-learning approaches to identifying false, fabricated or misleading news items circulating on social media platforms. The boundaries are set as follows. The unit of interest is a news item or claim shared in a social environment, together with the social signals attached to it, rather than an account, a coordinated campaign or an information operation considered as a whole. Attention is given to textual, visual, propagation-based and evidence-retrieval methods, and to hybrid systems combining them. The review covers model development, benchmark construction, evaluation practice, robustness under distribution shift and adversarial pressure, explanation and the limited evidence concerning operational deployment.</w:t>
      </w:r>
    </w:p>
    <w:p w14:paraId="0DE3883A" w14:textId="77777777" w:rsidR="00715AFA" w:rsidRDefault="00000000" w:rsidP="00816A47">
      <w:pPr>
        <w:spacing w:before="100" w:beforeAutospacing="1" w:after="100" w:afterAutospacing="1"/>
        <w:jc w:val="both"/>
      </w:pPr>
      <w:r>
        <w:t>Several adjacent areas are excluded. Detection of automated or coordinated accounts is treated only where it bears directly on the veracity of individual items. Synthetic media forensics, including manipulated video and voice, is outside the scope except where visual manipulation is handled within a multimodal news-classification pipeline. Psychological interventions such as accuracy prompts, inoculation and literacy training are discussed only in relation to how detection output might be used, not as detection methods in their own right. Platform policy and legal regulation are treated as constraints on deployment rather than as objects of analysis. Quantitative pooling of reported effect sizes is not attempted, for reasons set out in the following section.</w:t>
      </w:r>
    </w:p>
    <w:p w14:paraId="6CEDC55A" w14:textId="77777777" w:rsidR="00715AFA" w:rsidRDefault="00000000" w:rsidP="00816A47">
      <w:pPr>
        <w:spacing w:before="100" w:beforeAutospacing="1" w:after="100" w:afterAutospacing="1"/>
        <w:jc w:val="both"/>
      </w:pPr>
      <w:r>
        <w:t>The research gap addressed is the persistent and largely unexplained divergence between benchmark performance and demonstrated capability outside the training distribution, and the absence of a synthesis that traces this divergence to its sources in label provenance, corpus construction and evaluation protocol rather than treating it as a residual limitation. The review therefore pursues five objectives: to establish how the target construct is operationalised across the major corpora and what this implies for what models actually learn; to compare the principal methodological families in terms of the evidence supporting them rather than their reported headline metrics; to identify the mechanisms through which evaluation optimism arises and to assess how far each has been quantified; to appraise the dual role of generative language models as a source of synthetic misinformation and as a component of detection systems; and to specify research priorities that would materially reduce the present uncertainty.</w:t>
      </w:r>
    </w:p>
    <w:p w14:paraId="78B8F4F2" w14:textId="77777777" w:rsidR="00715AFA" w:rsidRDefault="00000000" w:rsidP="00816A47">
      <w:pPr>
        <w:pStyle w:val="Heading1"/>
        <w:spacing w:before="100" w:beforeAutospacing="1" w:after="100" w:afterAutospacing="1"/>
        <w:jc w:val="both"/>
      </w:pPr>
      <w:r>
        <w:rPr>
          <w:b/>
          <w:bCs/>
          <w:color w:val="000000"/>
          <w:sz w:val="26"/>
          <w:szCs w:val="26"/>
        </w:rPr>
        <w:t>2. Methods for Literature Selection</w:t>
      </w:r>
    </w:p>
    <w:p w14:paraId="6A99CD71" w14:textId="77777777" w:rsidR="00715AFA" w:rsidRDefault="00000000" w:rsidP="00816A47">
      <w:pPr>
        <w:pStyle w:val="Heading2"/>
        <w:spacing w:before="100" w:beforeAutospacing="1" w:after="100" w:afterAutospacing="1"/>
        <w:jc w:val="both"/>
      </w:pPr>
      <w:r>
        <w:rPr>
          <w:b/>
          <w:bCs/>
          <w:i/>
          <w:iCs/>
          <w:color w:val="000000"/>
          <w:sz w:val="23"/>
          <w:szCs w:val="23"/>
        </w:rPr>
        <w:t>2.1 Review Design and Rationale</w:t>
      </w:r>
    </w:p>
    <w:p w14:paraId="296B46B0" w14:textId="77777777" w:rsidR="00715AFA" w:rsidRDefault="00000000" w:rsidP="00816A47">
      <w:pPr>
        <w:spacing w:before="100" w:beforeAutospacing="1" w:after="100" w:afterAutospacing="1"/>
        <w:jc w:val="both"/>
      </w:pPr>
      <w:r>
        <w:lastRenderedPageBreak/>
        <w:t>A critical narrative design was selected because the review question concerns the validity of an evaluation paradigm rather than the magnitude of a defined effect. The primary literature is methodologically heterogeneous in a way that defeats quantitative pooling: studies differ in the unit classified, in the definition and provenance of labels, in class balance, in the presence of social signals, in the metrics reported and in whether evaluation splits are random, temporal or cross-domain. Reported accuracies from different corpora are not measurements of a common quantity, and averaging them would manufacture a spurious summary. A systematic review with meta-analysis would additionally require complete and comparable outcome reporting, which the field does not provide. A scoping review would map the extent of activity without appraising it, which is precisely the deficiency identified in the existing review literature.</w:t>
      </w:r>
    </w:p>
    <w:p w14:paraId="1383913A" w14:textId="77777777" w:rsidR="00715AFA" w:rsidRDefault="00000000" w:rsidP="00816A47">
      <w:pPr>
        <w:spacing w:before="100" w:beforeAutospacing="1" w:after="100" w:afterAutospacing="1"/>
        <w:jc w:val="both"/>
      </w:pPr>
      <w:r>
        <w:t>Narrative synthesis carries a well-recognised risk of selection and interpretive bias, and the design of this review was informed by published guidance on the transparent conduct and appraisal of narrative reviews (</w:t>
      </w:r>
      <w:proofErr w:type="spellStart"/>
      <w:r>
        <w:t>Baethge</w:t>
      </w:r>
      <w:proofErr w:type="spellEnd"/>
      <w:r>
        <w:t xml:space="preserve"> et al., 2019; Ferrari, 2015; Sukhera, 2022). The criteria articulated in that guidance, in particular the requirement that the search be described in reproducible terms, that the evidence base be characterised rather than asserted, and that the strength of inference be calibrated to the quality of the underlying studies, were applied throughout. Adopting a narrative design does not relax the obligation to document sources, appraise methods and represent conflicting findings accurately.</w:t>
      </w:r>
    </w:p>
    <w:p w14:paraId="396715E5" w14:textId="77777777" w:rsidR="00715AFA" w:rsidRDefault="00000000" w:rsidP="00816A47">
      <w:pPr>
        <w:pStyle w:val="Heading2"/>
        <w:spacing w:before="100" w:beforeAutospacing="1" w:after="100" w:afterAutospacing="1"/>
        <w:jc w:val="both"/>
      </w:pPr>
      <w:r>
        <w:rPr>
          <w:b/>
          <w:bCs/>
          <w:i/>
          <w:iCs/>
          <w:color w:val="000000"/>
          <w:sz w:val="23"/>
          <w:szCs w:val="23"/>
        </w:rPr>
        <w:t>2.2 Information Sources</w:t>
      </w:r>
    </w:p>
    <w:p w14:paraId="42BFB208" w14:textId="77777777" w:rsidR="00715AFA" w:rsidRDefault="00000000" w:rsidP="00816A47">
      <w:pPr>
        <w:spacing w:before="100" w:beforeAutospacing="1" w:after="100" w:afterAutospacing="1"/>
        <w:jc w:val="both"/>
      </w:pPr>
      <w:r>
        <w:t xml:space="preserve">Three openly accessible scholarly resources were searched programmatically during the preparation of this review: the </w:t>
      </w:r>
      <w:proofErr w:type="spellStart"/>
      <w:r>
        <w:t>Crossref</w:t>
      </w:r>
      <w:proofErr w:type="spellEnd"/>
      <w:r>
        <w:t xml:space="preserve"> metadata registry, the Directory of Open Access Journals, and Europe PMC for the health-misinformation subset of the literature. General web search was used for discovery of institutional documents and for locating candidate records subsequently verified against the registry. Subscription-based citation indexes, including Web of Science and Scopus, were not accessible during this work, and no search of those indexes is claimed. Two aggregated scholarly interfaces that had been intended as supplementary discovery routes returned rate-limit responses throughout the period of work and were therefore not used; results from them are not reported.</w:t>
      </w:r>
    </w:p>
    <w:p w14:paraId="4F1DAD74" w14:textId="77777777" w:rsidR="00715AFA" w:rsidRDefault="00000000" w:rsidP="00816A47">
      <w:pPr>
        <w:spacing w:before="100" w:beforeAutospacing="1" w:after="100" w:afterAutospacing="1"/>
        <w:jc w:val="both"/>
      </w:pPr>
      <w:r>
        <w:t>Database searching was supplemented by backward citation searching from recent reviews and from the reference lists of methodologically central primary studies, by forward tracking of papers responding to influential benchmark and critique articles, and by targeted retrieval of documents from recognised intergovernmental bodies. Every record retained was verified against registry metadata for authorship, title, year, venue, volume, pagination or article number, and persistent identifier, and each identifier was checked for resolution to the intended record.</w:t>
      </w:r>
    </w:p>
    <w:p w14:paraId="40941F18" w14:textId="77777777" w:rsidR="00715AFA" w:rsidRDefault="00000000" w:rsidP="00816A47">
      <w:pPr>
        <w:pStyle w:val="Heading2"/>
        <w:spacing w:before="100" w:beforeAutospacing="1" w:after="100" w:afterAutospacing="1"/>
        <w:jc w:val="both"/>
      </w:pPr>
      <w:r>
        <w:rPr>
          <w:b/>
          <w:bCs/>
          <w:i/>
          <w:iCs/>
          <w:color w:val="000000"/>
          <w:sz w:val="23"/>
          <w:szCs w:val="23"/>
        </w:rPr>
        <w:t>2.3 Search Strategy and Search Period</w:t>
      </w:r>
    </w:p>
    <w:p w14:paraId="0D79C166" w14:textId="77777777" w:rsidR="00715AFA" w:rsidRDefault="00000000" w:rsidP="00816A47">
      <w:pPr>
        <w:spacing w:before="100" w:beforeAutospacing="1" w:after="100" w:afterAutospacing="1"/>
        <w:jc w:val="both"/>
      </w:pPr>
      <w:r>
        <w:t>Search concepts were derived from the review question along five axes: the phenomenon, expressed through terms such as fake news, misinformation, disinformation and rumour; the computational task, expressed through detection, classification, verification and fact-checking; the method, covering machine learning, deep learning, transformers, graph neural networks and large language models; the setting, covering social media, microblogs and online platforms; and the evaluative dimension, covering generalisation, domain shift, benchmark, dataset bias, robustness, adversarial attack and explainability. Terms within each axis were combined disjunctively and the axes conjunctively. A representative string took the form of the phenomenon terms combined with the task terms and with the method terms, and this core was then intersected in turn with each evaluative term to surface the critical rather than the purely developmental literature. Field-specific variants were used for the multilingual and health strands, substituting language and public-health vocabulary for the general social-platform terms.</w:t>
      </w:r>
    </w:p>
    <w:p w14:paraId="12FD2C31" w14:textId="77777777" w:rsidR="00715AFA" w:rsidRDefault="00000000" w:rsidP="00816A47">
      <w:pPr>
        <w:spacing w:before="100" w:beforeAutospacing="1" w:after="100" w:afterAutospacing="1"/>
        <w:jc w:val="both"/>
      </w:pPr>
      <w:r>
        <w:t>The search covered publications from 1 January 2015 to 8 June 2026. The starting point corresponds to the consolidation of social-stream rumour and credibility analysis into a recognisable detection task, immediately preceding the sharp expansion of the field. Earlier work was admitted only where it was required to explain the origin of a method or a definition.</w:t>
      </w:r>
    </w:p>
    <w:p w14:paraId="159507E1" w14:textId="77777777" w:rsidR="00715AFA" w:rsidRDefault="00000000" w:rsidP="00816A47">
      <w:pPr>
        <w:pStyle w:val="Heading2"/>
        <w:spacing w:before="100" w:beforeAutospacing="1" w:after="100" w:afterAutospacing="1"/>
        <w:jc w:val="both"/>
      </w:pPr>
      <w:r>
        <w:rPr>
          <w:b/>
          <w:bCs/>
          <w:i/>
          <w:iCs/>
          <w:color w:val="000000"/>
          <w:sz w:val="23"/>
          <w:szCs w:val="23"/>
        </w:rPr>
        <w:lastRenderedPageBreak/>
        <w:t>2.4 Eligibility Criteria</w:t>
      </w:r>
    </w:p>
    <w:p w14:paraId="115BFF6F" w14:textId="77777777" w:rsidR="00715AFA" w:rsidRDefault="00000000" w:rsidP="00816A47">
      <w:pPr>
        <w:spacing w:before="100" w:beforeAutospacing="1" w:after="100" w:afterAutospacing="1"/>
        <w:jc w:val="both"/>
      </w:pPr>
      <w:r>
        <w:t>Eligible publications were peer-reviewed journal articles, peer-reviewed conference papers from established venues in computational linguistics, data mining, information retrieval, machine learning and web science, and reports from recognised intergovernmental or governmental bodies. To be included, a publication had to address the computational identification of false, fabricated or misleading news or claims in a social-media context, or to provide evidence bearing directly on the interpretation of such work, including dataset construction, evaluation methodology, robustness analysis, or measurement of prevalence and effect. Methodological references on review conduct were admitted for the purpose of Section 2 alone.</w:t>
      </w:r>
    </w:p>
    <w:p w14:paraId="1162FDC0" w14:textId="77777777" w:rsidR="00715AFA" w:rsidRDefault="00000000" w:rsidP="00816A47">
      <w:pPr>
        <w:spacing w:before="100" w:beforeAutospacing="1" w:after="100" w:afterAutospacing="1"/>
        <w:jc w:val="both"/>
      </w:pPr>
      <w:r>
        <w:t>Publications were excluded where the bibliographic identity could not be confirmed against registry metadata; where the venue showed no evidence of substantive peer review; where the contribution was a minor architectural variation reported on a single benchmark without comparative or robustness analysis; where the subject was account-level or campaign-level detection without item-level veracity assessment; or where synthetic media forensics was treated in isolation from news classification. Non-peer-reviewed preprints were not used as evidential support. Publication language was restricted to English, which is a substantive limitation given the geographical concerns raised in Section 7. No restriction was placed on the country of study, the platform examined or the language of the data analysed.</w:t>
      </w:r>
    </w:p>
    <w:p w14:paraId="1DAD599D" w14:textId="77777777" w:rsidR="00715AFA" w:rsidRDefault="00000000" w:rsidP="00816A47">
      <w:pPr>
        <w:pStyle w:val="Heading2"/>
        <w:spacing w:before="100" w:beforeAutospacing="1" w:after="100" w:afterAutospacing="1"/>
        <w:jc w:val="both"/>
      </w:pPr>
      <w:r>
        <w:rPr>
          <w:b/>
          <w:bCs/>
          <w:i/>
          <w:iCs/>
          <w:color w:val="000000"/>
          <w:sz w:val="23"/>
          <w:szCs w:val="23"/>
        </w:rPr>
        <w:t>2.5 Screening, Duplicate Handling and Study Selection</w:t>
      </w:r>
    </w:p>
    <w:p w14:paraId="1E538B9E" w14:textId="77777777" w:rsidR="00715AFA" w:rsidRDefault="00000000" w:rsidP="00816A47">
      <w:pPr>
        <w:spacing w:before="100" w:beforeAutospacing="1" w:after="100" w:afterAutospacing="1"/>
        <w:jc w:val="both"/>
      </w:pPr>
      <w:r>
        <w:t>Records were screened in three passes. Titles were assessed first for topical relevance against the eligibility criteria. Abstracts of retained records were then read to determine whether the study offered evidence relevant to one of the analytical themes rather than a further instance of benchmark optimisation. Full texts were consulted for all records cited in the synthesis, and for a wider set consulted during appraisal but not retained. Duplicates arising from the same record appearing in more than one index, and from conference and extended journal versions of the same work, were identified by matching persistent identifiers and by comparing title and author strings; where a conference and a journal version both existed, the version containing the fuller analysis was retained and cited once. Records whose full text could not be obtained were not cited, and no claim in this review rests on an abstract alone. Because the selection process was purposive rather than exhaustive, no screening counts are reported and no flow diagram is presented; reporting such figures would imply a systematic procedure that was not undertaken.</w:t>
      </w:r>
    </w:p>
    <w:p w14:paraId="061FECFE" w14:textId="77777777" w:rsidR="00715AFA" w:rsidRDefault="00000000" w:rsidP="00816A47">
      <w:pPr>
        <w:pStyle w:val="Heading2"/>
        <w:spacing w:before="100" w:beforeAutospacing="1" w:after="100" w:afterAutospacing="1"/>
        <w:jc w:val="both"/>
      </w:pPr>
      <w:r>
        <w:rPr>
          <w:b/>
          <w:bCs/>
          <w:i/>
          <w:iCs/>
          <w:color w:val="000000"/>
          <w:sz w:val="23"/>
          <w:szCs w:val="23"/>
        </w:rPr>
        <w:t>2.6 Critical Appraisal and Evidence Synthesis</w:t>
      </w:r>
    </w:p>
    <w:p w14:paraId="11D36F6B" w14:textId="77777777" w:rsidR="00715AFA" w:rsidRDefault="00000000" w:rsidP="00816A47">
      <w:pPr>
        <w:spacing w:before="100" w:beforeAutospacing="1" w:after="100" w:afterAutospacing="1"/>
        <w:jc w:val="both"/>
      </w:pPr>
      <w:r>
        <w:t>No formal risk-of-bias instrument was applied, since none of the recognised tools is designed for the study types dominating this literature and the reporting in many papers would not support reliable scoring. Appraisal instead followed criteria matched to the field. For model-development studies, attention was given to the construct validity of the labels, the provenance and independence of training and test partitions, whether evaluation was random, temporal or cross-domain, the presence of ablations isolating the claimed contribution, the strength and currency of the baselines, and whether code and data were available. For dataset papers, attention was given to labelling authority, unit of analysis, class balance, temporal span and the risk of confounding between veracity and source identity. For measurement studies of prevalence and effect, attention was given to sampling frame, exposure measurement and the distance between the quantity measured and the quantity of interest.</w:t>
      </w:r>
    </w:p>
    <w:p w14:paraId="7766169D" w14:textId="77777777" w:rsidR="00715AFA" w:rsidRDefault="00000000" w:rsidP="00816A47">
      <w:pPr>
        <w:spacing w:before="100" w:beforeAutospacing="1" w:after="100" w:afterAutospacing="1"/>
        <w:jc w:val="both"/>
      </w:pPr>
      <w:r>
        <w:t xml:space="preserve">Themes were derived inductively from the appraised evidence rather than imposed in advance, and were retained where they organised findings from independent research groups working with different data. Where studies disagreed, the disagreement was traced where possible to a specific methodological difference, most often the evaluation protocol or the labelling scheme, and is reported as such. Where the reason for divergence could not be identified, the disagreement is reported without resolution. Confidence statements in the synthesis are calibrated to the number of independent replications, the </w:t>
      </w:r>
      <w:r>
        <w:lastRenderedPageBreak/>
        <w:t>diversity of the data on which a finding rests, and whether the finding survives evaluation designs that do not favour it.</w:t>
      </w:r>
    </w:p>
    <w:p w14:paraId="227E6E76" w14:textId="77777777" w:rsidR="00715AFA" w:rsidRDefault="00000000" w:rsidP="00816A47">
      <w:pPr>
        <w:pStyle w:val="Heading1"/>
        <w:spacing w:before="100" w:beforeAutospacing="1" w:after="100" w:afterAutospacing="1"/>
        <w:jc w:val="both"/>
      </w:pPr>
      <w:r>
        <w:rPr>
          <w:b/>
          <w:bCs/>
          <w:color w:val="000000"/>
          <w:sz w:val="26"/>
          <w:szCs w:val="26"/>
        </w:rPr>
        <w:t>3. Conceptual Foundations and the Construction of the Target Variable</w:t>
      </w:r>
    </w:p>
    <w:p w14:paraId="67606E38" w14:textId="77777777" w:rsidR="00715AFA" w:rsidRDefault="00000000" w:rsidP="00816A47">
      <w:pPr>
        <w:spacing w:before="100" w:beforeAutospacing="1" w:after="100" w:afterAutospacing="1"/>
        <w:jc w:val="both"/>
      </w:pPr>
      <w:r>
        <w:t>Every supervised detector is an operationalisation of a definition, and the definitions available in this field are neither uniform nor independent of the data used to instantiate them. Understanding what the models have learned therefore requires examining the target variable before examining the architectures fitted to it.</w:t>
      </w:r>
    </w:p>
    <w:p w14:paraId="797153E0" w14:textId="77777777" w:rsidR="00715AFA" w:rsidRDefault="00000000" w:rsidP="00816A47">
      <w:pPr>
        <w:pStyle w:val="Heading2"/>
        <w:spacing w:before="100" w:beforeAutospacing="1" w:after="100" w:afterAutospacing="1"/>
        <w:jc w:val="both"/>
      </w:pPr>
      <w:r>
        <w:rPr>
          <w:b/>
          <w:bCs/>
          <w:i/>
          <w:iCs/>
          <w:color w:val="000000"/>
          <w:sz w:val="23"/>
          <w:szCs w:val="23"/>
        </w:rPr>
        <w:t>3.1 Terminological Divergence and Its Computational Consequences</w:t>
      </w:r>
    </w:p>
    <w:p w14:paraId="0BABAA0B" w14:textId="77777777" w:rsidR="00715AFA" w:rsidRDefault="00000000" w:rsidP="00816A47">
      <w:pPr>
        <w:spacing w:before="100" w:beforeAutospacing="1" w:after="100" w:afterAutospacing="1"/>
        <w:jc w:val="both"/>
      </w:pPr>
      <w:r>
        <w:t xml:space="preserve">Reviews of the field converge on the observation that the popular term covers several distinct phenomena, and diverge on how to partition them. One influential treatment distinguishes intentionally fabricated news items from a broader family that includes satire, rumour, conspiracy narrative and misleading but factually defensible framing, and argues that theories of deception, style and propagation apply unequally across these categories (Zhou &amp; </w:t>
      </w:r>
      <w:proofErr w:type="spellStart"/>
      <w:r>
        <w:t>Zafarani</w:t>
      </w:r>
      <w:proofErr w:type="spellEnd"/>
      <w:r>
        <w:t xml:space="preserve">, 2020). A second treatment organises the same space around intent and harm, separating misinformation, disinformation and </w:t>
      </w:r>
      <w:proofErr w:type="spellStart"/>
      <w:r>
        <w:t>malinformation</w:t>
      </w:r>
      <w:proofErr w:type="spellEnd"/>
      <w:r>
        <w:t>, and notes that the resulting categories are not observable from the artefact alone (</w:t>
      </w:r>
      <w:proofErr w:type="spellStart"/>
      <w:r>
        <w:t>Aïmeur</w:t>
      </w:r>
      <w:proofErr w:type="spellEnd"/>
      <w:r>
        <w:t xml:space="preserve"> et al., 2023). The rumour literature adds a temporal dimension absent from static classification, defining the object as a claim whose truth status is unresolved at the moment of observation and may change subsequently (Zubiaga et al., 2018). These are not interchangeable framings. Intent is not recoverable from text; harm is not recoverable from either text or diffusion structure; and unresolved veracity is a property of the epistemic state of the community rather than of the item.</w:t>
      </w:r>
    </w:p>
    <w:p w14:paraId="53A7309A" w14:textId="77777777" w:rsidR="00715AFA" w:rsidRDefault="00000000" w:rsidP="00816A47">
      <w:pPr>
        <w:spacing w:before="100" w:beforeAutospacing="1" w:after="100" w:afterAutospacing="1"/>
        <w:jc w:val="both"/>
      </w:pPr>
      <w:r>
        <w:t xml:space="preserve">The computational consequence is that the label attached to a training instance encodes a definitional choice that the model cannot inspect and the evaluator rarely states. When intent-based categories are approximated by artefact-level labels, the classifier necessarily learns whatever artefact-level regularities happen to correlate with the intended construct in that corpus. Guidance produced for journalism education makes the point from the practitioner side, arguing that the popular term has been used both to describe fabricated content and to discredit legitimate reporting, and recommending that analytical work adopt the narrower vocabulary of disinformation and misinformation (Ireton &amp; </w:t>
      </w:r>
      <w:proofErr w:type="spellStart"/>
      <w:r>
        <w:t>Posetti</w:t>
      </w:r>
      <w:proofErr w:type="spellEnd"/>
      <w:r>
        <w:t>, 2018). The detection literature has largely not followed that recommendation, and the resulting ambiguity persists in benchmark names and task definitions.</w:t>
      </w:r>
    </w:p>
    <w:p w14:paraId="50005E29" w14:textId="77777777" w:rsidR="00715AFA" w:rsidRDefault="00000000" w:rsidP="00816A47">
      <w:pPr>
        <w:pStyle w:val="Heading2"/>
        <w:spacing w:before="100" w:beforeAutospacing="1" w:after="100" w:afterAutospacing="1"/>
        <w:jc w:val="both"/>
      </w:pPr>
      <w:r>
        <w:rPr>
          <w:b/>
          <w:bCs/>
          <w:i/>
          <w:iCs/>
          <w:color w:val="000000"/>
          <w:sz w:val="23"/>
          <w:szCs w:val="23"/>
        </w:rPr>
        <w:t>3.2 Label Provenance and the Source-Level Shortcut</w:t>
      </w:r>
    </w:p>
    <w:p w14:paraId="3929190C" w14:textId="77777777" w:rsidR="00715AFA" w:rsidRDefault="00000000" w:rsidP="00816A47">
      <w:pPr>
        <w:spacing w:before="100" w:beforeAutospacing="1" w:after="100" w:afterAutospacing="1"/>
        <w:jc w:val="both"/>
      </w:pPr>
      <w:r>
        <w:t>Corpora used for training divide into two broad families according to where the label originates. In claim-level corpora, an assertion has been adjudicated individually by a fact-checking organisation and the verdict is transferred to the item that contains it. The widely used political-statement corpus assembled from a fact-checking archive is of this type, comprising short statements annotated on a six-point veracity scale together with speaker metadata (W. Y. Wang, 2017). In source-level corpora, the credibility rating attached to an outlet is propagated to every item published by that outlet. The distinction is consequential because the second procedure introduces a systematic confound: articles from a given publisher share vocabulary, register, layout conventions, topic distribution and house style, and a classifier can achieve high accuracy by recognising the publisher rather than assessing the claim.</w:t>
      </w:r>
    </w:p>
    <w:p w14:paraId="78B2A624" w14:textId="77777777" w:rsidR="00715AFA" w:rsidRDefault="00000000" w:rsidP="00816A47">
      <w:pPr>
        <w:spacing w:before="100" w:beforeAutospacing="1" w:after="100" w:afterAutospacing="1"/>
        <w:jc w:val="both"/>
      </w:pPr>
      <w:r>
        <w:t xml:space="preserve">Direct evidence for this mechanism comes from a re-analysis of published classification pipelines under controlled variation of the labelling and partitioning procedure, which found that measured performance was strongly sensitive to how source-level ratings were assigned to individual articles and to whether the evaluation partition permitted publisher overlap between training and test sets (Bozarth &amp; Budak, 2020). Analysis of the data landscape reached a compatible conclusion, arguing that much of the labelled material available for supervised learning stands in a coarse relationship to the veracity of individual claims and that the resulting corpora encode source identity alongside, and sometimes instead of, truthfulness (Torabi Asr &amp; Taboada, 2019). A recent data-centric investigation reinforced the </w:t>
      </w:r>
      <w:r>
        <w:lastRenderedPageBreak/>
        <w:t>point by holding the model constant and varying the corpus, finding that the choice of dataset accounted for more of the variation in outcome than the choice of architecture (</w:t>
      </w:r>
      <w:proofErr w:type="spellStart"/>
      <w:r>
        <w:t>Kuntur</w:t>
      </w:r>
      <w:proofErr w:type="spellEnd"/>
      <w:r>
        <w:t xml:space="preserve"> et al., 2026).</w:t>
      </w:r>
    </w:p>
    <w:p w14:paraId="789CA989" w14:textId="77777777" w:rsidR="00715AFA" w:rsidRDefault="00000000" w:rsidP="00816A47">
      <w:pPr>
        <w:spacing w:before="100" w:beforeAutospacing="1" w:after="100" w:afterAutospacing="1"/>
        <w:jc w:val="both"/>
      </w:pPr>
      <w:r>
        <w:t>Hybrid designs occupy an intermediate position. A repository assembled to support social-context research pairs articles whose veracity derives from fact-checking verdicts with the engagement, user and temporal signals associated with their circulation, and provides both political and entertainment subsets (Shu et al., 2020). This structure permits investigation of propagation-based methods but inherits the labelling logic of its fact-checked source and, in the entertainment subset, a marked class imbalance. A systematic survey of the available evaluation corpora documents the wider picture: the datasets differ in unit of analysis, in the authority issuing the label, in the granularity of the veracity scale, in temporal span and in whether social signals are present at all (</w:t>
      </w:r>
      <w:proofErr w:type="spellStart"/>
      <w:r>
        <w:t>D’Ulizia</w:t>
      </w:r>
      <w:proofErr w:type="spellEnd"/>
      <w:r>
        <w:t xml:space="preserve"> et al., 2021). Comparison of results obtained on different corpora is therefore comparison of different tasks.</w:t>
      </w:r>
    </w:p>
    <w:p w14:paraId="2D20F3B8" w14:textId="77777777" w:rsidR="00715AFA" w:rsidRDefault="00000000" w:rsidP="00816A47">
      <w:pPr>
        <w:spacing w:before="100" w:beforeAutospacing="1" w:after="100" w:afterAutospacing="1"/>
        <w:jc w:val="both"/>
      </w:pPr>
      <w:r>
        <w:t>The distinctions summarised in Table 1 matter for interpretation throughout the remainder of this review. Where a reported result derives from a source-labelled corpus with a random partition, the plausible explanation of high accuracy includes publisher recognition and cannot be separated from claim assessment on the evidence given. Where a result derives from claim-level adjudication, the model is engaged with a narrower and harder task and typically reports lower absolute figures, which should not be read as evidence of an inferior method. The table also records the principal limitation associated with each labelling regime, since these limitations propagate into every downstream comparison.</w:t>
      </w:r>
    </w:p>
    <w:p w14:paraId="64329290" w14:textId="77777777" w:rsidR="00715AFA" w:rsidRDefault="00000000" w:rsidP="00816A47">
      <w:pPr>
        <w:spacing w:before="100" w:beforeAutospacing="1" w:after="100" w:afterAutospacing="1"/>
        <w:jc w:val="both"/>
      </w:pPr>
      <w:r>
        <w:rPr>
          <w:b/>
          <w:bCs/>
          <w:sz w:val="20"/>
          <w:szCs w:val="20"/>
        </w:rPr>
        <w:t>Table 1. Label provenance regimes in social-media fake-news corpora and their consequences for model interpretation.</w:t>
      </w:r>
    </w:p>
    <w:tbl>
      <w:tblPr>
        <w:tblW w:w="9600" w:type="dxa"/>
        <w:tblBorders>
          <w:top w:val="single" w:sz="4" w:space="0" w:color="666666"/>
          <w:left w:val="single" w:sz="2" w:space="0" w:color="999999"/>
          <w:bottom w:val="single" w:sz="4" w:space="0" w:color="666666"/>
          <w:right w:val="single" w:sz="2" w:space="0" w:color="999999"/>
          <w:insideH w:val="single" w:sz="2" w:space="0" w:color="999999"/>
          <w:insideV w:val="single" w:sz="2" w:space="0" w:color="999999"/>
        </w:tblBorders>
        <w:tblCellMar>
          <w:left w:w="10" w:type="dxa"/>
          <w:right w:w="10" w:type="dxa"/>
        </w:tblCellMar>
        <w:tblLook w:val="0000" w:firstRow="0" w:lastRow="0" w:firstColumn="0" w:lastColumn="0" w:noHBand="0" w:noVBand="0"/>
      </w:tblPr>
      <w:tblGrid>
        <w:gridCol w:w="1658"/>
        <w:gridCol w:w="2007"/>
        <w:gridCol w:w="2095"/>
        <w:gridCol w:w="2095"/>
        <w:gridCol w:w="1745"/>
      </w:tblGrid>
      <w:tr w:rsidR="00715AFA" w14:paraId="23844642" w14:textId="77777777">
        <w:trPr>
          <w:tblHeader/>
        </w:trPr>
        <w:tc>
          <w:tcPr>
            <w:tcW w:w="1658" w:type="dxa"/>
            <w:shd w:val="clear" w:color="auto" w:fill="E8E8E8"/>
            <w:tcMar>
              <w:top w:w="60" w:type="dxa"/>
              <w:left w:w="90" w:type="dxa"/>
              <w:bottom w:w="60" w:type="dxa"/>
              <w:right w:w="90" w:type="dxa"/>
            </w:tcMar>
          </w:tcPr>
          <w:p w14:paraId="032D8B6A" w14:textId="77777777" w:rsidR="00715AFA" w:rsidRDefault="00000000" w:rsidP="00816A47">
            <w:pPr>
              <w:spacing w:before="100" w:beforeAutospacing="1" w:after="100" w:afterAutospacing="1"/>
              <w:jc w:val="both"/>
            </w:pPr>
            <w:r>
              <w:rPr>
                <w:b/>
                <w:bCs/>
                <w:sz w:val="17"/>
                <w:szCs w:val="17"/>
              </w:rPr>
              <w:t>Labelling regime</w:t>
            </w:r>
          </w:p>
        </w:tc>
        <w:tc>
          <w:tcPr>
            <w:tcW w:w="2007" w:type="dxa"/>
            <w:shd w:val="clear" w:color="auto" w:fill="E8E8E8"/>
            <w:tcMar>
              <w:top w:w="60" w:type="dxa"/>
              <w:left w:w="90" w:type="dxa"/>
              <w:bottom w:w="60" w:type="dxa"/>
              <w:right w:w="90" w:type="dxa"/>
            </w:tcMar>
          </w:tcPr>
          <w:p w14:paraId="054A009B" w14:textId="77777777" w:rsidR="00715AFA" w:rsidRDefault="00000000" w:rsidP="00816A47">
            <w:pPr>
              <w:spacing w:before="100" w:beforeAutospacing="1" w:after="100" w:afterAutospacing="1"/>
              <w:jc w:val="both"/>
            </w:pPr>
            <w:r>
              <w:rPr>
                <w:b/>
                <w:bCs/>
                <w:sz w:val="17"/>
                <w:szCs w:val="17"/>
              </w:rPr>
              <w:t>How the label is assigned</w:t>
            </w:r>
          </w:p>
        </w:tc>
        <w:tc>
          <w:tcPr>
            <w:tcW w:w="2095" w:type="dxa"/>
            <w:shd w:val="clear" w:color="auto" w:fill="E8E8E8"/>
            <w:tcMar>
              <w:top w:w="60" w:type="dxa"/>
              <w:left w:w="90" w:type="dxa"/>
              <w:bottom w:w="60" w:type="dxa"/>
              <w:right w:w="90" w:type="dxa"/>
            </w:tcMar>
          </w:tcPr>
          <w:p w14:paraId="0305FC67" w14:textId="77777777" w:rsidR="00715AFA" w:rsidRDefault="00000000" w:rsidP="00816A47">
            <w:pPr>
              <w:spacing w:before="100" w:beforeAutospacing="1" w:after="100" w:afterAutospacing="1"/>
              <w:jc w:val="both"/>
            </w:pPr>
            <w:r>
              <w:rPr>
                <w:b/>
                <w:bCs/>
                <w:sz w:val="17"/>
                <w:szCs w:val="17"/>
              </w:rPr>
              <w:t>What a high score can indicate</w:t>
            </w:r>
          </w:p>
        </w:tc>
        <w:tc>
          <w:tcPr>
            <w:tcW w:w="2095" w:type="dxa"/>
            <w:shd w:val="clear" w:color="auto" w:fill="E8E8E8"/>
            <w:tcMar>
              <w:top w:w="60" w:type="dxa"/>
              <w:left w:w="90" w:type="dxa"/>
              <w:bottom w:w="60" w:type="dxa"/>
              <w:right w:w="90" w:type="dxa"/>
            </w:tcMar>
          </w:tcPr>
          <w:p w14:paraId="17B0A778" w14:textId="77777777" w:rsidR="00715AFA" w:rsidRDefault="00000000" w:rsidP="00816A47">
            <w:pPr>
              <w:spacing w:before="100" w:beforeAutospacing="1" w:after="100" w:afterAutospacing="1"/>
              <w:jc w:val="both"/>
            </w:pPr>
            <w:r>
              <w:rPr>
                <w:b/>
                <w:bCs/>
                <w:sz w:val="17"/>
                <w:szCs w:val="17"/>
              </w:rPr>
              <w:t>Principal limitation</w:t>
            </w:r>
          </w:p>
        </w:tc>
        <w:tc>
          <w:tcPr>
            <w:tcW w:w="1745" w:type="dxa"/>
            <w:shd w:val="clear" w:color="auto" w:fill="E8E8E8"/>
            <w:tcMar>
              <w:top w:w="60" w:type="dxa"/>
              <w:left w:w="90" w:type="dxa"/>
              <w:bottom w:w="60" w:type="dxa"/>
              <w:right w:w="90" w:type="dxa"/>
            </w:tcMar>
          </w:tcPr>
          <w:p w14:paraId="6F1569AF" w14:textId="77777777" w:rsidR="00715AFA" w:rsidRDefault="00000000" w:rsidP="00816A47">
            <w:pPr>
              <w:spacing w:before="100" w:beforeAutospacing="1" w:after="100" w:afterAutospacing="1"/>
              <w:jc w:val="both"/>
            </w:pPr>
            <w:r>
              <w:rPr>
                <w:b/>
                <w:bCs/>
                <w:sz w:val="17"/>
                <w:szCs w:val="17"/>
              </w:rPr>
              <w:t>Supporting references</w:t>
            </w:r>
          </w:p>
        </w:tc>
      </w:tr>
      <w:tr w:rsidR="00715AFA" w14:paraId="465E2AC4" w14:textId="77777777">
        <w:tc>
          <w:tcPr>
            <w:tcW w:w="1658" w:type="dxa"/>
            <w:tcMar>
              <w:top w:w="60" w:type="dxa"/>
              <w:left w:w="90" w:type="dxa"/>
              <w:bottom w:w="60" w:type="dxa"/>
              <w:right w:w="90" w:type="dxa"/>
            </w:tcMar>
          </w:tcPr>
          <w:p w14:paraId="24881C62" w14:textId="77777777" w:rsidR="00715AFA" w:rsidRDefault="00000000" w:rsidP="00816A47">
            <w:pPr>
              <w:spacing w:before="100" w:beforeAutospacing="1" w:after="100" w:afterAutospacing="1"/>
              <w:jc w:val="both"/>
            </w:pPr>
            <w:r>
              <w:rPr>
                <w:sz w:val="17"/>
                <w:szCs w:val="17"/>
              </w:rPr>
              <w:t>Claim-level adjudication</w:t>
            </w:r>
          </w:p>
        </w:tc>
        <w:tc>
          <w:tcPr>
            <w:tcW w:w="2007" w:type="dxa"/>
            <w:tcMar>
              <w:top w:w="60" w:type="dxa"/>
              <w:left w:w="90" w:type="dxa"/>
              <w:bottom w:w="60" w:type="dxa"/>
              <w:right w:w="90" w:type="dxa"/>
            </w:tcMar>
          </w:tcPr>
          <w:p w14:paraId="14B59D3E" w14:textId="77777777" w:rsidR="00715AFA" w:rsidRDefault="00000000" w:rsidP="00816A47">
            <w:pPr>
              <w:spacing w:before="100" w:beforeAutospacing="1" w:after="100" w:afterAutospacing="1"/>
              <w:jc w:val="both"/>
            </w:pPr>
            <w:r>
              <w:rPr>
                <w:sz w:val="17"/>
                <w:szCs w:val="17"/>
              </w:rPr>
              <w:t>Individual assertion rated by a fact-checking organisation; verdict transferred to the item containing it</w:t>
            </w:r>
          </w:p>
        </w:tc>
        <w:tc>
          <w:tcPr>
            <w:tcW w:w="2095" w:type="dxa"/>
            <w:tcMar>
              <w:top w:w="60" w:type="dxa"/>
              <w:left w:w="90" w:type="dxa"/>
              <w:bottom w:w="60" w:type="dxa"/>
              <w:right w:w="90" w:type="dxa"/>
            </w:tcMar>
          </w:tcPr>
          <w:p w14:paraId="165E0B7F" w14:textId="77777777" w:rsidR="00715AFA" w:rsidRDefault="00000000" w:rsidP="00816A47">
            <w:pPr>
              <w:spacing w:before="100" w:beforeAutospacing="1" w:after="100" w:afterAutospacing="1"/>
              <w:jc w:val="both"/>
            </w:pPr>
            <w:r>
              <w:rPr>
                <w:sz w:val="17"/>
                <w:szCs w:val="17"/>
              </w:rPr>
              <w:t>Discrimination on claim-bearing linguistic evidence</w:t>
            </w:r>
          </w:p>
        </w:tc>
        <w:tc>
          <w:tcPr>
            <w:tcW w:w="2095" w:type="dxa"/>
            <w:tcMar>
              <w:top w:w="60" w:type="dxa"/>
              <w:left w:w="90" w:type="dxa"/>
              <w:bottom w:w="60" w:type="dxa"/>
              <w:right w:w="90" w:type="dxa"/>
            </w:tcMar>
          </w:tcPr>
          <w:p w14:paraId="30EBD4EA" w14:textId="77777777" w:rsidR="00715AFA" w:rsidRDefault="00000000" w:rsidP="00816A47">
            <w:pPr>
              <w:spacing w:before="100" w:beforeAutospacing="1" w:after="100" w:afterAutospacing="1"/>
              <w:jc w:val="both"/>
            </w:pPr>
            <w:r>
              <w:rPr>
                <w:sz w:val="17"/>
                <w:szCs w:val="17"/>
              </w:rPr>
              <w:t>Short units carry little context; verdict scales are ordinal and unevenly applied; coverage biased towards politically salient claims</w:t>
            </w:r>
          </w:p>
        </w:tc>
        <w:tc>
          <w:tcPr>
            <w:tcW w:w="1745" w:type="dxa"/>
            <w:tcMar>
              <w:top w:w="60" w:type="dxa"/>
              <w:left w:w="90" w:type="dxa"/>
              <w:bottom w:w="60" w:type="dxa"/>
              <w:right w:w="90" w:type="dxa"/>
            </w:tcMar>
          </w:tcPr>
          <w:p w14:paraId="6253DD50" w14:textId="77777777" w:rsidR="00715AFA" w:rsidRDefault="00000000" w:rsidP="00816A47">
            <w:pPr>
              <w:spacing w:before="100" w:beforeAutospacing="1" w:after="100" w:afterAutospacing="1"/>
              <w:jc w:val="both"/>
            </w:pPr>
            <w:r>
              <w:rPr>
                <w:sz w:val="17"/>
                <w:szCs w:val="17"/>
              </w:rPr>
              <w:t xml:space="preserve">W. Y. Wang (2017); </w:t>
            </w:r>
            <w:proofErr w:type="spellStart"/>
            <w:r>
              <w:rPr>
                <w:sz w:val="17"/>
                <w:szCs w:val="17"/>
              </w:rPr>
              <w:t>D’Ulizia</w:t>
            </w:r>
            <w:proofErr w:type="spellEnd"/>
            <w:r>
              <w:rPr>
                <w:sz w:val="17"/>
                <w:szCs w:val="17"/>
              </w:rPr>
              <w:t xml:space="preserve"> et al. (2021)</w:t>
            </w:r>
          </w:p>
        </w:tc>
      </w:tr>
      <w:tr w:rsidR="00715AFA" w14:paraId="62B3AC33" w14:textId="77777777">
        <w:tc>
          <w:tcPr>
            <w:tcW w:w="1658" w:type="dxa"/>
            <w:tcMar>
              <w:top w:w="60" w:type="dxa"/>
              <w:left w:w="90" w:type="dxa"/>
              <w:bottom w:w="60" w:type="dxa"/>
              <w:right w:w="90" w:type="dxa"/>
            </w:tcMar>
          </w:tcPr>
          <w:p w14:paraId="259B7FD7" w14:textId="77777777" w:rsidR="00715AFA" w:rsidRDefault="00000000" w:rsidP="00816A47">
            <w:pPr>
              <w:spacing w:before="100" w:beforeAutospacing="1" w:after="100" w:afterAutospacing="1"/>
              <w:jc w:val="both"/>
            </w:pPr>
            <w:r>
              <w:rPr>
                <w:sz w:val="17"/>
                <w:szCs w:val="17"/>
              </w:rPr>
              <w:t>Source-level propagation</w:t>
            </w:r>
          </w:p>
        </w:tc>
        <w:tc>
          <w:tcPr>
            <w:tcW w:w="2007" w:type="dxa"/>
            <w:tcMar>
              <w:top w:w="60" w:type="dxa"/>
              <w:left w:w="90" w:type="dxa"/>
              <w:bottom w:w="60" w:type="dxa"/>
              <w:right w:w="90" w:type="dxa"/>
            </w:tcMar>
          </w:tcPr>
          <w:p w14:paraId="59841E64" w14:textId="77777777" w:rsidR="00715AFA" w:rsidRDefault="00000000" w:rsidP="00816A47">
            <w:pPr>
              <w:spacing w:before="100" w:beforeAutospacing="1" w:after="100" w:afterAutospacing="1"/>
              <w:jc w:val="both"/>
            </w:pPr>
            <w:r>
              <w:rPr>
                <w:sz w:val="17"/>
                <w:szCs w:val="17"/>
              </w:rPr>
              <w:t>Outlet-level credibility rating applied to every item published by that outlet</w:t>
            </w:r>
          </w:p>
        </w:tc>
        <w:tc>
          <w:tcPr>
            <w:tcW w:w="2095" w:type="dxa"/>
            <w:tcMar>
              <w:top w:w="60" w:type="dxa"/>
              <w:left w:w="90" w:type="dxa"/>
              <w:bottom w:w="60" w:type="dxa"/>
              <w:right w:w="90" w:type="dxa"/>
            </w:tcMar>
          </w:tcPr>
          <w:p w14:paraId="3C8EC083" w14:textId="77777777" w:rsidR="00715AFA" w:rsidRDefault="00000000" w:rsidP="00816A47">
            <w:pPr>
              <w:spacing w:before="100" w:beforeAutospacing="1" w:after="100" w:afterAutospacing="1"/>
              <w:jc w:val="both"/>
            </w:pPr>
            <w:r>
              <w:rPr>
                <w:sz w:val="17"/>
                <w:szCs w:val="17"/>
              </w:rPr>
              <w:t>Publisher recognition through style, register, topic and layout regularities, not necessarily claim assessment</w:t>
            </w:r>
          </w:p>
        </w:tc>
        <w:tc>
          <w:tcPr>
            <w:tcW w:w="2095" w:type="dxa"/>
            <w:tcMar>
              <w:top w:w="60" w:type="dxa"/>
              <w:left w:w="90" w:type="dxa"/>
              <w:bottom w:w="60" w:type="dxa"/>
              <w:right w:w="90" w:type="dxa"/>
            </w:tcMar>
          </w:tcPr>
          <w:p w14:paraId="4B7C47CB" w14:textId="77777777" w:rsidR="00715AFA" w:rsidRDefault="00000000" w:rsidP="00816A47">
            <w:pPr>
              <w:spacing w:before="100" w:beforeAutospacing="1" w:after="100" w:afterAutospacing="1"/>
              <w:jc w:val="both"/>
            </w:pPr>
            <w:r>
              <w:rPr>
                <w:sz w:val="17"/>
                <w:szCs w:val="17"/>
              </w:rPr>
              <w:t>Systematic confounding of veracity with source identity; inflated accuracy under random partitioning</w:t>
            </w:r>
          </w:p>
        </w:tc>
        <w:tc>
          <w:tcPr>
            <w:tcW w:w="1745" w:type="dxa"/>
            <w:tcMar>
              <w:top w:w="60" w:type="dxa"/>
              <w:left w:w="90" w:type="dxa"/>
              <w:bottom w:w="60" w:type="dxa"/>
              <w:right w:w="90" w:type="dxa"/>
            </w:tcMar>
          </w:tcPr>
          <w:p w14:paraId="79DB074A" w14:textId="77777777" w:rsidR="00715AFA" w:rsidRDefault="00000000" w:rsidP="00816A47">
            <w:pPr>
              <w:spacing w:before="100" w:beforeAutospacing="1" w:after="100" w:afterAutospacing="1"/>
              <w:jc w:val="both"/>
            </w:pPr>
            <w:r>
              <w:rPr>
                <w:sz w:val="17"/>
                <w:szCs w:val="17"/>
              </w:rPr>
              <w:t>Bozarth and Budak (2020); Torabi Asr and Taboada (2019)</w:t>
            </w:r>
          </w:p>
        </w:tc>
      </w:tr>
      <w:tr w:rsidR="00715AFA" w14:paraId="678200F2" w14:textId="77777777">
        <w:tc>
          <w:tcPr>
            <w:tcW w:w="1658" w:type="dxa"/>
            <w:tcMar>
              <w:top w:w="60" w:type="dxa"/>
              <w:left w:w="90" w:type="dxa"/>
              <w:bottom w:w="60" w:type="dxa"/>
              <w:right w:w="90" w:type="dxa"/>
            </w:tcMar>
          </w:tcPr>
          <w:p w14:paraId="21E2065B" w14:textId="77777777" w:rsidR="00715AFA" w:rsidRDefault="00000000" w:rsidP="00816A47">
            <w:pPr>
              <w:spacing w:before="100" w:beforeAutospacing="1" w:after="100" w:afterAutospacing="1"/>
              <w:jc w:val="both"/>
            </w:pPr>
            <w:r>
              <w:rPr>
                <w:sz w:val="17"/>
                <w:szCs w:val="17"/>
              </w:rPr>
              <w:t>Fact-check-anchored with social context</w:t>
            </w:r>
          </w:p>
        </w:tc>
        <w:tc>
          <w:tcPr>
            <w:tcW w:w="2007" w:type="dxa"/>
            <w:tcMar>
              <w:top w:w="60" w:type="dxa"/>
              <w:left w:w="90" w:type="dxa"/>
              <w:bottom w:w="60" w:type="dxa"/>
              <w:right w:w="90" w:type="dxa"/>
            </w:tcMar>
          </w:tcPr>
          <w:p w14:paraId="771AA520" w14:textId="77777777" w:rsidR="00715AFA" w:rsidRDefault="00000000" w:rsidP="00816A47">
            <w:pPr>
              <w:spacing w:before="100" w:beforeAutospacing="1" w:after="100" w:afterAutospacing="1"/>
              <w:jc w:val="both"/>
            </w:pPr>
            <w:r>
              <w:rPr>
                <w:sz w:val="17"/>
                <w:szCs w:val="17"/>
              </w:rPr>
              <w:t>Item veracity derived from fact-checking verdicts; engagement, user and temporal signals attached</w:t>
            </w:r>
          </w:p>
        </w:tc>
        <w:tc>
          <w:tcPr>
            <w:tcW w:w="2095" w:type="dxa"/>
            <w:tcMar>
              <w:top w:w="60" w:type="dxa"/>
              <w:left w:w="90" w:type="dxa"/>
              <w:bottom w:w="60" w:type="dxa"/>
              <w:right w:w="90" w:type="dxa"/>
            </w:tcMar>
          </w:tcPr>
          <w:p w14:paraId="543DB52F" w14:textId="77777777" w:rsidR="00715AFA" w:rsidRDefault="00000000" w:rsidP="00816A47">
            <w:pPr>
              <w:spacing w:before="100" w:beforeAutospacing="1" w:after="100" w:afterAutospacing="1"/>
              <w:jc w:val="both"/>
            </w:pPr>
            <w:r>
              <w:rPr>
                <w:sz w:val="17"/>
                <w:szCs w:val="17"/>
              </w:rPr>
              <w:t>Use of diffusion and engagement structure in addition to content</w:t>
            </w:r>
          </w:p>
        </w:tc>
        <w:tc>
          <w:tcPr>
            <w:tcW w:w="2095" w:type="dxa"/>
            <w:tcMar>
              <w:top w:w="60" w:type="dxa"/>
              <w:left w:w="90" w:type="dxa"/>
              <w:bottom w:w="60" w:type="dxa"/>
              <w:right w:w="90" w:type="dxa"/>
            </w:tcMar>
          </w:tcPr>
          <w:p w14:paraId="5E5CAFF4" w14:textId="77777777" w:rsidR="00715AFA" w:rsidRDefault="00000000" w:rsidP="00816A47">
            <w:pPr>
              <w:spacing w:before="100" w:beforeAutospacing="1" w:after="100" w:afterAutospacing="1"/>
              <w:jc w:val="both"/>
            </w:pPr>
            <w:r>
              <w:rPr>
                <w:sz w:val="17"/>
                <w:szCs w:val="17"/>
              </w:rPr>
              <w:t>Inherits the coverage bias of the fact-checking source; pronounced class imbalance in some subsets; social signals decay as platform access narrows</w:t>
            </w:r>
          </w:p>
        </w:tc>
        <w:tc>
          <w:tcPr>
            <w:tcW w:w="1745" w:type="dxa"/>
            <w:tcMar>
              <w:top w:w="60" w:type="dxa"/>
              <w:left w:w="90" w:type="dxa"/>
              <w:bottom w:w="60" w:type="dxa"/>
              <w:right w:w="90" w:type="dxa"/>
            </w:tcMar>
          </w:tcPr>
          <w:p w14:paraId="24D7025A" w14:textId="77777777" w:rsidR="00715AFA" w:rsidRDefault="00000000" w:rsidP="00816A47">
            <w:pPr>
              <w:spacing w:before="100" w:beforeAutospacing="1" w:after="100" w:afterAutospacing="1"/>
              <w:jc w:val="both"/>
            </w:pPr>
            <w:r>
              <w:rPr>
                <w:sz w:val="17"/>
                <w:szCs w:val="17"/>
              </w:rPr>
              <w:t xml:space="preserve">Shu et al. (2020); </w:t>
            </w:r>
            <w:proofErr w:type="spellStart"/>
            <w:r>
              <w:rPr>
                <w:sz w:val="17"/>
                <w:szCs w:val="17"/>
              </w:rPr>
              <w:t>D’Ulizia</w:t>
            </w:r>
            <w:proofErr w:type="spellEnd"/>
            <w:r>
              <w:rPr>
                <w:sz w:val="17"/>
                <w:szCs w:val="17"/>
              </w:rPr>
              <w:t xml:space="preserve"> et al. (2021)</w:t>
            </w:r>
          </w:p>
        </w:tc>
      </w:tr>
      <w:tr w:rsidR="00715AFA" w14:paraId="5680C3A6" w14:textId="77777777">
        <w:tc>
          <w:tcPr>
            <w:tcW w:w="1658" w:type="dxa"/>
            <w:tcMar>
              <w:top w:w="60" w:type="dxa"/>
              <w:left w:w="90" w:type="dxa"/>
              <w:bottom w:w="60" w:type="dxa"/>
              <w:right w:w="90" w:type="dxa"/>
            </w:tcMar>
          </w:tcPr>
          <w:p w14:paraId="016B4458" w14:textId="77777777" w:rsidR="00715AFA" w:rsidRDefault="00000000" w:rsidP="00816A47">
            <w:pPr>
              <w:spacing w:before="100" w:beforeAutospacing="1" w:after="100" w:afterAutospacing="1"/>
              <w:jc w:val="both"/>
            </w:pPr>
            <w:r>
              <w:rPr>
                <w:sz w:val="17"/>
                <w:szCs w:val="17"/>
              </w:rPr>
              <w:t>Multi-source and multilingual aggregation</w:t>
            </w:r>
          </w:p>
        </w:tc>
        <w:tc>
          <w:tcPr>
            <w:tcW w:w="2007" w:type="dxa"/>
            <w:tcMar>
              <w:top w:w="60" w:type="dxa"/>
              <w:left w:w="90" w:type="dxa"/>
              <w:bottom w:w="60" w:type="dxa"/>
              <w:right w:w="90" w:type="dxa"/>
            </w:tcMar>
          </w:tcPr>
          <w:p w14:paraId="0B29A430" w14:textId="77777777" w:rsidR="00715AFA" w:rsidRDefault="00000000" w:rsidP="00816A47">
            <w:pPr>
              <w:spacing w:before="100" w:beforeAutospacing="1" w:after="100" w:afterAutospacing="1"/>
              <w:jc w:val="both"/>
            </w:pPr>
            <w:r>
              <w:rPr>
                <w:sz w:val="17"/>
                <w:szCs w:val="17"/>
              </w:rPr>
              <w:t>Items pooled from several fact-checking or verification authorities, sometimes across languages</w:t>
            </w:r>
          </w:p>
        </w:tc>
        <w:tc>
          <w:tcPr>
            <w:tcW w:w="2095" w:type="dxa"/>
            <w:tcMar>
              <w:top w:w="60" w:type="dxa"/>
              <w:left w:w="90" w:type="dxa"/>
              <w:bottom w:w="60" w:type="dxa"/>
              <w:right w:w="90" w:type="dxa"/>
            </w:tcMar>
          </w:tcPr>
          <w:p w14:paraId="578C6C1A" w14:textId="77777777" w:rsidR="00715AFA" w:rsidRDefault="00000000" w:rsidP="00816A47">
            <w:pPr>
              <w:spacing w:before="100" w:beforeAutospacing="1" w:after="100" w:afterAutospacing="1"/>
              <w:jc w:val="both"/>
            </w:pPr>
            <w:r>
              <w:rPr>
                <w:sz w:val="17"/>
                <w:szCs w:val="17"/>
              </w:rPr>
              <w:t>Robustness across sources and linguistic settings</w:t>
            </w:r>
          </w:p>
        </w:tc>
        <w:tc>
          <w:tcPr>
            <w:tcW w:w="2095" w:type="dxa"/>
            <w:tcMar>
              <w:top w:w="60" w:type="dxa"/>
              <w:left w:w="90" w:type="dxa"/>
              <w:bottom w:w="60" w:type="dxa"/>
              <w:right w:w="90" w:type="dxa"/>
            </w:tcMar>
          </w:tcPr>
          <w:p w14:paraId="411BFC4C" w14:textId="77777777" w:rsidR="00715AFA" w:rsidRDefault="00000000" w:rsidP="00816A47">
            <w:pPr>
              <w:spacing w:before="100" w:beforeAutospacing="1" w:after="100" w:afterAutospacing="1"/>
              <w:jc w:val="both"/>
            </w:pPr>
            <w:r>
              <w:rPr>
                <w:sz w:val="17"/>
                <w:szCs w:val="17"/>
              </w:rPr>
              <w:t>Label definitions differ between contributing authorities; alignment of verdict scales is imperfect</w:t>
            </w:r>
          </w:p>
        </w:tc>
        <w:tc>
          <w:tcPr>
            <w:tcW w:w="1745" w:type="dxa"/>
            <w:tcMar>
              <w:top w:w="60" w:type="dxa"/>
              <w:left w:w="90" w:type="dxa"/>
              <w:bottom w:w="60" w:type="dxa"/>
              <w:right w:w="90" w:type="dxa"/>
            </w:tcMar>
          </w:tcPr>
          <w:p w14:paraId="69AABF7B" w14:textId="77777777" w:rsidR="00715AFA" w:rsidRDefault="00000000" w:rsidP="00816A47">
            <w:pPr>
              <w:spacing w:before="100" w:beforeAutospacing="1" w:after="100" w:afterAutospacing="1"/>
              <w:jc w:val="both"/>
            </w:pPr>
            <w:r>
              <w:rPr>
                <w:sz w:val="17"/>
                <w:szCs w:val="17"/>
              </w:rPr>
              <w:t>Li et al. (2024); Nielsen and McConville (2022)</w:t>
            </w:r>
          </w:p>
        </w:tc>
      </w:tr>
      <w:tr w:rsidR="00715AFA" w14:paraId="5E785A11" w14:textId="77777777">
        <w:tc>
          <w:tcPr>
            <w:tcW w:w="1658" w:type="dxa"/>
            <w:tcMar>
              <w:top w:w="60" w:type="dxa"/>
              <w:left w:w="90" w:type="dxa"/>
              <w:bottom w:w="60" w:type="dxa"/>
              <w:right w:w="90" w:type="dxa"/>
            </w:tcMar>
          </w:tcPr>
          <w:p w14:paraId="24DE9BB6" w14:textId="77777777" w:rsidR="00715AFA" w:rsidRDefault="00000000" w:rsidP="00816A47">
            <w:pPr>
              <w:spacing w:before="100" w:beforeAutospacing="1" w:after="100" w:afterAutospacing="1"/>
              <w:jc w:val="both"/>
            </w:pPr>
            <w:r>
              <w:rPr>
                <w:sz w:val="17"/>
                <w:szCs w:val="17"/>
              </w:rPr>
              <w:t>Data-centric controlled comparison</w:t>
            </w:r>
          </w:p>
        </w:tc>
        <w:tc>
          <w:tcPr>
            <w:tcW w:w="2007" w:type="dxa"/>
            <w:tcMar>
              <w:top w:w="60" w:type="dxa"/>
              <w:left w:w="90" w:type="dxa"/>
              <w:bottom w:w="60" w:type="dxa"/>
              <w:right w:w="90" w:type="dxa"/>
            </w:tcMar>
          </w:tcPr>
          <w:p w14:paraId="0B0857E2" w14:textId="77777777" w:rsidR="00715AFA" w:rsidRDefault="00000000" w:rsidP="00816A47">
            <w:pPr>
              <w:spacing w:before="100" w:beforeAutospacing="1" w:after="100" w:afterAutospacing="1"/>
              <w:jc w:val="both"/>
            </w:pPr>
            <w:r>
              <w:rPr>
                <w:sz w:val="17"/>
                <w:szCs w:val="17"/>
              </w:rPr>
              <w:t>Corpus varied while model held constant to isolate dataset effects</w:t>
            </w:r>
          </w:p>
        </w:tc>
        <w:tc>
          <w:tcPr>
            <w:tcW w:w="2095" w:type="dxa"/>
            <w:tcMar>
              <w:top w:w="60" w:type="dxa"/>
              <w:left w:w="90" w:type="dxa"/>
              <w:bottom w:w="60" w:type="dxa"/>
              <w:right w:w="90" w:type="dxa"/>
            </w:tcMar>
          </w:tcPr>
          <w:p w14:paraId="5A202682" w14:textId="77777777" w:rsidR="00715AFA" w:rsidRDefault="00000000" w:rsidP="00816A47">
            <w:pPr>
              <w:spacing w:before="100" w:beforeAutospacing="1" w:after="100" w:afterAutospacing="1"/>
              <w:jc w:val="both"/>
            </w:pPr>
            <w:r>
              <w:rPr>
                <w:sz w:val="17"/>
                <w:szCs w:val="17"/>
              </w:rPr>
              <w:t>Attribution of outcome variance to data rather than architecture</w:t>
            </w:r>
          </w:p>
        </w:tc>
        <w:tc>
          <w:tcPr>
            <w:tcW w:w="2095" w:type="dxa"/>
            <w:tcMar>
              <w:top w:w="60" w:type="dxa"/>
              <w:left w:w="90" w:type="dxa"/>
              <w:bottom w:w="60" w:type="dxa"/>
              <w:right w:w="90" w:type="dxa"/>
            </w:tcMar>
          </w:tcPr>
          <w:p w14:paraId="1E7225EA" w14:textId="77777777" w:rsidR="00715AFA" w:rsidRDefault="00000000" w:rsidP="00816A47">
            <w:pPr>
              <w:spacing w:before="100" w:beforeAutospacing="1" w:after="100" w:afterAutospacing="1"/>
              <w:jc w:val="both"/>
            </w:pPr>
            <w:r>
              <w:rPr>
                <w:sz w:val="17"/>
                <w:szCs w:val="17"/>
              </w:rPr>
              <w:t>Available for a limited set of corpora; does not itself yield a deployable detector</w:t>
            </w:r>
          </w:p>
        </w:tc>
        <w:tc>
          <w:tcPr>
            <w:tcW w:w="1745" w:type="dxa"/>
            <w:tcMar>
              <w:top w:w="60" w:type="dxa"/>
              <w:left w:w="90" w:type="dxa"/>
              <w:bottom w:w="60" w:type="dxa"/>
              <w:right w:w="90" w:type="dxa"/>
            </w:tcMar>
          </w:tcPr>
          <w:p w14:paraId="1C254FF0" w14:textId="77777777" w:rsidR="00715AFA" w:rsidRDefault="00000000" w:rsidP="00816A47">
            <w:pPr>
              <w:spacing w:before="100" w:beforeAutospacing="1" w:after="100" w:afterAutospacing="1"/>
              <w:jc w:val="both"/>
            </w:pPr>
            <w:proofErr w:type="spellStart"/>
            <w:r>
              <w:rPr>
                <w:sz w:val="17"/>
                <w:szCs w:val="17"/>
              </w:rPr>
              <w:t>Kuntur</w:t>
            </w:r>
            <w:proofErr w:type="spellEnd"/>
            <w:r>
              <w:rPr>
                <w:sz w:val="17"/>
                <w:szCs w:val="17"/>
              </w:rPr>
              <w:t xml:space="preserve"> et al. (2026)</w:t>
            </w:r>
          </w:p>
        </w:tc>
      </w:tr>
    </w:tbl>
    <w:p w14:paraId="4A241AA3" w14:textId="77777777" w:rsidR="00715AFA" w:rsidRDefault="00000000" w:rsidP="00816A47">
      <w:pPr>
        <w:spacing w:before="100" w:beforeAutospacing="1" w:after="100" w:afterAutospacing="1"/>
        <w:jc w:val="both"/>
      </w:pPr>
      <w:r>
        <w:rPr>
          <w:i/>
          <w:iCs/>
          <w:sz w:val="18"/>
          <w:szCs w:val="18"/>
        </w:rPr>
        <w:t>Note. The regimes are not mutually exclusive, and several widely used corpora combine claim-level adjudication with source-level metadata. No abbreviations are used in this table.</w:t>
      </w:r>
    </w:p>
    <w:p w14:paraId="661EBE99" w14:textId="77777777" w:rsidR="00715AFA" w:rsidRDefault="00000000" w:rsidP="00816A47">
      <w:pPr>
        <w:pStyle w:val="Heading1"/>
        <w:spacing w:before="100" w:beforeAutospacing="1" w:after="100" w:afterAutospacing="1"/>
        <w:jc w:val="both"/>
      </w:pPr>
      <w:r>
        <w:rPr>
          <w:b/>
          <w:bCs/>
          <w:color w:val="000000"/>
          <w:sz w:val="26"/>
          <w:szCs w:val="26"/>
        </w:rPr>
        <w:t>4. Methodological Families and the Evidence Supporting Them</w:t>
      </w:r>
    </w:p>
    <w:p w14:paraId="4482D630" w14:textId="77777777" w:rsidR="00715AFA" w:rsidRDefault="00000000" w:rsidP="00816A47">
      <w:pPr>
        <w:spacing w:before="100" w:beforeAutospacing="1" w:after="100" w:afterAutospacing="1"/>
        <w:jc w:val="both"/>
      </w:pPr>
      <w:r>
        <w:lastRenderedPageBreak/>
        <w:t>The methods proposed for this task fall into four families distinguished by the information they exploit. The families are not mutually exclusive, and the most capable recent systems combine them, but they differ in the assumptions they make, in the data they require and in the operational window in which they can act.</w:t>
      </w:r>
    </w:p>
    <w:p w14:paraId="6A5FCAC6" w14:textId="77777777" w:rsidR="00715AFA" w:rsidRDefault="00000000" w:rsidP="00816A47">
      <w:pPr>
        <w:pStyle w:val="Heading2"/>
        <w:spacing w:before="100" w:beforeAutospacing="1" w:after="100" w:afterAutospacing="1"/>
        <w:jc w:val="both"/>
      </w:pPr>
      <w:r>
        <w:rPr>
          <w:b/>
          <w:bCs/>
          <w:i/>
          <w:iCs/>
          <w:color w:val="000000"/>
          <w:sz w:val="23"/>
          <w:szCs w:val="23"/>
        </w:rPr>
        <w:t>4.1 Content-Based Classification</w:t>
      </w:r>
    </w:p>
    <w:p w14:paraId="77F2F7E0" w14:textId="77777777" w:rsidR="00715AFA" w:rsidRDefault="00000000" w:rsidP="00816A47">
      <w:pPr>
        <w:spacing w:before="100" w:beforeAutospacing="1" w:after="100" w:afterAutospacing="1"/>
        <w:jc w:val="both"/>
      </w:pPr>
      <w:r>
        <w:t>The earliest and still most numerous approaches treat veracity as a text-classification problem. Feature-engineering studies combined lexical, syntactic, sentiment and readability indicators with conventional classifiers and ensembles, reporting strong results on curated article collections (Ahmad et al., 2020). The transition to pretrained transformer encoders produced a substantial and repeatedly replicated improvement over recurrent and convolutional predecessors on the same corpora; a widely cited system combining a pretrained bidirectional encoder with convolutional layers is representative of this generation (</w:t>
      </w:r>
      <w:proofErr w:type="spellStart"/>
      <w:r>
        <w:t>Kaliyar</w:t>
      </w:r>
      <w:proofErr w:type="spellEnd"/>
      <w:r>
        <w:t xml:space="preserve"> et al., 2021), and comparative work on pandemic-related claims confirmed that fine-tuned transformer encoders outperformed earlier neural architectures across several corpora (Alghamdi et al., 2023). A systematic review restricted to content-based methods documents this trajectory in detail and notes the accompanying convergence of reported figures towards the upper end of the scale (Capuano et al., 2023).</w:t>
      </w:r>
    </w:p>
    <w:p w14:paraId="3F1C466F" w14:textId="77777777" w:rsidR="00715AFA" w:rsidRDefault="00000000" w:rsidP="00816A47">
      <w:pPr>
        <w:spacing w:before="100" w:beforeAutospacing="1" w:after="100" w:afterAutospacing="1"/>
        <w:jc w:val="both"/>
      </w:pPr>
      <w:r>
        <w:t>The interpretive difficulty is that the gains are measured almost entirely within corpus. Content-only models have no access to the evidence required to adjudicate a factual claim; what they can learn is the statistical association between surface properties and the label as assigned in the training data. Where that label derives from source identity, the association available to be learned is stylistic. This is not a defect of transformers specifically. It follows from the information content of the input, and it explains why architectural improvements produce diminishing returns while the same models transfer poorly. The evidence is strongest for the claim that pretrained encoders extract stylistic and topical structure more effectively than earlier architectures, and weakest for the claim that they assess veracity.</w:t>
      </w:r>
    </w:p>
    <w:p w14:paraId="3AC6E61E" w14:textId="77777777" w:rsidR="00715AFA" w:rsidRDefault="00000000" w:rsidP="00816A47">
      <w:pPr>
        <w:pStyle w:val="Heading2"/>
        <w:spacing w:before="100" w:beforeAutospacing="1" w:after="100" w:afterAutospacing="1"/>
        <w:jc w:val="both"/>
      </w:pPr>
      <w:r>
        <w:rPr>
          <w:b/>
          <w:bCs/>
          <w:i/>
          <w:iCs/>
          <w:color w:val="000000"/>
          <w:sz w:val="23"/>
          <w:szCs w:val="23"/>
        </w:rPr>
        <w:t>4.2 Social Context and Propagation Structure</w:t>
      </w:r>
    </w:p>
    <w:p w14:paraId="7B76E5E9" w14:textId="77777777" w:rsidR="00715AFA" w:rsidRDefault="00000000" w:rsidP="00816A47">
      <w:pPr>
        <w:spacing w:before="100" w:beforeAutospacing="1" w:after="100" w:afterAutospacing="1"/>
        <w:jc w:val="both"/>
      </w:pPr>
      <w:r>
        <w:t>A second family exploits the pattern of circulation rather than, or in addition to, the item itself. An early hybrid model combined a recurrent representation of the temporal engagement sequence with a representation of user behaviour and of the article, and demonstrated that jointly modelling capture, score and integration improved on content-only baselines (</w:t>
      </w:r>
      <w:proofErr w:type="spellStart"/>
      <w:r>
        <w:t>Ruchansky</w:t>
      </w:r>
      <w:proofErr w:type="spellEnd"/>
      <w:r>
        <w:t xml:space="preserve"> et al., 2017). Graph formulations subsequently became dominant. Modelling a cascade as a directed structure and propagating information both along and against the direction of diffusion improved rumour classification relative to sequence models (Bian et al., 2020). Incorporating the endogenous preferences of the users who engage with an item, encoded from their historical posting behaviour, produced further gains and provided a benchmark constructed explicitly for user-preference modelling (Dou et al., 2021). Higher-order relational formulations that represent groups of interacting entities rather than pairwise edges have been proposed to capture the multi-way relations characteristic of social diffusion (Jeong et al., 2022). The dedicated review of graph-based methods documents the range of these formulations and their reported advantages over content-only baselines (Phan et al., 2023).</w:t>
      </w:r>
    </w:p>
    <w:p w14:paraId="1B5F13C2" w14:textId="77777777" w:rsidR="00715AFA" w:rsidRDefault="00000000" w:rsidP="00816A47">
      <w:pPr>
        <w:spacing w:before="100" w:beforeAutospacing="1" w:after="100" w:afterAutospacing="1"/>
        <w:jc w:val="both"/>
      </w:pPr>
      <w:r>
        <w:t xml:space="preserve">Two limitations qualify these results. The first is temporal. Propagation features are informative in proportion to the amount of diffusion observed, which places the method in tension with the operational objective of intervening before an item spreads widely. Work on early detection has addressed this directly by seeking content and context signals available at or near publication, drawing on theories of deception to specify features observable before engagement accumulates (Zhou et al., 2020), and by using weak supervision to compensate for the absence of labelled examples on newly emerging topics (Akdag &amp; </w:t>
      </w:r>
      <w:proofErr w:type="spellStart"/>
      <w:r>
        <w:t>Cicekli</w:t>
      </w:r>
      <w:proofErr w:type="spellEnd"/>
      <w:r>
        <w:t>, 2024). The trade-off has not been eliminated. The second limitation is infrastructural: the social signals on which these methods depend were collected under data-access regimes that have since narrowed, so the reproducibility and the future extensibility of this line of work are both constrained in ways that are rarely acknowledged in the papers themselves.</w:t>
      </w:r>
    </w:p>
    <w:p w14:paraId="2985B38C" w14:textId="77777777" w:rsidR="00715AFA" w:rsidRDefault="00000000" w:rsidP="00816A47">
      <w:pPr>
        <w:pStyle w:val="Heading2"/>
        <w:spacing w:before="100" w:beforeAutospacing="1" w:after="100" w:afterAutospacing="1"/>
        <w:jc w:val="both"/>
      </w:pPr>
      <w:r>
        <w:rPr>
          <w:b/>
          <w:bCs/>
          <w:i/>
          <w:iCs/>
          <w:color w:val="000000"/>
          <w:sz w:val="23"/>
          <w:szCs w:val="23"/>
        </w:rPr>
        <w:lastRenderedPageBreak/>
        <w:t>4.3 Multimodal Fusion</w:t>
      </w:r>
    </w:p>
    <w:p w14:paraId="0945D2EF" w14:textId="77777777" w:rsidR="00715AFA" w:rsidRDefault="00000000" w:rsidP="00816A47">
      <w:pPr>
        <w:spacing w:before="100" w:beforeAutospacing="1" w:after="100" w:afterAutospacing="1"/>
        <w:jc w:val="both"/>
      </w:pPr>
      <w:r>
        <w:t>Because a large share of misleading social-media content pairs text with imagery, a third family fuses linguistic and visual representations. An adversarial architecture designed to remove event-specific information from the shared representation was introduced to address the observation that multimodal models otherwise overfit to the events present in training, and it reported improved transfer to unseen events (Y. Wang et al., 2018). A variational formulation learned a shared latent representation across modalities with a reconstruction objective, on the argument that a jointly generative model captures cross-modal correspondence more effectively than concatenation (Khattar et al., 2019). A dedicated review documents the subsequent proliferation of fusion strategies and the accompanying fragmentation of benchmarks (</w:t>
      </w:r>
      <w:proofErr w:type="spellStart"/>
      <w:r>
        <w:t>Hangloo</w:t>
      </w:r>
      <w:proofErr w:type="spellEnd"/>
      <w:r>
        <w:t xml:space="preserve"> &amp; Arora, 2022). More recent work has integrated large vision-language models to produce explicit assessments of whether an image supports the accompanying caption, targeting the out-of-context reuse of authentic imagery that constitutes a substantial share of visual misinformation (Qi et al., 2024), and comprehensive pipelines have been proposed that combine textual, visual and metadata signals within a single evaluation framework (Mura et al., 2025). In the health domain, deep active learning has been applied to reduce the annotation burden associated with multimodal corpora (Zhao &amp; Zeng, 2026).</w:t>
      </w:r>
    </w:p>
    <w:p w14:paraId="56B9E2D4" w14:textId="77777777" w:rsidR="00715AFA" w:rsidRDefault="00000000" w:rsidP="00816A47">
      <w:pPr>
        <w:spacing w:before="100" w:beforeAutospacing="1" w:after="100" w:afterAutospacing="1"/>
        <w:jc w:val="both"/>
      </w:pPr>
      <w:r>
        <w:t>The evidence supports the proposition that visual information carries signal not present in text, and that out-of-context reuse is a failure mode invisible to text-only systems. It does not yet support ranking fusion strategies against one another, because the reported comparisons are conducted on corpora that differ in language, platform, modality balance and labelling authority. The absence of a shared multimodal evaluation protocol is a structural obstacle rather than an incidental one.</w:t>
      </w:r>
    </w:p>
    <w:p w14:paraId="343FCE36" w14:textId="77777777" w:rsidR="00715AFA" w:rsidRDefault="00000000" w:rsidP="00816A47">
      <w:pPr>
        <w:pStyle w:val="Heading2"/>
        <w:spacing w:before="100" w:beforeAutospacing="1" w:after="100" w:afterAutospacing="1"/>
        <w:jc w:val="both"/>
      </w:pPr>
      <w:r>
        <w:rPr>
          <w:b/>
          <w:bCs/>
          <w:i/>
          <w:iCs/>
          <w:color w:val="000000"/>
          <w:sz w:val="23"/>
          <w:szCs w:val="23"/>
        </w:rPr>
        <w:t>4.4 Evidence Retrieval and Automated Verification</w:t>
      </w:r>
    </w:p>
    <w:p w14:paraId="0ED6B660" w14:textId="77777777" w:rsidR="00715AFA" w:rsidRDefault="00000000" w:rsidP="00816A47">
      <w:pPr>
        <w:spacing w:before="100" w:beforeAutospacing="1" w:after="100" w:afterAutospacing="1"/>
        <w:jc w:val="both"/>
      </w:pPr>
      <w:r>
        <w:t>A fourth family reframes the problem as verification against external evidence rather than classification of the item in isolation. A survey of automated fact-checking organises the task into claim detection, evidence retrieval and verdict prediction with justification, and observes that the great majority of published systems address the components separately under favourable assumptions about evidence availability (Guo et al., 2022). Analysis conducted with professional fact-checkers identified the stages of their workflow at which automation would be most valuable, notably the prioritisation of check-worthy claims and the retrieval of previously verified claims, and argued that full end-to-end verdict automation was neither the most useful nor the most tractable objective (</w:t>
      </w:r>
      <w:proofErr w:type="spellStart"/>
      <w:r>
        <w:t>Nakov</w:t>
      </w:r>
      <w:proofErr w:type="spellEnd"/>
      <w:r>
        <w:t xml:space="preserve"> et al., 2021). Work on justification production surveys the mechanisms by which systems can supply reasons alongside verdicts and notes that explanation quality is evaluated far less rigorously than verdict accuracy (</w:t>
      </w:r>
      <w:proofErr w:type="spellStart"/>
      <w:r>
        <w:t>Kotonya</w:t>
      </w:r>
      <w:proofErr w:type="spellEnd"/>
      <w:r>
        <w:t xml:space="preserve"> &amp; Toni, 2020). A distinct contribution demonstrated that the surrounding news environment at the time of publication provides a useful external signal, since an item that diverges sharply from concurrent mainstream coverage is more likely to require scrutiny (Sheng et al., 2022).</w:t>
      </w:r>
    </w:p>
    <w:p w14:paraId="5E1F42A9" w14:textId="77777777" w:rsidR="00715AFA" w:rsidRDefault="00000000" w:rsidP="00816A47">
      <w:pPr>
        <w:spacing w:before="100" w:beforeAutospacing="1" w:after="100" w:afterAutospacing="1"/>
        <w:jc w:val="both"/>
      </w:pPr>
      <w:r>
        <w:t>This family is the only one whose logic corresponds to what verification actually requires, and it is the least mature in reported performance. Retrieval quality bounds the achievable verdict accuracy; the evidence available at the moment a claim first circulates is systematically sparser than the evidence available when a benchmark is assembled; and evaluation on retrospectively constructed evidence sets does not measure the operational case. The evidence is strongest for the claim that retrieval-based assistance improves specific stages of professional workflow, and weakest for the claim that end-to-end automated verification is currently reliable.</w:t>
      </w:r>
    </w:p>
    <w:p w14:paraId="704D39AA" w14:textId="77777777" w:rsidR="00715AFA" w:rsidRDefault="00000000" w:rsidP="00816A47">
      <w:pPr>
        <w:spacing w:before="100" w:beforeAutospacing="1" w:after="100" w:afterAutospacing="1"/>
        <w:jc w:val="both"/>
      </w:pPr>
      <w:r>
        <w:t>Table 2 compares the four families on the information they require, the operational window in which they can act, the strength of the supporting evidence and the principal unresolved problem in each. The comparison makes clear that the families are complementary rather than competing: content-based methods act earliest and generalise worst; propagation methods discriminate best but act latest and depend on data that is becoming harder to obtain; multimodal methods address a distinct failure mode without resolving the generalisation problem; and evidence-based methods are aligned with the actual epistemic task but are bounded by retrieval.</w:t>
      </w:r>
    </w:p>
    <w:p w14:paraId="5DAA1AA7" w14:textId="77777777" w:rsidR="00715AFA" w:rsidRDefault="00000000" w:rsidP="00816A47">
      <w:pPr>
        <w:spacing w:before="100" w:beforeAutospacing="1" w:after="100" w:afterAutospacing="1"/>
        <w:jc w:val="both"/>
      </w:pPr>
      <w:r>
        <w:rPr>
          <w:b/>
          <w:bCs/>
          <w:sz w:val="20"/>
          <w:szCs w:val="20"/>
        </w:rPr>
        <w:lastRenderedPageBreak/>
        <w:t>Table 2. Comparison of the principal methodological families, their evidential basis and their unresolved limitations.</w:t>
      </w:r>
    </w:p>
    <w:tbl>
      <w:tblPr>
        <w:tblW w:w="9600" w:type="dxa"/>
        <w:tblBorders>
          <w:top w:val="single" w:sz="4" w:space="0" w:color="666666"/>
          <w:left w:val="single" w:sz="2" w:space="0" w:color="999999"/>
          <w:bottom w:val="single" w:sz="4" w:space="0" w:color="666666"/>
          <w:right w:val="single" w:sz="2" w:space="0" w:color="999999"/>
          <w:insideH w:val="single" w:sz="2" w:space="0" w:color="999999"/>
          <w:insideV w:val="single" w:sz="2" w:space="0" w:color="999999"/>
        </w:tblBorders>
        <w:tblCellMar>
          <w:left w:w="10" w:type="dxa"/>
          <w:right w:w="10" w:type="dxa"/>
        </w:tblCellMar>
        <w:tblLook w:val="0000" w:firstRow="0" w:lastRow="0" w:firstColumn="0" w:lastColumn="0" w:noHBand="0" w:noVBand="0"/>
      </w:tblPr>
      <w:tblGrid>
        <w:gridCol w:w="1310"/>
        <w:gridCol w:w="1658"/>
        <w:gridCol w:w="1309"/>
        <w:gridCol w:w="1920"/>
        <w:gridCol w:w="2007"/>
        <w:gridCol w:w="1396"/>
      </w:tblGrid>
      <w:tr w:rsidR="00715AFA" w14:paraId="78CEC34B" w14:textId="77777777">
        <w:trPr>
          <w:tblHeader/>
        </w:trPr>
        <w:tc>
          <w:tcPr>
            <w:tcW w:w="1310" w:type="dxa"/>
            <w:shd w:val="clear" w:color="auto" w:fill="E8E8E8"/>
            <w:tcMar>
              <w:top w:w="60" w:type="dxa"/>
              <w:left w:w="90" w:type="dxa"/>
              <w:bottom w:w="60" w:type="dxa"/>
              <w:right w:w="90" w:type="dxa"/>
            </w:tcMar>
          </w:tcPr>
          <w:p w14:paraId="61CD6816" w14:textId="77777777" w:rsidR="00715AFA" w:rsidRDefault="00000000" w:rsidP="00816A47">
            <w:pPr>
              <w:spacing w:before="100" w:beforeAutospacing="1" w:after="100" w:afterAutospacing="1"/>
              <w:jc w:val="both"/>
            </w:pPr>
            <w:r>
              <w:rPr>
                <w:b/>
                <w:bCs/>
                <w:sz w:val="17"/>
                <w:szCs w:val="17"/>
              </w:rPr>
              <w:t>Family</w:t>
            </w:r>
          </w:p>
        </w:tc>
        <w:tc>
          <w:tcPr>
            <w:tcW w:w="1658" w:type="dxa"/>
            <w:shd w:val="clear" w:color="auto" w:fill="E8E8E8"/>
            <w:tcMar>
              <w:top w:w="60" w:type="dxa"/>
              <w:left w:w="90" w:type="dxa"/>
              <w:bottom w:w="60" w:type="dxa"/>
              <w:right w:w="90" w:type="dxa"/>
            </w:tcMar>
          </w:tcPr>
          <w:p w14:paraId="201EF1A8" w14:textId="77777777" w:rsidR="00715AFA" w:rsidRDefault="00000000" w:rsidP="00816A47">
            <w:pPr>
              <w:spacing w:before="100" w:beforeAutospacing="1" w:after="100" w:afterAutospacing="1"/>
              <w:jc w:val="both"/>
            </w:pPr>
            <w:r>
              <w:rPr>
                <w:b/>
                <w:bCs/>
                <w:sz w:val="17"/>
                <w:szCs w:val="17"/>
              </w:rPr>
              <w:t>Information exploited</w:t>
            </w:r>
          </w:p>
        </w:tc>
        <w:tc>
          <w:tcPr>
            <w:tcW w:w="1309" w:type="dxa"/>
            <w:shd w:val="clear" w:color="auto" w:fill="E8E8E8"/>
            <w:tcMar>
              <w:top w:w="60" w:type="dxa"/>
              <w:left w:w="90" w:type="dxa"/>
              <w:bottom w:w="60" w:type="dxa"/>
              <w:right w:w="90" w:type="dxa"/>
            </w:tcMar>
          </w:tcPr>
          <w:p w14:paraId="5E296F74" w14:textId="77777777" w:rsidR="00715AFA" w:rsidRDefault="00000000" w:rsidP="00816A47">
            <w:pPr>
              <w:spacing w:before="100" w:beforeAutospacing="1" w:after="100" w:afterAutospacing="1"/>
              <w:jc w:val="both"/>
            </w:pPr>
            <w:r>
              <w:rPr>
                <w:b/>
                <w:bCs/>
                <w:sz w:val="17"/>
                <w:szCs w:val="17"/>
              </w:rPr>
              <w:t>Operational window</w:t>
            </w:r>
          </w:p>
        </w:tc>
        <w:tc>
          <w:tcPr>
            <w:tcW w:w="1920" w:type="dxa"/>
            <w:shd w:val="clear" w:color="auto" w:fill="E8E8E8"/>
            <w:tcMar>
              <w:top w:w="60" w:type="dxa"/>
              <w:left w:w="90" w:type="dxa"/>
              <w:bottom w:w="60" w:type="dxa"/>
              <w:right w:w="90" w:type="dxa"/>
            </w:tcMar>
          </w:tcPr>
          <w:p w14:paraId="76A5A288" w14:textId="77777777" w:rsidR="00715AFA" w:rsidRDefault="00000000" w:rsidP="00816A47">
            <w:pPr>
              <w:spacing w:before="100" w:beforeAutospacing="1" w:after="100" w:afterAutospacing="1"/>
              <w:jc w:val="both"/>
            </w:pPr>
            <w:r>
              <w:rPr>
                <w:b/>
                <w:bCs/>
                <w:sz w:val="17"/>
                <w:szCs w:val="17"/>
              </w:rPr>
              <w:t>Strength of supporting evidence</w:t>
            </w:r>
          </w:p>
        </w:tc>
        <w:tc>
          <w:tcPr>
            <w:tcW w:w="2007" w:type="dxa"/>
            <w:shd w:val="clear" w:color="auto" w:fill="E8E8E8"/>
            <w:tcMar>
              <w:top w:w="60" w:type="dxa"/>
              <w:left w:w="90" w:type="dxa"/>
              <w:bottom w:w="60" w:type="dxa"/>
              <w:right w:w="90" w:type="dxa"/>
            </w:tcMar>
          </w:tcPr>
          <w:p w14:paraId="4B59431A" w14:textId="77777777" w:rsidR="00715AFA" w:rsidRDefault="00000000" w:rsidP="00816A47">
            <w:pPr>
              <w:spacing w:before="100" w:beforeAutospacing="1" w:after="100" w:afterAutospacing="1"/>
              <w:jc w:val="both"/>
            </w:pPr>
            <w:r>
              <w:rPr>
                <w:b/>
                <w:bCs/>
                <w:sz w:val="17"/>
                <w:szCs w:val="17"/>
              </w:rPr>
              <w:t>Principal unresolved problem</w:t>
            </w:r>
          </w:p>
        </w:tc>
        <w:tc>
          <w:tcPr>
            <w:tcW w:w="1396" w:type="dxa"/>
            <w:shd w:val="clear" w:color="auto" w:fill="E8E8E8"/>
            <w:tcMar>
              <w:top w:w="60" w:type="dxa"/>
              <w:left w:w="90" w:type="dxa"/>
              <w:bottom w:w="60" w:type="dxa"/>
              <w:right w:w="90" w:type="dxa"/>
            </w:tcMar>
          </w:tcPr>
          <w:p w14:paraId="3A70147D" w14:textId="77777777" w:rsidR="00715AFA" w:rsidRDefault="00000000" w:rsidP="00816A47">
            <w:pPr>
              <w:spacing w:before="100" w:beforeAutospacing="1" w:after="100" w:afterAutospacing="1"/>
              <w:jc w:val="both"/>
            </w:pPr>
            <w:r>
              <w:rPr>
                <w:b/>
                <w:bCs/>
                <w:sz w:val="17"/>
                <w:szCs w:val="17"/>
              </w:rPr>
              <w:t>Supporting references</w:t>
            </w:r>
          </w:p>
        </w:tc>
      </w:tr>
      <w:tr w:rsidR="00715AFA" w14:paraId="57681818" w14:textId="77777777">
        <w:tc>
          <w:tcPr>
            <w:tcW w:w="1310" w:type="dxa"/>
            <w:tcMar>
              <w:top w:w="60" w:type="dxa"/>
              <w:left w:w="90" w:type="dxa"/>
              <w:bottom w:w="60" w:type="dxa"/>
              <w:right w:w="90" w:type="dxa"/>
            </w:tcMar>
          </w:tcPr>
          <w:p w14:paraId="2F2703D1" w14:textId="77777777" w:rsidR="00715AFA" w:rsidRDefault="00000000" w:rsidP="00816A47">
            <w:pPr>
              <w:spacing w:before="100" w:beforeAutospacing="1" w:after="100" w:afterAutospacing="1"/>
              <w:jc w:val="both"/>
            </w:pPr>
            <w:r>
              <w:rPr>
                <w:sz w:val="17"/>
                <w:szCs w:val="17"/>
              </w:rPr>
              <w:t>Content-based classification</w:t>
            </w:r>
          </w:p>
        </w:tc>
        <w:tc>
          <w:tcPr>
            <w:tcW w:w="1658" w:type="dxa"/>
            <w:tcMar>
              <w:top w:w="60" w:type="dxa"/>
              <w:left w:w="90" w:type="dxa"/>
              <w:bottom w:w="60" w:type="dxa"/>
              <w:right w:w="90" w:type="dxa"/>
            </w:tcMar>
          </w:tcPr>
          <w:p w14:paraId="06CA2E3D" w14:textId="77777777" w:rsidR="00715AFA" w:rsidRDefault="00000000" w:rsidP="00816A47">
            <w:pPr>
              <w:spacing w:before="100" w:beforeAutospacing="1" w:after="100" w:afterAutospacing="1"/>
              <w:jc w:val="both"/>
            </w:pPr>
            <w:r>
              <w:rPr>
                <w:sz w:val="17"/>
                <w:szCs w:val="17"/>
              </w:rPr>
              <w:t>Lexical, stylistic, semantic and topical properties of the item</w:t>
            </w:r>
          </w:p>
        </w:tc>
        <w:tc>
          <w:tcPr>
            <w:tcW w:w="1309" w:type="dxa"/>
            <w:tcMar>
              <w:top w:w="60" w:type="dxa"/>
              <w:left w:w="90" w:type="dxa"/>
              <w:bottom w:w="60" w:type="dxa"/>
              <w:right w:w="90" w:type="dxa"/>
            </w:tcMar>
          </w:tcPr>
          <w:p w14:paraId="155C8E50" w14:textId="77777777" w:rsidR="00715AFA" w:rsidRDefault="00000000" w:rsidP="00816A47">
            <w:pPr>
              <w:spacing w:before="100" w:beforeAutospacing="1" w:after="100" w:afterAutospacing="1"/>
              <w:jc w:val="both"/>
            </w:pPr>
            <w:r>
              <w:rPr>
                <w:sz w:val="17"/>
                <w:szCs w:val="17"/>
              </w:rPr>
              <w:t>At or before publication</w:t>
            </w:r>
          </w:p>
        </w:tc>
        <w:tc>
          <w:tcPr>
            <w:tcW w:w="1920" w:type="dxa"/>
            <w:tcMar>
              <w:top w:w="60" w:type="dxa"/>
              <w:left w:w="90" w:type="dxa"/>
              <w:bottom w:w="60" w:type="dxa"/>
              <w:right w:w="90" w:type="dxa"/>
            </w:tcMar>
          </w:tcPr>
          <w:p w14:paraId="1ACC56BA" w14:textId="77777777" w:rsidR="00715AFA" w:rsidRDefault="00000000" w:rsidP="00816A47">
            <w:pPr>
              <w:spacing w:before="100" w:beforeAutospacing="1" w:after="100" w:afterAutospacing="1"/>
              <w:jc w:val="both"/>
            </w:pPr>
            <w:r>
              <w:rPr>
                <w:sz w:val="17"/>
                <w:szCs w:val="17"/>
              </w:rPr>
              <w:t>Strong and repeatedly replicated for within-corpus discrimination; pretrained encoders consistently exceed earlier neural architectures</w:t>
            </w:r>
          </w:p>
        </w:tc>
        <w:tc>
          <w:tcPr>
            <w:tcW w:w="2007" w:type="dxa"/>
            <w:tcMar>
              <w:top w:w="60" w:type="dxa"/>
              <w:left w:w="90" w:type="dxa"/>
              <w:bottom w:w="60" w:type="dxa"/>
              <w:right w:w="90" w:type="dxa"/>
            </w:tcMar>
          </w:tcPr>
          <w:p w14:paraId="2C27D1DF" w14:textId="77777777" w:rsidR="00715AFA" w:rsidRDefault="00000000" w:rsidP="00816A47">
            <w:pPr>
              <w:spacing w:before="100" w:beforeAutospacing="1" w:after="100" w:afterAutospacing="1"/>
              <w:jc w:val="both"/>
            </w:pPr>
            <w:r>
              <w:rPr>
                <w:sz w:val="17"/>
                <w:szCs w:val="17"/>
              </w:rPr>
              <w:t>Cannot access the evidence required to adjudicate a claim; learns source style where labels are source-derived</w:t>
            </w:r>
          </w:p>
        </w:tc>
        <w:tc>
          <w:tcPr>
            <w:tcW w:w="1396" w:type="dxa"/>
            <w:tcMar>
              <w:top w:w="60" w:type="dxa"/>
              <w:left w:w="90" w:type="dxa"/>
              <w:bottom w:w="60" w:type="dxa"/>
              <w:right w:w="90" w:type="dxa"/>
            </w:tcMar>
          </w:tcPr>
          <w:p w14:paraId="0EAB299D" w14:textId="77777777" w:rsidR="00715AFA" w:rsidRDefault="00000000" w:rsidP="00816A47">
            <w:pPr>
              <w:spacing w:before="100" w:beforeAutospacing="1" w:after="100" w:afterAutospacing="1"/>
              <w:jc w:val="both"/>
            </w:pPr>
            <w:r>
              <w:rPr>
                <w:sz w:val="17"/>
                <w:szCs w:val="17"/>
              </w:rPr>
              <w:t xml:space="preserve">Ahmad et al. (2020); Alghamdi et al. (2023); Capuano et al. (2023); </w:t>
            </w:r>
            <w:proofErr w:type="spellStart"/>
            <w:r>
              <w:rPr>
                <w:sz w:val="17"/>
                <w:szCs w:val="17"/>
              </w:rPr>
              <w:t>Kaliyar</w:t>
            </w:r>
            <w:proofErr w:type="spellEnd"/>
            <w:r>
              <w:rPr>
                <w:sz w:val="17"/>
                <w:szCs w:val="17"/>
              </w:rPr>
              <w:t xml:space="preserve"> et al. (2021)</w:t>
            </w:r>
          </w:p>
        </w:tc>
      </w:tr>
      <w:tr w:rsidR="00715AFA" w14:paraId="5CA450EA" w14:textId="77777777">
        <w:tc>
          <w:tcPr>
            <w:tcW w:w="1310" w:type="dxa"/>
            <w:tcMar>
              <w:top w:w="60" w:type="dxa"/>
              <w:left w:w="90" w:type="dxa"/>
              <w:bottom w:w="60" w:type="dxa"/>
              <w:right w:w="90" w:type="dxa"/>
            </w:tcMar>
          </w:tcPr>
          <w:p w14:paraId="4F712310" w14:textId="77777777" w:rsidR="00715AFA" w:rsidRDefault="00000000" w:rsidP="00816A47">
            <w:pPr>
              <w:spacing w:before="100" w:beforeAutospacing="1" w:after="100" w:afterAutospacing="1"/>
              <w:jc w:val="both"/>
            </w:pPr>
            <w:r>
              <w:rPr>
                <w:sz w:val="17"/>
                <w:szCs w:val="17"/>
              </w:rPr>
              <w:t>Social context and propagation</w:t>
            </w:r>
          </w:p>
        </w:tc>
        <w:tc>
          <w:tcPr>
            <w:tcW w:w="1658" w:type="dxa"/>
            <w:tcMar>
              <w:top w:w="60" w:type="dxa"/>
              <w:left w:w="90" w:type="dxa"/>
              <w:bottom w:w="60" w:type="dxa"/>
              <w:right w:w="90" w:type="dxa"/>
            </w:tcMar>
          </w:tcPr>
          <w:p w14:paraId="425B0E8E" w14:textId="77777777" w:rsidR="00715AFA" w:rsidRDefault="00000000" w:rsidP="00816A47">
            <w:pPr>
              <w:spacing w:before="100" w:beforeAutospacing="1" w:after="100" w:afterAutospacing="1"/>
              <w:jc w:val="both"/>
            </w:pPr>
            <w:r>
              <w:rPr>
                <w:sz w:val="17"/>
                <w:szCs w:val="17"/>
              </w:rPr>
              <w:t>Diffusion structure, engagement sequence, user history and network position</w:t>
            </w:r>
          </w:p>
        </w:tc>
        <w:tc>
          <w:tcPr>
            <w:tcW w:w="1309" w:type="dxa"/>
            <w:tcMar>
              <w:top w:w="60" w:type="dxa"/>
              <w:left w:w="90" w:type="dxa"/>
              <w:bottom w:w="60" w:type="dxa"/>
              <w:right w:w="90" w:type="dxa"/>
            </w:tcMar>
          </w:tcPr>
          <w:p w14:paraId="3A4A2D16" w14:textId="77777777" w:rsidR="00715AFA" w:rsidRDefault="00000000" w:rsidP="00816A47">
            <w:pPr>
              <w:spacing w:before="100" w:beforeAutospacing="1" w:after="100" w:afterAutospacing="1"/>
              <w:jc w:val="both"/>
            </w:pPr>
            <w:r>
              <w:rPr>
                <w:sz w:val="17"/>
                <w:szCs w:val="17"/>
              </w:rPr>
              <w:t>After measurable circulation</w:t>
            </w:r>
          </w:p>
        </w:tc>
        <w:tc>
          <w:tcPr>
            <w:tcW w:w="1920" w:type="dxa"/>
            <w:tcMar>
              <w:top w:w="60" w:type="dxa"/>
              <w:left w:w="90" w:type="dxa"/>
              <w:bottom w:w="60" w:type="dxa"/>
              <w:right w:w="90" w:type="dxa"/>
            </w:tcMar>
          </w:tcPr>
          <w:p w14:paraId="4AB0741E" w14:textId="77777777" w:rsidR="00715AFA" w:rsidRDefault="00000000" w:rsidP="00816A47">
            <w:pPr>
              <w:spacing w:before="100" w:beforeAutospacing="1" w:after="100" w:afterAutospacing="1"/>
              <w:jc w:val="both"/>
            </w:pPr>
            <w:r>
              <w:rPr>
                <w:sz w:val="17"/>
                <w:szCs w:val="17"/>
              </w:rPr>
              <w:t>Consistent improvement over content-only baselines across several independent graph formulations</w:t>
            </w:r>
          </w:p>
        </w:tc>
        <w:tc>
          <w:tcPr>
            <w:tcW w:w="2007" w:type="dxa"/>
            <w:tcMar>
              <w:top w:w="60" w:type="dxa"/>
              <w:left w:w="90" w:type="dxa"/>
              <w:bottom w:w="60" w:type="dxa"/>
              <w:right w:w="90" w:type="dxa"/>
            </w:tcMar>
          </w:tcPr>
          <w:p w14:paraId="6E63758B" w14:textId="77777777" w:rsidR="00715AFA" w:rsidRDefault="00000000" w:rsidP="00816A47">
            <w:pPr>
              <w:spacing w:before="100" w:beforeAutospacing="1" w:after="100" w:afterAutospacing="1"/>
              <w:jc w:val="both"/>
            </w:pPr>
            <w:r>
              <w:rPr>
                <w:sz w:val="17"/>
                <w:szCs w:val="17"/>
              </w:rPr>
              <w:t>Trade-off between accumulated signal and early intervention; dependence on platform data access</w:t>
            </w:r>
          </w:p>
        </w:tc>
        <w:tc>
          <w:tcPr>
            <w:tcW w:w="1396" w:type="dxa"/>
            <w:tcMar>
              <w:top w:w="60" w:type="dxa"/>
              <w:left w:w="90" w:type="dxa"/>
              <w:bottom w:w="60" w:type="dxa"/>
              <w:right w:w="90" w:type="dxa"/>
            </w:tcMar>
          </w:tcPr>
          <w:p w14:paraId="78A13CBF" w14:textId="77777777" w:rsidR="00715AFA" w:rsidRDefault="00000000" w:rsidP="00816A47">
            <w:pPr>
              <w:spacing w:before="100" w:beforeAutospacing="1" w:after="100" w:afterAutospacing="1"/>
              <w:jc w:val="both"/>
            </w:pPr>
            <w:r>
              <w:rPr>
                <w:sz w:val="17"/>
                <w:szCs w:val="17"/>
              </w:rPr>
              <w:t xml:space="preserve">Bian et al. (2020); Dou et al. (2021); Jeong et al. (2022); Phan et al. (2023); </w:t>
            </w:r>
            <w:proofErr w:type="spellStart"/>
            <w:r>
              <w:rPr>
                <w:sz w:val="17"/>
                <w:szCs w:val="17"/>
              </w:rPr>
              <w:t>Ruchansky</w:t>
            </w:r>
            <w:proofErr w:type="spellEnd"/>
            <w:r>
              <w:rPr>
                <w:sz w:val="17"/>
                <w:szCs w:val="17"/>
              </w:rPr>
              <w:t xml:space="preserve"> et al. (2017)</w:t>
            </w:r>
          </w:p>
        </w:tc>
      </w:tr>
      <w:tr w:rsidR="00715AFA" w14:paraId="4468E153" w14:textId="77777777">
        <w:tc>
          <w:tcPr>
            <w:tcW w:w="1310" w:type="dxa"/>
            <w:tcMar>
              <w:top w:w="60" w:type="dxa"/>
              <w:left w:w="90" w:type="dxa"/>
              <w:bottom w:w="60" w:type="dxa"/>
              <w:right w:w="90" w:type="dxa"/>
            </w:tcMar>
          </w:tcPr>
          <w:p w14:paraId="26C0FFA5" w14:textId="77777777" w:rsidR="00715AFA" w:rsidRDefault="00000000" w:rsidP="00816A47">
            <w:pPr>
              <w:spacing w:before="100" w:beforeAutospacing="1" w:after="100" w:afterAutospacing="1"/>
              <w:jc w:val="both"/>
            </w:pPr>
            <w:r>
              <w:rPr>
                <w:sz w:val="17"/>
                <w:szCs w:val="17"/>
              </w:rPr>
              <w:t>Multimodal fusion</w:t>
            </w:r>
          </w:p>
        </w:tc>
        <w:tc>
          <w:tcPr>
            <w:tcW w:w="1658" w:type="dxa"/>
            <w:tcMar>
              <w:top w:w="60" w:type="dxa"/>
              <w:left w:w="90" w:type="dxa"/>
              <w:bottom w:w="60" w:type="dxa"/>
              <w:right w:w="90" w:type="dxa"/>
            </w:tcMar>
          </w:tcPr>
          <w:p w14:paraId="551C203A" w14:textId="77777777" w:rsidR="00715AFA" w:rsidRDefault="00000000" w:rsidP="00816A47">
            <w:pPr>
              <w:spacing w:before="100" w:beforeAutospacing="1" w:after="100" w:afterAutospacing="1"/>
              <w:jc w:val="both"/>
            </w:pPr>
            <w:r>
              <w:rPr>
                <w:sz w:val="17"/>
                <w:szCs w:val="17"/>
              </w:rPr>
              <w:t>Paired textual and visual content, and cross-modal consistency</w:t>
            </w:r>
          </w:p>
        </w:tc>
        <w:tc>
          <w:tcPr>
            <w:tcW w:w="1309" w:type="dxa"/>
            <w:tcMar>
              <w:top w:w="60" w:type="dxa"/>
              <w:left w:w="90" w:type="dxa"/>
              <w:bottom w:w="60" w:type="dxa"/>
              <w:right w:w="90" w:type="dxa"/>
            </w:tcMar>
          </w:tcPr>
          <w:p w14:paraId="330D2F42" w14:textId="77777777" w:rsidR="00715AFA" w:rsidRDefault="00000000" w:rsidP="00816A47">
            <w:pPr>
              <w:spacing w:before="100" w:beforeAutospacing="1" w:after="100" w:afterAutospacing="1"/>
              <w:jc w:val="both"/>
            </w:pPr>
            <w:r>
              <w:rPr>
                <w:sz w:val="17"/>
                <w:szCs w:val="17"/>
              </w:rPr>
              <w:t>At or before publication</w:t>
            </w:r>
          </w:p>
        </w:tc>
        <w:tc>
          <w:tcPr>
            <w:tcW w:w="1920" w:type="dxa"/>
            <w:tcMar>
              <w:top w:w="60" w:type="dxa"/>
              <w:left w:w="90" w:type="dxa"/>
              <w:bottom w:w="60" w:type="dxa"/>
              <w:right w:w="90" w:type="dxa"/>
            </w:tcMar>
          </w:tcPr>
          <w:p w14:paraId="1BDAB6D1" w14:textId="77777777" w:rsidR="00715AFA" w:rsidRDefault="00000000" w:rsidP="00816A47">
            <w:pPr>
              <w:spacing w:before="100" w:beforeAutospacing="1" w:after="100" w:afterAutospacing="1"/>
              <w:jc w:val="both"/>
            </w:pPr>
            <w:r>
              <w:rPr>
                <w:sz w:val="17"/>
                <w:szCs w:val="17"/>
              </w:rPr>
              <w:t>Adequate for the claim that visual signal is non-redundant; insufficient for ranking fusion strategies</w:t>
            </w:r>
          </w:p>
        </w:tc>
        <w:tc>
          <w:tcPr>
            <w:tcW w:w="2007" w:type="dxa"/>
            <w:tcMar>
              <w:top w:w="60" w:type="dxa"/>
              <w:left w:w="90" w:type="dxa"/>
              <w:bottom w:w="60" w:type="dxa"/>
              <w:right w:w="90" w:type="dxa"/>
            </w:tcMar>
          </w:tcPr>
          <w:p w14:paraId="30A4407A" w14:textId="77777777" w:rsidR="00715AFA" w:rsidRDefault="00000000" w:rsidP="00816A47">
            <w:pPr>
              <w:spacing w:before="100" w:beforeAutospacing="1" w:after="100" w:afterAutospacing="1"/>
              <w:jc w:val="both"/>
            </w:pPr>
            <w:r>
              <w:rPr>
                <w:sz w:val="17"/>
                <w:szCs w:val="17"/>
              </w:rPr>
              <w:t>No shared evaluation protocol; benchmarks differ in language, platform and modality balance</w:t>
            </w:r>
          </w:p>
        </w:tc>
        <w:tc>
          <w:tcPr>
            <w:tcW w:w="1396" w:type="dxa"/>
            <w:tcMar>
              <w:top w:w="60" w:type="dxa"/>
              <w:left w:w="90" w:type="dxa"/>
              <w:bottom w:w="60" w:type="dxa"/>
              <w:right w:w="90" w:type="dxa"/>
            </w:tcMar>
          </w:tcPr>
          <w:p w14:paraId="284A45EA" w14:textId="77777777" w:rsidR="00715AFA" w:rsidRDefault="00000000" w:rsidP="00816A47">
            <w:pPr>
              <w:spacing w:before="100" w:beforeAutospacing="1" w:after="100" w:afterAutospacing="1"/>
              <w:jc w:val="both"/>
            </w:pPr>
            <w:proofErr w:type="spellStart"/>
            <w:r>
              <w:rPr>
                <w:sz w:val="17"/>
                <w:szCs w:val="17"/>
              </w:rPr>
              <w:t>Hangloo</w:t>
            </w:r>
            <w:proofErr w:type="spellEnd"/>
            <w:r>
              <w:rPr>
                <w:sz w:val="17"/>
                <w:szCs w:val="17"/>
              </w:rPr>
              <w:t xml:space="preserve"> and Arora (2022); Khattar et al. (2019); Mura et al. (2025); Qi et al. (2024); Y. Wang et al. (2018)</w:t>
            </w:r>
          </w:p>
        </w:tc>
      </w:tr>
      <w:tr w:rsidR="00715AFA" w14:paraId="3E17AE81" w14:textId="77777777">
        <w:tc>
          <w:tcPr>
            <w:tcW w:w="1310" w:type="dxa"/>
            <w:tcMar>
              <w:top w:w="60" w:type="dxa"/>
              <w:left w:w="90" w:type="dxa"/>
              <w:bottom w:w="60" w:type="dxa"/>
              <w:right w:w="90" w:type="dxa"/>
            </w:tcMar>
          </w:tcPr>
          <w:p w14:paraId="0698F34A" w14:textId="77777777" w:rsidR="00715AFA" w:rsidRDefault="00000000" w:rsidP="00816A47">
            <w:pPr>
              <w:spacing w:before="100" w:beforeAutospacing="1" w:after="100" w:afterAutospacing="1"/>
              <w:jc w:val="both"/>
            </w:pPr>
            <w:r>
              <w:rPr>
                <w:sz w:val="17"/>
                <w:szCs w:val="17"/>
              </w:rPr>
              <w:t>Evidence retrieval and verification</w:t>
            </w:r>
          </w:p>
        </w:tc>
        <w:tc>
          <w:tcPr>
            <w:tcW w:w="1658" w:type="dxa"/>
            <w:tcMar>
              <w:top w:w="60" w:type="dxa"/>
              <w:left w:w="90" w:type="dxa"/>
              <w:bottom w:w="60" w:type="dxa"/>
              <w:right w:w="90" w:type="dxa"/>
            </w:tcMar>
          </w:tcPr>
          <w:p w14:paraId="34BA11F6" w14:textId="77777777" w:rsidR="00715AFA" w:rsidRDefault="00000000" w:rsidP="00816A47">
            <w:pPr>
              <w:spacing w:before="100" w:beforeAutospacing="1" w:after="100" w:afterAutospacing="1"/>
              <w:jc w:val="both"/>
            </w:pPr>
            <w:r>
              <w:rPr>
                <w:sz w:val="17"/>
                <w:szCs w:val="17"/>
              </w:rPr>
              <w:t>External documents, previously verified claims and the concurrent news environment</w:t>
            </w:r>
          </w:p>
        </w:tc>
        <w:tc>
          <w:tcPr>
            <w:tcW w:w="1309" w:type="dxa"/>
            <w:tcMar>
              <w:top w:w="60" w:type="dxa"/>
              <w:left w:w="90" w:type="dxa"/>
              <w:bottom w:w="60" w:type="dxa"/>
              <w:right w:w="90" w:type="dxa"/>
            </w:tcMar>
          </w:tcPr>
          <w:p w14:paraId="614FC70F" w14:textId="77777777" w:rsidR="00715AFA" w:rsidRDefault="00000000" w:rsidP="00816A47">
            <w:pPr>
              <w:spacing w:before="100" w:beforeAutospacing="1" w:after="100" w:afterAutospacing="1"/>
              <w:jc w:val="both"/>
            </w:pPr>
            <w:r>
              <w:rPr>
                <w:sz w:val="17"/>
                <w:szCs w:val="17"/>
              </w:rPr>
              <w:t>Contingent on evidence availability</w:t>
            </w:r>
          </w:p>
        </w:tc>
        <w:tc>
          <w:tcPr>
            <w:tcW w:w="1920" w:type="dxa"/>
            <w:tcMar>
              <w:top w:w="60" w:type="dxa"/>
              <w:left w:w="90" w:type="dxa"/>
              <w:bottom w:w="60" w:type="dxa"/>
              <w:right w:w="90" w:type="dxa"/>
            </w:tcMar>
          </w:tcPr>
          <w:p w14:paraId="4C94693C" w14:textId="77777777" w:rsidR="00715AFA" w:rsidRDefault="00000000" w:rsidP="00816A47">
            <w:pPr>
              <w:spacing w:before="100" w:beforeAutospacing="1" w:after="100" w:afterAutospacing="1"/>
              <w:jc w:val="both"/>
            </w:pPr>
            <w:r>
              <w:rPr>
                <w:sz w:val="17"/>
                <w:szCs w:val="17"/>
              </w:rPr>
              <w:t>Strongest for workflow assistance at specific stages; limited for autonomous end-to-end verdicts</w:t>
            </w:r>
          </w:p>
        </w:tc>
        <w:tc>
          <w:tcPr>
            <w:tcW w:w="2007" w:type="dxa"/>
            <w:tcMar>
              <w:top w:w="60" w:type="dxa"/>
              <w:left w:w="90" w:type="dxa"/>
              <w:bottom w:w="60" w:type="dxa"/>
              <w:right w:w="90" w:type="dxa"/>
            </w:tcMar>
          </w:tcPr>
          <w:p w14:paraId="7495F404" w14:textId="77777777" w:rsidR="00715AFA" w:rsidRDefault="00000000" w:rsidP="00816A47">
            <w:pPr>
              <w:spacing w:before="100" w:beforeAutospacing="1" w:after="100" w:afterAutospacing="1"/>
              <w:jc w:val="both"/>
            </w:pPr>
            <w:r>
              <w:rPr>
                <w:sz w:val="17"/>
                <w:szCs w:val="17"/>
              </w:rPr>
              <w:t>Verdict accuracy bounded by retrieval; evidence sparser at the moment of first circulation than at benchmark construction</w:t>
            </w:r>
          </w:p>
        </w:tc>
        <w:tc>
          <w:tcPr>
            <w:tcW w:w="1396" w:type="dxa"/>
            <w:tcMar>
              <w:top w:w="60" w:type="dxa"/>
              <w:left w:w="90" w:type="dxa"/>
              <w:bottom w:w="60" w:type="dxa"/>
              <w:right w:w="90" w:type="dxa"/>
            </w:tcMar>
          </w:tcPr>
          <w:p w14:paraId="37BF39C3" w14:textId="77777777" w:rsidR="00715AFA" w:rsidRDefault="00000000" w:rsidP="00816A47">
            <w:pPr>
              <w:spacing w:before="100" w:beforeAutospacing="1" w:after="100" w:afterAutospacing="1"/>
              <w:jc w:val="both"/>
            </w:pPr>
            <w:r>
              <w:rPr>
                <w:sz w:val="17"/>
                <w:szCs w:val="17"/>
              </w:rPr>
              <w:t xml:space="preserve">Guo et al. (2022); </w:t>
            </w:r>
            <w:proofErr w:type="spellStart"/>
            <w:r>
              <w:rPr>
                <w:sz w:val="17"/>
                <w:szCs w:val="17"/>
              </w:rPr>
              <w:t>Kotonya</w:t>
            </w:r>
            <w:proofErr w:type="spellEnd"/>
            <w:r>
              <w:rPr>
                <w:sz w:val="17"/>
                <w:szCs w:val="17"/>
              </w:rPr>
              <w:t xml:space="preserve"> and Toni (2020); </w:t>
            </w:r>
            <w:proofErr w:type="spellStart"/>
            <w:r>
              <w:rPr>
                <w:sz w:val="17"/>
                <w:szCs w:val="17"/>
              </w:rPr>
              <w:t>Nakov</w:t>
            </w:r>
            <w:proofErr w:type="spellEnd"/>
            <w:r>
              <w:rPr>
                <w:sz w:val="17"/>
                <w:szCs w:val="17"/>
              </w:rPr>
              <w:t xml:space="preserve"> et al. (2021); Sheng et al. (2022)</w:t>
            </w:r>
          </w:p>
        </w:tc>
      </w:tr>
    </w:tbl>
    <w:p w14:paraId="2D8E5B56" w14:textId="77777777" w:rsidR="00715AFA" w:rsidRDefault="00000000" w:rsidP="00816A47">
      <w:pPr>
        <w:spacing w:before="100" w:beforeAutospacing="1" w:after="100" w:afterAutospacing="1"/>
        <w:jc w:val="both"/>
      </w:pPr>
      <w:r>
        <w:rPr>
          <w:i/>
          <w:iCs/>
          <w:sz w:val="18"/>
          <w:szCs w:val="18"/>
        </w:rPr>
        <w:t>Note. No abbreviations are used in this table. The families are complementary rather than mutually exclusive, and several published systems combine two or more of them. Strength of evidence refers to the number of independent studies and the diversity of evaluation settings rather than to the magnitude of reported metrics.</w:t>
      </w:r>
    </w:p>
    <w:p w14:paraId="4952CF3A" w14:textId="77777777" w:rsidR="00715AFA" w:rsidRDefault="00000000" w:rsidP="00816A47">
      <w:pPr>
        <w:pStyle w:val="Heading1"/>
        <w:spacing w:before="100" w:beforeAutospacing="1" w:after="100" w:afterAutospacing="1"/>
        <w:jc w:val="both"/>
      </w:pPr>
      <w:r>
        <w:rPr>
          <w:b/>
          <w:bCs/>
          <w:color w:val="000000"/>
          <w:sz w:val="26"/>
          <w:szCs w:val="26"/>
        </w:rPr>
        <w:t>5. Why Reported Performance Overstates Operational Capability</w:t>
      </w:r>
    </w:p>
    <w:p w14:paraId="08E4CDDF" w14:textId="77777777" w:rsidR="00715AFA" w:rsidRDefault="00000000" w:rsidP="00816A47">
      <w:pPr>
        <w:spacing w:before="100" w:beforeAutospacing="1" w:after="100" w:afterAutospacing="1"/>
        <w:jc w:val="both"/>
      </w:pPr>
      <w:r>
        <w:t>The central empirical puzzle of this field is that models reported at above ninety per cent accuracy are not deployed as autonomous verifiers, and that independent tests of the same model families report much weaker results. Three mechanisms, each supported by direct evidence, account for a substantial part of the gap.</w:t>
      </w:r>
    </w:p>
    <w:p w14:paraId="4CBAA9C5" w14:textId="77777777" w:rsidR="00715AFA" w:rsidRDefault="00000000" w:rsidP="00816A47">
      <w:pPr>
        <w:pStyle w:val="Heading2"/>
        <w:spacing w:before="100" w:beforeAutospacing="1" w:after="100" w:afterAutospacing="1"/>
        <w:jc w:val="both"/>
      </w:pPr>
      <w:r>
        <w:rPr>
          <w:b/>
          <w:bCs/>
          <w:i/>
          <w:iCs/>
          <w:color w:val="000000"/>
          <w:sz w:val="23"/>
          <w:szCs w:val="23"/>
        </w:rPr>
        <w:t>5.1 Benchmark Composition and Learnable Shortcuts</w:t>
      </w:r>
    </w:p>
    <w:p w14:paraId="300FC887" w14:textId="77777777" w:rsidR="00715AFA" w:rsidRDefault="00000000" w:rsidP="00816A47">
      <w:pPr>
        <w:spacing w:before="100" w:beforeAutospacing="1" w:after="100" w:afterAutospacing="1"/>
        <w:jc w:val="both"/>
      </w:pPr>
      <w:r>
        <w:t>The first mechanism is that benchmarks frequently contain regularities that permit high accuracy without engagement with veracity. Source-level labelling is the clearest instance, and controlled re-analysis has demonstrated that performance figures move substantially when the propagation of source ratings and the construction of evaluation partitions are varied while the model is held fixed (Bozarth &amp; Budak, 2020). The same conclusion follows from the data-landscape analysis, which argued that the coarse relationship between available labels and claim-level truth makes the resulting corpora unsuitable for the inference commonly drawn from them (Torabi Asr &amp; Taboada, 2019). Controlled variation of the corpus with the architecture fixed has more recently shown that dataset choice dominates model choice in determining measured outcome (</w:t>
      </w:r>
      <w:proofErr w:type="spellStart"/>
      <w:r>
        <w:t>Kuntur</w:t>
      </w:r>
      <w:proofErr w:type="spellEnd"/>
      <w:r>
        <w:t xml:space="preserve"> et al., 2026), and the survey of evaluation datasets documents the structural heterogeneity that makes cross-corpus comparison of reported figures invalid (</w:t>
      </w:r>
      <w:proofErr w:type="spellStart"/>
      <w:r>
        <w:t>D’Ulizia</w:t>
      </w:r>
      <w:proofErr w:type="spellEnd"/>
      <w:r>
        <w:t xml:space="preserve"> et al., 2021).</w:t>
      </w:r>
    </w:p>
    <w:p w14:paraId="688CB457" w14:textId="3D7675A9" w:rsidR="00715AFA" w:rsidRDefault="00000000" w:rsidP="00816A47">
      <w:pPr>
        <w:spacing w:before="100" w:beforeAutospacing="1" w:after="100" w:afterAutospacing="1"/>
        <w:jc w:val="both"/>
      </w:pPr>
      <w:r>
        <w:lastRenderedPageBreak/>
        <w:t>A secondary consequence is that the review literature reproduces the problem. Comparative tables in recent surveys place figures obtained on different corpora, with different labelling authorities and different partitioning schemes, in adjacent columns (</w:t>
      </w:r>
      <w:proofErr w:type="spellStart"/>
      <w:r>
        <w:t>Bashaddadh</w:t>
      </w:r>
      <w:proofErr w:type="spellEnd"/>
      <w:r>
        <w:t xml:space="preserve"> et al., 2025; Hussain et al., 2025; Hamed et al., 2023). Such tables are informative about what has been reported and uninformative about relative capability, a distinction that is not consistently drawn.</w:t>
      </w:r>
    </w:p>
    <w:p w14:paraId="78EF4A83" w14:textId="77777777" w:rsidR="00715AFA" w:rsidRDefault="00000000" w:rsidP="00816A47">
      <w:pPr>
        <w:pStyle w:val="Heading2"/>
        <w:spacing w:before="100" w:beforeAutospacing="1" w:after="100" w:afterAutospacing="1"/>
        <w:jc w:val="both"/>
      </w:pPr>
      <w:r>
        <w:rPr>
          <w:b/>
          <w:bCs/>
          <w:i/>
          <w:iCs/>
          <w:color w:val="000000"/>
          <w:sz w:val="23"/>
          <w:szCs w:val="23"/>
        </w:rPr>
        <w:t>5.2 Temporal, Topical and Entity Shift</w:t>
      </w:r>
    </w:p>
    <w:p w14:paraId="0F0A8CC9" w14:textId="77777777" w:rsidR="00715AFA" w:rsidRDefault="00000000" w:rsidP="00816A47">
      <w:pPr>
        <w:spacing w:before="100" w:beforeAutospacing="1" w:after="100" w:afterAutospacing="1"/>
        <w:jc w:val="both"/>
      </w:pPr>
      <w:r>
        <w:t>The second mechanism is distribution shift. Evaluation conducted across time rather than by random partition showed that classifiers which discriminate well within a fixed corpus lose accuracy as the news environment changes (Horne et al., 2019). The specific route by which this occurs has been partially identified. Models trained on corpora in which particular entities appear predominantly in one class learn an association between the entity and the label, which fails when the same entity later appears in the other class; explicit debiasing of entity representations improved transfer to later periods (Zhu et al., 2022). Topical shift produces an analogous failure, and multi-domain architectures that route inputs through domain-conditioned components were developed to address the observation that a single model fitted to a mixed corpus underperforms on each constituent domain (Nan et al., 2021). Cross-domain transfer with multimodal inputs has been shown to require explicit accommodation of domain differences rather than pooled training (Silva et al., 2021).</w:t>
      </w:r>
    </w:p>
    <w:p w14:paraId="22C7C4FA" w14:textId="77777777" w:rsidR="00715AFA" w:rsidRDefault="00000000" w:rsidP="00816A47">
      <w:pPr>
        <w:spacing w:before="100" w:beforeAutospacing="1" w:after="100" w:afterAutospacing="1"/>
        <w:jc w:val="both"/>
      </w:pPr>
      <w:r>
        <w:t>Formal treatment of the problem as concept drift has produced detection indices intended to signal when a deployed classifier requires retraining (</w:t>
      </w:r>
      <w:proofErr w:type="spellStart"/>
      <w:r>
        <w:t>Fenza</w:t>
      </w:r>
      <w:proofErr w:type="spellEnd"/>
      <w:r>
        <w:t xml:space="preserve"> et al., 2023), and multi-source benchmark construction has been used to expose the degradation that occurs when a model trained on one collection authority is evaluated against another, in a non-English setting that also addresses the language imbalance discussed below (Li et al., 2024). The convergent implication across these studies is that the temporal validity of a fitted model is limited, and that random partitioning conceals this because training and test items are drawn from the same period, the same topical mixture and the same entity distribution. Reported figures obtained under random partitioning should therefore be read as upper bounds under stationarity rather than as estimates of field performance.</w:t>
      </w:r>
    </w:p>
    <w:p w14:paraId="64DC6902" w14:textId="77777777" w:rsidR="00715AFA" w:rsidRDefault="00000000" w:rsidP="00816A47">
      <w:pPr>
        <w:pStyle w:val="Heading2"/>
        <w:spacing w:before="100" w:beforeAutospacing="1" w:after="100" w:afterAutospacing="1"/>
        <w:jc w:val="both"/>
      </w:pPr>
      <w:r>
        <w:rPr>
          <w:b/>
          <w:bCs/>
          <w:i/>
          <w:iCs/>
          <w:color w:val="000000"/>
          <w:sz w:val="23"/>
          <w:szCs w:val="23"/>
        </w:rPr>
        <w:t>5.3 Adversarial Adaptation</w:t>
      </w:r>
    </w:p>
    <w:p w14:paraId="76B568C9" w14:textId="77777777" w:rsidR="00715AFA" w:rsidRDefault="00000000" w:rsidP="00816A47">
      <w:pPr>
        <w:spacing w:before="100" w:beforeAutospacing="1" w:after="100" w:afterAutospacing="1"/>
        <w:jc w:val="both"/>
      </w:pPr>
      <w:r>
        <w:t>The third mechanism is that the data-generating process is controlled in part by actors with an incentive to evade detection, a condition that standard evaluation ignores. Manipulation of social engagement has been shown to degrade the performance of detectors that rely on propagation structure, since the relevant features are under partial adversarial control (H. Wang et al., 2023). Manipulation on the content side has become more consequential with the availability of capable generative models: rewriting false content in the register of trustworthy reporting has been demonstrated to reduce the accuracy of style-sensitive detectors, and defences based on decoupling style from substance were proposed in response (Wu et al., 2024). Assessment of the detection ecosystem as a whole has emphasised that the interaction between detector and adversary is dynamic and that static benchmark performance offers little information about behaviour under pressure (Khan et al., 2021).</w:t>
      </w:r>
    </w:p>
    <w:p w14:paraId="2881D8EA" w14:textId="77777777" w:rsidR="00715AFA" w:rsidRDefault="00000000" w:rsidP="00816A47">
      <w:pPr>
        <w:spacing w:before="100" w:beforeAutospacing="1" w:after="100" w:afterAutospacing="1"/>
        <w:jc w:val="both"/>
      </w:pPr>
      <w:r>
        <w:t>The three mechanisms interact rather than operating independently. Source-level labelling teaches a model to rely on style; style is precisely the property most easily manipulated by a generative model; and the resulting failure is invisible to a random partition drawn from a fixed corpus. Table 3 sets out the mechanisms, the evidence that each has been demonstrated rather than merely hypothesised, and the evaluation practice that would expose each. The table indicates that the mechanisms differ in how well they have been quantified: temporal degradation has been measured in several independent settings, whereas the magnitude of adversarial degradation under realistic rather than worst-case manipulation remains poorly characterised.</w:t>
      </w:r>
    </w:p>
    <w:p w14:paraId="186B4015" w14:textId="77777777" w:rsidR="00715AFA" w:rsidRDefault="00000000" w:rsidP="00816A47">
      <w:pPr>
        <w:spacing w:before="100" w:beforeAutospacing="1" w:after="100" w:afterAutospacing="1"/>
        <w:jc w:val="both"/>
      </w:pPr>
      <w:r>
        <w:rPr>
          <w:b/>
          <w:bCs/>
          <w:sz w:val="20"/>
          <w:szCs w:val="20"/>
        </w:rPr>
        <w:t>Table 3. Mechanisms generating optimistic performance estimates, the status of the supporting evidence and the evaluation practice that would expose each.</w:t>
      </w:r>
    </w:p>
    <w:tbl>
      <w:tblPr>
        <w:tblW w:w="9600" w:type="dxa"/>
        <w:tblBorders>
          <w:top w:val="single" w:sz="4" w:space="0" w:color="666666"/>
          <w:left w:val="single" w:sz="2" w:space="0" w:color="999999"/>
          <w:bottom w:val="single" w:sz="4" w:space="0" w:color="666666"/>
          <w:right w:val="single" w:sz="2" w:space="0" w:color="999999"/>
          <w:insideH w:val="single" w:sz="2" w:space="0" w:color="999999"/>
          <w:insideV w:val="single" w:sz="2" w:space="0" w:color="999999"/>
        </w:tblBorders>
        <w:tblCellMar>
          <w:left w:w="10" w:type="dxa"/>
          <w:right w:w="10" w:type="dxa"/>
        </w:tblCellMar>
        <w:tblLook w:val="0000" w:firstRow="0" w:lastRow="0" w:firstColumn="0" w:lastColumn="0" w:noHBand="0" w:noVBand="0"/>
      </w:tblPr>
      <w:tblGrid>
        <w:gridCol w:w="1555"/>
        <w:gridCol w:w="2194"/>
        <w:gridCol w:w="1920"/>
        <w:gridCol w:w="2194"/>
        <w:gridCol w:w="1737"/>
      </w:tblGrid>
      <w:tr w:rsidR="00715AFA" w14:paraId="7FC0B7C4" w14:textId="77777777">
        <w:trPr>
          <w:tblHeader/>
        </w:trPr>
        <w:tc>
          <w:tcPr>
            <w:tcW w:w="1555" w:type="dxa"/>
            <w:shd w:val="clear" w:color="auto" w:fill="E8E8E8"/>
            <w:tcMar>
              <w:top w:w="60" w:type="dxa"/>
              <w:left w:w="90" w:type="dxa"/>
              <w:bottom w:w="60" w:type="dxa"/>
              <w:right w:w="90" w:type="dxa"/>
            </w:tcMar>
          </w:tcPr>
          <w:p w14:paraId="65862C82" w14:textId="77777777" w:rsidR="00715AFA" w:rsidRDefault="00000000" w:rsidP="00816A47">
            <w:pPr>
              <w:spacing w:before="100" w:beforeAutospacing="1" w:after="100" w:afterAutospacing="1"/>
              <w:jc w:val="both"/>
            </w:pPr>
            <w:r>
              <w:rPr>
                <w:b/>
                <w:bCs/>
                <w:sz w:val="17"/>
                <w:szCs w:val="17"/>
              </w:rPr>
              <w:lastRenderedPageBreak/>
              <w:t>Mechanism</w:t>
            </w:r>
          </w:p>
        </w:tc>
        <w:tc>
          <w:tcPr>
            <w:tcW w:w="2194" w:type="dxa"/>
            <w:shd w:val="clear" w:color="auto" w:fill="E8E8E8"/>
            <w:tcMar>
              <w:top w:w="60" w:type="dxa"/>
              <w:left w:w="90" w:type="dxa"/>
              <w:bottom w:w="60" w:type="dxa"/>
              <w:right w:w="90" w:type="dxa"/>
            </w:tcMar>
          </w:tcPr>
          <w:p w14:paraId="676670FC" w14:textId="77777777" w:rsidR="00715AFA" w:rsidRDefault="00000000" w:rsidP="00816A47">
            <w:pPr>
              <w:spacing w:before="100" w:beforeAutospacing="1" w:after="100" w:afterAutospacing="1"/>
              <w:jc w:val="both"/>
            </w:pPr>
            <w:r>
              <w:rPr>
                <w:b/>
                <w:bCs/>
                <w:sz w:val="17"/>
                <w:szCs w:val="17"/>
              </w:rPr>
              <w:t>How it inflates measured performance</w:t>
            </w:r>
          </w:p>
        </w:tc>
        <w:tc>
          <w:tcPr>
            <w:tcW w:w="1920" w:type="dxa"/>
            <w:shd w:val="clear" w:color="auto" w:fill="E8E8E8"/>
            <w:tcMar>
              <w:top w:w="60" w:type="dxa"/>
              <w:left w:w="90" w:type="dxa"/>
              <w:bottom w:w="60" w:type="dxa"/>
              <w:right w:w="90" w:type="dxa"/>
            </w:tcMar>
          </w:tcPr>
          <w:p w14:paraId="600953C1" w14:textId="77777777" w:rsidR="00715AFA" w:rsidRDefault="00000000" w:rsidP="00816A47">
            <w:pPr>
              <w:spacing w:before="100" w:beforeAutospacing="1" w:after="100" w:afterAutospacing="1"/>
              <w:jc w:val="both"/>
            </w:pPr>
            <w:r>
              <w:rPr>
                <w:b/>
                <w:bCs/>
                <w:sz w:val="17"/>
                <w:szCs w:val="17"/>
              </w:rPr>
              <w:t>Status of the evidence</w:t>
            </w:r>
          </w:p>
        </w:tc>
        <w:tc>
          <w:tcPr>
            <w:tcW w:w="2194" w:type="dxa"/>
            <w:shd w:val="clear" w:color="auto" w:fill="E8E8E8"/>
            <w:tcMar>
              <w:top w:w="60" w:type="dxa"/>
              <w:left w:w="90" w:type="dxa"/>
              <w:bottom w:w="60" w:type="dxa"/>
              <w:right w:w="90" w:type="dxa"/>
            </w:tcMar>
          </w:tcPr>
          <w:p w14:paraId="60DEF5A4" w14:textId="77777777" w:rsidR="00715AFA" w:rsidRDefault="00000000" w:rsidP="00816A47">
            <w:pPr>
              <w:spacing w:before="100" w:beforeAutospacing="1" w:after="100" w:afterAutospacing="1"/>
              <w:jc w:val="both"/>
            </w:pPr>
            <w:r>
              <w:rPr>
                <w:b/>
                <w:bCs/>
                <w:sz w:val="17"/>
                <w:szCs w:val="17"/>
              </w:rPr>
              <w:t>Evaluation practice that would expose it</w:t>
            </w:r>
          </w:p>
        </w:tc>
        <w:tc>
          <w:tcPr>
            <w:tcW w:w="1737" w:type="dxa"/>
            <w:shd w:val="clear" w:color="auto" w:fill="E8E8E8"/>
            <w:tcMar>
              <w:top w:w="60" w:type="dxa"/>
              <w:left w:w="90" w:type="dxa"/>
              <w:bottom w:w="60" w:type="dxa"/>
              <w:right w:w="90" w:type="dxa"/>
            </w:tcMar>
          </w:tcPr>
          <w:p w14:paraId="64828F4F" w14:textId="77777777" w:rsidR="00715AFA" w:rsidRDefault="00000000" w:rsidP="00816A47">
            <w:pPr>
              <w:spacing w:before="100" w:beforeAutospacing="1" w:after="100" w:afterAutospacing="1"/>
              <w:jc w:val="both"/>
            </w:pPr>
            <w:r>
              <w:rPr>
                <w:b/>
                <w:bCs/>
                <w:sz w:val="17"/>
                <w:szCs w:val="17"/>
              </w:rPr>
              <w:t>Supporting references</w:t>
            </w:r>
          </w:p>
        </w:tc>
      </w:tr>
      <w:tr w:rsidR="00715AFA" w14:paraId="6917CA6C" w14:textId="77777777">
        <w:tc>
          <w:tcPr>
            <w:tcW w:w="1555" w:type="dxa"/>
            <w:tcMar>
              <w:top w:w="60" w:type="dxa"/>
              <w:left w:w="90" w:type="dxa"/>
              <w:bottom w:w="60" w:type="dxa"/>
              <w:right w:w="90" w:type="dxa"/>
            </w:tcMar>
          </w:tcPr>
          <w:p w14:paraId="1F56D3E4" w14:textId="77777777" w:rsidR="00715AFA" w:rsidRDefault="00000000" w:rsidP="00816A47">
            <w:pPr>
              <w:spacing w:before="100" w:beforeAutospacing="1" w:after="100" w:afterAutospacing="1"/>
              <w:jc w:val="both"/>
            </w:pPr>
            <w:r>
              <w:rPr>
                <w:sz w:val="17"/>
                <w:szCs w:val="17"/>
              </w:rPr>
              <w:t>Source-level label propagation</w:t>
            </w:r>
          </w:p>
        </w:tc>
        <w:tc>
          <w:tcPr>
            <w:tcW w:w="2194" w:type="dxa"/>
            <w:tcMar>
              <w:top w:w="60" w:type="dxa"/>
              <w:left w:w="90" w:type="dxa"/>
              <w:bottom w:w="60" w:type="dxa"/>
              <w:right w:w="90" w:type="dxa"/>
            </w:tcMar>
          </w:tcPr>
          <w:p w14:paraId="610B84B4" w14:textId="77777777" w:rsidR="00715AFA" w:rsidRDefault="00000000" w:rsidP="00816A47">
            <w:pPr>
              <w:spacing w:before="100" w:beforeAutospacing="1" w:after="100" w:afterAutospacing="1"/>
              <w:jc w:val="both"/>
            </w:pPr>
            <w:r>
              <w:rPr>
                <w:sz w:val="17"/>
                <w:szCs w:val="17"/>
              </w:rPr>
              <w:t>Publisher-specific style, register and topic become predictive of the label independently of claim truth</w:t>
            </w:r>
          </w:p>
        </w:tc>
        <w:tc>
          <w:tcPr>
            <w:tcW w:w="1920" w:type="dxa"/>
            <w:tcMar>
              <w:top w:w="60" w:type="dxa"/>
              <w:left w:w="90" w:type="dxa"/>
              <w:bottom w:w="60" w:type="dxa"/>
              <w:right w:w="90" w:type="dxa"/>
            </w:tcMar>
          </w:tcPr>
          <w:p w14:paraId="11EED40C" w14:textId="77777777" w:rsidR="00715AFA" w:rsidRDefault="00000000" w:rsidP="00816A47">
            <w:pPr>
              <w:spacing w:before="100" w:beforeAutospacing="1" w:after="100" w:afterAutospacing="1"/>
              <w:jc w:val="both"/>
            </w:pPr>
            <w:r>
              <w:rPr>
                <w:sz w:val="17"/>
                <w:szCs w:val="17"/>
              </w:rPr>
              <w:t>Demonstrated by controlled re-analysis holding the model fixed and varying labelling and partitioning</w:t>
            </w:r>
          </w:p>
        </w:tc>
        <w:tc>
          <w:tcPr>
            <w:tcW w:w="2194" w:type="dxa"/>
            <w:tcMar>
              <w:top w:w="60" w:type="dxa"/>
              <w:left w:w="90" w:type="dxa"/>
              <w:bottom w:w="60" w:type="dxa"/>
              <w:right w:w="90" w:type="dxa"/>
            </w:tcMar>
          </w:tcPr>
          <w:p w14:paraId="12497DFE" w14:textId="77777777" w:rsidR="00715AFA" w:rsidRDefault="00000000" w:rsidP="00816A47">
            <w:pPr>
              <w:spacing w:before="100" w:beforeAutospacing="1" w:after="100" w:afterAutospacing="1"/>
              <w:jc w:val="both"/>
            </w:pPr>
            <w:r>
              <w:rPr>
                <w:sz w:val="17"/>
                <w:szCs w:val="17"/>
              </w:rPr>
              <w:t>Partitioning that excludes publisher overlap between training and test sets; claim-level relabelling of a subsample</w:t>
            </w:r>
          </w:p>
        </w:tc>
        <w:tc>
          <w:tcPr>
            <w:tcW w:w="1737" w:type="dxa"/>
            <w:tcMar>
              <w:top w:w="60" w:type="dxa"/>
              <w:left w:w="90" w:type="dxa"/>
              <w:bottom w:w="60" w:type="dxa"/>
              <w:right w:w="90" w:type="dxa"/>
            </w:tcMar>
          </w:tcPr>
          <w:p w14:paraId="28734481" w14:textId="77777777" w:rsidR="00715AFA" w:rsidRDefault="00000000" w:rsidP="00816A47">
            <w:pPr>
              <w:spacing w:before="100" w:beforeAutospacing="1" w:after="100" w:afterAutospacing="1"/>
              <w:jc w:val="both"/>
            </w:pPr>
            <w:r>
              <w:rPr>
                <w:sz w:val="17"/>
                <w:szCs w:val="17"/>
              </w:rPr>
              <w:t>Bozarth and Budak (2020); Torabi Asr and Taboada (2019)</w:t>
            </w:r>
          </w:p>
        </w:tc>
      </w:tr>
      <w:tr w:rsidR="00715AFA" w14:paraId="489B39C8" w14:textId="77777777">
        <w:tc>
          <w:tcPr>
            <w:tcW w:w="1555" w:type="dxa"/>
            <w:tcMar>
              <w:top w:w="60" w:type="dxa"/>
              <w:left w:w="90" w:type="dxa"/>
              <w:bottom w:w="60" w:type="dxa"/>
              <w:right w:w="90" w:type="dxa"/>
            </w:tcMar>
          </w:tcPr>
          <w:p w14:paraId="50BD8EF7" w14:textId="77777777" w:rsidR="00715AFA" w:rsidRDefault="00000000" w:rsidP="00816A47">
            <w:pPr>
              <w:spacing w:before="100" w:beforeAutospacing="1" w:after="100" w:afterAutospacing="1"/>
              <w:jc w:val="both"/>
            </w:pPr>
            <w:r>
              <w:rPr>
                <w:sz w:val="17"/>
                <w:szCs w:val="17"/>
              </w:rPr>
              <w:t>Corpus-driven variance</w:t>
            </w:r>
          </w:p>
        </w:tc>
        <w:tc>
          <w:tcPr>
            <w:tcW w:w="2194" w:type="dxa"/>
            <w:tcMar>
              <w:top w:w="60" w:type="dxa"/>
              <w:left w:w="90" w:type="dxa"/>
              <w:bottom w:w="60" w:type="dxa"/>
              <w:right w:w="90" w:type="dxa"/>
            </w:tcMar>
          </w:tcPr>
          <w:p w14:paraId="13226BA1" w14:textId="77777777" w:rsidR="00715AFA" w:rsidRDefault="00000000" w:rsidP="00816A47">
            <w:pPr>
              <w:spacing w:before="100" w:beforeAutospacing="1" w:after="100" w:afterAutospacing="1"/>
              <w:jc w:val="both"/>
            </w:pPr>
            <w:r>
              <w:rPr>
                <w:sz w:val="17"/>
                <w:szCs w:val="17"/>
              </w:rPr>
              <w:t>Outcome differences attributed to architecture in fact arise from the corpus</w:t>
            </w:r>
          </w:p>
        </w:tc>
        <w:tc>
          <w:tcPr>
            <w:tcW w:w="1920" w:type="dxa"/>
            <w:tcMar>
              <w:top w:w="60" w:type="dxa"/>
              <w:left w:w="90" w:type="dxa"/>
              <w:bottom w:w="60" w:type="dxa"/>
              <w:right w:w="90" w:type="dxa"/>
            </w:tcMar>
          </w:tcPr>
          <w:p w14:paraId="2A87C76C" w14:textId="77777777" w:rsidR="00715AFA" w:rsidRDefault="00000000" w:rsidP="00816A47">
            <w:pPr>
              <w:spacing w:before="100" w:beforeAutospacing="1" w:after="100" w:afterAutospacing="1"/>
              <w:jc w:val="both"/>
            </w:pPr>
            <w:r>
              <w:rPr>
                <w:sz w:val="17"/>
                <w:szCs w:val="17"/>
              </w:rPr>
              <w:t>Demonstrated by holding the architecture fixed and varying the corpus</w:t>
            </w:r>
          </w:p>
        </w:tc>
        <w:tc>
          <w:tcPr>
            <w:tcW w:w="2194" w:type="dxa"/>
            <w:tcMar>
              <w:top w:w="60" w:type="dxa"/>
              <w:left w:w="90" w:type="dxa"/>
              <w:bottom w:w="60" w:type="dxa"/>
              <w:right w:w="90" w:type="dxa"/>
            </w:tcMar>
          </w:tcPr>
          <w:p w14:paraId="35FA3C19" w14:textId="77777777" w:rsidR="00715AFA" w:rsidRDefault="00000000" w:rsidP="00816A47">
            <w:pPr>
              <w:spacing w:before="100" w:beforeAutospacing="1" w:after="100" w:afterAutospacing="1"/>
              <w:jc w:val="both"/>
            </w:pPr>
            <w:r>
              <w:rPr>
                <w:sz w:val="17"/>
                <w:szCs w:val="17"/>
              </w:rPr>
              <w:t>Reporting the same architecture across several corpora rather than several architectures on one</w:t>
            </w:r>
          </w:p>
        </w:tc>
        <w:tc>
          <w:tcPr>
            <w:tcW w:w="1737" w:type="dxa"/>
            <w:tcMar>
              <w:top w:w="60" w:type="dxa"/>
              <w:left w:w="90" w:type="dxa"/>
              <w:bottom w:w="60" w:type="dxa"/>
              <w:right w:w="90" w:type="dxa"/>
            </w:tcMar>
          </w:tcPr>
          <w:p w14:paraId="5BE057F5" w14:textId="77777777" w:rsidR="00715AFA" w:rsidRDefault="00000000" w:rsidP="00816A47">
            <w:pPr>
              <w:spacing w:before="100" w:beforeAutospacing="1" w:after="100" w:afterAutospacing="1"/>
              <w:jc w:val="both"/>
            </w:pPr>
            <w:proofErr w:type="spellStart"/>
            <w:r>
              <w:rPr>
                <w:sz w:val="17"/>
                <w:szCs w:val="17"/>
              </w:rPr>
              <w:t>Kuntur</w:t>
            </w:r>
            <w:proofErr w:type="spellEnd"/>
            <w:r>
              <w:rPr>
                <w:sz w:val="17"/>
                <w:szCs w:val="17"/>
              </w:rPr>
              <w:t xml:space="preserve"> et al. (2026); </w:t>
            </w:r>
            <w:proofErr w:type="spellStart"/>
            <w:r>
              <w:rPr>
                <w:sz w:val="17"/>
                <w:szCs w:val="17"/>
              </w:rPr>
              <w:t>D’Ulizia</w:t>
            </w:r>
            <w:proofErr w:type="spellEnd"/>
            <w:r>
              <w:rPr>
                <w:sz w:val="17"/>
                <w:szCs w:val="17"/>
              </w:rPr>
              <w:t xml:space="preserve"> et al. (2021)</w:t>
            </w:r>
          </w:p>
        </w:tc>
      </w:tr>
      <w:tr w:rsidR="00715AFA" w14:paraId="077240DA" w14:textId="77777777">
        <w:tc>
          <w:tcPr>
            <w:tcW w:w="1555" w:type="dxa"/>
            <w:tcMar>
              <w:top w:w="60" w:type="dxa"/>
              <w:left w:w="90" w:type="dxa"/>
              <w:bottom w:w="60" w:type="dxa"/>
              <w:right w:w="90" w:type="dxa"/>
            </w:tcMar>
          </w:tcPr>
          <w:p w14:paraId="06047717" w14:textId="77777777" w:rsidR="00715AFA" w:rsidRDefault="00000000" w:rsidP="00816A47">
            <w:pPr>
              <w:spacing w:before="100" w:beforeAutospacing="1" w:after="100" w:afterAutospacing="1"/>
              <w:jc w:val="both"/>
            </w:pPr>
            <w:r>
              <w:rPr>
                <w:sz w:val="17"/>
                <w:szCs w:val="17"/>
              </w:rPr>
              <w:t>Temporal shift</w:t>
            </w:r>
          </w:p>
        </w:tc>
        <w:tc>
          <w:tcPr>
            <w:tcW w:w="2194" w:type="dxa"/>
            <w:tcMar>
              <w:top w:w="60" w:type="dxa"/>
              <w:left w:w="90" w:type="dxa"/>
              <w:bottom w:w="60" w:type="dxa"/>
              <w:right w:w="90" w:type="dxa"/>
            </w:tcMar>
          </w:tcPr>
          <w:p w14:paraId="74596121" w14:textId="77777777" w:rsidR="00715AFA" w:rsidRDefault="00000000" w:rsidP="00816A47">
            <w:pPr>
              <w:spacing w:before="100" w:beforeAutospacing="1" w:after="100" w:afterAutospacing="1"/>
              <w:jc w:val="both"/>
            </w:pPr>
            <w:r>
              <w:rPr>
                <w:sz w:val="17"/>
                <w:szCs w:val="17"/>
              </w:rPr>
              <w:t>Training and test items share period, topic mixture and entity distribution under random partitioning</w:t>
            </w:r>
          </w:p>
        </w:tc>
        <w:tc>
          <w:tcPr>
            <w:tcW w:w="1920" w:type="dxa"/>
            <w:tcMar>
              <w:top w:w="60" w:type="dxa"/>
              <w:left w:w="90" w:type="dxa"/>
              <w:bottom w:w="60" w:type="dxa"/>
              <w:right w:w="90" w:type="dxa"/>
            </w:tcMar>
          </w:tcPr>
          <w:p w14:paraId="23F01C89" w14:textId="77777777" w:rsidR="00715AFA" w:rsidRDefault="00000000" w:rsidP="00816A47">
            <w:pPr>
              <w:spacing w:before="100" w:beforeAutospacing="1" w:after="100" w:afterAutospacing="1"/>
              <w:jc w:val="both"/>
            </w:pPr>
            <w:r>
              <w:rPr>
                <w:sz w:val="17"/>
                <w:szCs w:val="17"/>
              </w:rPr>
              <w:t>Measured in several independent settings across time and across collection authorities</w:t>
            </w:r>
          </w:p>
        </w:tc>
        <w:tc>
          <w:tcPr>
            <w:tcW w:w="2194" w:type="dxa"/>
            <w:tcMar>
              <w:top w:w="60" w:type="dxa"/>
              <w:left w:w="90" w:type="dxa"/>
              <w:bottom w:w="60" w:type="dxa"/>
              <w:right w:w="90" w:type="dxa"/>
            </w:tcMar>
          </w:tcPr>
          <w:p w14:paraId="4D837CD3" w14:textId="77777777" w:rsidR="00715AFA" w:rsidRDefault="00000000" w:rsidP="00816A47">
            <w:pPr>
              <w:spacing w:before="100" w:beforeAutospacing="1" w:after="100" w:afterAutospacing="1"/>
              <w:jc w:val="both"/>
            </w:pPr>
            <w:r>
              <w:rPr>
                <w:sz w:val="17"/>
                <w:szCs w:val="17"/>
              </w:rPr>
              <w:t>Chronological partitioning with a held-out later period; multi-source benchmark evaluation</w:t>
            </w:r>
          </w:p>
        </w:tc>
        <w:tc>
          <w:tcPr>
            <w:tcW w:w="1737" w:type="dxa"/>
            <w:tcMar>
              <w:top w:w="60" w:type="dxa"/>
              <w:left w:w="90" w:type="dxa"/>
              <w:bottom w:w="60" w:type="dxa"/>
              <w:right w:w="90" w:type="dxa"/>
            </w:tcMar>
          </w:tcPr>
          <w:p w14:paraId="48588850" w14:textId="77777777" w:rsidR="00715AFA" w:rsidRDefault="00000000" w:rsidP="00816A47">
            <w:pPr>
              <w:spacing w:before="100" w:beforeAutospacing="1" w:after="100" w:afterAutospacing="1"/>
              <w:jc w:val="both"/>
            </w:pPr>
            <w:r>
              <w:rPr>
                <w:sz w:val="17"/>
                <w:szCs w:val="17"/>
              </w:rPr>
              <w:t>Horne et al. (2019); Li et al. (2024)</w:t>
            </w:r>
          </w:p>
        </w:tc>
      </w:tr>
      <w:tr w:rsidR="00715AFA" w14:paraId="7B3560D1" w14:textId="77777777">
        <w:tc>
          <w:tcPr>
            <w:tcW w:w="1555" w:type="dxa"/>
            <w:tcMar>
              <w:top w:w="60" w:type="dxa"/>
              <w:left w:w="90" w:type="dxa"/>
              <w:bottom w:w="60" w:type="dxa"/>
              <w:right w:w="90" w:type="dxa"/>
            </w:tcMar>
          </w:tcPr>
          <w:p w14:paraId="452EB23A" w14:textId="77777777" w:rsidR="00715AFA" w:rsidRDefault="00000000" w:rsidP="00816A47">
            <w:pPr>
              <w:spacing w:before="100" w:beforeAutospacing="1" w:after="100" w:afterAutospacing="1"/>
              <w:jc w:val="both"/>
            </w:pPr>
            <w:r>
              <w:rPr>
                <w:sz w:val="17"/>
                <w:szCs w:val="17"/>
              </w:rPr>
              <w:t>Entity and topical association</w:t>
            </w:r>
          </w:p>
        </w:tc>
        <w:tc>
          <w:tcPr>
            <w:tcW w:w="2194" w:type="dxa"/>
            <w:tcMar>
              <w:top w:w="60" w:type="dxa"/>
              <w:left w:w="90" w:type="dxa"/>
              <w:bottom w:w="60" w:type="dxa"/>
              <w:right w:w="90" w:type="dxa"/>
            </w:tcMar>
          </w:tcPr>
          <w:p w14:paraId="2B783C67" w14:textId="77777777" w:rsidR="00715AFA" w:rsidRDefault="00000000" w:rsidP="00816A47">
            <w:pPr>
              <w:spacing w:before="100" w:beforeAutospacing="1" w:after="100" w:afterAutospacing="1"/>
              <w:jc w:val="both"/>
            </w:pPr>
            <w:r>
              <w:rPr>
                <w:sz w:val="17"/>
                <w:szCs w:val="17"/>
              </w:rPr>
              <w:t>Named entities and topics correlated with one class in training carry that association forward</w:t>
            </w:r>
          </w:p>
        </w:tc>
        <w:tc>
          <w:tcPr>
            <w:tcW w:w="1920" w:type="dxa"/>
            <w:tcMar>
              <w:top w:w="60" w:type="dxa"/>
              <w:left w:w="90" w:type="dxa"/>
              <w:bottom w:w="60" w:type="dxa"/>
              <w:right w:w="90" w:type="dxa"/>
            </w:tcMar>
          </w:tcPr>
          <w:p w14:paraId="3EB21362" w14:textId="77777777" w:rsidR="00715AFA" w:rsidRDefault="00000000" w:rsidP="00816A47">
            <w:pPr>
              <w:spacing w:before="100" w:beforeAutospacing="1" w:after="100" w:afterAutospacing="1"/>
              <w:jc w:val="both"/>
            </w:pPr>
            <w:r>
              <w:rPr>
                <w:sz w:val="17"/>
                <w:szCs w:val="17"/>
              </w:rPr>
              <w:t>Demonstrated, with debiasing shown to improve later-period transfer</w:t>
            </w:r>
          </w:p>
        </w:tc>
        <w:tc>
          <w:tcPr>
            <w:tcW w:w="2194" w:type="dxa"/>
            <w:tcMar>
              <w:top w:w="60" w:type="dxa"/>
              <w:left w:w="90" w:type="dxa"/>
              <w:bottom w:w="60" w:type="dxa"/>
              <w:right w:w="90" w:type="dxa"/>
            </w:tcMar>
          </w:tcPr>
          <w:p w14:paraId="509E79E2" w14:textId="77777777" w:rsidR="00715AFA" w:rsidRDefault="00000000" w:rsidP="00816A47">
            <w:pPr>
              <w:spacing w:before="100" w:beforeAutospacing="1" w:after="100" w:afterAutospacing="1"/>
              <w:jc w:val="both"/>
            </w:pPr>
            <w:r>
              <w:rPr>
                <w:sz w:val="17"/>
                <w:szCs w:val="17"/>
              </w:rPr>
              <w:t>Evaluation on periods in which entity–label associations are known to have reversed; domain-stratified reporting</w:t>
            </w:r>
          </w:p>
        </w:tc>
        <w:tc>
          <w:tcPr>
            <w:tcW w:w="1737" w:type="dxa"/>
            <w:tcMar>
              <w:top w:w="60" w:type="dxa"/>
              <w:left w:w="90" w:type="dxa"/>
              <w:bottom w:w="60" w:type="dxa"/>
              <w:right w:w="90" w:type="dxa"/>
            </w:tcMar>
          </w:tcPr>
          <w:p w14:paraId="6AB6A06D" w14:textId="77777777" w:rsidR="00715AFA" w:rsidRDefault="00000000" w:rsidP="00816A47">
            <w:pPr>
              <w:spacing w:before="100" w:beforeAutospacing="1" w:after="100" w:afterAutospacing="1"/>
              <w:jc w:val="both"/>
            </w:pPr>
            <w:r>
              <w:rPr>
                <w:sz w:val="17"/>
                <w:szCs w:val="17"/>
              </w:rPr>
              <w:t>Nan et al. (2021); Silva et al. (2021); Zhu et al. (2022)</w:t>
            </w:r>
          </w:p>
        </w:tc>
      </w:tr>
      <w:tr w:rsidR="00715AFA" w14:paraId="21D29CC2" w14:textId="77777777">
        <w:tc>
          <w:tcPr>
            <w:tcW w:w="1555" w:type="dxa"/>
            <w:tcMar>
              <w:top w:w="60" w:type="dxa"/>
              <w:left w:w="90" w:type="dxa"/>
              <w:bottom w:w="60" w:type="dxa"/>
              <w:right w:w="90" w:type="dxa"/>
            </w:tcMar>
          </w:tcPr>
          <w:p w14:paraId="49D02F5B" w14:textId="77777777" w:rsidR="00715AFA" w:rsidRDefault="00000000" w:rsidP="00816A47">
            <w:pPr>
              <w:spacing w:before="100" w:beforeAutospacing="1" w:after="100" w:afterAutospacing="1"/>
              <w:jc w:val="both"/>
            </w:pPr>
            <w:r>
              <w:rPr>
                <w:sz w:val="17"/>
                <w:szCs w:val="17"/>
              </w:rPr>
              <w:t>Adversarial manipulation</w:t>
            </w:r>
          </w:p>
        </w:tc>
        <w:tc>
          <w:tcPr>
            <w:tcW w:w="2194" w:type="dxa"/>
            <w:tcMar>
              <w:top w:w="60" w:type="dxa"/>
              <w:left w:w="90" w:type="dxa"/>
              <w:bottom w:w="60" w:type="dxa"/>
              <w:right w:w="90" w:type="dxa"/>
            </w:tcMar>
          </w:tcPr>
          <w:p w14:paraId="52B59298" w14:textId="77777777" w:rsidR="00715AFA" w:rsidRDefault="00000000" w:rsidP="00816A47">
            <w:pPr>
              <w:spacing w:before="100" w:beforeAutospacing="1" w:after="100" w:afterAutospacing="1"/>
              <w:jc w:val="both"/>
            </w:pPr>
            <w:r>
              <w:rPr>
                <w:sz w:val="17"/>
                <w:szCs w:val="17"/>
              </w:rPr>
              <w:t>Features under partial control of the adversary, notably style and engagement, are treated as fixed properties</w:t>
            </w:r>
          </w:p>
        </w:tc>
        <w:tc>
          <w:tcPr>
            <w:tcW w:w="1920" w:type="dxa"/>
            <w:tcMar>
              <w:top w:w="60" w:type="dxa"/>
              <w:left w:w="90" w:type="dxa"/>
              <w:bottom w:w="60" w:type="dxa"/>
              <w:right w:w="90" w:type="dxa"/>
            </w:tcMar>
          </w:tcPr>
          <w:p w14:paraId="1AC5B793" w14:textId="77777777" w:rsidR="00715AFA" w:rsidRDefault="00000000" w:rsidP="00816A47">
            <w:pPr>
              <w:spacing w:before="100" w:beforeAutospacing="1" w:after="100" w:afterAutospacing="1"/>
              <w:jc w:val="both"/>
            </w:pPr>
            <w:r>
              <w:rPr>
                <w:sz w:val="17"/>
                <w:szCs w:val="17"/>
              </w:rPr>
              <w:t>Demonstrated for engagement manipulation and for generative style transfer; magnitude under realistic conditions not established</w:t>
            </w:r>
          </w:p>
        </w:tc>
        <w:tc>
          <w:tcPr>
            <w:tcW w:w="2194" w:type="dxa"/>
            <w:tcMar>
              <w:top w:w="60" w:type="dxa"/>
              <w:left w:w="90" w:type="dxa"/>
              <w:bottom w:w="60" w:type="dxa"/>
              <w:right w:w="90" w:type="dxa"/>
            </w:tcMar>
          </w:tcPr>
          <w:p w14:paraId="2E203A86" w14:textId="77777777" w:rsidR="00715AFA" w:rsidRDefault="00000000" w:rsidP="00816A47">
            <w:pPr>
              <w:spacing w:before="100" w:beforeAutospacing="1" w:after="100" w:afterAutospacing="1"/>
              <w:jc w:val="both"/>
            </w:pPr>
            <w:r>
              <w:rPr>
                <w:sz w:val="17"/>
                <w:szCs w:val="17"/>
              </w:rPr>
              <w:t>Reporting under specified manipulation budgets on both content and engagement channels</w:t>
            </w:r>
          </w:p>
        </w:tc>
        <w:tc>
          <w:tcPr>
            <w:tcW w:w="1737" w:type="dxa"/>
            <w:tcMar>
              <w:top w:w="60" w:type="dxa"/>
              <w:left w:w="90" w:type="dxa"/>
              <w:bottom w:w="60" w:type="dxa"/>
              <w:right w:w="90" w:type="dxa"/>
            </w:tcMar>
          </w:tcPr>
          <w:p w14:paraId="25720265" w14:textId="77777777" w:rsidR="00715AFA" w:rsidRDefault="00000000" w:rsidP="00816A47">
            <w:pPr>
              <w:spacing w:before="100" w:beforeAutospacing="1" w:after="100" w:afterAutospacing="1"/>
              <w:jc w:val="both"/>
            </w:pPr>
            <w:r>
              <w:rPr>
                <w:sz w:val="17"/>
                <w:szCs w:val="17"/>
              </w:rPr>
              <w:t>Khan et al. (2021); H. Wang et al. (2023); Wu et al. (2024)</w:t>
            </w:r>
          </w:p>
        </w:tc>
      </w:tr>
    </w:tbl>
    <w:p w14:paraId="27D47D91" w14:textId="77777777" w:rsidR="00715AFA" w:rsidRDefault="00000000" w:rsidP="00816A47">
      <w:pPr>
        <w:spacing w:before="100" w:beforeAutospacing="1" w:after="100" w:afterAutospacing="1"/>
        <w:jc w:val="both"/>
      </w:pPr>
      <w:r>
        <w:rPr>
          <w:i/>
          <w:iCs/>
          <w:sz w:val="18"/>
          <w:szCs w:val="18"/>
        </w:rPr>
        <w:t>Note. No abbreviations are used in this table. The mechanisms interact rather than acting additively, and their combined contribution to measured performance has not been quantified.</w:t>
      </w:r>
    </w:p>
    <w:p w14:paraId="1DE1FB45" w14:textId="77777777" w:rsidR="00715AFA" w:rsidRDefault="00000000" w:rsidP="00816A47">
      <w:pPr>
        <w:pStyle w:val="Heading1"/>
        <w:spacing w:before="100" w:beforeAutospacing="1" w:after="100" w:afterAutospacing="1"/>
        <w:jc w:val="both"/>
      </w:pPr>
      <w:r>
        <w:rPr>
          <w:b/>
          <w:bCs/>
          <w:color w:val="000000"/>
          <w:sz w:val="26"/>
          <w:szCs w:val="26"/>
        </w:rPr>
        <w:t>6. Generative Language Models as Threat and as Instrument</w:t>
      </w:r>
    </w:p>
    <w:p w14:paraId="01714682" w14:textId="77777777" w:rsidR="00715AFA" w:rsidRDefault="00000000" w:rsidP="00816A47">
      <w:pPr>
        <w:spacing w:before="100" w:beforeAutospacing="1" w:after="100" w:afterAutospacing="1"/>
        <w:jc w:val="both"/>
      </w:pPr>
      <w:r>
        <w:t>The arrival of capable generative language models altered the problem in two directions simultaneously. It lowered the cost of producing fluent false content at scale, and it supplied a new class of component for detection systems. The literature on both roles has grown quickly, and the quality of the evidence differs markedly between them.</w:t>
      </w:r>
    </w:p>
    <w:p w14:paraId="71AAA4CB" w14:textId="77777777" w:rsidR="00715AFA" w:rsidRDefault="00000000" w:rsidP="00816A47">
      <w:pPr>
        <w:pStyle w:val="Heading2"/>
        <w:spacing w:before="100" w:beforeAutospacing="1" w:after="100" w:afterAutospacing="1"/>
        <w:jc w:val="both"/>
      </w:pPr>
      <w:r>
        <w:rPr>
          <w:b/>
          <w:bCs/>
          <w:i/>
          <w:iCs/>
          <w:color w:val="000000"/>
          <w:sz w:val="23"/>
          <w:szCs w:val="23"/>
        </w:rPr>
        <w:t>6.1 Synthetic Misinformation and the Separation of Style from Substance</w:t>
      </w:r>
    </w:p>
    <w:p w14:paraId="3A80E919" w14:textId="77777777" w:rsidR="00715AFA" w:rsidRDefault="00000000" w:rsidP="00816A47">
      <w:pPr>
        <w:spacing w:before="100" w:beforeAutospacing="1" w:after="100" w:afterAutospacing="1"/>
        <w:jc w:val="both"/>
      </w:pPr>
      <w:r>
        <w:t>The threat argument rests on a specific mechanism rather than on volume alone. Detectors trained on human-authored corpora acquire an association between surface fluency, register and the label, because low-credibility outlets in those corpora tended to write differently from mainstream ones. A generative model breaks this association by producing false content in the register of credible reporting. Controlled demonstration of this effect showed that rewriting false items in a trustworthy style reduced detector accuracy, and that training procedures which explicitly separate style from substance recovered part of the loss (Wu et al., 2024). Systematic analysis of how the detection task itself changes when both machine-generated and human-written content circulate concluded that the conventional binary formulation is inadequate, because the provenance of the text and the truth of its claims are orthogonal properties that the standard task conflates (Su et al., 2024). A broader assessment of the field under these conditions identifies the same structural problem alongside the opportunities discussed below (Chen &amp; Shu, 2024).</w:t>
      </w:r>
    </w:p>
    <w:p w14:paraId="7E7B31EE" w14:textId="77777777" w:rsidR="00715AFA" w:rsidRDefault="00000000" w:rsidP="00816A47">
      <w:pPr>
        <w:spacing w:before="100" w:beforeAutospacing="1" w:after="100" w:afterAutospacing="1"/>
        <w:jc w:val="both"/>
      </w:pPr>
      <w:r>
        <w:t xml:space="preserve">A counterweight to the strongest versions of the threat argument comes from outside the detection literature. It has been argued that the marginal effect of generative models on the misinformation problem is likely to be smaller than commonly asserted, on the grounds that the binding constraint on the reach of false content is demand and distribution rather than the cost of production, and that the supply of misleading material was not previously limited by authoring capacity (Simon et al., 2023). This </w:t>
      </w:r>
      <w:r>
        <w:lastRenderedPageBreak/>
        <w:t>position is contested and does not dispute the specific technical finding that style-based detection cues are degraded by generative rewriting; the two claims operate at different levels. The reasonable synthesis is that the technical vulnerability of style-dependent detectors is demonstrated, whereas the population-level consequence of cheaper synthetic content is not established in either direction.</w:t>
      </w:r>
    </w:p>
    <w:p w14:paraId="57376D19" w14:textId="77777777" w:rsidR="00715AFA" w:rsidRDefault="00000000" w:rsidP="00816A47">
      <w:pPr>
        <w:pStyle w:val="Heading2"/>
        <w:spacing w:before="100" w:beforeAutospacing="1" w:after="100" w:afterAutospacing="1"/>
        <w:jc w:val="both"/>
      </w:pPr>
      <w:r>
        <w:rPr>
          <w:b/>
          <w:bCs/>
          <w:i/>
          <w:iCs/>
          <w:color w:val="000000"/>
          <w:sz w:val="23"/>
          <w:szCs w:val="23"/>
        </w:rPr>
        <w:t>6.2 Generative Models as Components of Detection Systems</w:t>
      </w:r>
    </w:p>
    <w:p w14:paraId="046138D2" w14:textId="77777777" w:rsidR="00715AFA" w:rsidRDefault="00000000" w:rsidP="00816A47">
      <w:pPr>
        <w:spacing w:before="100" w:beforeAutospacing="1" w:after="100" w:afterAutospacing="1"/>
        <w:jc w:val="both"/>
      </w:pPr>
      <w:r>
        <w:t>The instrumental role has produced the more robust findings. A systematic evaluation of the roles a large language model can play concluded that such models perform poorly when asked to issue veracity judgements directly, but improve a smaller supervised detector substantially when used to generate multi-perspective rationales that the detector consumes as additional input (Hu et al., 2024). This result is important because it separates two capabilities that are frequently conflated: the ability to reason about the plausibility, internal consistency and rhetorical structure of a claim, which the models display, and the ability to determine whether the claim is true, which requires evidence they may not possess. Related work extracting enhanced semantic representations with a generative model and passing them to a downstream classifier reported comparable benefits from the same division of labour (Ma et al., 2024). Systems that generate competing justifications and adjudicate between them have been proposed to produce explanations alongside verdicts, addressing the justification gap identified in the fact-checking literature (B. Wang et al., 2024).</w:t>
      </w:r>
    </w:p>
    <w:p w14:paraId="20CD7083" w14:textId="77777777" w:rsidR="00715AFA" w:rsidRDefault="00000000" w:rsidP="00816A47">
      <w:pPr>
        <w:spacing w:before="100" w:beforeAutospacing="1" w:after="100" w:afterAutospacing="1"/>
        <w:jc w:val="both"/>
      </w:pPr>
      <w:r>
        <w:t>Evidence is also accumulating in multilingual settings, where generative models offer a route around the scarcity of annotated data. A benchmark constructed for a South Asian language evaluated large language models for domain-agnostic and cross-lingual detection and reported usable performance in a setting with limited prior resources (Harris et al., 2025). Architectures integrating model-generated rationales with parameter-efficient adapters have been proposed specifically for multilingual transfer (Kim &amp; Yang, 2026), and reasoning-based multimodal systems have been developed for a low-resource Indian language pairing (</w:t>
      </w:r>
      <w:proofErr w:type="spellStart"/>
      <w:r>
        <w:t>LekshmiAmmal</w:t>
      </w:r>
      <w:proofErr w:type="spellEnd"/>
      <w:r>
        <w:t xml:space="preserve"> &amp; </w:t>
      </w:r>
      <w:proofErr w:type="spellStart"/>
      <w:r>
        <w:t>Madasamy</w:t>
      </w:r>
      <w:proofErr w:type="spellEnd"/>
      <w:r>
        <w:t>, 2025). A survey of the area documents the range of applications and notes that reporting practice in this subfield inherits the evaluation weaknesses described in Section 5 rather than correcting them (Papageorgiou et al., 2024), an observation echoed in a recent overview tracing the transition from earlier deep architectures to generative approaches (</w:t>
      </w:r>
      <w:proofErr w:type="spellStart"/>
      <w:r>
        <w:t>Elgammal</w:t>
      </w:r>
      <w:proofErr w:type="spellEnd"/>
      <w:r>
        <w:t xml:space="preserve"> &amp; Alhajj, 2026).</w:t>
      </w:r>
    </w:p>
    <w:p w14:paraId="0462091E" w14:textId="77777777" w:rsidR="00715AFA" w:rsidRDefault="00000000" w:rsidP="00816A47">
      <w:pPr>
        <w:spacing w:before="100" w:beforeAutospacing="1" w:after="100" w:afterAutospacing="1"/>
        <w:jc w:val="both"/>
      </w:pPr>
      <w:r>
        <w:t>Three cautions apply to this literature. Contamination is a live concern, because widely used benchmarks predate the models evaluated on them and may be present in pretraining corpora, and few studies address this. Cost and latency are rarely reported, although they determine feasibility at platform scale. Calibration is largely unexamined, despite being the property that matters most for a system intended to triage rather than to decide. Table 4 summarises the roles, the evidence supporting each and the specific limitation attaching to each, and indicates that the advisory and rationale-generating roles rest on stronger evidence than autonomous verdict production.</w:t>
      </w:r>
    </w:p>
    <w:p w14:paraId="400467DD" w14:textId="77777777" w:rsidR="00715AFA" w:rsidRDefault="00000000" w:rsidP="00816A47">
      <w:pPr>
        <w:spacing w:before="100" w:beforeAutospacing="1" w:after="100" w:afterAutospacing="1"/>
        <w:jc w:val="both"/>
      </w:pPr>
      <w:r>
        <w:rPr>
          <w:b/>
          <w:bCs/>
          <w:sz w:val="20"/>
          <w:szCs w:val="20"/>
        </w:rPr>
        <w:t>Table 4. Roles of generative language models in the detection pipeline, with the associated evidence and limitations.</w:t>
      </w:r>
    </w:p>
    <w:tbl>
      <w:tblPr>
        <w:tblW w:w="9600" w:type="dxa"/>
        <w:tblBorders>
          <w:top w:val="single" w:sz="4" w:space="0" w:color="666666"/>
          <w:left w:val="single" w:sz="2" w:space="0" w:color="999999"/>
          <w:bottom w:val="single" w:sz="4" w:space="0" w:color="666666"/>
          <w:right w:val="single" w:sz="2" w:space="0" w:color="999999"/>
          <w:insideH w:val="single" w:sz="2" w:space="0" w:color="999999"/>
          <w:insideV w:val="single" w:sz="2" w:space="0" w:color="999999"/>
        </w:tblBorders>
        <w:tblCellMar>
          <w:left w:w="10" w:type="dxa"/>
          <w:right w:w="10" w:type="dxa"/>
        </w:tblCellMar>
        <w:tblLook w:val="0000" w:firstRow="0" w:lastRow="0" w:firstColumn="0" w:lastColumn="0" w:noHBand="0" w:noVBand="0"/>
      </w:tblPr>
      <w:tblGrid>
        <w:gridCol w:w="1553"/>
        <w:gridCol w:w="2103"/>
        <w:gridCol w:w="1829"/>
        <w:gridCol w:w="2286"/>
        <w:gridCol w:w="1829"/>
      </w:tblGrid>
      <w:tr w:rsidR="00715AFA" w14:paraId="0C5950BA" w14:textId="77777777">
        <w:trPr>
          <w:tblHeader/>
        </w:trPr>
        <w:tc>
          <w:tcPr>
            <w:tcW w:w="1553" w:type="dxa"/>
            <w:shd w:val="clear" w:color="auto" w:fill="E8E8E8"/>
            <w:tcMar>
              <w:top w:w="60" w:type="dxa"/>
              <w:left w:w="90" w:type="dxa"/>
              <w:bottom w:w="60" w:type="dxa"/>
              <w:right w:w="90" w:type="dxa"/>
            </w:tcMar>
          </w:tcPr>
          <w:p w14:paraId="04116A52" w14:textId="77777777" w:rsidR="00715AFA" w:rsidRDefault="00000000" w:rsidP="00816A47">
            <w:pPr>
              <w:spacing w:before="100" w:beforeAutospacing="1" w:after="100" w:afterAutospacing="1"/>
              <w:jc w:val="both"/>
            </w:pPr>
            <w:r>
              <w:rPr>
                <w:b/>
                <w:bCs/>
                <w:sz w:val="17"/>
                <w:szCs w:val="17"/>
              </w:rPr>
              <w:t>Role</w:t>
            </w:r>
          </w:p>
        </w:tc>
        <w:tc>
          <w:tcPr>
            <w:tcW w:w="2103" w:type="dxa"/>
            <w:shd w:val="clear" w:color="auto" w:fill="E8E8E8"/>
            <w:tcMar>
              <w:top w:w="60" w:type="dxa"/>
              <w:left w:w="90" w:type="dxa"/>
              <w:bottom w:w="60" w:type="dxa"/>
              <w:right w:w="90" w:type="dxa"/>
            </w:tcMar>
          </w:tcPr>
          <w:p w14:paraId="2B2887E2" w14:textId="77777777" w:rsidR="00715AFA" w:rsidRDefault="00000000" w:rsidP="00816A47">
            <w:pPr>
              <w:spacing w:before="100" w:beforeAutospacing="1" w:after="100" w:afterAutospacing="1"/>
              <w:jc w:val="both"/>
            </w:pPr>
            <w:r>
              <w:rPr>
                <w:b/>
                <w:bCs/>
                <w:sz w:val="17"/>
                <w:szCs w:val="17"/>
              </w:rPr>
              <w:t>Function within the pipeline</w:t>
            </w:r>
          </w:p>
        </w:tc>
        <w:tc>
          <w:tcPr>
            <w:tcW w:w="1829" w:type="dxa"/>
            <w:shd w:val="clear" w:color="auto" w:fill="E8E8E8"/>
            <w:tcMar>
              <w:top w:w="60" w:type="dxa"/>
              <w:left w:w="90" w:type="dxa"/>
              <w:bottom w:w="60" w:type="dxa"/>
              <w:right w:w="90" w:type="dxa"/>
            </w:tcMar>
          </w:tcPr>
          <w:p w14:paraId="4CF1B681" w14:textId="77777777" w:rsidR="00715AFA" w:rsidRDefault="00000000" w:rsidP="00816A47">
            <w:pPr>
              <w:spacing w:before="100" w:beforeAutospacing="1" w:after="100" w:afterAutospacing="1"/>
              <w:jc w:val="both"/>
            </w:pPr>
            <w:r>
              <w:rPr>
                <w:b/>
                <w:bCs/>
                <w:sz w:val="17"/>
                <w:szCs w:val="17"/>
              </w:rPr>
              <w:t>Strength of evidence</w:t>
            </w:r>
          </w:p>
        </w:tc>
        <w:tc>
          <w:tcPr>
            <w:tcW w:w="2286" w:type="dxa"/>
            <w:shd w:val="clear" w:color="auto" w:fill="E8E8E8"/>
            <w:tcMar>
              <w:top w:w="60" w:type="dxa"/>
              <w:left w:w="90" w:type="dxa"/>
              <w:bottom w:w="60" w:type="dxa"/>
              <w:right w:w="90" w:type="dxa"/>
            </w:tcMar>
          </w:tcPr>
          <w:p w14:paraId="6FF33EB0" w14:textId="77777777" w:rsidR="00715AFA" w:rsidRDefault="00000000" w:rsidP="00816A47">
            <w:pPr>
              <w:spacing w:before="100" w:beforeAutospacing="1" w:after="100" w:afterAutospacing="1"/>
              <w:jc w:val="both"/>
            </w:pPr>
            <w:r>
              <w:rPr>
                <w:b/>
                <w:bCs/>
                <w:sz w:val="17"/>
                <w:szCs w:val="17"/>
              </w:rPr>
              <w:t>Principal limitation</w:t>
            </w:r>
          </w:p>
        </w:tc>
        <w:tc>
          <w:tcPr>
            <w:tcW w:w="1829" w:type="dxa"/>
            <w:shd w:val="clear" w:color="auto" w:fill="E8E8E8"/>
            <w:tcMar>
              <w:top w:w="60" w:type="dxa"/>
              <w:left w:w="90" w:type="dxa"/>
              <w:bottom w:w="60" w:type="dxa"/>
              <w:right w:w="90" w:type="dxa"/>
            </w:tcMar>
          </w:tcPr>
          <w:p w14:paraId="61B8DF3F" w14:textId="77777777" w:rsidR="00715AFA" w:rsidRDefault="00000000" w:rsidP="00816A47">
            <w:pPr>
              <w:spacing w:before="100" w:beforeAutospacing="1" w:after="100" w:afterAutospacing="1"/>
              <w:jc w:val="both"/>
            </w:pPr>
            <w:r>
              <w:rPr>
                <w:b/>
                <w:bCs/>
                <w:sz w:val="17"/>
                <w:szCs w:val="17"/>
              </w:rPr>
              <w:t>Supporting references</w:t>
            </w:r>
          </w:p>
        </w:tc>
      </w:tr>
      <w:tr w:rsidR="00715AFA" w14:paraId="4492C597" w14:textId="77777777">
        <w:tc>
          <w:tcPr>
            <w:tcW w:w="1553" w:type="dxa"/>
            <w:tcMar>
              <w:top w:w="60" w:type="dxa"/>
              <w:left w:w="90" w:type="dxa"/>
              <w:bottom w:w="60" w:type="dxa"/>
              <w:right w:w="90" w:type="dxa"/>
            </w:tcMar>
          </w:tcPr>
          <w:p w14:paraId="597AA511" w14:textId="77777777" w:rsidR="00715AFA" w:rsidRDefault="00000000" w:rsidP="00816A47">
            <w:pPr>
              <w:spacing w:before="100" w:beforeAutospacing="1" w:after="100" w:afterAutospacing="1"/>
              <w:jc w:val="both"/>
            </w:pPr>
            <w:r>
              <w:rPr>
                <w:sz w:val="17"/>
                <w:szCs w:val="17"/>
              </w:rPr>
              <w:t>Autonomous verdict production</w:t>
            </w:r>
          </w:p>
        </w:tc>
        <w:tc>
          <w:tcPr>
            <w:tcW w:w="2103" w:type="dxa"/>
            <w:tcMar>
              <w:top w:w="60" w:type="dxa"/>
              <w:left w:w="90" w:type="dxa"/>
              <w:bottom w:w="60" w:type="dxa"/>
              <w:right w:w="90" w:type="dxa"/>
            </w:tcMar>
          </w:tcPr>
          <w:p w14:paraId="511B718A" w14:textId="77777777" w:rsidR="00715AFA" w:rsidRDefault="00000000" w:rsidP="00816A47">
            <w:pPr>
              <w:spacing w:before="100" w:beforeAutospacing="1" w:after="100" w:afterAutospacing="1"/>
              <w:jc w:val="both"/>
            </w:pPr>
            <w:r>
              <w:rPr>
                <w:sz w:val="17"/>
                <w:szCs w:val="17"/>
              </w:rPr>
              <w:t>Model asked directly whether an item is true or false</w:t>
            </w:r>
          </w:p>
        </w:tc>
        <w:tc>
          <w:tcPr>
            <w:tcW w:w="1829" w:type="dxa"/>
            <w:tcMar>
              <w:top w:w="60" w:type="dxa"/>
              <w:left w:w="90" w:type="dxa"/>
              <w:bottom w:w="60" w:type="dxa"/>
              <w:right w:w="90" w:type="dxa"/>
            </w:tcMar>
          </w:tcPr>
          <w:p w14:paraId="24DF9858" w14:textId="77777777" w:rsidR="00715AFA" w:rsidRDefault="00000000" w:rsidP="00816A47">
            <w:pPr>
              <w:spacing w:before="100" w:beforeAutospacing="1" w:after="100" w:afterAutospacing="1"/>
              <w:jc w:val="both"/>
            </w:pPr>
            <w:r>
              <w:rPr>
                <w:sz w:val="17"/>
                <w:szCs w:val="17"/>
              </w:rPr>
              <w:t>Weak; systematic evaluation found direct judgement inferior to a smaller supervised detector</w:t>
            </w:r>
          </w:p>
        </w:tc>
        <w:tc>
          <w:tcPr>
            <w:tcW w:w="2286" w:type="dxa"/>
            <w:tcMar>
              <w:top w:w="60" w:type="dxa"/>
              <w:left w:w="90" w:type="dxa"/>
              <w:bottom w:w="60" w:type="dxa"/>
              <w:right w:w="90" w:type="dxa"/>
            </w:tcMar>
          </w:tcPr>
          <w:p w14:paraId="30E4404F" w14:textId="77777777" w:rsidR="00715AFA" w:rsidRDefault="00000000" w:rsidP="00816A47">
            <w:pPr>
              <w:spacing w:before="100" w:beforeAutospacing="1" w:after="100" w:afterAutospacing="1"/>
              <w:jc w:val="both"/>
            </w:pPr>
            <w:r>
              <w:rPr>
                <w:sz w:val="17"/>
                <w:szCs w:val="17"/>
              </w:rPr>
              <w:t>No access to contemporaneous evidence; calibration largely unreported; benchmark contamination unaddressed</w:t>
            </w:r>
          </w:p>
        </w:tc>
        <w:tc>
          <w:tcPr>
            <w:tcW w:w="1829" w:type="dxa"/>
            <w:tcMar>
              <w:top w:w="60" w:type="dxa"/>
              <w:left w:w="90" w:type="dxa"/>
              <w:bottom w:w="60" w:type="dxa"/>
              <w:right w:w="90" w:type="dxa"/>
            </w:tcMar>
          </w:tcPr>
          <w:p w14:paraId="3F83F675" w14:textId="77777777" w:rsidR="00715AFA" w:rsidRDefault="00000000" w:rsidP="00816A47">
            <w:pPr>
              <w:spacing w:before="100" w:beforeAutospacing="1" w:after="100" w:afterAutospacing="1"/>
              <w:jc w:val="both"/>
            </w:pPr>
            <w:r>
              <w:rPr>
                <w:sz w:val="17"/>
                <w:szCs w:val="17"/>
              </w:rPr>
              <w:t>Chen and Shu (2024); Hu et al. (2024)</w:t>
            </w:r>
          </w:p>
        </w:tc>
      </w:tr>
      <w:tr w:rsidR="00715AFA" w14:paraId="4FD3DBA7" w14:textId="77777777">
        <w:tc>
          <w:tcPr>
            <w:tcW w:w="1553" w:type="dxa"/>
            <w:tcMar>
              <w:top w:w="60" w:type="dxa"/>
              <w:left w:w="90" w:type="dxa"/>
              <w:bottom w:w="60" w:type="dxa"/>
              <w:right w:w="90" w:type="dxa"/>
            </w:tcMar>
          </w:tcPr>
          <w:p w14:paraId="4DB2F896" w14:textId="77777777" w:rsidR="00715AFA" w:rsidRDefault="00000000" w:rsidP="00816A47">
            <w:pPr>
              <w:spacing w:before="100" w:beforeAutospacing="1" w:after="100" w:afterAutospacing="1"/>
              <w:jc w:val="both"/>
            </w:pPr>
            <w:r>
              <w:rPr>
                <w:sz w:val="17"/>
                <w:szCs w:val="17"/>
              </w:rPr>
              <w:t>Rationale and semantic augmentation</w:t>
            </w:r>
          </w:p>
        </w:tc>
        <w:tc>
          <w:tcPr>
            <w:tcW w:w="2103" w:type="dxa"/>
            <w:tcMar>
              <w:top w:w="60" w:type="dxa"/>
              <w:left w:w="90" w:type="dxa"/>
              <w:bottom w:w="60" w:type="dxa"/>
              <w:right w:w="90" w:type="dxa"/>
            </w:tcMar>
          </w:tcPr>
          <w:p w14:paraId="65F77E50" w14:textId="77777777" w:rsidR="00715AFA" w:rsidRDefault="00000000" w:rsidP="00816A47">
            <w:pPr>
              <w:spacing w:before="100" w:beforeAutospacing="1" w:after="100" w:afterAutospacing="1"/>
              <w:jc w:val="both"/>
            </w:pPr>
            <w:r>
              <w:rPr>
                <w:sz w:val="17"/>
                <w:szCs w:val="17"/>
              </w:rPr>
              <w:t>Model generates multi-perspective commentary or enhanced representations consumed by a supervised detector</w:t>
            </w:r>
          </w:p>
        </w:tc>
        <w:tc>
          <w:tcPr>
            <w:tcW w:w="1829" w:type="dxa"/>
            <w:tcMar>
              <w:top w:w="60" w:type="dxa"/>
              <w:left w:w="90" w:type="dxa"/>
              <w:bottom w:w="60" w:type="dxa"/>
              <w:right w:w="90" w:type="dxa"/>
            </w:tcMar>
          </w:tcPr>
          <w:p w14:paraId="62B5AB83" w14:textId="77777777" w:rsidR="00715AFA" w:rsidRDefault="00000000" w:rsidP="00816A47">
            <w:pPr>
              <w:spacing w:before="100" w:beforeAutospacing="1" w:after="100" w:afterAutospacing="1"/>
              <w:jc w:val="both"/>
            </w:pPr>
            <w:r>
              <w:rPr>
                <w:sz w:val="17"/>
                <w:szCs w:val="17"/>
              </w:rPr>
              <w:t>Moderate to strong; independent studies report consistent gains from this division of labour</w:t>
            </w:r>
          </w:p>
        </w:tc>
        <w:tc>
          <w:tcPr>
            <w:tcW w:w="2286" w:type="dxa"/>
            <w:tcMar>
              <w:top w:w="60" w:type="dxa"/>
              <w:left w:w="90" w:type="dxa"/>
              <w:bottom w:w="60" w:type="dxa"/>
              <w:right w:w="90" w:type="dxa"/>
            </w:tcMar>
          </w:tcPr>
          <w:p w14:paraId="6E81A25E" w14:textId="77777777" w:rsidR="00715AFA" w:rsidRDefault="00000000" w:rsidP="00816A47">
            <w:pPr>
              <w:spacing w:before="100" w:beforeAutospacing="1" w:after="100" w:afterAutospacing="1"/>
              <w:jc w:val="both"/>
            </w:pPr>
            <w:r>
              <w:rPr>
                <w:sz w:val="17"/>
                <w:szCs w:val="17"/>
              </w:rPr>
              <w:t>Quality of the rationale is not itself validated; gains measured within corpus</w:t>
            </w:r>
          </w:p>
        </w:tc>
        <w:tc>
          <w:tcPr>
            <w:tcW w:w="1829" w:type="dxa"/>
            <w:tcMar>
              <w:top w:w="60" w:type="dxa"/>
              <w:left w:w="90" w:type="dxa"/>
              <w:bottom w:w="60" w:type="dxa"/>
              <w:right w:w="90" w:type="dxa"/>
            </w:tcMar>
          </w:tcPr>
          <w:p w14:paraId="7E3EF1EC" w14:textId="77777777" w:rsidR="00715AFA" w:rsidRDefault="00000000" w:rsidP="00816A47">
            <w:pPr>
              <w:spacing w:before="100" w:beforeAutospacing="1" w:after="100" w:afterAutospacing="1"/>
              <w:jc w:val="both"/>
            </w:pPr>
            <w:r>
              <w:rPr>
                <w:sz w:val="17"/>
                <w:szCs w:val="17"/>
              </w:rPr>
              <w:t>Hu et al. (2024); Ma et al. (2024)</w:t>
            </w:r>
          </w:p>
        </w:tc>
      </w:tr>
      <w:tr w:rsidR="00715AFA" w14:paraId="28F51D15" w14:textId="77777777">
        <w:tc>
          <w:tcPr>
            <w:tcW w:w="1553" w:type="dxa"/>
            <w:tcMar>
              <w:top w:w="60" w:type="dxa"/>
              <w:left w:w="90" w:type="dxa"/>
              <w:bottom w:w="60" w:type="dxa"/>
              <w:right w:w="90" w:type="dxa"/>
            </w:tcMar>
          </w:tcPr>
          <w:p w14:paraId="0D9E6552" w14:textId="77777777" w:rsidR="00715AFA" w:rsidRDefault="00000000" w:rsidP="00816A47">
            <w:pPr>
              <w:spacing w:before="100" w:beforeAutospacing="1" w:after="100" w:afterAutospacing="1"/>
              <w:jc w:val="both"/>
            </w:pPr>
            <w:r>
              <w:rPr>
                <w:sz w:val="17"/>
                <w:szCs w:val="17"/>
              </w:rPr>
              <w:lastRenderedPageBreak/>
              <w:t>Justification generation</w:t>
            </w:r>
          </w:p>
        </w:tc>
        <w:tc>
          <w:tcPr>
            <w:tcW w:w="2103" w:type="dxa"/>
            <w:tcMar>
              <w:top w:w="60" w:type="dxa"/>
              <w:left w:w="90" w:type="dxa"/>
              <w:bottom w:w="60" w:type="dxa"/>
              <w:right w:w="90" w:type="dxa"/>
            </w:tcMar>
          </w:tcPr>
          <w:p w14:paraId="10A1B17D" w14:textId="77777777" w:rsidR="00715AFA" w:rsidRDefault="00000000" w:rsidP="00816A47">
            <w:pPr>
              <w:spacing w:before="100" w:beforeAutospacing="1" w:after="100" w:afterAutospacing="1"/>
              <w:jc w:val="both"/>
            </w:pPr>
            <w:r>
              <w:rPr>
                <w:sz w:val="17"/>
                <w:szCs w:val="17"/>
              </w:rPr>
              <w:t>Model produces the reasoning presented alongside a verdict, including competing arguments</w:t>
            </w:r>
          </w:p>
        </w:tc>
        <w:tc>
          <w:tcPr>
            <w:tcW w:w="1829" w:type="dxa"/>
            <w:tcMar>
              <w:top w:w="60" w:type="dxa"/>
              <w:left w:w="90" w:type="dxa"/>
              <w:bottom w:w="60" w:type="dxa"/>
              <w:right w:w="90" w:type="dxa"/>
            </w:tcMar>
          </w:tcPr>
          <w:p w14:paraId="2622D2D1" w14:textId="77777777" w:rsidR="00715AFA" w:rsidRDefault="00000000" w:rsidP="00816A47">
            <w:pPr>
              <w:spacing w:before="100" w:beforeAutospacing="1" w:after="100" w:afterAutospacing="1"/>
              <w:jc w:val="both"/>
            </w:pPr>
            <w:r>
              <w:rPr>
                <w:sz w:val="17"/>
                <w:szCs w:val="17"/>
              </w:rPr>
              <w:t>Moderate; addresses a gap identified in the fact-checking literature but evaluated less rigorously than verdict accuracy</w:t>
            </w:r>
          </w:p>
        </w:tc>
        <w:tc>
          <w:tcPr>
            <w:tcW w:w="2286" w:type="dxa"/>
            <w:tcMar>
              <w:top w:w="60" w:type="dxa"/>
              <w:left w:w="90" w:type="dxa"/>
              <w:bottom w:w="60" w:type="dxa"/>
              <w:right w:w="90" w:type="dxa"/>
            </w:tcMar>
          </w:tcPr>
          <w:p w14:paraId="20FE5D91" w14:textId="77777777" w:rsidR="00715AFA" w:rsidRDefault="00000000" w:rsidP="00816A47">
            <w:pPr>
              <w:spacing w:before="100" w:beforeAutospacing="1" w:after="100" w:afterAutospacing="1"/>
              <w:jc w:val="both"/>
            </w:pPr>
            <w:r>
              <w:rPr>
                <w:sz w:val="17"/>
                <w:szCs w:val="17"/>
              </w:rPr>
              <w:t>Explanation faithfulness is difficult to assess; plausible justifications may accompany incorrect verdicts</w:t>
            </w:r>
          </w:p>
        </w:tc>
        <w:tc>
          <w:tcPr>
            <w:tcW w:w="1829" w:type="dxa"/>
            <w:tcMar>
              <w:top w:w="60" w:type="dxa"/>
              <w:left w:w="90" w:type="dxa"/>
              <w:bottom w:w="60" w:type="dxa"/>
              <w:right w:w="90" w:type="dxa"/>
            </w:tcMar>
          </w:tcPr>
          <w:p w14:paraId="59583BA5" w14:textId="77777777" w:rsidR="00715AFA" w:rsidRDefault="00000000" w:rsidP="00816A47">
            <w:pPr>
              <w:spacing w:before="100" w:beforeAutospacing="1" w:after="100" w:afterAutospacing="1"/>
              <w:jc w:val="both"/>
            </w:pPr>
            <w:proofErr w:type="spellStart"/>
            <w:r>
              <w:rPr>
                <w:sz w:val="17"/>
                <w:szCs w:val="17"/>
              </w:rPr>
              <w:t>Kotonya</w:t>
            </w:r>
            <w:proofErr w:type="spellEnd"/>
            <w:r>
              <w:rPr>
                <w:sz w:val="17"/>
                <w:szCs w:val="17"/>
              </w:rPr>
              <w:t xml:space="preserve"> and Toni (2020); B. Wang et al. (2024)</w:t>
            </w:r>
          </w:p>
        </w:tc>
      </w:tr>
      <w:tr w:rsidR="00715AFA" w14:paraId="515E43FE" w14:textId="77777777">
        <w:tc>
          <w:tcPr>
            <w:tcW w:w="1553" w:type="dxa"/>
            <w:tcMar>
              <w:top w:w="60" w:type="dxa"/>
              <w:left w:w="90" w:type="dxa"/>
              <w:bottom w:w="60" w:type="dxa"/>
              <w:right w:w="90" w:type="dxa"/>
            </w:tcMar>
          </w:tcPr>
          <w:p w14:paraId="5E6976EF" w14:textId="77777777" w:rsidR="00715AFA" w:rsidRDefault="00000000" w:rsidP="00816A47">
            <w:pPr>
              <w:spacing w:before="100" w:beforeAutospacing="1" w:after="100" w:afterAutospacing="1"/>
              <w:jc w:val="both"/>
            </w:pPr>
            <w:r>
              <w:rPr>
                <w:sz w:val="17"/>
                <w:szCs w:val="17"/>
              </w:rPr>
              <w:t>Multilingual and low-resource transfer</w:t>
            </w:r>
          </w:p>
        </w:tc>
        <w:tc>
          <w:tcPr>
            <w:tcW w:w="2103" w:type="dxa"/>
            <w:tcMar>
              <w:top w:w="60" w:type="dxa"/>
              <w:left w:w="90" w:type="dxa"/>
              <w:bottom w:w="60" w:type="dxa"/>
              <w:right w:w="90" w:type="dxa"/>
            </w:tcMar>
          </w:tcPr>
          <w:p w14:paraId="0F049388" w14:textId="77777777" w:rsidR="00715AFA" w:rsidRDefault="00000000" w:rsidP="00816A47">
            <w:pPr>
              <w:spacing w:before="100" w:beforeAutospacing="1" w:after="100" w:afterAutospacing="1"/>
              <w:jc w:val="both"/>
            </w:pPr>
            <w:r>
              <w:rPr>
                <w:sz w:val="17"/>
                <w:szCs w:val="17"/>
              </w:rPr>
              <w:t>Model supplies annotation, rationales or representations where labelled data is scarce</w:t>
            </w:r>
          </w:p>
        </w:tc>
        <w:tc>
          <w:tcPr>
            <w:tcW w:w="1829" w:type="dxa"/>
            <w:tcMar>
              <w:top w:w="60" w:type="dxa"/>
              <w:left w:w="90" w:type="dxa"/>
              <w:bottom w:w="60" w:type="dxa"/>
              <w:right w:w="90" w:type="dxa"/>
            </w:tcMar>
          </w:tcPr>
          <w:p w14:paraId="3D9C80AE" w14:textId="77777777" w:rsidR="00715AFA" w:rsidRDefault="00000000" w:rsidP="00816A47">
            <w:pPr>
              <w:spacing w:before="100" w:beforeAutospacing="1" w:after="100" w:afterAutospacing="1"/>
              <w:jc w:val="both"/>
            </w:pPr>
            <w:r>
              <w:rPr>
                <w:sz w:val="17"/>
                <w:szCs w:val="17"/>
              </w:rPr>
              <w:t>Emerging; usable performance reported in several previously under-served languages</w:t>
            </w:r>
          </w:p>
        </w:tc>
        <w:tc>
          <w:tcPr>
            <w:tcW w:w="2286" w:type="dxa"/>
            <w:tcMar>
              <w:top w:w="60" w:type="dxa"/>
              <w:left w:w="90" w:type="dxa"/>
              <w:bottom w:w="60" w:type="dxa"/>
              <w:right w:w="90" w:type="dxa"/>
            </w:tcMar>
          </w:tcPr>
          <w:p w14:paraId="3801567F" w14:textId="77777777" w:rsidR="00715AFA" w:rsidRDefault="00000000" w:rsidP="00816A47">
            <w:pPr>
              <w:spacing w:before="100" w:beforeAutospacing="1" w:after="100" w:afterAutospacing="1"/>
              <w:jc w:val="both"/>
            </w:pPr>
            <w:r>
              <w:rPr>
                <w:sz w:val="17"/>
                <w:szCs w:val="17"/>
              </w:rPr>
              <w:t>Small number of studies per language; evaluation practice inherits the weaknesses described in Section 5</w:t>
            </w:r>
          </w:p>
        </w:tc>
        <w:tc>
          <w:tcPr>
            <w:tcW w:w="1829" w:type="dxa"/>
            <w:tcMar>
              <w:top w:w="60" w:type="dxa"/>
              <w:left w:w="90" w:type="dxa"/>
              <w:bottom w:w="60" w:type="dxa"/>
              <w:right w:w="90" w:type="dxa"/>
            </w:tcMar>
          </w:tcPr>
          <w:p w14:paraId="26602453" w14:textId="77777777" w:rsidR="00715AFA" w:rsidRDefault="00000000" w:rsidP="00816A47">
            <w:pPr>
              <w:spacing w:before="100" w:beforeAutospacing="1" w:after="100" w:afterAutospacing="1"/>
              <w:jc w:val="both"/>
            </w:pPr>
            <w:r>
              <w:rPr>
                <w:sz w:val="17"/>
                <w:szCs w:val="17"/>
              </w:rPr>
              <w:t xml:space="preserve">Harris et al. (2025); Kim and Yang (2026); </w:t>
            </w:r>
            <w:proofErr w:type="spellStart"/>
            <w:r>
              <w:rPr>
                <w:sz w:val="17"/>
                <w:szCs w:val="17"/>
              </w:rPr>
              <w:t>LekshmiAmmal</w:t>
            </w:r>
            <w:proofErr w:type="spellEnd"/>
            <w:r>
              <w:rPr>
                <w:sz w:val="17"/>
                <w:szCs w:val="17"/>
              </w:rPr>
              <w:t xml:space="preserve"> and </w:t>
            </w:r>
            <w:proofErr w:type="spellStart"/>
            <w:r>
              <w:rPr>
                <w:sz w:val="17"/>
                <w:szCs w:val="17"/>
              </w:rPr>
              <w:t>Madasamy</w:t>
            </w:r>
            <w:proofErr w:type="spellEnd"/>
            <w:r>
              <w:rPr>
                <w:sz w:val="17"/>
                <w:szCs w:val="17"/>
              </w:rPr>
              <w:t xml:space="preserve"> (2025)</w:t>
            </w:r>
          </w:p>
        </w:tc>
      </w:tr>
      <w:tr w:rsidR="00715AFA" w14:paraId="33F75C9A" w14:textId="77777777">
        <w:tc>
          <w:tcPr>
            <w:tcW w:w="1553" w:type="dxa"/>
            <w:tcMar>
              <w:top w:w="60" w:type="dxa"/>
              <w:left w:w="90" w:type="dxa"/>
              <w:bottom w:w="60" w:type="dxa"/>
              <w:right w:w="90" w:type="dxa"/>
            </w:tcMar>
          </w:tcPr>
          <w:p w14:paraId="286337D3" w14:textId="77777777" w:rsidR="00715AFA" w:rsidRDefault="00000000" w:rsidP="00816A47">
            <w:pPr>
              <w:spacing w:before="100" w:beforeAutospacing="1" w:after="100" w:afterAutospacing="1"/>
              <w:jc w:val="both"/>
            </w:pPr>
            <w:r>
              <w:rPr>
                <w:sz w:val="17"/>
                <w:szCs w:val="17"/>
              </w:rPr>
              <w:t>Adversarial generation</w:t>
            </w:r>
          </w:p>
        </w:tc>
        <w:tc>
          <w:tcPr>
            <w:tcW w:w="2103" w:type="dxa"/>
            <w:tcMar>
              <w:top w:w="60" w:type="dxa"/>
              <w:left w:w="90" w:type="dxa"/>
              <w:bottom w:w="60" w:type="dxa"/>
              <w:right w:w="90" w:type="dxa"/>
            </w:tcMar>
          </w:tcPr>
          <w:p w14:paraId="0161573F" w14:textId="77777777" w:rsidR="00715AFA" w:rsidRDefault="00000000" w:rsidP="00816A47">
            <w:pPr>
              <w:spacing w:before="100" w:beforeAutospacing="1" w:after="100" w:afterAutospacing="1"/>
              <w:jc w:val="both"/>
            </w:pPr>
            <w:r>
              <w:rPr>
                <w:sz w:val="17"/>
                <w:szCs w:val="17"/>
              </w:rPr>
              <w:t>Model used to restyle false content in a credible register</w:t>
            </w:r>
          </w:p>
        </w:tc>
        <w:tc>
          <w:tcPr>
            <w:tcW w:w="1829" w:type="dxa"/>
            <w:tcMar>
              <w:top w:w="60" w:type="dxa"/>
              <w:left w:w="90" w:type="dxa"/>
              <w:bottom w:w="60" w:type="dxa"/>
              <w:right w:w="90" w:type="dxa"/>
            </w:tcMar>
          </w:tcPr>
          <w:p w14:paraId="0E5CCB34" w14:textId="77777777" w:rsidR="00715AFA" w:rsidRDefault="00000000" w:rsidP="00816A47">
            <w:pPr>
              <w:spacing w:before="100" w:beforeAutospacing="1" w:after="100" w:afterAutospacing="1"/>
              <w:jc w:val="both"/>
            </w:pPr>
            <w:r>
              <w:rPr>
                <w:sz w:val="17"/>
                <w:szCs w:val="17"/>
              </w:rPr>
              <w:t>Demonstrated; measurable degradation of style-sensitive detectors</w:t>
            </w:r>
          </w:p>
        </w:tc>
        <w:tc>
          <w:tcPr>
            <w:tcW w:w="2286" w:type="dxa"/>
            <w:tcMar>
              <w:top w:w="60" w:type="dxa"/>
              <w:left w:w="90" w:type="dxa"/>
              <w:bottom w:w="60" w:type="dxa"/>
              <w:right w:w="90" w:type="dxa"/>
            </w:tcMar>
          </w:tcPr>
          <w:p w14:paraId="18EC5007" w14:textId="77777777" w:rsidR="00715AFA" w:rsidRDefault="00000000" w:rsidP="00816A47">
            <w:pPr>
              <w:spacing w:before="100" w:beforeAutospacing="1" w:after="100" w:afterAutospacing="1"/>
              <w:jc w:val="both"/>
            </w:pPr>
            <w:r>
              <w:rPr>
                <w:sz w:val="17"/>
                <w:szCs w:val="17"/>
              </w:rPr>
              <w:t>Population-level consequence for exposure and belief not established</w:t>
            </w:r>
          </w:p>
        </w:tc>
        <w:tc>
          <w:tcPr>
            <w:tcW w:w="1829" w:type="dxa"/>
            <w:tcMar>
              <w:top w:w="60" w:type="dxa"/>
              <w:left w:w="90" w:type="dxa"/>
              <w:bottom w:w="60" w:type="dxa"/>
              <w:right w:w="90" w:type="dxa"/>
            </w:tcMar>
          </w:tcPr>
          <w:p w14:paraId="3CC6DC1F" w14:textId="77777777" w:rsidR="00715AFA" w:rsidRDefault="00000000" w:rsidP="00816A47">
            <w:pPr>
              <w:spacing w:before="100" w:beforeAutospacing="1" w:after="100" w:afterAutospacing="1"/>
              <w:jc w:val="both"/>
            </w:pPr>
            <w:r>
              <w:rPr>
                <w:sz w:val="17"/>
                <w:szCs w:val="17"/>
              </w:rPr>
              <w:t>Simon et al. (2023); Su et al. (2024); Wu et al. (2024)</w:t>
            </w:r>
          </w:p>
        </w:tc>
      </w:tr>
    </w:tbl>
    <w:p w14:paraId="33A85F1B" w14:textId="77777777" w:rsidR="00715AFA" w:rsidRDefault="00000000" w:rsidP="00816A47">
      <w:pPr>
        <w:spacing w:before="100" w:beforeAutospacing="1" w:after="100" w:afterAutospacing="1"/>
        <w:jc w:val="both"/>
      </w:pPr>
      <w:r>
        <w:rPr>
          <w:i/>
          <w:iCs/>
          <w:sz w:val="18"/>
          <w:szCs w:val="18"/>
        </w:rPr>
        <w:t>Note. LLM = large language model. Strength of evidence refers to the number of independent studies and the diversity of evaluation settings rather than to the magnitude of reported metrics. The roles are not mutually exclusive within a single system.</w:t>
      </w:r>
    </w:p>
    <w:p w14:paraId="5D555C82" w14:textId="77777777" w:rsidR="00715AFA" w:rsidRDefault="00000000" w:rsidP="00816A47">
      <w:pPr>
        <w:pStyle w:val="Heading1"/>
        <w:spacing w:before="100" w:beforeAutospacing="1" w:after="100" w:afterAutospacing="1"/>
        <w:jc w:val="both"/>
      </w:pPr>
      <w:r>
        <w:rPr>
          <w:b/>
          <w:bCs/>
          <w:color w:val="000000"/>
          <w:sz w:val="26"/>
          <w:szCs w:val="26"/>
        </w:rPr>
        <w:t>7. Structural Imbalances in the Evidence Base</w:t>
      </w:r>
    </w:p>
    <w:p w14:paraId="2ECACEEE" w14:textId="77777777" w:rsidR="00715AFA" w:rsidRDefault="00000000" w:rsidP="00816A47">
      <w:pPr>
        <w:spacing w:before="100" w:beforeAutospacing="1" w:after="100" w:afterAutospacing="1"/>
        <w:jc w:val="both"/>
      </w:pPr>
      <w:r>
        <w:t>Beyond the methodological issues examined above, the evidence base is unevenly distributed along dimensions that bear directly on the generalisation problem. The concentration is not incidental; it reproduces the availability of labelled data, which in turn reproduces the geography of professional fact-checking.</w:t>
      </w:r>
    </w:p>
    <w:p w14:paraId="357142EC" w14:textId="77777777" w:rsidR="00715AFA" w:rsidRDefault="00000000" w:rsidP="00816A47">
      <w:pPr>
        <w:spacing w:before="100" w:beforeAutospacing="1" w:after="100" w:afterAutospacing="1"/>
        <w:jc w:val="both"/>
      </w:pPr>
      <w:r>
        <w:t>Language coverage is the clearest instance. A systematic review of multilingual work documents that the overwhelming majority of published studies address English, that most other languages are represented by a handful of papers, and that cross-lingual evaluation is rare even in studies that construct non-English resources (Alghamdi et al., 2026). A survey confined to Arabic reaches a compatible conclusion within a single language family, describing a small literature working with corpora that are not directly comparable and reporting results that have seldom been independently replicated (Touahri &amp; Mazroui, 2024). Individual contributions in South Asian languages illustrate both the progress and the constraint: benchmark construction with generative models for Urdu (Harris et al., 2025), adapter-based multilingual integration (Kim &amp; Yang, 2026), and reasoning-based multimodal detection for a low-resource Indian language (</w:t>
      </w:r>
      <w:proofErr w:type="spellStart"/>
      <w:r>
        <w:t>LekshmiAmmal</w:t>
      </w:r>
      <w:proofErr w:type="spellEnd"/>
      <w:r>
        <w:t xml:space="preserve"> &amp; </w:t>
      </w:r>
      <w:proofErr w:type="spellStart"/>
      <w:r>
        <w:t>Madasamy</w:t>
      </w:r>
      <w:proofErr w:type="spellEnd"/>
      <w:r>
        <w:t>, 2025) each address a genuine gap while resting on single-study evidence. Resources designed for cross-lingual and cross-platform evaluation exist, including a large multilingual multimodal network of fact-checked claims and their social diffusion (Nielsen &amp; McConville, 2022) and a multi-source Chinese benchmark constructed to expose the effect of collection authority (Li et al., 2024), but they are used far less than the English corpora they were built to complement.</w:t>
      </w:r>
    </w:p>
    <w:p w14:paraId="552135FE" w14:textId="77777777" w:rsidR="00715AFA" w:rsidRDefault="00000000" w:rsidP="00816A47">
      <w:pPr>
        <w:spacing w:before="100" w:beforeAutospacing="1" w:after="100" w:afterAutospacing="1"/>
        <w:jc w:val="both"/>
      </w:pPr>
      <w:r>
        <w:t xml:space="preserve">Domain coverage is similarly skewed. Political content dominates, reflecting both the origin of the field and the coverage priorities of fact-checking organisations. Health misinformation constitutes the principal secondary domain, and bibliometric analysis of that literature documents its rapid expansion and its concentration in a small number of research settings (Yeung et al., 2022). Work applying deep active learning to multimodal health content addresses the annotation bottleneck that limits domain expansion (Zhao &amp; Zeng, 2026). Financial, scientific, environmental and local-civic misinformation are represented far more thinly, despite differing in the structure of the claims involved </w:t>
      </w:r>
      <w:proofErr w:type="gramStart"/>
      <w:r>
        <w:t>and in the evidence</w:t>
      </w:r>
      <w:proofErr w:type="gramEnd"/>
      <w:r>
        <w:t xml:space="preserve"> required to adjudicate them. The multi-domain modelling literature reviewed in Section 5 provides indirect evidence that these differences matter, since domain-conditioned architectures were developed precisely because pooled training underperforms on each constituent domain (Nan et al., 2021).</w:t>
      </w:r>
    </w:p>
    <w:p w14:paraId="76213E71" w14:textId="77777777" w:rsidR="00715AFA" w:rsidRDefault="00000000" w:rsidP="00816A47">
      <w:pPr>
        <w:spacing w:before="100" w:beforeAutospacing="1" w:after="100" w:afterAutospacing="1"/>
        <w:jc w:val="both"/>
      </w:pPr>
      <w:r>
        <w:t xml:space="preserve">Platform coverage is narrower still. The great majority of social-context and propagation studies use data from one microblogging service, for reasons of historical access rather than representativeness. </w:t>
      </w:r>
      <w:r>
        <w:lastRenderedPageBreak/>
        <w:t>Messaging platforms, video-first platforms and closed or semi-closed groups are correspondingly under-represented, and the diffusion dynamics that propagation models exploit differ substantially in those environments. The consequence is that the strongest evidence for the most discriminative family of methods comes from the platform whose data-access conditions have changed most, which limits both replication and extension. Taken together, these imbalances mean that confident statements about generalisation are supported chiefly within the English-language, politically framed, text-dominant, single-platform region of the problem space, and that performance elsewhere is inferred rather than measured.</w:t>
      </w:r>
    </w:p>
    <w:p w14:paraId="746567D7" w14:textId="77777777" w:rsidR="00715AFA" w:rsidRDefault="00000000" w:rsidP="00816A47">
      <w:pPr>
        <w:pStyle w:val="Heading1"/>
        <w:spacing w:before="100" w:beforeAutospacing="1" w:after="100" w:afterAutospacing="1"/>
        <w:jc w:val="both"/>
      </w:pPr>
      <w:r>
        <w:rPr>
          <w:b/>
          <w:bCs/>
          <w:color w:val="000000"/>
          <w:sz w:val="26"/>
          <w:szCs w:val="26"/>
        </w:rPr>
        <w:t>8. From Classification to Consequence: Explanation, Deployment and Use</w:t>
      </w:r>
    </w:p>
    <w:p w14:paraId="714D876F" w14:textId="77777777" w:rsidR="00715AFA" w:rsidRDefault="00000000" w:rsidP="00816A47">
      <w:pPr>
        <w:spacing w:before="100" w:beforeAutospacing="1" w:after="100" w:afterAutospacing="1"/>
        <w:jc w:val="both"/>
      </w:pPr>
      <w:r>
        <w:t>Almost the entire literature reviewed above optimises a classification objective, while the purposes for which detection is advocated are downstream of classification. This section examines what is known about the interface between the two, and finds the evidence thin.</w:t>
      </w:r>
    </w:p>
    <w:p w14:paraId="46518F8E" w14:textId="77777777" w:rsidR="00715AFA" w:rsidRDefault="00000000" w:rsidP="00816A47">
      <w:pPr>
        <w:spacing w:before="100" w:beforeAutospacing="1" w:after="100" w:afterAutospacing="1"/>
        <w:jc w:val="both"/>
      </w:pPr>
      <w:r>
        <w:t>Explanation is the most developed part of this interface, and the weakest evaluated. Attention-based architectures that jointly model an article and its comments produce interpretable weightings identifying the sentences and responses most influential in a decision (Shu et al., 2019), and a survey of explainable fact-checking catalogues the mechanisms available while noting that explanation quality receives far less methodological attention than verdict accuracy (</w:t>
      </w:r>
      <w:proofErr w:type="spellStart"/>
      <w:r>
        <w:t>Kotonya</w:t>
      </w:r>
      <w:proofErr w:type="spellEnd"/>
      <w:r>
        <w:t xml:space="preserve"> &amp; Toni, 2020). Generative approaches producing competing justifications extend this line (B. Wang et al., 2024). A general argument in the machine-learning literature holds that post-hoc explanations of opaque models can be unfaithful to the underlying decision process and that interpretable models are preferable in consequential settings (Rudin, 2019). This argument applies with force here, because the operational use of a detector is to inform a human judgement about whether content is misleading, and an unfaithful explanation is worse than no explanation in that setting. No study identified in this review evaluates whether explanations produced by these systems improve the accuracy of the human decisions they are intended to support.</w:t>
      </w:r>
    </w:p>
    <w:p w14:paraId="41FD1985" w14:textId="77777777" w:rsidR="00715AFA" w:rsidRDefault="00000000" w:rsidP="00816A47">
      <w:pPr>
        <w:spacing w:before="100" w:beforeAutospacing="1" w:after="100" w:afterAutospacing="1"/>
        <w:jc w:val="both"/>
      </w:pPr>
      <w:r>
        <w:t>Deployment evidence is sparser. The most informative work approaches the question from the practitioner side, mapping the fact-checking workflow and identifying the stages at which automation would add value, notably the prioritisation of check-worthy claims and the matching of new claims to previously verified ones (</w:t>
      </w:r>
      <w:proofErr w:type="spellStart"/>
      <w:r>
        <w:t>Nakov</w:t>
      </w:r>
      <w:proofErr w:type="spellEnd"/>
      <w:r>
        <w:t xml:space="preserve"> et al., 2021). This reframing implies performance requirements that the detection literature does not report. A triage system requires calibrated ranking rather than accurate binary classification; the operative metric is precision at the top of a ranked list under a fixed human review budget, together with the reliability of the confidence estimate. Neither is routinely reported. Guidance produced for journalism education describes verification as an evidential practice grounded in provenance, corroboration and source assessment (Ireton &amp; </w:t>
      </w:r>
      <w:proofErr w:type="spellStart"/>
      <w:r>
        <w:t>Posetti</w:t>
      </w:r>
      <w:proofErr w:type="spellEnd"/>
      <w:r>
        <w:t>, 2018), which is a description of a workflow into which a ranked and calibrated signal could be inserted, and not one into which an uncalibrated binary verdict could.</w:t>
      </w:r>
    </w:p>
    <w:p w14:paraId="25C8E27A" w14:textId="77777777" w:rsidR="00715AFA" w:rsidRDefault="00000000" w:rsidP="00816A47">
      <w:pPr>
        <w:spacing w:before="100" w:beforeAutospacing="1" w:after="100" w:afterAutospacing="1"/>
        <w:jc w:val="both"/>
      </w:pPr>
      <w:r>
        <w:t xml:space="preserve">The final consideration concerns whether classification accuracy is the right proxy for the outcomes sought. Reviews of the psychological literature indicate that susceptibility to false claims is associated more strongly with failures of deliberation than with motivated reasoning, and that interventions directing attention to accuracy can reduce the sharing of false content (Pennycook &amp; Rand, 2021). Assessment of cognitive and environmental tools for online information environments argues that competence-building and choice-architecture interventions address the problem at a different point in the causal chain from content removal (Kozyreva et al., 2020). Critical assessments of the empirical basis for harm estimates contend that exposure has been measured with instruments that overstate it, that source-level classification conflates outlets of very different character, and that inference from engagement to belief is unwarranted (Altay et al., 2023; Budak et al., 2024). These positions are contested within their own literature and are not settled. Their relevance here is methodological rather than substantive: if the quantity of interest is a change in belief, sharing behaviour or exposure among a specific and possibly small population, then classification accuracy on a benchmark is a distant proxy, and no study identified in this review connects a detector to a measured downstream outcome. Table 5 </w:t>
      </w:r>
      <w:r>
        <w:lastRenderedPageBreak/>
        <w:t>records the principal gaps identified across the preceding sections together with the evidence establishing each and the form of study that would address it.</w:t>
      </w:r>
    </w:p>
    <w:p w14:paraId="26A53006" w14:textId="77777777" w:rsidR="00715AFA" w:rsidRDefault="00000000" w:rsidP="00816A47">
      <w:pPr>
        <w:spacing w:before="100" w:beforeAutospacing="1" w:after="100" w:afterAutospacing="1"/>
        <w:jc w:val="both"/>
      </w:pPr>
      <w:r>
        <w:rPr>
          <w:b/>
          <w:bCs/>
          <w:sz w:val="20"/>
          <w:szCs w:val="20"/>
        </w:rPr>
        <w:t>Table 5. Principal research gaps identified in the synthesis, with the evidence establishing each and the study design required to address it.</w:t>
      </w:r>
    </w:p>
    <w:tbl>
      <w:tblPr>
        <w:tblW w:w="9600" w:type="dxa"/>
        <w:tblBorders>
          <w:top w:val="single" w:sz="4" w:space="0" w:color="666666"/>
          <w:left w:val="single" w:sz="2" w:space="0" w:color="999999"/>
          <w:bottom w:val="single" w:sz="4" w:space="0" w:color="666666"/>
          <w:right w:val="single" w:sz="2" w:space="0" w:color="999999"/>
          <w:insideH w:val="single" w:sz="2" w:space="0" w:color="999999"/>
          <w:insideV w:val="single" w:sz="2" w:space="0" w:color="999999"/>
        </w:tblBorders>
        <w:tblCellMar>
          <w:left w:w="10" w:type="dxa"/>
          <w:right w:w="10" w:type="dxa"/>
        </w:tblCellMar>
        <w:tblLook w:val="0000" w:firstRow="0" w:lastRow="0" w:firstColumn="0" w:lastColumn="0" w:noHBand="0" w:noVBand="0"/>
      </w:tblPr>
      <w:tblGrid>
        <w:gridCol w:w="1694"/>
        <w:gridCol w:w="2259"/>
        <w:gridCol w:w="2165"/>
        <w:gridCol w:w="1694"/>
        <w:gridCol w:w="1788"/>
      </w:tblGrid>
      <w:tr w:rsidR="00715AFA" w14:paraId="3D029F3A" w14:textId="77777777">
        <w:trPr>
          <w:tblHeader/>
        </w:trPr>
        <w:tc>
          <w:tcPr>
            <w:tcW w:w="1694" w:type="dxa"/>
            <w:shd w:val="clear" w:color="auto" w:fill="E8E8E8"/>
            <w:tcMar>
              <w:top w:w="60" w:type="dxa"/>
              <w:left w:w="90" w:type="dxa"/>
              <w:bottom w:w="60" w:type="dxa"/>
              <w:right w:w="90" w:type="dxa"/>
            </w:tcMar>
          </w:tcPr>
          <w:p w14:paraId="2A301785" w14:textId="77777777" w:rsidR="00715AFA" w:rsidRDefault="00000000" w:rsidP="00816A47">
            <w:pPr>
              <w:spacing w:before="100" w:beforeAutospacing="1" w:after="100" w:afterAutospacing="1"/>
              <w:jc w:val="both"/>
            </w:pPr>
            <w:r>
              <w:rPr>
                <w:b/>
                <w:bCs/>
                <w:sz w:val="17"/>
                <w:szCs w:val="17"/>
              </w:rPr>
              <w:t>Gap</w:t>
            </w:r>
          </w:p>
        </w:tc>
        <w:tc>
          <w:tcPr>
            <w:tcW w:w="2259" w:type="dxa"/>
            <w:shd w:val="clear" w:color="auto" w:fill="E8E8E8"/>
            <w:tcMar>
              <w:top w:w="60" w:type="dxa"/>
              <w:left w:w="90" w:type="dxa"/>
              <w:bottom w:w="60" w:type="dxa"/>
              <w:right w:w="90" w:type="dxa"/>
            </w:tcMar>
          </w:tcPr>
          <w:p w14:paraId="12030BC8" w14:textId="77777777" w:rsidR="00715AFA" w:rsidRDefault="00000000" w:rsidP="00816A47">
            <w:pPr>
              <w:spacing w:before="100" w:beforeAutospacing="1" w:after="100" w:afterAutospacing="1"/>
              <w:jc w:val="both"/>
            </w:pPr>
            <w:r>
              <w:rPr>
                <w:b/>
                <w:bCs/>
                <w:sz w:val="17"/>
                <w:szCs w:val="17"/>
              </w:rPr>
              <w:t>Evidence that the gap exists</w:t>
            </w:r>
          </w:p>
        </w:tc>
        <w:tc>
          <w:tcPr>
            <w:tcW w:w="2165" w:type="dxa"/>
            <w:shd w:val="clear" w:color="auto" w:fill="E8E8E8"/>
            <w:tcMar>
              <w:top w:w="60" w:type="dxa"/>
              <w:left w:w="90" w:type="dxa"/>
              <w:bottom w:w="60" w:type="dxa"/>
              <w:right w:w="90" w:type="dxa"/>
            </w:tcMar>
          </w:tcPr>
          <w:p w14:paraId="19E7AF8E" w14:textId="77777777" w:rsidR="00715AFA" w:rsidRDefault="00000000" w:rsidP="00816A47">
            <w:pPr>
              <w:spacing w:before="100" w:beforeAutospacing="1" w:after="100" w:afterAutospacing="1"/>
              <w:jc w:val="both"/>
            </w:pPr>
            <w:r>
              <w:rPr>
                <w:b/>
                <w:bCs/>
                <w:sz w:val="17"/>
                <w:szCs w:val="17"/>
              </w:rPr>
              <w:t>Study design required</w:t>
            </w:r>
          </w:p>
        </w:tc>
        <w:tc>
          <w:tcPr>
            <w:tcW w:w="1694" w:type="dxa"/>
            <w:shd w:val="clear" w:color="auto" w:fill="E8E8E8"/>
            <w:tcMar>
              <w:top w:w="60" w:type="dxa"/>
              <w:left w:w="90" w:type="dxa"/>
              <w:bottom w:w="60" w:type="dxa"/>
              <w:right w:w="90" w:type="dxa"/>
            </w:tcMar>
          </w:tcPr>
          <w:p w14:paraId="6846A164" w14:textId="77777777" w:rsidR="00715AFA" w:rsidRDefault="00000000" w:rsidP="00816A47">
            <w:pPr>
              <w:spacing w:before="100" w:beforeAutospacing="1" w:after="100" w:afterAutospacing="1"/>
              <w:jc w:val="both"/>
            </w:pPr>
            <w:r>
              <w:rPr>
                <w:b/>
                <w:bCs/>
                <w:sz w:val="17"/>
                <w:szCs w:val="17"/>
              </w:rPr>
              <w:t>Primary outcome measure</w:t>
            </w:r>
          </w:p>
        </w:tc>
        <w:tc>
          <w:tcPr>
            <w:tcW w:w="1788" w:type="dxa"/>
            <w:shd w:val="clear" w:color="auto" w:fill="E8E8E8"/>
            <w:tcMar>
              <w:top w:w="60" w:type="dxa"/>
              <w:left w:w="90" w:type="dxa"/>
              <w:bottom w:w="60" w:type="dxa"/>
              <w:right w:w="90" w:type="dxa"/>
            </w:tcMar>
          </w:tcPr>
          <w:p w14:paraId="78AA6C1D" w14:textId="77777777" w:rsidR="00715AFA" w:rsidRDefault="00000000" w:rsidP="00816A47">
            <w:pPr>
              <w:spacing w:before="100" w:beforeAutospacing="1" w:after="100" w:afterAutospacing="1"/>
              <w:jc w:val="both"/>
            </w:pPr>
            <w:r>
              <w:rPr>
                <w:b/>
                <w:bCs/>
                <w:sz w:val="17"/>
                <w:szCs w:val="17"/>
              </w:rPr>
              <w:t>Supporting references</w:t>
            </w:r>
          </w:p>
        </w:tc>
      </w:tr>
      <w:tr w:rsidR="00715AFA" w14:paraId="33DD773C" w14:textId="77777777">
        <w:tc>
          <w:tcPr>
            <w:tcW w:w="1694" w:type="dxa"/>
            <w:tcMar>
              <w:top w:w="60" w:type="dxa"/>
              <w:left w:w="90" w:type="dxa"/>
              <w:bottom w:w="60" w:type="dxa"/>
              <w:right w:w="90" w:type="dxa"/>
            </w:tcMar>
          </w:tcPr>
          <w:p w14:paraId="28A3564E" w14:textId="77777777" w:rsidR="00715AFA" w:rsidRDefault="00000000" w:rsidP="00816A47">
            <w:pPr>
              <w:spacing w:before="100" w:beforeAutospacing="1" w:after="100" w:afterAutospacing="1"/>
              <w:jc w:val="both"/>
            </w:pPr>
            <w:r>
              <w:rPr>
                <w:sz w:val="17"/>
                <w:szCs w:val="17"/>
              </w:rPr>
              <w:t>Confounding of veracity with source identity</w:t>
            </w:r>
          </w:p>
        </w:tc>
        <w:tc>
          <w:tcPr>
            <w:tcW w:w="2259" w:type="dxa"/>
            <w:tcMar>
              <w:top w:w="60" w:type="dxa"/>
              <w:left w:w="90" w:type="dxa"/>
              <w:bottom w:w="60" w:type="dxa"/>
              <w:right w:w="90" w:type="dxa"/>
            </w:tcMar>
          </w:tcPr>
          <w:p w14:paraId="1D32A6D6" w14:textId="77777777" w:rsidR="00715AFA" w:rsidRDefault="00000000" w:rsidP="00816A47">
            <w:pPr>
              <w:spacing w:before="100" w:beforeAutospacing="1" w:after="100" w:afterAutospacing="1"/>
              <w:jc w:val="both"/>
            </w:pPr>
            <w:r>
              <w:rPr>
                <w:sz w:val="17"/>
                <w:szCs w:val="17"/>
              </w:rPr>
              <w:t>Controlled re-analysis shows performance sensitive to label propagation and partitioning; data-landscape analysis identifies coarse label–truth relationship</w:t>
            </w:r>
          </w:p>
        </w:tc>
        <w:tc>
          <w:tcPr>
            <w:tcW w:w="2165" w:type="dxa"/>
            <w:tcMar>
              <w:top w:w="60" w:type="dxa"/>
              <w:left w:w="90" w:type="dxa"/>
              <w:bottom w:w="60" w:type="dxa"/>
              <w:right w:w="90" w:type="dxa"/>
            </w:tcMar>
          </w:tcPr>
          <w:p w14:paraId="3B371192" w14:textId="77777777" w:rsidR="00715AFA" w:rsidRDefault="00000000" w:rsidP="00816A47">
            <w:pPr>
              <w:spacing w:before="100" w:beforeAutospacing="1" w:after="100" w:afterAutospacing="1"/>
              <w:jc w:val="both"/>
            </w:pPr>
            <w:r>
              <w:rPr>
                <w:sz w:val="17"/>
                <w:szCs w:val="17"/>
              </w:rPr>
              <w:t>Claim-level relabelling of a substantial subsample of an existing source-labelled corpus, with paired evaluation under both regimes</w:t>
            </w:r>
          </w:p>
        </w:tc>
        <w:tc>
          <w:tcPr>
            <w:tcW w:w="1694" w:type="dxa"/>
            <w:tcMar>
              <w:top w:w="60" w:type="dxa"/>
              <w:left w:w="90" w:type="dxa"/>
              <w:bottom w:w="60" w:type="dxa"/>
              <w:right w:w="90" w:type="dxa"/>
            </w:tcMar>
          </w:tcPr>
          <w:p w14:paraId="4AA9DFDC" w14:textId="77777777" w:rsidR="00715AFA" w:rsidRDefault="00000000" w:rsidP="00816A47">
            <w:pPr>
              <w:spacing w:before="100" w:beforeAutospacing="1" w:after="100" w:afterAutospacing="1"/>
              <w:jc w:val="both"/>
            </w:pPr>
            <w:r>
              <w:rPr>
                <w:sz w:val="17"/>
                <w:szCs w:val="17"/>
              </w:rPr>
              <w:t>Difference in performance between source-labelled and claim-labelled versions of the same items</w:t>
            </w:r>
          </w:p>
        </w:tc>
        <w:tc>
          <w:tcPr>
            <w:tcW w:w="1788" w:type="dxa"/>
            <w:tcMar>
              <w:top w:w="60" w:type="dxa"/>
              <w:left w:w="90" w:type="dxa"/>
              <w:bottom w:w="60" w:type="dxa"/>
              <w:right w:w="90" w:type="dxa"/>
            </w:tcMar>
          </w:tcPr>
          <w:p w14:paraId="71FDE23F" w14:textId="77777777" w:rsidR="00715AFA" w:rsidRDefault="00000000" w:rsidP="00816A47">
            <w:pPr>
              <w:spacing w:before="100" w:beforeAutospacing="1" w:after="100" w:afterAutospacing="1"/>
              <w:jc w:val="both"/>
            </w:pPr>
            <w:r>
              <w:rPr>
                <w:sz w:val="17"/>
                <w:szCs w:val="17"/>
              </w:rPr>
              <w:t>Bozarth and Budak (2020); Torabi Asr and Taboada (2019)</w:t>
            </w:r>
          </w:p>
        </w:tc>
      </w:tr>
      <w:tr w:rsidR="00715AFA" w14:paraId="7CBCEA5F" w14:textId="77777777">
        <w:tc>
          <w:tcPr>
            <w:tcW w:w="1694" w:type="dxa"/>
            <w:tcMar>
              <w:top w:w="60" w:type="dxa"/>
              <w:left w:w="90" w:type="dxa"/>
              <w:bottom w:w="60" w:type="dxa"/>
              <w:right w:w="90" w:type="dxa"/>
            </w:tcMar>
          </w:tcPr>
          <w:p w14:paraId="52340573" w14:textId="77777777" w:rsidR="00715AFA" w:rsidRDefault="00000000" w:rsidP="00816A47">
            <w:pPr>
              <w:spacing w:before="100" w:beforeAutospacing="1" w:after="100" w:afterAutospacing="1"/>
              <w:jc w:val="both"/>
            </w:pPr>
            <w:r>
              <w:rPr>
                <w:sz w:val="17"/>
                <w:szCs w:val="17"/>
              </w:rPr>
              <w:t>Absence of temporally honest evaluation</w:t>
            </w:r>
          </w:p>
        </w:tc>
        <w:tc>
          <w:tcPr>
            <w:tcW w:w="2259" w:type="dxa"/>
            <w:tcMar>
              <w:top w:w="60" w:type="dxa"/>
              <w:left w:w="90" w:type="dxa"/>
              <w:bottom w:w="60" w:type="dxa"/>
              <w:right w:w="90" w:type="dxa"/>
            </w:tcMar>
          </w:tcPr>
          <w:p w14:paraId="30C1DFA6" w14:textId="77777777" w:rsidR="00715AFA" w:rsidRDefault="00000000" w:rsidP="00816A47">
            <w:pPr>
              <w:spacing w:before="100" w:beforeAutospacing="1" w:after="100" w:afterAutospacing="1"/>
              <w:jc w:val="both"/>
            </w:pPr>
            <w:r>
              <w:rPr>
                <w:sz w:val="17"/>
                <w:szCs w:val="17"/>
              </w:rPr>
              <w:t>Cross-time and multi-source evaluations report degradation invisible under random partitioning</w:t>
            </w:r>
          </w:p>
        </w:tc>
        <w:tc>
          <w:tcPr>
            <w:tcW w:w="2165" w:type="dxa"/>
            <w:tcMar>
              <w:top w:w="60" w:type="dxa"/>
              <w:left w:w="90" w:type="dxa"/>
              <w:bottom w:w="60" w:type="dxa"/>
              <w:right w:w="90" w:type="dxa"/>
            </w:tcMar>
          </w:tcPr>
          <w:p w14:paraId="18ADB91A" w14:textId="77777777" w:rsidR="00715AFA" w:rsidRDefault="00000000" w:rsidP="00816A47">
            <w:pPr>
              <w:spacing w:before="100" w:beforeAutospacing="1" w:after="100" w:afterAutospacing="1"/>
              <w:jc w:val="both"/>
            </w:pPr>
            <w:r>
              <w:rPr>
                <w:sz w:val="17"/>
                <w:szCs w:val="17"/>
              </w:rPr>
              <w:t>Prospective chronological protocol with training on an earlier period and evaluation on subsequent held-out periods</w:t>
            </w:r>
          </w:p>
        </w:tc>
        <w:tc>
          <w:tcPr>
            <w:tcW w:w="1694" w:type="dxa"/>
            <w:tcMar>
              <w:top w:w="60" w:type="dxa"/>
              <w:left w:w="90" w:type="dxa"/>
              <w:bottom w:w="60" w:type="dxa"/>
              <w:right w:w="90" w:type="dxa"/>
            </w:tcMar>
          </w:tcPr>
          <w:p w14:paraId="5BA2CD18" w14:textId="77777777" w:rsidR="00715AFA" w:rsidRDefault="00000000" w:rsidP="00816A47">
            <w:pPr>
              <w:spacing w:before="100" w:beforeAutospacing="1" w:after="100" w:afterAutospacing="1"/>
              <w:jc w:val="both"/>
            </w:pPr>
            <w:r>
              <w:rPr>
                <w:sz w:val="17"/>
                <w:szCs w:val="17"/>
              </w:rPr>
              <w:t>Performance decay per unit time; interval to a defined retraining threshold</w:t>
            </w:r>
          </w:p>
        </w:tc>
        <w:tc>
          <w:tcPr>
            <w:tcW w:w="1788" w:type="dxa"/>
            <w:tcMar>
              <w:top w:w="60" w:type="dxa"/>
              <w:left w:w="90" w:type="dxa"/>
              <w:bottom w:w="60" w:type="dxa"/>
              <w:right w:w="90" w:type="dxa"/>
            </w:tcMar>
          </w:tcPr>
          <w:p w14:paraId="0FA309D5" w14:textId="77777777" w:rsidR="00715AFA" w:rsidRDefault="00000000" w:rsidP="00816A47">
            <w:pPr>
              <w:spacing w:before="100" w:beforeAutospacing="1" w:after="100" w:afterAutospacing="1"/>
              <w:jc w:val="both"/>
            </w:pPr>
            <w:proofErr w:type="spellStart"/>
            <w:r>
              <w:rPr>
                <w:sz w:val="17"/>
                <w:szCs w:val="17"/>
              </w:rPr>
              <w:t>Fenza</w:t>
            </w:r>
            <w:proofErr w:type="spellEnd"/>
            <w:r>
              <w:rPr>
                <w:sz w:val="17"/>
                <w:szCs w:val="17"/>
              </w:rPr>
              <w:t xml:space="preserve"> et al. (2023); Horne et al. (2019); Li et al. (2024)</w:t>
            </w:r>
          </w:p>
        </w:tc>
      </w:tr>
      <w:tr w:rsidR="00715AFA" w14:paraId="046F1789" w14:textId="77777777">
        <w:tc>
          <w:tcPr>
            <w:tcW w:w="1694" w:type="dxa"/>
            <w:tcMar>
              <w:top w:w="60" w:type="dxa"/>
              <w:left w:w="90" w:type="dxa"/>
              <w:bottom w:w="60" w:type="dxa"/>
              <w:right w:w="90" w:type="dxa"/>
            </w:tcMar>
          </w:tcPr>
          <w:p w14:paraId="76782EFA" w14:textId="77777777" w:rsidR="00715AFA" w:rsidRDefault="00000000" w:rsidP="00816A47">
            <w:pPr>
              <w:spacing w:before="100" w:beforeAutospacing="1" w:after="100" w:afterAutospacing="1"/>
              <w:jc w:val="both"/>
            </w:pPr>
            <w:r>
              <w:rPr>
                <w:sz w:val="17"/>
                <w:szCs w:val="17"/>
              </w:rPr>
              <w:t>Uncharacterised adversarial degradation</w:t>
            </w:r>
          </w:p>
        </w:tc>
        <w:tc>
          <w:tcPr>
            <w:tcW w:w="2259" w:type="dxa"/>
            <w:tcMar>
              <w:top w:w="60" w:type="dxa"/>
              <w:left w:w="90" w:type="dxa"/>
              <w:bottom w:w="60" w:type="dxa"/>
              <w:right w:w="90" w:type="dxa"/>
            </w:tcMar>
          </w:tcPr>
          <w:p w14:paraId="7BAF1F62" w14:textId="77777777" w:rsidR="00715AFA" w:rsidRDefault="00000000" w:rsidP="00816A47">
            <w:pPr>
              <w:spacing w:before="100" w:beforeAutospacing="1" w:after="100" w:afterAutospacing="1"/>
              <w:jc w:val="both"/>
            </w:pPr>
            <w:r>
              <w:rPr>
                <w:sz w:val="17"/>
                <w:szCs w:val="17"/>
              </w:rPr>
              <w:t>Engagement manipulation and generative restyling both reduce accuracy; magnitude under realistic budgets unknown</w:t>
            </w:r>
          </w:p>
        </w:tc>
        <w:tc>
          <w:tcPr>
            <w:tcW w:w="2165" w:type="dxa"/>
            <w:tcMar>
              <w:top w:w="60" w:type="dxa"/>
              <w:left w:w="90" w:type="dxa"/>
              <w:bottom w:w="60" w:type="dxa"/>
              <w:right w:w="90" w:type="dxa"/>
            </w:tcMar>
          </w:tcPr>
          <w:p w14:paraId="0853E878" w14:textId="77777777" w:rsidR="00715AFA" w:rsidRDefault="00000000" w:rsidP="00816A47">
            <w:pPr>
              <w:spacing w:before="100" w:beforeAutospacing="1" w:after="100" w:afterAutospacing="1"/>
              <w:jc w:val="both"/>
            </w:pPr>
            <w:r>
              <w:rPr>
                <w:sz w:val="17"/>
                <w:szCs w:val="17"/>
              </w:rPr>
              <w:t>Evaluation under specified manipulation budgets applied to content and engagement channels, with adaptive rather than fixed adversaries</w:t>
            </w:r>
          </w:p>
        </w:tc>
        <w:tc>
          <w:tcPr>
            <w:tcW w:w="1694" w:type="dxa"/>
            <w:tcMar>
              <w:top w:w="60" w:type="dxa"/>
              <w:left w:w="90" w:type="dxa"/>
              <w:bottom w:w="60" w:type="dxa"/>
              <w:right w:w="90" w:type="dxa"/>
            </w:tcMar>
          </w:tcPr>
          <w:p w14:paraId="1609EC6F" w14:textId="77777777" w:rsidR="00715AFA" w:rsidRDefault="00000000" w:rsidP="00816A47">
            <w:pPr>
              <w:spacing w:before="100" w:beforeAutospacing="1" w:after="100" w:afterAutospacing="1"/>
              <w:jc w:val="both"/>
            </w:pPr>
            <w:r>
              <w:rPr>
                <w:sz w:val="17"/>
                <w:szCs w:val="17"/>
              </w:rPr>
              <w:t>Accuracy as a function of manipulation budget</w:t>
            </w:r>
          </w:p>
        </w:tc>
        <w:tc>
          <w:tcPr>
            <w:tcW w:w="1788" w:type="dxa"/>
            <w:tcMar>
              <w:top w:w="60" w:type="dxa"/>
              <w:left w:w="90" w:type="dxa"/>
              <w:bottom w:w="60" w:type="dxa"/>
              <w:right w:w="90" w:type="dxa"/>
            </w:tcMar>
          </w:tcPr>
          <w:p w14:paraId="15C01194" w14:textId="77777777" w:rsidR="00715AFA" w:rsidRDefault="00000000" w:rsidP="00816A47">
            <w:pPr>
              <w:spacing w:before="100" w:beforeAutospacing="1" w:after="100" w:afterAutospacing="1"/>
              <w:jc w:val="both"/>
            </w:pPr>
            <w:r>
              <w:rPr>
                <w:sz w:val="17"/>
                <w:szCs w:val="17"/>
              </w:rPr>
              <w:t>H. Wang et al. (2023); Wu et al. (2024)</w:t>
            </w:r>
          </w:p>
        </w:tc>
      </w:tr>
      <w:tr w:rsidR="00715AFA" w14:paraId="4283BF53" w14:textId="77777777">
        <w:tc>
          <w:tcPr>
            <w:tcW w:w="1694" w:type="dxa"/>
            <w:tcMar>
              <w:top w:w="60" w:type="dxa"/>
              <w:left w:w="90" w:type="dxa"/>
              <w:bottom w:w="60" w:type="dxa"/>
              <w:right w:w="90" w:type="dxa"/>
            </w:tcMar>
          </w:tcPr>
          <w:p w14:paraId="34E6A229" w14:textId="77777777" w:rsidR="00715AFA" w:rsidRDefault="00000000" w:rsidP="00816A47">
            <w:pPr>
              <w:spacing w:before="100" w:beforeAutospacing="1" w:after="100" w:afterAutospacing="1"/>
              <w:jc w:val="both"/>
            </w:pPr>
            <w:r>
              <w:rPr>
                <w:sz w:val="17"/>
                <w:szCs w:val="17"/>
              </w:rPr>
              <w:t>Fragmented multimodal evaluation</w:t>
            </w:r>
          </w:p>
        </w:tc>
        <w:tc>
          <w:tcPr>
            <w:tcW w:w="2259" w:type="dxa"/>
            <w:tcMar>
              <w:top w:w="60" w:type="dxa"/>
              <w:left w:w="90" w:type="dxa"/>
              <w:bottom w:w="60" w:type="dxa"/>
              <w:right w:w="90" w:type="dxa"/>
            </w:tcMar>
          </w:tcPr>
          <w:p w14:paraId="0EE7CC00" w14:textId="77777777" w:rsidR="00715AFA" w:rsidRDefault="00000000" w:rsidP="00816A47">
            <w:pPr>
              <w:spacing w:before="100" w:beforeAutospacing="1" w:after="100" w:afterAutospacing="1"/>
              <w:jc w:val="both"/>
            </w:pPr>
            <w:r>
              <w:rPr>
                <w:sz w:val="17"/>
                <w:szCs w:val="17"/>
              </w:rPr>
              <w:t>Fusion strategies compared on corpora differing in language, platform and modality balance</w:t>
            </w:r>
          </w:p>
        </w:tc>
        <w:tc>
          <w:tcPr>
            <w:tcW w:w="2165" w:type="dxa"/>
            <w:tcMar>
              <w:top w:w="60" w:type="dxa"/>
              <w:left w:w="90" w:type="dxa"/>
              <w:bottom w:w="60" w:type="dxa"/>
              <w:right w:w="90" w:type="dxa"/>
            </w:tcMar>
          </w:tcPr>
          <w:p w14:paraId="6D89CBF4" w14:textId="77777777" w:rsidR="00715AFA" w:rsidRDefault="00000000" w:rsidP="00816A47">
            <w:pPr>
              <w:spacing w:before="100" w:beforeAutospacing="1" w:after="100" w:afterAutospacing="1"/>
              <w:jc w:val="both"/>
            </w:pPr>
            <w:r>
              <w:rPr>
                <w:sz w:val="17"/>
                <w:szCs w:val="17"/>
              </w:rPr>
              <w:t>Shared multimodal protocol with common splits, including out-of-context reuse of authentic imagery as a distinct condition</w:t>
            </w:r>
          </w:p>
        </w:tc>
        <w:tc>
          <w:tcPr>
            <w:tcW w:w="1694" w:type="dxa"/>
            <w:tcMar>
              <w:top w:w="60" w:type="dxa"/>
              <w:left w:w="90" w:type="dxa"/>
              <w:bottom w:w="60" w:type="dxa"/>
              <w:right w:w="90" w:type="dxa"/>
            </w:tcMar>
          </w:tcPr>
          <w:p w14:paraId="5A623312" w14:textId="77777777" w:rsidR="00715AFA" w:rsidRDefault="00000000" w:rsidP="00816A47">
            <w:pPr>
              <w:spacing w:before="100" w:beforeAutospacing="1" w:after="100" w:afterAutospacing="1"/>
              <w:jc w:val="both"/>
            </w:pPr>
            <w:r>
              <w:rPr>
                <w:sz w:val="17"/>
                <w:szCs w:val="17"/>
              </w:rPr>
              <w:t>Performance by manipulation type rather than pooled accuracy</w:t>
            </w:r>
          </w:p>
        </w:tc>
        <w:tc>
          <w:tcPr>
            <w:tcW w:w="1788" w:type="dxa"/>
            <w:tcMar>
              <w:top w:w="60" w:type="dxa"/>
              <w:left w:w="90" w:type="dxa"/>
              <w:bottom w:w="60" w:type="dxa"/>
              <w:right w:w="90" w:type="dxa"/>
            </w:tcMar>
          </w:tcPr>
          <w:p w14:paraId="044E14E1" w14:textId="77777777" w:rsidR="00715AFA" w:rsidRDefault="00000000" w:rsidP="00816A47">
            <w:pPr>
              <w:spacing w:before="100" w:beforeAutospacing="1" w:after="100" w:afterAutospacing="1"/>
              <w:jc w:val="both"/>
            </w:pPr>
            <w:proofErr w:type="spellStart"/>
            <w:r>
              <w:rPr>
                <w:sz w:val="17"/>
                <w:szCs w:val="17"/>
              </w:rPr>
              <w:t>Hangloo</w:t>
            </w:r>
            <w:proofErr w:type="spellEnd"/>
            <w:r>
              <w:rPr>
                <w:sz w:val="17"/>
                <w:szCs w:val="17"/>
              </w:rPr>
              <w:t xml:space="preserve"> and Arora (2022); Mura et al. (2025); Qi et al. (2024)</w:t>
            </w:r>
          </w:p>
        </w:tc>
      </w:tr>
      <w:tr w:rsidR="00715AFA" w14:paraId="630C35D3" w14:textId="77777777">
        <w:tc>
          <w:tcPr>
            <w:tcW w:w="1694" w:type="dxa"/>
            <w:tcMar>
              <w:top w:w="60" w:type="dxa"/>
              <w:left w:w="90" w:type="dxa"/>
              <w:bottom w:w="60" w:type="dxa"/>
              <w:right w:w="90" w:type="dxa"/>
            </w:tcMar>
          </w:tcPr>
          <w:p w14:paraId="534FA6D9" w14:textId="77777777" w:rsidR="00715AFA" w:rsidRDefault="00000000" w:rsidP="00816A47">
            <w:pPr>
              <w:spacing w:before="100" w:beforeAutospacing="1" w:after="100" w:afterAutospacing="1"/>
              <w:jc w:val="both"/>
            </w:pPr>
            <w:r>
              <w:rPr>
                <w:sz w:val="17"/>
                <w:szCs w:val="17"/>
              </w:rPr>
              <w:t>Unvalidated explanations</w:t>
            </w:r>
          </w:p>
        </w:tc>
        <w:tc>
          <w:tcPr>
            <w:tcW w:w="2259" w:type="dxa"/>
            <w:tcMar>
              <w:top w:w="60" w:type="dxa"/>
              <w:left w:w="90" w:type="dxa"/>
              <w:bottom w:w="60" w:type="dxa"/>
              <w:right w:w="90" w:type="dxa"/>
            </w:tcMar>
          </w:tcPr>
          <w:p w14:paraId="31C0A88D" w14:textId="77777777" w:rsidR="00715AFA" w:rsidRDefault="00000000" w:rsidP="00816A47">
            <w:pPr>
              <w:spacing w:before="100" w:beforeAutospacing="1" w:after="100" w:afterAutospacing="1"/>
              <w:jc w:val="both"/>
            </w:pPr>
            <w:r>
              <w:rPr>
                <w:sz w:val="17"/>
                <w:szCs w:val="17"/>
              </w:rPr>
              <w:t>Explanation mechanisms proposed without assessment of faithfulness or of effect on human judgement</w:t>
            </w:r>
          </w:p>
        </w:tc>
        <w:tc>
          <w:tcPr>
            <w:tcW w:w="2165" w:type="dxa"/>
            <w:tcMar>
              <w:top w:w="60" w:type="dxa"/>
              <w:left w:w="90" w:type="dxa"/>
              <w:bottom w:w="60" w:type="dxa"/>
              <w:right w:w="90" w:type="dxa"/>
            </w:tcMar>
          </w:tcPr>
          <w:p w14:paraId="470EFB45" w14:textId="77777777" w:rsidR="00715AFA" w:rsidRDefault="00000000" w:rsidP="00816A47">
            <w:pPr>
              <w:spacing w:before="100" w:beforeAutospacing="1" w:after="100" w:afterAutospacing="1"/>
              <w:jc w:val="both"/>
            </w:pPr>
            <w:r>
              <w:rPr>
                <w:sz w:val="17"/>
                <w:szCs w:val="17"/>
              </w:rPr>
              <w:t>Controlled studies with fact-checkers and lay participants comparing decisions with and without system explanations</w:t>
            </w:r>
          </w:p>
        </w:tc>
        <w:tc>
          <w:tcPr>
            <w:tcW w:w="1694" w:type="dxa"/>
            <w:tcMar>
              <w:top w:w="60" w:type="dxa"/>
              <w:left w:w="90" w:type="dxa"/>
              <w:bottom w:w="60" w:type="dxa"/>
              <w:right w:w="90" w:type="dxa"/>
            </w:tcMar>
          </w:tcPr>
          <w:p w14:paraId="24CA5BF0" w14:textId="77777777" w:rsidR="00715AFA" w:rsidRDefault="00000000" w:rsidP="00816A47">
            <w:pPr>
              <w:spacing w:before="100" w:beforeAutospacing="1" w:after="100" w:afterAutospacing="1"/>
              <w:jc w:val="both"/>
            </w:pPr>
            <w:r>
              <w:rPr>
                <w:sz w:val="17"/>
                <w:szCs w:val="17"/>
              </w:rPr>
              <w:t>Accuracy and speed of the assisted human decision; reliance on incorrect verdicts</w:t>
            </w:r>
          </w:p>
        </w:tc>
        <w:tc>
          <w:tcPr>
            <w:tcW w:w="1788" w:type="dxa"/>
            <w:tcMar>
              <w:top w:w="60" w:type="dxa"/>
              <w:left w:w="90" w:type="dxa"/>
              <w:bottom w:w="60" w:type="dxa"/>
              <w:right w:w="90" w:type="dxa"/>
            </w:tcMar>
          </w:tcPr>
          <w:p w14:paraId="0235BFD0" w14:textId="77777777" w:rsidR="00715AFA" w:rsidRDefault="00000000" w:rsidP="00816A47">
            <w:pPr>
              <w:spacing w:before="100" w:beforeAutospacing="1" w:after="100" w:afterAutospacing="1"/>
              <w:jc w:val="both"/>
            </w:pPr>
            <w:proofErr w:type="spellStart"/>
            <w:r>
              <w:rPr>
                <w:sz w:val="17"/>
                <w:szCs w:val="17"/>
              </w:rPr>
              <w:t>Kotonya</w:t>
            </w:r>
            <w:proofErr w:type="spellEnd"/>
            <w:r>
              <w:rPr>
                <w:sz w:val="17"/>
                <w:szCs w:val="17"/>
              </w:rPr>
              <w:t xml:space="preserve"> and Toni (2020); Rudin (2019); Shu et al. (2019)</w:t>
            </w:r>
          </w:p>
        </w:tc>
      </w:tr>
      <w:tr w:rsidR="00715AFA" w14:paraId="298B8854" w14:textId="77777777">
        <w:tc>
          <w:tcPr>
            <w:tcW w:w="1694" w:type="dxa"/>
            <w:tcMar>
              <w:top w:w="60" w:type="dxa"/>
              <w:left w:w="90" w:type="dxa"/>
              <w:bottom w:w="60" w:type="dxa"/>
              <w:right w:w="90" w:type="dxa"/>
            </w:tcMar>
          </w:tcPr>
          <w:p w14:paraId="6679C063" w14:textId="77777777" w:rsidR="00715AFA" w:rsidRDefault="00000000" w:rsidP="00816A47">
            <w:pPr>
              <w:spacing w:before="100" w:beforeAutospacing="1" w:after="100" w:afterAutospacing="1"/>
              <w:jc w:val="both"/>
            </w:pPr>
            <w:r>
              <w:rPr>
                <w:sz w:val="17"/>
                <w:szCs w:val="17"/>
              </w:rPr>
              <w:t>Missing outcome measurement</w:t>
            </w:r>
          </w:p>
        </w:tc>
        <w:tc>
          <w:tcPr>
            <w:tcW w:w="2259" w:type="dxa"/>
            <w:tcMar>
              <w:top w:w="60" w:type="dxa"/>
              <w:left w:w="90" w:type="dxa"/>
              <w:bottom w:w="60" w:type="dxa"/>
              <w:right w:w="90" w:type="dxa"/>
            </w:tcMar>
          </w:tcPr>
          <w:p w14:paraId="67D6738C" w14:textId="77777777" w:rsidR="00715AFA" w:rsidRDefault="00000000" w:rsidP="00816A47">
            <w:pPr>
              <w:spacing w:before="100" w:beforeAutospacing="1" w:after="100" w:afterAutospacing="1"/>
              <w:jc w:val="both"/>
            </w:pPr>
            <w:r>
              <w:rPr>
                <w:sz w:val="17"/>
                <w:szCs w:val="17"/>
              </w:rPr>
              <w:t>Detection performance reported without connection to exposure, belief or sharing outcomes</w:t>
            </w:r>
          </w:p>
        </w:tc>
        <w:tc>
          <w:tcPr>
            <w:tcW w:w="2165" w:type="dxa"/>
            <w:tcMar>
              <w:top w:w="60" w:type="dxa"/>
              <w:left w:w="90" w:type="dxa"/>
              <w:bottom w:w="60" w:type="dxa"/>
              <w:right w:w="90" w:type="dxa"/>
            </w:tcMar>
          </w:tcPr>
          <w:p w14:paraId="291BBD0B" w14:textId="77777777" w:rsidR="00715AFA" w:rsidRDefault="00000000" w:rsidP="00816A47">
            <w:pPr>
              <w:spacing w:before="100" w:beforeAutospacing="1" w:after="100" w:afterAutospacing="1"/>
              <w:jc w:val="both"/>
            </w:pPr>
            <w:r>
              <w:rPr>
                <w:sz w:val="17"/>
                <w:szCs w:val="17"/>
              </w:rPr>
              <w:t>Platform-partnered or field-experimental designs linking a deployed triage signal to downstream measures</w:t>
            </w:r>
          </w:p>
        </w:tc>
        <w:tc>
          <w:tcPr>
            <w:tcW w:w="1694" w:type="dxa"/>
            <w:tcMar>
              <w:top w:w="60" w:type="dxa"/>
              <w:left w:w="90" w:type="dxa"/>
              <w:bottom w:w="60" w:type="dxa"/>
              <w:right w:w="90" w:type="dxa"/>
            </w:tcMar>
          </w:tcPr>
          <w:p w14:paraId="28301A27" w14:textId="77777777" w:rsidR="00715AFA" w:rsidRDefault="00000000" w:rsidP="00816A47">
            <w:pPr>
              <w:spacing w:before="100" w:beforeAutospacing="1" w:after="100" w:afterAutospacing="1"/>
              <w:jc w:val="both"/>
            </w:pPr>
            <w:r>
              <w:rPr>
                <w:sz w:val="17"/>
                <w:szCs w:val="17"/>
              </w:rPr>
              <w:t>Change in exposure to, or sharing of, items subsequently adjudicated false</w:t>
            </w:r>
          </w:p>
        </w:tc>
        <w:tc>
          <w:tcPr>
            <w:tcW w:w="1788" w:type="dxa"/>
            <w:tcMar>
              <w:top w:w="60" w:type="dxa"/>
              <w:left w:w="90" w:type="dxa"/>
              <w:bottom w:w="60" w:type="dxa"/>
              <w:right w:w="90" w:type="dxa"/>
            </w:tcMar>
          </w:tcPr>
          <w:p w14:paraId="586804C3" w14:textId="77777777" w:rsidR="00715AFA" w:rsidRDefault="00000000" w:rsidP="00816A47">
            <w:pPr>
              <w:spacing w:before="100" w:beforeAutospacing="1" w:after="100" w:afterAutospacing="1"/>
              <w:jc w:val="both"/>
            </w:pPr>
            <w:r>
              <w:rPr>
                <w:sz w:val="17"/>
                <w:szCs w:val="17"/>
              </w:rPr>
              <w:t xml:space="preserve">Budak et al. (2024); </w:t>
            </w:r>
            <w:proofErr w:type="spellStart"/>
            <w:r>
              <w:rPr>
                <w:sz w:val="17"/>
                <w:szCs w:val="17"/>
              </w:rPr>
              <w:t>Nakov</w:t>
            </w:r>
            <w:proofErr w:type="spellEnd"/>
            <w:r>
              <w:rPr>
                <w:sz w:val="17"/>
                <w:szCs w:val="17"/>
              </w:rPr>
              <w:t xml:space="preserve"> et al. (2021); Pennycook and Rand (2021)</w:t>
            </w:r>
          </w:p>
        </w:tc>
      </w:tr>
    </w:tbl>
    <w:p w14:paraId="68F9D009" w14:textId="77777777" w:rsidR="00715AFA" w:rsidRDefault="00000000" w:rsidP="00816A47">
      <w:pPr>
        <w:spacing w:before="100" w:beforeAutospacing="1" w:after="100" w:afterAutospacing="1"/>
        <w:jc w:val="both"/>
      </w:pPr>
      <w:r>
        <w:rPr>
          <w:i/>
          <w:iCs/>
          <w:sz w:val="18"/>
          <w:szCs w:val="18"/>
        </w:rPr>
        <w:t>Note. No abbreviations are used in this table. The gaps are listed in the order in which they arise in the synthesis; the prioritisation among them is set out in Section 9.</w:t>
      </w:r>
    </w:p>
    <w:p w14:paraId="52AEDB16" w14:textId="77777777" w:rsidR="00715AFA" w:rsidRDefault="00000000" w:rsidP="00816A47">
      <w:pPr>
        <w:pStyle w:val="Heading1"/>
        <w:spacing w:before="100" w:beforeAutospacing="1" w:after="100" w:afterAutospacing="1"/>
        <w:jc w:val="both"/>
      </w:pPr>
      <w:r>
        <w:rPr>
          <w:b/>
          <w:bCs/>
          <w:color w:val="000000"/>
          <w:sz w:val="26"/>
          <w:szCs w:val="26"/>
        </w:rPr>
        <w:t>9. Future Directions</w:t>
      </w:r>
    </w:p>
    <w:p w14:paraId="1917B176" w14:textId="77777777" w:rsidR="00715AFA" w:rsidRDefault="00000000" w:rsidP="00816A47">
      <w:pPr>
        <w:spacing w:before="100" w:beforeAutospacing="1" w:after="100" w:afterAutospacing="1"/>
        <w:jc w:val="both"/>
      </w:pPr>
      <w:r>
        <w:t>The priorities set out below follow from the gaps identified in the synthesis rather than from an assessment of which topics are currently active. They are ordered by the extent to which resolving them would change the interpretation of existing results, and they are separated into work that could be undertaken with present resources and work that requires institutional arrangements not yet in place.</w:t>
      </w:r>
    </w:p>
    <w:p w14:paraId="3CFFC6DF" w14:textId="77777777" w:rsidR="00715AFA" w:rsidRDefault="00000000" w:rsidP="00816A47">
      <w:pPr>
        <w:spacing w:before="100" w:beforeAutospacing="1" w:after="100" w:afterAutospacing="1"/>
        <w:jc w:val="both"/>
      </w:pPr>
      <w:r>
        <w:t xml:space="preserve">The most immediate priority is to establish how much of the reported performance in the existing literature survives claim-level relabelling. The unresolved problem is that source-level and claim-level labelling have never been compared on the same items at scale, so the magnitude of the source-identity confound is unknown despite having been demonstrated to exist (Bozarth &amp; Budak, 2020; Torabi Asr &amp; Taboada, 2019). Current evidence is inadequate because the two labelling regimes are embedded in different corpora, which vary simultaneously in period, domain and platform. The appropriate design is a relabelling study in which a stratified subsample of a widely used source-labelled corpus is adjudicated at claim level by trained annotators with documented agreement statistics, and identical model families </w:t>
      </w:r>
      <w:r>
        <w:lastRenderedPageBreak/>
        <w:t>are then evaluated under both regimes. The relevant outcome is the difference in performance between the two versions of the same items, disaggregated by publisher, since a confound operating through source identity should produce a larger discrepancy for publishers with distinctive house style. This work requires annotation effort rather than new infrastructure and could be undertaken immediately. Its effect on the field would be to convert a demonstrated mechanism into a quantified correction that could be applied when interpreting the existing literature.</w:t>
      </w:r>
    </w:p>
    <w:p w14:paraId="3B7D2C08" w14:textId="77777777" w:rsidR="00715AFA" w:rsidRDefault="00000000" w:rsidP="00816A47">
      <w:pPr>
        <w:spacing w:before="100" w:beforeAutospacing="1" w:after="100" w:afterAutospacing="1"/>
        <w:jc w:val="both"/>
      </w:pPr>
      <w:r>
        <w:t>The second immediate priority is the adoption of chronological evaluation as the default reporting standard. Degradation across time has been measured in several independent settings and has been traced in part to entity–label associations acquired during training (Horne et al., 2019; Zhu et al., 2022), and multi-source benchmark construction has shown a comparable effect when collection authority rather than period is varied (Li et al., 2024). What is missing is a systematic characterisation of the rate of decay across model families and domains, which would allow retraining intervals to be specified rather than assumed. The design required is a prospective protocol in which models are fitted on a fixed earlier window and evaluated on successive later windows, with performance reported as a function of elapsed time rather than as a single figure. Drift-detection indices developed for this setting provide a mechanism for signalling when the threshold has been crossed (</w:t>
      </w:r>
      <w:proofErr w:type="spellStart"/>
      <w:r>
        <w:t>Fenza</w:t>
      </w:r>
      <w:proofErr w:type="spellEnd"/>
      <w:r>
        <w:t xml:space="preserve"> et al., 2023). Political and health domains should be examined separately, since their news cycles differ in tempo. The outcome measures are the decay rate and the interval to a defined operational threshold. Adoption would remove the most misleading single feature of current reporting practice at negligible cost.</w:t>
      </w:r>
    </w:p>
    <w:p w14:paraId="4C0F12A3" w14:textId="77777777" w:rsidR="00715AFA" w:rsidRDefault="00000000" w:rsidP="00816A47">
      <w:pPr>
        <w:spacing w:before="100" w:beforeAutospacing="1" w:after="100" w:afterAutospacing="1"/>
        <w:jc w:val="both"/>
      </w:pPr>
      <w:r>
        <w:t>A third priority, also tractable now, is the systematic characterisation of adversarial degradation. Manipulation of engagement signals and generative restyling of content have each been shown to reduce accuracy (H. Wang et al., 2023; Wu et al., 2024), but the demonstrations use fixed attacks and report a single operating point, so the shape of the relationship between manipulation effort and performance loss is unknown. The design required is evaluation under specified manipulation budgets applied separately to the content and engagement channels, with adaptive adversaries that observe detector behaviour rather than fixed transformations. Reporting accuracy as a function of budget, in place of a single adversarial figure, would allow defences to be compared on the dimension that matters operationally. Studies of this kind are more informative when the defence and the attack are developed by different groups, since jointly optimised pairs tend to overstate robustness.</w:t>
      </w:r>
    </w:p>
    <w:p w14:paraId="794AC7FC" w14:textId="77777777" w:rsidR="00715AFA" w:rsidRDefault="00000000" w:rsidP="00816A47">
      <w:pPr>
        <w:spacing w:before="100" w:beforeAutospacing="1" w:after="100" w:afterAutospacing="1"/>
        <w:jc w:val="both"/>
      </w:pPr>
      <w:r>
        <w:t>A fourth priority concerns multimodal evaluation, where the obstacle is coordination rather than method. Fusion strategies have been compared on corpora that differ in language, platform and modality balance, which prevents any ranking of the strategies themselves (</w:t>
      </w:r>
      <w:proofErr w:type="spellStart"/>
      <w:r>
        <w:t>Hangloo</w:t>
      </w:r>
      <w:proofErr w:type="spellEnd"/>
      <w:r>
        <w:t xml:space="preserve"> &amp; Arora, 2022; Mura et al., 2025). A shared protocol with common splits and, critically, with separate reporting by manipulation type would allow the field to distinguish performance on fabricated imagery from performance on the out-of-context reuse of authentic imagery, which recent work identifies as a distinct and prevalent failure mode requiring different capabilities (Qi et al., 2024). Pooled accuracy across manipulation types conceals precisely the distinction that determines operational usefulness.</w:t>
      </w:r>
    </w:p>
    <w:p w14:paraId="44E70768" w14:textId="77777777" w:rsidR="00715AFA" w:rsidRDefault="00000000" w:rsidP="00816A47">
      <w:pPr>
        <w:spacing w:before="100" w:beforeAutospacing="1" w:after="100" w:afterAutospacing="1"/>
        <w:jc w:val="both"/>
      </w:pPr>
      <w:r>
        <w:t xml:space="preserve">The fifth priority extends the evidence base beyond its present geographical and linguistic concentration, and requires sustained investment rather than a single study. Multilingual coverage remains thin, with most languages represented by isolated contributions and cross-lingual evaluation uncommon (Alghamdi et al., 2026; Touahri &amp; Mazroui, 2024). Generative models offer a partial route around annotation scarcity, and early results in several under-served languages are encouraging without being sufficient (Harris et al., 2025; Kim &amp; Yang, 2026; </w:t>
      </w:r>
      <w:proofErr w:type="spellStart"/>
      <w:r>
        <w:t>LekshmiAmmal</w:t>
      </w:r>
      <w:proofErr w:type="spellEnd"/>
      <w:r>
        <w:t xml:space="preserve"> &amp; </w:t>
      </w:r>
      <w:proofErr w:type="spellStart"/>
      <w:r>
        <w:t>Madasamy</w:t>
      </w:r>
      <w:proofErr w:type="spellEnd"/>
      <w:r>
        <w:t xml:space="preserve">, 2025). What is needed is coordinated resource construction in which annotation guidelines, verdict scales and evaluation protocols are aligned across languages so that cross-lingual transfer can be measured rather than asserted, together with deliberate extension to messaging and video-first platforms whose diffusion dynamics differ from the microblogging environment that dominates existing propagation research (Nielsen &amp; McConville, 2022). The appropriate timescale is multi-year, and the principal outcome measure is </w:t>
      </w:r>
      <w:proofErr w:type="gramStart"/>
      <w:r>
        <w:t>transfer</w:t>
      </w:r>
      <w:proofErr w:type="gramEnd"/>
      <w:r>
        <w:t xml:space="preserve"> performance to languages and platforms held out entirely from development.</w:t>
      </w:r>
    </w:p>
    <w:p w14:paraId="6E13FA2B" w14:textId="77777777" w:rsidR="00715AFA" w:rsidRDefault="00000000" w:rsidP="00816A47">
      <w:pPr>
        <w:spacing w:before="100" w:beforeAutospacing="1" w:after="100" w:afterAutospacing="1"/>
        <w:jc w:val="both"/>
      </w:pPr>
      <w:r>
        <w:lastRenderedPageBreak/>
        <w:t>The sixth priority is to evaluate systems against the decisions they are intended to support rather than against a label. Explanation mechanisms have proliferated without assessment of faithfulness or of effect on human judgement (</w:t>
      </w:r>
      <w:proofErr w:type="spellStart"/>
      <w:r>
        <w:t>Kotonya</w:t>
      </w:r>
      <w:proofErr w:type="spellEnd"/>
      <w:r>
        <w:t xml:space="preserve"> &amp; Toni, 2020; Shu et al., 2019), and the general argument that post-hoc explanation may be unfaithful to the underlying model applies directly in a setting where the explanation informs a consequential human decision (Rudin, 2019). The design required is controlled study with professional fact-checkers and with lay participants, comparing decision accuracy and speed with and without system output, and measuring reliance on incorrect verdicts as a distinct outcome. Because triage rather than adjudication is the realistic near-term application, the accompanying reporting change is to publish precision at the top of a ranked list under a fixed review budget, together with calibration diagnostics, in place of or alongside accuracy (</w:t>
      </w:r>
      <w:proofErr w:type="spellStart"/>
      <w:r>
        <w:t>Nakov</w:t>
      </w:r>
      <w:proofErr w:type="spellEnd"/>
      <w:r>
        <w:t xml:space="preserve"> et al., 2021).</w:t>
      </w:r>
    </w:p>
    <w:p w14:paraId="0F713836" w14:textId="77777777" w:rsidR="00715AFA" w:rsidRDefault="00000000" w:rsidP="00816A47">
      <w:pPr>
        <w:spacing w:before="100" w:beforeAutospacing="1" w:after="100" w:afterAutospacing="1"/>
        <w:jc w:val="both"/>
      </w:pPr>
      <w:r>
        <w:t>The final priority is the longest-term and the most dependent on institutional arrangement. No study identified in this review links a deployed detection system to a measured change in exposure, belief or sharing behaviour, which means that the central claim motivating the field is untested. Critical assessments of harm estimation indicate that the outcomes of interest are concentrated in specific populations and are poorly approximated by aggregate engagement measures (Altay et al., 2023; Budak et al., 2024), while the intervention literature indicates that the mechanisms by which detection could reduce harm run through attention and deliberation rather than through removal alone (Kozyreva et al., 2020; Pennycook &amp; Rand, 2021). Answering the question requires platform-partnered or field-experimental designs in which a triage signal is deployed and downstream measures are collected, with pre-registration and independent analysis. Such work depends on data-access arrangements that are currently constrained. Until it exists, claims about the practical value of automated detection remain inferences from classification performance rather than findings.</w:t>
      </w:r>
    </w:p>
    <w:p w14:paraId="05863B60" w14:textId="77777777" w:rsidR="00715AFA" w:rsidRDefault="00000000" w:rsidP="00816A47">
      <w:pPr>
        <w:pStyle w:val="Heading1"/>
        <w:spacing w:before="100" w:beforeAutospacing="1" w:after="100" w:afterAutospacing="1"/>
        <w:jc w:val="both"/>
      </w:pPr>
      <w:r>
        <w:rPr>
          <w:b/>
          <w:bCs/>
          <w:color w:val="000000"/>
          <w:sz w:val="26"/>
          <w:szCs w:val="26"/>
        </w:rPr>
        <w:t>10. Conclusions</w:t>
      </w:r>
    </w:p>
    <w:p w14:paraId="09A0777E" w14:textId="77777777" w:rsidR="00715AFA" w:rsidRDefault="00000000" w:rsidP="00816A47">
      <w:pPr>
        <w:spacing w:before="100" w:beforeAutospacing="1" w:after="100" w:afterAutospacing="1"/>
        <w:jc w:val="both"/>
      </w:pPr>
      <w:r>
        <w:t>This review set out to establish what the accumulated machine-learning literature genuinely supports about the automated detection of false news on social media, to compare the principal methodological families on the strength of their evidence rather than their headline metrics, to identify the mechanisms producing evaluation optimism, to appraise the dual role of generative language models, and to specify research priorities. The evidence supports a set of conclusions that is narrower and more qualified than the reported performance figures suggest.</w:t>
      </w:r>
    </w:p>
    <w:p w14:paraId="6C14D74A" w14:textId="77777777" w:rsidR="00715AFA" w:rsidRDefault="00000000" w:rsidP="00816A47">
      <w:pPr>
        <w:spacing w:before="100" w:beforeAutospacing="1" w:after="100" w:afterAutospacing="1"/>
        <w:jc w:val="both"/>
      </w:pPr>
      <w:r>
        <w:t>The most secure conclusion concerns the target variable rather than the models. What a detector learns is determined principally by how its labels were constructed, and the dominant labelling regime in the field propagates outlet-level credibility ratings to individual items. This creates a systematic confound between veracity and source identity, and the confound has been demonstrated directly through controlled variation of labelling and partitioning with the model held fixed. Complementary work varying the corpus while fixing the architecture indicates that dataset choice explains more of the variation in reported outcome than architectural choice. High accuracy obtained under random partitioning on a source-labelled corpus is therefore consistent with publisher recognition and does not by itself evidence claim assessment. This conclusion rests on independent lines of evidence and can be held with reasonable confidence.</w:t>
      </w:r>
    </w:p>
    <w:p w14:paraId="76942CC3" w14:textId="77777777" w:rsidR="00715AFA" w:rsidRDefault="00000000" w:rsidP="00816A47">
      <w:pPr>
        <w:spacing w:before="100" w:beforeAutospacing="1" w:after="100" w:afterAutospacing="1"/>
        <w:jc w:val="both"/>
      </w:pPr>
      <w:r>
        <w:t xml:space="preserve">Comparison of the methodological families yields a picture of complementarity rather than hierarchy. Content-based classification acts earliest and transfers worst, and its improvements over the past several years are best understood as improvements in the extraction of stylistic and topical structure rather than in the assessment of truth. Social-context and propagation methods discriminate more effectively and do so consistently across independent formulations, but they require accumulated diffusion, which places them in tension with early intervention, and they depend on platform data whose availability has narrowed. Multimodal fusion addresses a failure mode invisible to text-only systems, and the evidence that visual information carries non-redundant signal is adequate, while the evidence for ranking particular fusion strategies is not, because the comparisons are conducted on incommensurable benchmarks. Evidence-retrieval approaches correspond most closely to what </w:t>
      </w:r>
      <w:r>
        <w:lastRenderedPageBreak/>
        <w:t>verification actually requires and are the least mature, with the strongest support attaching to assistance at specific stages of professional workflow rather than to autonomous verdict production.</w:t>
      </w:r>
    </w:p>
    <w:p w14:paraId="2D8630D9" w14:textId="77777777" w:rsidR="00715AFA" w:rsidRDefault="00000000" w:rsidP="00816A47">
      <w:pPr>
        <w:spacing w:before="100" w:beforeAutospacing="1" w:after="100" w:afterAutospacing="1"/>
        <w:jc w:val="both"/>
      </w:pPr>
      <w:r>
        <w:t>The gap between benchmark performance and operational capability is not a residual limitation but a product of identifiable mechanisms. Source-level labelling supplies a learnable shortcut; random partitioning conceals temporal, topical and entity shift; and standard evaluation treats as fixed those features that an adversary controls. These mechanisms interact, since the stylistic regularities induced by source labelling are precisely those most easily altered by generative rewriting. Temporal degradation has been measured in several independent settings and can be regarded as established. The magnitude of adversarial degradation under realistic rather than worst-case conditions remains poorly characterised, and conclusions about robustness should be treated as tentative.</w:t>
      </w:r>
    </w:p>
    <w:p w14:paraId="100CBFFD" w14:textId="77777777" w:rsidR="00715AFA" w:rsidRDefault="00000000" w:rsidP="00816A47">
      <w:pPr>
        <w:spacing w:before="100" w:beforeAutospacing="1" w:after="100" w:afterAutospacing="1"/>
        <w:jc w:val="both"/>
      </w:pPr>
      <w:r>
        <w:t>On generative language models, the evidence distinguishes two capabilities that are frequently conflated. Reasoning about the plausibility, internal consistency and rhetorical structure of a claim is something these models do usefully, and the finding that model-generated rationales improve a smaller supervised detector has been reproduced by independent groups. Determining whether a claim is true requires evidence the model may not hold, and direct verdict production has performed less well than supervised alternatives in systematic comparison. On the threat side, the technical vulnerability of style-dependent detectors to generative restyling is demonstrated; the population-level consequence of cheaper synthetic content is contested and unresolved.</w:t>
      </w:r>
    </w:p>
    <w:p w14:paraId="542E0781" w14:textId="77777777" w:rsidR="00715AFA" w:rsidRDefault="00000000" w:rsidP="00816A47">
      <w:pPr>
        <w:spacing w:before="100" w:beforeAutospacing="1" w:after="100" w:afterAutospacing="1"/>
        <w:jc w:val="both"/>
      </w:pPr>
      <w:r>
        <w:t>The wider significance of this synthesis lies in what it implies about the direction of the field. The evidence base is concentrated in English-language, politically framed, text-dominant material drawn from a small number of platforms, and confident statements about generalisation are supported only within that region. No study identified here connects a detection system to a measured change in exposure, belief or sharing behaviour, which means that the practical value of automated detection is currently inferred from classification performance rather than demonstrated. Progress is therefore likely to depend less on further architectural refinement than on the construction of labels that isolate veracity from source, on evaluation protocols that respect the passage of time and the presence of adversaries, on reporting suited to triage rather than adjudication, and on outcome measurement beyond the confusion matrix. The technical capability accumulated over the past decade is substantial; the evidence that it reduces the harm it was developed to address has yet to be assembled.</w:t>
      </w:r>
    </w:p>
    <w:p w14:paraId="04E2BB5B" w14:textId="77777777" w:rsidR="00715AFA" w:rsidRDefault="00000000" w:rsidP="00816A47">
      <w:pPr>
        <w:pStyle w:val="Heading1"/>
        <w:spacing w:before="100" w:beforeAutospacing="1" w:after="100" w:afterAutospacing="1"/>
        <w:jc w:val="both"/>
      </w:pPr>
      <w:r>
        <w:rPr>
          <w:b/>
          <w:bCs/>
          <w:color w:val="000000"/>
          <w:sz w:val="26"/>
          <w:szCs w:val="26"/>
        </w:rPr>
        <w:t>11. Limitations</w:t>
      </w:r>
    </w:p>
    <w:p w14:paraId="093A3D39" w14:textId="77777777" w:rsidR="00715AFA" w:rsidRDefault="00000000" w:rsidP="00816A47">
      <w:pPr>
        <w:spacing w:before="100" w:beforeAutospacing="1" w:after="100" w:afterAutospacing="1"/>
        <w:jc w:val="both"/>
      </w:pPr>
      <w:r>
        <w:t>This review is a narrative synthesis and carries the limitations intrinsic to that design. Study selection was purposive rather than exhaustive, and the identification of themes reflects the interpretive judgement of the author. Although the search concepts, sources, eligibility criteria and appraisal approach have been stated so that the process can be scrutinised and repeated, a different reviewer applying the same procedure could plausibly select a different subset of the literature and reach somewhat different emphases. The absence of a second independent screener means that the risk of selection and interpretive bias has been mitigated through transparency rather than eliminated through procedure.</w:t>
      </w:r>
    </w:p>
    <w:p w14:paraId="1A4B58CD" w14:textId="77777777" w:rsidR="00715AFA" w:rsidRDefault="00000000" w:rsidP="00816A47">
      <w:pPr>
        <w:spacing w:before="100" w:beforeAutospacing="1" w:after="100" w:afterAutospacing="1"/>
        <w:jc w:val="both"/>
      </w:pPr>
      <w:r>
        <w:t>Access to the literature was incomplete in a specific and consequential way. Subscription citation indexes were not available during this work, and searching was confined to openly accessible metadata registries, an open-access journal directory, a biomedical literature service and general web search, supplemented by citation tracking. Coverage of venues that are indexed in subscription databases but poorly represented in open registries is therefore likely to be uneven. The restriction of the review to publications in English compounds this, and does so in an area where linguistic imbalance is itself one of the findings; relevant work published in other languages, particularly work addressing misinformation in the linguistic settings identified as under-served, will have been missed.</w:t>
      </w:r>
    </w:p>
    <w:p w14:paraId="579A6093" w14:textId="77777777" w:rsidR="00715AFA" w:rsidRDefault="00000000" w:rsidP="00816A47">
      <w:pPr>
        <w:spacing w:before="100" w:beforeAutospacing="1" w:after="100" w:afterAutospacing="1"/>
        <w:jc w:val="both"/>
      </w:pPr>
      <w:r>
        <w:t xml:space="preserve">Quantitative synthesis was not possible and was not attempted. The primary studies differ in the unit classified, in the provenance and granularity of labels, in class balance, in the presence of social signals, </w:t>
      </w:r>
      <w:r>
        <w:lastRenderedPageBreak/>
        <w:t>in evaluation protocol and in the metrics reported, so pooled estimates would have combined measurements of different quantities. Consequently, no statement in this review rests on an aggregated effect size, and comparative claims are qualitative and calibrated to the design of the underlying studies rather than to their reported magnitudes. Where reported figures are mentioned, they characterise what has been published rather than what has been established.</w:t>
      </w:r>
    </w:p>
    <w:p w14:paraId="5877D8C5" w14:textId="77777777" w:rsidR="00715AFA" w:rsidRDefault="00000000" w:rsidP="00816A47">
      <w:pPr>
        <w:spacing w:before="100" w:beforeAutospacing="1" w:after="100" w:afterAutospacing="1"/>
        <w:jc w:val="both"/>
      </w:pPr>
      <w:r>
        <w:t>Several features of the evidence base constrain the strength of inference available. Geographical and platform concentration means that conclusions about generalisation are supported principally within a narrow region of the problem space. Publication practice in this field favours positive results on established benchmarks, and negative or null findings, particularly failed replications and unsuccessful transfer experiments, are likely to be under-represented in what is available to review. Comparability between studies is limited by the absence of shared protocols, most acutely in multimodal work. Long-term evidence is scarce, since almost all evaluation is cross-sectional and the few studies examining performance over time cover short horizons. Independent replication of individual architectural contributions is uncommon, so many findings rest on single reports from the groups that proposed the methods.</w:t>
      </w:r>
    </w:p>
    <w:p w14:paraId="08C3D097" w14:textId="77777777" w:rsidR="00715AFA" w:rsidRDefault="00000000" w:rsidP="00816A47">
      <w:pPr>
        <w:spacing w:before="100" w:beforeAutospacing="1" w:after="100" w:afterAutospacing="1"/>
        <w:jc w:val="both"/>
      </w:pPr>
      <w:r>
        <w:t>The field is developing rapidly, particularly in the application of generative language models, and the search was closed at a fixed date. Work published after that date, including work that may bear directly on the questions identified as unresolved, is not represented. The assessment of generative approaches should therefore be regarded as provisional to a greater degree than the assessment of the older literature on labelling and evaluation, which rests on a more settled body of evidence.</w:t>
      </w:r>
    </w:p>
    <w:p w14:paraId="5B25EE38" w14:textId="77777777" w:rsidR="0095058E" w:rsidRPr="000839CE" w:rsidRDefault="0095058E" w:rsidP="00816A47">
      <w:pPr>
        <w:jc w:val="both"/>
        <w:rPr>
          <w:rFonts w:ascii="Times New Roman" w:hAnsi="Times New Roman" w:cs="Times New Roman"/>
          <w:b/>
        </w:rPr>
      </w:pPr>
      <w:r w:rsidRPr="000839CE">
        <w:rPr>
          <w:rFonts w:ascii="Times New Roman" w:hAnsi="Times New Roman" w:cs="Times New Roman"/>
          <w:b/>
        </w:rPr>
        <w:t>Declaration of AI Use</w:t>
      </w:r>
    </w:p>
    <w:p w14:paraId="5930D17B" w14:textId="77777777" w:rsidR="0095058E" w:rsidRPr="000839CE" w:rsidRDefault="0095058E" w:rsidP="00816A47">
      <w:pPr>
        <w:jc w:val="both"/>
        <w:rPr>
          <w:rFonts w:ascii="Times New Roman" w:hAnsi="Times New Roman" w:cs="Times New Roman"/>
        </w:rPr>
      </w:pPr>
    </w:p>
    <w:p w14:paraId="40E12E2E" w14:textId="77777777" w:rsidR="0095058E" w:rsidRPr="000839CE" w:rsidRDefault="0095058E" w:rsidP="00816A47">
      <w:pPr>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9B57407" w14:textId="77777777" w:rsidR="0095058E" w:rsidRDefault="0095058E" w:rsidP="00816A47">
      <w:pPr>
        <w:spacing w:before="100" w:beforeAutospacing="1" w:after="100" w:afterAutospacing="1"/>
        <w:jc w:val="both"/>
      </w:pPr>
    </w:p>
    <w:p w14:paraId="6130F7CC" w14:textId="77777777" w:rsidR="00715AFA" w:rsidRDefault="00000000" w:rsidP="00816A47">
      <w:pPr>
        <w:pStyle w:val="Heading1"/>
        <w:spacing w:before="100" w:beforeAutospacing="1" w:after="100" w:afterAutospacing="1"/>
        <w:jc w:val="both"/>
        <w:rPr>
          <w:b/>
          <w:bCs/>
          <w:color w:val="000000"/>
          <w:sz w:val="26"/>
          <w:szCs w:val="26"/>
        </w:rPr>
      </w:pPr>
      <w:r>
        <w:rPr>
          <w:b/>
          <w:bCs/>
          <w:color w:val="000000"/>
          <w:sz w:val="26"/>
          <w:szCs w:val="26"/>
        </w:rPr>
        <w:t>References</w:t>
      </w:r>
    </w:p>
    <w:p w14:paraId="0643EEF5"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Ahmad, I., Yousaf, M., Yousaf, S., &amp; Ahmad, M. O. (2020). Fake news detection using machine learning ensemble methods. </w:t>
      </w:r>
      <w:r w:rsidRPr="00E86206">
        <w:rPr>
          <w:rFonts w:ascii="Times New Roman" w:eastAsia="Times New Roman" w:hAnsi="Times New Roman" w:cs="Times New Roman"/>
          <w:i/>
          <w:iCs/>
          <w:sz w:val="24"/>
          <w:szCs w:val="24"/>
          <w:lang w:val="en-US" w:eastAsia="en-US"/>
        </w:rPr>
        <w:t>Complexity, 2020</w:t>
      </w:r>
      <w:r w:rsidRPr="00E86206">
        <w:rPr>
          <w:rFonts w:ascii="Times New Roman" w:eastAsia="Times New Roman" w:hAnsi="Times New Roman" w:cs="Times New Roman"/>
          <w:sz w:val="24"/>
          <w:szCs w:val="24"/>
          <w:lang w:val="en-US" w:eastAsia="en-US"/>
        </w:rPr>
        <w:t xml:space="preserve">, Article 8885861. </w:t>
      </w:r>
      <w:hyperlink r:id="rId7" w:tgtFrame="_new" w:history="1">
        <w:r w:rsidRPr="00E86206">
          <w:rPr>
            <w:rFonts w:ascii="Times New Roman" w:eastAsia="Times New Roman" w:hAnsi="Times New Roman" w:cs="Times New Roman"/>
            <w:color w:val="0000FF"/>
            <w:sz w:val="24"/>
            <w:szCs w:val="24"/>
            <w:u w:val="single"/>
            <w:lang w:val="en-US" w:eastAsia="en-US"/>
          </w:rPr>
          <w:t>https://doi.org/10.1155/2020/8885861</w:t>
        </w:r>
      </w:hyperlink>
    </w:p>
    <w:p w14:paraId="7732DAC8"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proofErr w:type="spellStart"/>
      <w:r w:rsidRPr="00E86206">
        <w:rPr>
          <w:rFonts w:ascii="Times New Roman" w:eastAsia="Times New Roman" w:hAnsi="Times New Roman" w:cs="Times New Roman"/>
          <w:sz w:val="24"/>
          <w:szCs w:val="24"/>
          <w:lang w:val="en-US" w:eastAsia="en-US"/>
        </w:rPr>
        <w:t>Aïmeur</w:t>
      </w:r>
      <w:proofErr w:type="spellEnd"/>
      <w:r w:rsidRPr="00E86206">
        <w:rPr>
          <w:rFonts w:ascii="Times New Roman" w:eastAsia="Times New Roman" w:hAnsi="Times New Roman" w:cs="Times New Roman"/>
          <w:sz w:val="24"/>
          <w:szCs w:val="24"/>
          <w:lang w:val="en-US" w:eastAsia="en-US"/>
        </w:rPr>
        <w:t xml:space="preserve">, E., Amri, S., &amp; Brassard, G. (2023). Fake news, disinformation and misinformation in social media: A review. </w:t>
      </w:r>
      <w:r w:rsidRPr="00E86206">
        <w:rPr>
          <w:rFonts w:ascii="Times New Roman" w:eastAsia="Times New Roman" w:hAnsi="Times New Roman" w:cs="Times New Roman"/>
          <w:i/>
          <w:iCs/>
          <w:sz w:val="24"/>
          <w:szCs w:val="24"/>
          <w:lang w:val="en-US" w:eastAsia="en-US"/>
        </w:rPr>
        <w:t>Social Network Analysis and Mining, 13</w:t>
      </w:r>
      <w:r w:rsidRPr="00E86206">
        <w:rPr>
          <w:rFonts w:ascii="Times New Roman" w:eastAsia="Times New Roman" w:hAnsi="Times New Roman" w:cs="Times New Roman"/>
          <w:sz w:val="24"/>
          <w:szCs w:val="24"/>
          <w:lang w:val="en-US" w:eastAsia="en-US"/>
        </w:rPr>
        <w:t xml:space="preserve">, Article 30. </w:t>
      </w:r>
      <w:hyperlink r:id="rId8" w:tgtFrame="_new" w:history="1">
        <w:r w:rsidRPr="00E86206">
          <w:rPr>
            <w:rFonts w:ascii="Times New Roman" w:eastAsia="Times New Roman" w:hAnsi="Times New Roman" w:cs="Times New Roman"/>
            <w:color w:val="0000FF"/>
            <w:sz w:val="24"/>
            <w:szCs w:val="24"/>
            <w:u w:val="single"/>
            <w:lang w:val="en-US" w:eastAsia="en-US"/>
          </w:rPr>
          <w:t>https://doi.org/10.1007/s13278-023-01028-5</w:t>
        </w:r>
      </w:hyperlink>
    </w:p>
    <w:p w14:paraId="75002A2E"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Akdag, S. H., &amp; </w:t>
      </w:r>
      <w:proofErr w:type="spellStart"/>
      <w:r w:rsidRPr="00E86206">
        <w:rPr>
          <w:rFonts w:ascii="Times New Roman" w:eastAsia="Times New Roman" w:hAnsi="Times New Roman" w:cs="Times New Roman"/>
          <w:sz w:val="24"/>
          <w:szCs w:val="24"/>
          <w:lang w:val="en-US" w:eastAsia="en-US"/>
        </w:rPr>
        <w:t>Cicekli</w:t>
      </w:r>
      <w:proofErr w:type="spellEnd"/>
      <w:r w:rsidRPr="00E86206">
        <w:rPr>
          <w:rFonts w:ascii="Times New Roman" w:eastAsia="Times New Roman" w:hAnsi="Times New Roman" w:cs="Times New Roman"/>
          <w:sz w:val="24"/>
          <w:szCs w:val="24"/>
          <w:lang w:val="en-US" w:eastAsia="en-US"/>
        </w:rPr>
        <w:t xml:space="preserve">, N. K. (2024). Early detection of fake news on emerging topics through weak supervision. </w:t>
      </w:r>
      <w:r w:rsidRPr="00E86206">
        <w:rPr>
          <w:rFonts w:ascii="Times New Roman" w:eastAsia="Times New Roman" w:hAnsi="Times New Roman" w:cs="Times New Roman"/>
          <w:i/>
          <w:iCs/>
          <w:sz w:val="24"/>
          <w:szCs w:val="24"/>
          <w:lang w:val="en-US" w:eastAsia="en-US"/>
        </w:rPr>
        <w:t>Journal of Intelligent Information Systems, 62</w:t>
      </w:r>
      <w:r w:rsidRPr="00E86206">
        <w:rPr>
          <w:rFonts w:ascii="Times New Roman" w:eastAsia="Times New Roman" w:hAnsi="Times New Roman" w:cs="Times New Roman"/>
          <w:sz w:val="24"/>
          <w:szCs w:val="24"/>
          <w:lang w:val="en-US" w:eastAsia="en-US"/>
        </w:rPr>
        <w:t>, 1263–1284. https://doi.org/10.1007/s10844-024-00852-1</w:t>
      </w:r>
    </w:p>
    <w:p w14:paraId="225F2CE9"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Alghamdi, J., Lin, Y., &amp; Luo, S. (2023). Towards COVID-19 fake news detection using transformer-based models. </w:t>
      </w:r>
      <w:r w:rsidRPr="00E86206">
        <w:rPr>
          <w:rFonts w:ascii="Times New Roman" w:eastAsia="Times New Roman" w:hAnsi="Times New Roman" w:cs="Times New Roman"/>
          <w:i/>
          <w:iCs/>
          <w:sz w:val="24"/>
          <w:szCs w:val="24"/>
          <w:lang w:val="en-US" w:eastAsia="en-US"/>
        </w:rPr>
        <w:t>Knowledge-Based Systems, 274</w:t>
      </w:r>
      <w:r w:rsidRPr="00E86206">
        <w:rPr>
          <w:rFonts w:ascii="Times New Roman" w:eastAsia="Times New Roman" w:hAnsi="Times New Roman" w:cs="Times New Roman"/>
          <w:sz w:val="24"/>
          <w:szCs w:val="24"/>
          <w:lang w:val="en-US" w:eastAsia="en-US"/>
        </w:rPr>
        <w:t>, Article 110642. https://doi.org/10.1016/j.knosys.2023.110642</w:t>
      </w:r>
    </w:p>
    <w:p w14:paraId="384AA669"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lastRenderedPageBreak/>
        <w:t xml:space="preserve">Alghamdi, J., Lin, Y., &amp; Luo, S. (2026). Machine learning and deep learning approaches for fake news detection and related topics in multilingual contexts: A systematic literature review. </w:t>
      </w:r>
      <w:r w:rsidRPr="00E86206">
        <w:rPr>
          <w:rFonts w:ascii="Times New Roman" w:eastAsia="Times New Roman" w:hAnsi="Times New Roman" w:cs="Times New Roman"/>
          <w:i/>
          <w:iCs/>
          <w:sz w:val="24"/>
          <w:szCs w:val="24"/>
          <w:lang w:val="en-US" w:eastAsia="en-US"/>
        </w:rPr>
        <w:t>Multimedia Tools and Applications, 85</w:t>
      </w:r>
      <w:r w:rsidRPr="00E86206">
        <w:rPr>
          <w:rFonts w:ascii="Times New Roman" w:eastAsia="Times New Roman" w:hAnsi="Times New Roman" w:cs="Times New Roman"/>
          <w:sz w:val="24"/>
          <w:szCs w:val="24"/>
          <w:lang w:val="en-US" w:eastAsia="en-US"/>
        </w:rPr>
        <w:t>, Article 353. https://doi.org/10.1007/s11042-026-21238-1</w:t>
      </w:r>
    </w:p>
    <w:p w14:paraId="22DED3BA"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Allcott, H., &amp; Gentzkow, M. (2017). Social media and fake news in the 2016 election. </w:t>
      </w:r>
      <w:r w:rsidRPr="00E86206">
        <w:rPr>
          <w:rFonts w:ascii="Times New Roman" w:eastAsia="Times New Roman" w:hAnsi="Times New Roman" w:cs="Times New Roman"/>
          <w:i/>
          <w:iCs/>
          <w:sz w:val="24"/>
          <w:szCs w:val="24"/>
          <w:lang w:val="en-US" w:eastAsia="en-US"/>
        </w:rPr>
        <w:t>Journal of Economic Perspectives, 31</w:t>
      </w:r>
      <w:r w:rsidRPr="00E86206">
        <w:rPr>
          <w:rFonts w:ascii="Times New Roman" w:eastAsia="Times New Roman" w:hAnsi="Times New Roman" w:cs="Times New Roman"/>
          <w:sz w:val="24"/>
          <w:szCs w:val="24"/>
          <w:lang w:val="en-US" w:eastAsia="en-US"/>
        </w:rPr>
        <w:t xml:space="preserve">(2), 211–236. </w:t>
      </w:r>
      <w:hyperlink r:id="rId9" w:tgtFrame="_new" w:history="1">
        <w:r w:rsidRPr="00E86206">
          <w:rPr>
            <w:rFonts w:ascii="Times New Roman" w:eastAsia="Times New Roman" w:hAnsi="Times New Roman" w:cs="Times New Roman"/>
            <w:color w:val="0000FF"/>
            <w:sz w:val="24"/>
            <w:szCs w:val="24"/>
            <w:u w:val="single"/>
            <w:lang w:val="en-US" w:eastAsia="en-US"/>
          </w:rPr>
          <w:t>https://doi.org/10.1257/jep.31.2.211</w:t>
        </w:r>
      </w:hyperlink>
    </w:p>
    <w:p w14:paraId="596D4848"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Altay, S., </w:t>
      </w:r>
      <w:proofErr w:type="spellStart"/>
      <w:r w:rsidRPr="00E86206">
        <w:rPr>
          <w:rFonts w:ascii="Times New Roman" w:eastAsia="Times New Roman" w:hAnsi="Times New Roman" w:cs="Times New Roman"/>
          <w:sz w:val="24"/>
          <w:szCs w:val="24"/>
          <w:lang w:val="en-US" w:eastAsia="en-US"/>
        </w:rPr>
        <w:t>Berriche</w:t>
      </w:r>
      <w:proofErr w:type="spellEnd"/>
      <w:r w:rsidRPr="00E86206">
        <w:rPr>
          <w:rFonts w:ascii="Times New Roman" w:eastAsia="Times New Roman" w:hAnsi="Times New Roman" w:cs="Times New Roman"/>
          <w:sz w:val="24"/>
          <w:szCs w:val="24"/>
          <w:lang w:val="en-US" w:eastAsia="en-US"/>
        </w:rPr>
        <w:t xml:space="preserve">, M., &amp; Acerbi, A. (2023). Misinformation on misinformation: Conceptual and methodological challenges. </w:t>
      </w:r>
      <w:r w:rsidRPr="00E86206">
        <w:rPr>
          <w:rFonts w:ascii="Times New Roman" w:eastAsia="Times New Roman" w:hAnsi="Times New Roman" w:cs="Times New Roman"/>
          <w:i/>
          <w:iCs/>
          <w:sz w:val="24"/>
          <w:szCs w:val="24"/>
          <w:lang w:val="en-US" w:eastAsia="en-US"/>
        </w:rPr>
        <w:t>Social Media + Society, 9</w:t>
      </w:r>
      <w:r w:rsidRPr="00E86206">
        <w:rPr>
          <w:rFonts w:ascii="Times New Roman" w:eastAsia="Times New Roman" w:hAnsi="Times New Roman" w:cs="Times New Roman"/>
          <w:sz w:val="24"/>
          <w:szCs w:val="24"/>
          <w:lang w:val="en-US" w:eastAsia="en-US"/>
        </w:rPr>
        <w:t xml:space="preserve">(1), Article 20563051221150412. </w:t>
      </w:r>
      <w:hyperlink r:id="rId10" w:tgtFrame="_new" w:history="1">
        <w:r w:rsidRPr="00E86206">
          <w:rPr>
            <w:rFonts w:ascii="Times New Roman" w:eastAsia="Times New Roman" w:hAnsi="Times New Roman" w:cs="Times New Roman"/>
            <w:color w:val="0000FF"/>
            <w:sz w:val="24"/>
            <w:szCs w:val="24"/>
            <w:u w:val="single"/>
            <w:lang w:val="en-US" w:eastAsia="en-US"/>
          </w:rPr>
          <w:t>https://doi.org/10.1177/20563051221150412</w:t>
        </w:r>
      </w:hyperlink>
    </w:p>
    <w:p w14:paraId="507AD775"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proofErr w:type="spellStart"/>
      <w:r w:rsidRPr="00E86206">
        <w:rPr>
          <w:rFonts w:ascii="Times New Roman" w:eastAsia="Times New Roman" w:hAnsi="Times New Roman" w:cs="Times New Roman"/>
          <w:sz w:val="24"/>
          <w:szCs w:val="24"/>
          <w:lang w:val="en-US" w:eastAsia="en-US"/>
        </w:rPr>
        <w:t>Baethge</w:t>
      </w:r>
      <w:proofErr w:type="spellEnd"/>
      <w:r w:rsidRPr="00E86206">
        <w:rPr>
          <w:rFonts w:ascii="Times New Roman" w:eastAsia="Times New Roman" w:hAnsi="Times New Roman" w:cs="Times New Roman"/>
          <w:sz w:val="24"/>
          <w:szCs w:val="24"/>
          <w:lang w:val="en-US" w:eastAsia="en-US"/>
        </w:rPr>
        <w:t xml:space="preserve">, C., Goldbeck-Wood, S., &amp; Mertens, S. (2019). SANRA—a scale for the quality assessment of narrative review articles. </w:t>
      </w:r>
      <w:r w:rsidRPr="00E86206">
        <w:rPr>
          <w:rFonts w:ascii="Times New Roman" w:eastAsia="Times New Roman" w:hAnsi="Times New Roman" w:cs="Times New Roman"/>
          <w:i/>
          <w:iCs/>
          <w:sz w:val="24"/>
          <w:szCs w:val="24"/>
          <w:lang w:val="en-US" w:eastAsia="en-US"/>
        </w:rPr>
        <w:t>Research Integrity and Peer Review, 4</w:t>
      </w:r>
      <w:r w:rsidRPr="00E86206">
        <w:rPr>
          <w:rFonts w:ascii="Times New Roman" w:eastAsia="Times New Roman" w:hAnsi="Times New Roman" w:cs="Times New Roman"/>
          <w:sz w:val="24"/>
          <w:szCs w:val="24"/>
          <w:lang w:val="en-US" w:eastAsia="en-US"/>
        </w:rPr>
        <w:t xml:space="preserve">, Article 5. </w:t>
      </w:r>
      <w:hyperlink r:id="rId11" w:tgtFrame="_new" w:history="1">
        <w:r w:rsidRPr="00E86206">
          <w:rPr>
            <w:rFonts w:ascii="Times New Roman" w:eastAsia="Times New Roman" w:hAnsi="Times New Roman" w:cs="Times New Roman"/>
            <w:color w:val="0000FF"/>
            <w:sz w:val="24"/>
            <w:szCs w:val="24"/>
            <w:u w:val="single"/>
            <w:lang w:val="en-US" w:eastAsia="en-US"/>
          </w:rPr>
          <w:t>https://doi.org/10.1186/s41073-019-0064-8</w:t>
        </w:r>
      </w:hyperlink>
    </w:p>
    <w:p w14:paraId="13A89386"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proofErr w:type="spellStart"/>
      <w:r w:rsidRPr="00E86206">
        <w:rPr>
          <w:rFonts w:ascii="Times New Roman" w:eastAsia="Times New Roman" w:hAnsi="Times New Roman" w:cs="Times New Roman"/>
          <w:sz w:val="24"/>
          <w:szCs w:val="24"/>
          <w:lang w:val="en-US" w:eastAsia="en-US"/>
        </w:rPr>
        <w:t>Bashaddadh</w:t>
      </w:r>
      <w:proofErr w:type="spellEnd"/>
      <w:r w:rsidRPr="00E86206">
        <w:rPr>
          <w:rFonts w:ascii="Times New Roman" w:eastAsia="Times New Roman" w:hAnsi="Times New Roman" w:cs="Times New Roman"/>
          <w:sz w:val="24"/>
          <w:szCs w:val="24"/>
          <w:lang w:val="en-US" w:eastAsia="en-US"/>
        </w:rPr>
        <w:t xml:space="preserve">, O., Omar, N., Mohd, M., &amp; Khalid, M. N. A. (2025). Machine learning and deep learning approaches for fake news detection: A systematic review of techniques, challenges, and advancements. </w:t>
      </w:r>
      <w:r w:rsidRPr="00E86206">
        <w:rPr>
          <w:rFonts w:ascii="Times New Roman" w:eastAsia="Times New Roman" w:hAnsi="Times New Roman" w:cs="Times New Roman"/>
          <w:i/>
          <w:iCs/>
          <w:sz w:val="24"/>
          <w:szCs w:val="24"/>
          <w:lang w:val="en-US" w:eastAsia="en-US"/>
        </w:rPr>
        <w:t>IEEE Access, 13</w:t>
      </w:r>
      <w:r w:rsidRPr="00E86206">
        <w:rPr>
          <w:rFonts w:ascii="Times New Roman" w:eastAsia="Times New Roman" w:hAnsi="Times New Roman" w:cs="Times New Roman"/>
          <w:sz w:val="24"/>
          <w:szCs w:val="24"/>
          <w:lang w:val="en-US" w:eastAsia="en-US"/>
        </w:rPr>
        <w:t>, 90433–90466. https://doi.org/10.1109/ACCESS.2025.3572051</w:t>
      </w:r>
    </w:p>
    <w:p w14:paraId="4530445C"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Bian, T., Xiao, X., Xu, T., Zhao, P., Huang, W., Rong, Y., &amp; Huang, J. (2020). Rumor detection on social media with bi-directional graph convolutional networks. </w:t>
      </w:r>
      <w:r w:rsidRPr="00E86206">
        <w:rPr>
          <w:rFonts w:ascii="Times New Roman" w:eastAsia="Times New Roman" w:hAnsi="Times New Roman" w:cs="Times New Roman"/>
          <w:i/>
          <w:iCs/>
          <w:sz w:val="24"/>
          <w:szCs w:val="24"/>
          <w:lang w:val="en-US" w:eastAsia="en-US"/>
        </w:rPr>
        <w:t>Proceedings of the AAAI Conference on Artificial Intelligence, 34</w:t>
      </w:r>
      <w:r w:rsidRPr="00E86206">
        <w:rPr>
          <w:rFonts w:ascii="Times New Roman" w:eastAsia="Times New Roman" w:hAnsi="Times New Roman" w:cs="Times New Roman"/>
          <w:sz w:val="24"/>
          <w:szCs w:val="24"/>
          <w:lang w:val="en-US" w:eastAsia="en-US"/>
        </w:rPr>
        <w:t xml:space="preserve">(1), 549–556. </w:t>
      </w:r>
      <w:hyperlink r:id="rId12" w:tgtFrame="_new" w:history="1">
        <w:r w:rsidRPr="00E86206">
          <w:rPr>
            <w:rFonts w:ascii="Times New Roman" w:eastAsia="Times New Roman" w:hAnsi="Times New Roman" w:cs="Times New Roman"/>
            <w:color w:val="0000FF"/>
            <w:sz w:val="24"/>
            <w:szCs w:val="24"/>
            <w:u w:val="single"/>
            <w:lang w:val="en-US" w:eastAsia="en-US"/>
          </w:rPr>
          <w:t>https://doi.org/10.1609/aaai.v34i01.5393</w:t>
        </w:r>
      </w:hyperlink>
    </w:p>
    <w:p w14:paraId="67BB5E9A"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Bondielli, A., &amp; </w:t>
      </w:r>
      <w:proofErr w:type="spellStart"/>
      <w:r w:rsidRPr="00E86206">
        <w:rPr>
          <w:rFonts w:ascii="Times New Roman" w:eastAsia="Times New Roman" w:hAnsi="Times New Roman" w:cs="Times New Roman"/>
          <w:sz w:val="24"/>
          <w:szCs w:val="24"/>
          <w:lang w:val="en-US" w:eastAsia="en-US"/>
        </w:rPr>
        <w:t>Marcelloni</w:t>
      </w:r>
      <w:proofErr w:type="spellEnd"/>
      <w:r w:rsidRPr="00E86206">
        <w:rPr>
          <w:rFonts w:ascii="Times New Roman" w:eastAsia="Times New Roman" w:hAnsi="Times New Roman" w:cs="Times New Roman"/>
          <w:sz w:val="24"/>
          <w:szCs w:val="24"/>
          <w:lang w:val="en-US" w:eastAsia="en-US"/>
        </w:rPr>
        <w:t xml:space="preserve">, F. (2019). A survey on fake news and </w:t>
      </w:r>
      <w:proofErr w:type="spellStart"/>
      <w:r w:rsidRPr="00E86206">
        <w:rPr>
          <w:rFonts w:ascii="Times New Roman" w:eastAsia="Times New Roman" w:hAnsi="Times New Roman" w:cs="Times New Roman"/>
          <w:sz w:val="24"/>
          <w:szCs w:val="24"/>
          <w:lang w:val="en-US" w:eastAsia="en-US"/>
        </w:rPr>
        <w:t>rumour</w:t>
      </w:r>
      <w:proofErr w:type="spellEnd"/>
      <w:r w:rsidRPr="00E86206">
        <w:rPr>
          <w:rFonts w:ascii="Times New Roman" w:eastAsia="Times New Roman" w:hAnsi="Times New Roman" w:cs="Times New Roman"/>
          <w:sz w:val="24"/>
          <w:szCs w:val="24"/>
          <w:lang w:val="en-US" w:eastAsia="en-US"/>
        </w:rPr>
        <w:t xml:space="preserve"> detection techniques. </w:t>
      </w:r>
      <w:r w:rsidRPr="00E86206">
        <w:rPr>
          <w:rFonts w:ascii="Times New Roman" w:eastAsia="Times New Roman" w:hAnsi="Times New Roman" w:cs="Times New Roman"/>
          <w:i/>
          <w:iCs/>
          <w:sz w:val="24"/>
          <w:szCs w:val="24"/>
          <w:lang w:val="en-US" w:eastAsia="en-US"/>
        </w:rPr>
        <w:t>Information Sciences, 497</w:t>
      </w:r>
      <w:r w:rsidRPr="00E86206">
        <w:rPr>
          <w:rFonts w:ascii="Times New Roman" w:eastAsia="Times New Roman" w:hAnsi="Times New Roman" w:cs="Times New Roman"/>
          <w:sz w:val="24"/>
          <w:szCs w:val="24"/>
          <w:lang w:val="en-US" w:eastAsia="en-US"/>
        </w:rPr>
        <w:t>, 38–55. https://doi.org/10.1016/j.ins.2019.05.035</w:t>
      </w:r>
    </w:p>
    <w:p w14:paraId="1A292A57"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Bovet, A., &amp; </w:t>
      </w:r>
      <w:proofErr w:type="spellStart"/>
      <w:r w:rsidRPr="00E86206">
        <w:rPr>
          <w:rFonts w:ascii="Times New Roman" w:eastAsia="Times New Roman" w:hAnsi="Times New Roman" w:cs="Times New Roman"/>
          <w:sz w:val="24"/>
          <w:szCs w:val="24"/>
          <w:lang w:val="en-US" w:eastAsia="en-US"/>
        </w:rPr>
        <w:t>Makse</w:t>
      </w:r>
      <w:proofErr w:type="spellEnd"/>
      <w:r w:rsidRPr="00E86206">
        <w:rPr>
          <w:rFonts w:ascii="Times New Roman" w:eastAsia="Times New Roman" w:hAnsi="Times New Roman" w:cs="Times New Roman"/>
          <w:sz w:val="24"/>
          <w:szCs w:val="24"/>
          <w:lang w:val="en-US" w:eastAsia="en-US"/>
        </w:rPr>
        <w:t xml:space="preserve">, H. A. (2019). Influence of fake news in Twitter during the 2016 US presidential election. </w:t>
      </w:r>
      <w:r w:rsidRPr="00E86206">
        <w:rPr>
          <w:rFonts w:ascii="Times New Roman" w:eastAsia="Times New Roman" w:hAnsi="Times New Roman" w:cs="Times New Roman"/>
          <w:i/>
          <w:iCs/>
          <w:sz w:val="24"/>
          <w:szCs w:val="24"/>
          <w:lang w:val="en-US" w:eastAsia="en-US"/>
        </w:rPr>
        <w:t>Nature Communications, 10</w:t>
      </w:r>
      <w:r w:rsidRPr="00E86206">
        <w:rPr>
          <w:rFonts w:ascii="Times New Roman" w:eastAsia="Times New Roman" w:hAnsi="Times New Roman" w:cs="Times New Roman"/>
          <w:sz w:val="24"/>
          <w:szCs w:val="24"/>
          <w:lang w:val="en-US" w:eastAsia="en-US"/>
        </w:rPr>
        <w:t>, Article 7. https://doi.org/10.1038/s41467-018-07761-2</w:t>
      </w:r>
    </w:p>
    <w:p w14:paraId="384A10C4"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Bozarth, L., &amp; Budak, C. (2020). Toward a better performance evaluation framework for fake news classification. </w:t>
      </w:r>
      <w:r w:rsidRPr="00E86206">
        <w:rPr>
          <w:rFonts w:ascii="Times New Roman" w:eastAsia="Times New Roman" w:hAnsi="Times New Roman" w:cs="Times New Roman"/>
          <w:i/>
          <w:iCs/>
          <w:sz w:val="24"/>
          <w:szCs w:val="24"/>
          <w:lang w:val="en-US" w:eastAsia="en-US"/>
        </w:rPr>
        <w:t>Proceedings of the International AAAI Conference on Web and Social Media, 14</w:t>
      </w:r>
      <w:r w:rsidRPr="00E86206">
        <w:rPr>
          <w:rFonts w:ascii="Times New Roman" w:eastAsia="Times New Roman" w:hAnsi="Times New Roman" w:cs="Times New Roman"/>
          <w:sz w:val="24"/>
          <w:szCs w:val="24"/>
          <w:lang w:val="en-US" w:eastAsia="en-US"/>
        </w:rPr>
        <w:t>, 60–71. https://doi.org/10.1609/icwsm.v14i1.7279</w:t>
      </w:r>
    </w:p>
    <w:p w14:paraId="0C71FBC9"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Budak, C., Nyhan, B., Rothschild, D. M., Thorson, E., &amp; Watts, D. J. (2024). Misunderstanding the harms of online misinformation. </w:t>
      </w:r>
      <w:r w:rsidRPr="00E86206">
        <w:rPr>
          <w:rFonts w:ascii="Times New Roman" w:eastAsia="Times New Roman" w:hAnsi="Times New Roman" w:cs="Times New Roman"/>
          <w:i/>
          <w:iCs/>
          <w:sz w:val="24"/>
          <w:szCs w:val="24"/>
          <w:lang w:val="en-US" w:eastAsia="en-US"/>
        </w:rPr>
        <w:t>Nature, 630</w:t>
      </w:r>
      <w:r w:rsidRPr="00E86206">
        <w:rPr>
          <w:rFonts w:ascii="Times New Roman" w:eastAsia="Times New Roman" w:hAnsi="Times New Roman" w:cs="Times New Roman"/>
          <w:sz w:val="24"/>
          <w:szCs w:val="24"/>
          <w:lang w:val="en-US" w:eastAsia="en-US"/>
        </w:rPr>
        <w:t>(8015), 45–53. https://doi.org/10.1038/s41586-024-07417-w</w:t>
      </w:r>
    </w:p>
    <w:p w14:paraId="0BD4F390"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Capuano, N., </w:t>
      </w:r>
      <w:proofErr w:type="spellStart"/>
      <w:r w:rsidRPr="00E86206">
        <w:rPr>
          <w:rFonts w:ascii="Times New Roman" w:eastAsia="Times New Roman" w:hAnsi="Times New Roman" w:cs="Times New Roman"/>
          <w:sz w:val="24"/>
          <w:szCs w:val="24"/>
          <w:lang w:val="en-US" w:eastAsia="en-US"/>
        </w:rPr>
        <w:t>Fenza</w:t>
      </w:r>
      <w:proofErr w:type="spellEnd"/>
      <w:r w:rsidRPr="00E86206">
        <w:rPr>
          <w:rFonts w:ascii="Times New Roman" w:eastAsia="Times New Roman" w:hAnsi="Times New Roman" w:cs="Times New Roman"/>
          <w:sz w:val="24"/>
          <w:szCs w:val="24"/>
          <w:lang w:val="en-US" w:eastAsia="en-US"/>
        </w:rPr>
        <w:t xml:space="preserve">, G., Loia, V., &amp; Nota, F. D. (2023). Content-based fake news detection with machine and deep learning: A systematic review. </w:t>
      </w:r>
      <w:r w:rsidRPr="00E86206">
        <w:rPr>
          <w:rFonts w:ascii="Times New Roman" w:eastAsia="Times New Roman" w:hAnsi="Times New Roman" w:cs="Times New Roman"/>
          <w:i/>
          <w:iCs/>
          <w:sz w:val="24"/>
          <w:szCs w:val="24"/>
          <w:lang w:val="en-US" w:eastAsia="en-US"/>
        </w:rPr>
        <w:t>Neurocomputing, 530</w:t>
      </w:r>
      <w:r w:rsidRPr="00E86206">
        <w:rPr>
          <w:rFonts w:ascii="Times New Roman" w:eastAsia="Times New Roman" w:hAnsi="Times New Roman" w:cs="Times New Roman"/>
          <w:sz w:val="24"/>
          <w:szCs w:val="24"/>
          <w:lang w:val="en-US" w:eastAsia="en-US"/>
        </w:rPr>
        <w:t>, 91–103. https://doi.org/10.1016/j.neucom.2023.02.005</w:t>
      </w:r>
    </w:p>
    <w:p w14:paraId="03908EDE"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Chen, C., &amp; Shu, K. (2024). Combating misinformation in the age of LLMs: Opportunities and challenges. </w:t>
      </w:r>
      <w:r w:rsidRPr="00E86206">
        <w:rPr>
          <w:rFonts w:ascii="Times New Roman" w:eastAsia="Times New Roman" w:hAnsi="Times New Roman" w:cs="Times New Roman"/>
          <w:i/>
          <w:iCs/>
          <w:sz w:val="24"/>
          <w:szCs w:val="24"/>
          <w:lang w:val="en-US" w:eastAsia="en-US"/>
        </w:rPr>
        <w:t>AI Magazine, 45</w:t>
      </w:r>
      <w:r w:rsidRPr="00E86206">
        <w:rPr>
          <w:rFonts w:ascii="Times New Roman" w:eastAsia="Times New Roman" w:hAnsi="Times New Roman" w:cs="Times New Roman"/>
          <w:sz w:val="24"/>
          <w:szCs w:val="24"/>
          <w:lang w:val="en-US" w:eastAsia="en-US"/>
        </w:rPr>
        <w:t xml:space="preserve">(3), 354–368. </w:t>
      </w:r>
      <w:hyperlink r:id="rId13" w:tgtFrame="_new" w:history="1">
        <w:r w:rsidRPr="00E86206">
          <w:rPr>
            <w:rFonts w:ascii="Times New Roman" w:eastAsia="Times New Roman" w:hAnsi="Times New Roman" w:cs="Times New Roman"/>
            <w:color w:val="0000FF"/>
            <w:sz w:val="24"/>
            <w:szCs w:val="24"/>
            <w:u w:val="single"/>
            <w:lang w:val="en-US" w:eastAsia="en-US"/>
          </w:rPr>
          <w:t>https://doi.org/10.1002/aaai.12188</w:t>
        </w:r>
      </w:hyperlink>
    </w:p>
    <w:p w14:paraId="5BC58CED"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proofErr w:type="spellStart"/>
      <w:r w:rsidRPr="00E86206">
        <w:rPr>
          <w:rFonts w:ascii="Times New Roman" w:eastAsia="Times New Roman" w:hAnsi="Times New Roman" w:cs="Times New Roman"/>
          <w:sz w:val="24"/>
          <w:szCs w:val="24"/>
          <w:lang w:val="en-US" w:eastAsia="en-US"/>
        </w:rPr>
        <w:t>D’Ulizia</w:t>
      </w:r>
      <w:proofErr w:type="spellEnd"/>
      <w:r w:rsidRPr="00E86206">
        <w:rPr>
          <w:rFonts w:ascii="Times New Roman" w:eastAsia="Times New Roman" w:hAnsi="Times New Roman" w:cs="Times New Roman"/>
          <w:sz w:val="24"/>
          <w:szCs w:val="24"/>
          <w:lang w:val="en-US" w:eastAsia="en-US"/>
        </w:rPr>
        <w:t xml:space="preserve">, A., Caschera, M. C., Ferri, F., &amp; </w:t>
      </w:r>
      <w:proofErr w:type="spellStart"/>
      <w:r w:rsidRPr="00E86206">
        <w:rPr>
          <w:rFonts w:ascii="Times New Roman" w:eastAsia="Times New Roman" w:hAnsi="Times New Roman" w:cs="Times New Roman"/>
          <w:sz w:val="24"/>
          <w:szCs w:val="24"/>
          <w:lang w:val="en-US" w:eastAsia="en-US"/>
        </w:rPr>
        <w:t>Grifoni</w:t>
      </w:r>
      <w:proofErr w:type="spellEnd"/>
      <w:r w:rsidRPr="00E86206">
        <w:rPr>
          <w:rFonts w:ascii="Times New Roman" w:eastAsia="Times New Roman" w:hAnsi="Times New Roman" w:cs="Times New Roman"/>
          <w:sz w:val="24"/>
          <w:szCs w:val="24"/>
          <w:lang w:val="en-US" w:eastAsia="en-US"/>
        </w:rPr>
        <w:t xml:space="preserve">, P. (2021). Fake news detection: A survey of evaluation datasets. </w:t>
      </w:r>
      <w:proofErr w:type="spellStart"/>
      <w:r w:rsidRPr="00E86206">
        <w:rPr>
          <w:rFonts w:ascii="Times New Roman" w:eastAsia="Times New Roman" w:hAnsi="Times New Roman" w:cs="Times New Roman"/>
          <w:i/>
          <w:iCs/>
          <w:sz w:val="24"/>
          <w:szCs w:val="24"/>
          <w:lang w:val="en-US" w:eastAsia="en-US"/>
        </w:rPr>
        <w:t>PeerJ</w:t>
      </w:r>
      <w:proofErr w:type="spellEnd"/>
      <w:r w:rsidRPr="00E86206">
        <w:rPr>
          <w:rFonts w:ascii="Times New Roman" w:eastAsia="Times New Roman" w:hAnsi="Times New Roman" w:cs="Times New Roman"/>
          <w:i/>
          <w:iCs/>
          <w:sz w:val="24"/>
          <w:szCs w:val="24"/>
          <w:lang w:val="en-US" w:eastAsia="en-US"/>
        </w:rPr>
        <w:t xml:space="preserve"> Computer Science, 7</w:t>
      </w:r>
      <w:r w:rsidRPr="00E86206">
        <w:rPr>
          <w:rFonts w:ascii="Times New Roman" w:eastAsia="Times New Roman" w:hAnsi="Times New Roman" w:cs="Times New Roman"/>
          <w:sz w:val="24"/>
          <w:szCs w:val="24"/>
          <w:lang w:val="en-US" w:eastAsia="en-US"/>
        </w:rPr>
        <w:t>, Article e518. https://doi.org/10.7717/peerj-cs.518</w:t>
      </w:r>
    </w:p>
    <w:p w14:paraId="44BC355E"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Ding, Y., Guo, B., Liu, Y., Jing, Y., Yin, M., Li, N., Wang, H., &amp; Yu, Z. (2025). </w:t>
      </w:r>
      <w:proofErr w:type="spellStart"/>
      <w:r w:rsidRPr="00E86206">
        <w:rPr>
          <w:rFonts w:ascii="Times New Roman" w:eastAsia="Times New Roman" w:hAnsi="Times New Roman" w:cs="Times New Roman"/>
          <w:sz w:val="24"/>
          <w:szCs w:val="24"/>
          <w:lang w:val="en-US" w:eastAsia="en-US"/>
        </w:rPr>
        <w:t>EvolveDetector</w:t>
      </w:r>
      <w:proofErr w:type="spellEnd"/>
      <w:r w:rsidRPr="00E86206">
        <w:rPr>
          <w:rFonts w:ascii="Times New Roman" w:eastAsia="Times New Roman" w:hAnsi="Times New Roman" w:cs="Times New Roman"/>
          <w:sz w:val="24"/>
          <w:szCs w:val="24"/>
          <w:lang w:val="en-US" w:eastAsia="en-US"/>
        </w:rPr>
        <w:t xml:space="preserve">: Towards an evolving fake news detector for emerging events with continual knowledge accumulation and transfer. </w:t>
      </w:r>
      <w:r w:rsidRPr="00E86206">
        <w:rPr>
          <w:rFonts w:ascii="Times New Roman" w:eastAsia="Times New Roman" w:hAnsi="Times New Roman" w:cs="Times New Roman"/>
          <w:i/>
          <w:iCs/>
          <w:sz w:val="24"/>
          <w:szCs w:val="24"/>
          <w:lang w:val="en-US" w:eastAsia="en-US"/>
        </w:rPr>
        <w:t>Information Processing &amp; Management, 62</w:t>
      </w:r>
      <w:r w:rsidRPr="00E86206">
        <w:rPr>
          <w:rFonts w:ascii="Times New Roman" w:eastAsia="Times New Roman" w:hAnsi="Times New Roman" w:cs="Times New Roman"/>
          <w:sz w:val="24"/>
          <w:szCs w:val="24"/>
          <w:lang w:val="en-US" w:eastAsia="en-US"/>
        </w:rPr>
        <w:t>(1), Article 103878. https://doi.org/10.1016/j.ipm.2024.103878</w:t>
      </w:r>
    </w:p>
    <w:p w14:paraId="035825C1"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lastRenderedPageBreak/>
        <w:t xml:space="preserve">Dou, Y., Shu, K., Xia, C., Yu, P. S., &amp; Sun, L. (2021). User preference-aware fake news detection. In </w:t>
      </w:r>
      <w:r w:rsidRPr="00E86206">
        <w:rPr>
          <w:rFonts w:ascii="Times New Roman" w:eastAsia="Times New Roman" w:hAnsi="Times New Roman" w:cs="Times New Roman"/>
          <w:i/>
          <w:iCs/>
          <w:sz w:val="24"/>
          <w:szCs w:val="24"/>
          <w:lang w:val="en-US" w:eastAsia="en-US"/>
        </w:rPr>
        <w:t>Proceedings of the 44th International ACM SIGIR Conference on Research and Development in Information Retrieval</w:t>
      </w:r>
      <w:r w:rsidRPr="00E86206">
        <w:rPr>
          <w:rFonts w:ascii="Times New Roman" w:eastAsia="Times New Roman" w:hAnsi="Times New Roman" w:cs="Times New Roman"/>
          <w:sz w:val="24"/>
          <w:szCs w:val="24"/>
          <w:lang w:val="en-US" w:eastAsia="en-US"/>
        </w:rPr>
        <w:t xml:space="preserve"> (pp. 2051–2055). Association for Computing Machinery. </w:t>
      </w:r>
      <w:hyperlink r:id="rId14" w:tgtFrame="_new" w:history="1">
        <w:r w:rsidRPr="00E86206">
          <w:rPr>
            <w:rFonts w:ascii="Times New Roman" w:eastAsia="Times New Roman" w:hAnsi="Times New Roman" w:cs="Times New Roman"/>
            <w:color w:val="0000FF"/>
            <w:sz w:val="24"/>
            <w:szCs w:val="24"/>
            <w:u w:val="single"/>
            <w:lang w:val="en-US" w:eastAsia="en-US"/>
          </w:rPr>
          <w:t>https://doi.org/10.1145/3404835.3462990</w:t>
        </w:r>
      </w:hyperlink>
    </w:p>
    <w:p w14:paraId="67ACFEFB"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proofErr w:type="spellStart"/>
      <w:r w:rsidRPr="00E86206">
        <w:rPr>
          <w:rFonts w:ascii="Times New Roman" w:eastAsia="Times New Roman" w:hAnsi="Times New Roman" w:cs="Times New Roman"/>
          <w:sz w:val="24"/>
          <w:szCs w:val="24"/>
          <w:lang w:val="en-US" w:eastAsia="en-US"/>
        </w:rPr>
        <w:t>Elgammal</w:t>
      </w:r>
      <w:proofErr w:type="spellEnd"/>
      <w:r w:rsidRPr="00E86206">
        <w:rPr>
          <w:rFonts w:ascii="Times New Roman" w:eastAsia="Times New Roman" w:hAnsi="Times New Roman" w:cs="Times New Roman"/>
          <w:sz w:val="24"/>
          <w:szCs w:val="24"/>
          <w:lang w:val="en-US" w:eastAsia="en-US"/>
        </w:rPr>
        <w:t xml:space="preserve">, Z., &amp; Alhajj, R. (2026). Evolution of deep learning models for misinformation detection in social media textual data: Background, architectures, datasets, and emerging LLM applications. </w:t>
      </w:r>
      <w:r w:rsidRPr="00E86206">
        <w:rPr>
          <w:rFonts w:ascii="Times New Roman" w:eastAsia="Times New Roman" w:hAnsi="Times New Roman" w:cs="Times New Roman"/>
          <w:i/>
          <w:iCs/>
          <w:sz w:val="24"/>
          <w:szCs w:val="24"/>
          <w:lang w:val="en-US" w:eastAsia="en-US"/>
        </w:rPr>
        <w:t>Social Science Computer Review</w:t>
      </w:r>
      <w:r w:rsidRPr="00E86206">
        <w:rPr>
          <w:rFonts w:ascii="Times New Roman" w:eastAsia="Times New Roman" w:hAnsi="Times New Roman" w:cs="Times New Roman"/>
          <w:sz w:val="24"/>
          <w:szCs w:val="24"/>
          <w:lang w:val="en-US" w:eastAsia="en-US"/>
        </w:rPr>
        <w:t xml:space="preserve">. Advance online publication. </w:t>
      </w:r>
      <w:hyperlink r:id="rId15" w:tgtFrame="_new" w:history="1">
        <w:r w:rsidRPr="00E86206">
          <w:rPr>
            <w:rFonts w:ascii="Times New Roman" w:eastAsia="Times New Roman" w:hAnsi="Times New Roman" w:cs="Times New Roman"/>
            <w:color w:val="0000FF"/>
            <w:sz w:val="24"/>
            <w:szCs w:val="24"/>
            <w:u w:val="single"/>
            <w:lang w:val="en-US" w:eastAsia="en-US"/>
          </w:rPr>
          <w:t>https://doi.org/10.1177/08944393261432625</w:t>
        </w:r>
      </w:hyperlink>
    </w:p>
    <w:p w14:paraId="72BEC0EB"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proofErr w:type="spellStart"/>
      <w:r w:rsidRPr="00E86206">
        <w:rPr>
          <w:rFonts w:ascii="Times New Roman" w:eastAsia="Times New Roman" w:hAnsi="Times New Roman" w:cs="Times New Roman"/>
          <w:sz w:val="24"/>
          <w:szCs w:val="24"/>
          <w:lang w:val="en-US" w:eastAsia="en-US"/>
        </w:rPr>
        <w:t>Fenza</w:t>
      </w:r>
      <w:proofErr w:type="spellEnd"/>
      <w:r w:rsidRPr="00E86206">
        <w:rPr>
          <w:rFonts w:ascii="Times New Roman" w:eastAsia="Times New Roman" w:hAnsi="Times New Roman" w:cs="Times New Roman"/>
          <w:sz w:val="24"/>
          <w:szCs w:val="24"/>
          <w:lang w:val="en-US" w:eastAsia="en-US"/>
        </w:rPr>
        <w:t xml:space="preserve">, G., Gallo, M., Loia, V., Petrone, A., &amp; Stanzione, C. (2023). Concept-drift detection index based on fuzzy formal concept analysis for fake news classifiers. </w:t>
      </w:r>
      <w:r w:rsidRPr="00E86206">
        <w:rPr>
          <w:rFonts w:ascii="Times New Roman" w:eastAsia="Times New Roman" w:hAnsi="Times New Roman" w:cs="Times New Roman"/>
          <w:i/>
          <w:iCs/>
          <w:sz w:val="24"/>
          <w:szCs w:val="24"/>
          <w:lang w:val="en-US" w:eastAsia="en-US"/>
        </w:rPr>
        <w:t>Technological Forecasting and Social Change, 194</w:t>
      </w:r>
      <w:r w:rsidRPr="00E86206">
        <w:rPr>
          <w:rFonts w:ascii="Times New Roman" w:eastAsia="Times New Roman" w:hAnsi="Times New Roman" w:cs="Times New Roman"/>
          <w:sz w:val="24"/>
          <w:szCs w:val="24"/>
          <w:lang w:val="en-US" w:eastAsia="en-US"/>
        </w:rPr>
        <w:t>, Article 122640. https://doi.org/10.1016/j.techfore.2023.122640</w:t>
      </w:r>
    </w:p>
    <w:p w14:paraId="1AFBDA21"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Ferrari, R. (2015). Writing narrative style literature reviews. </w:t>
      </w:r>
      <w:r w:rsidRPr="00E86206">
        <w:rPr>
          <w:rFonts w:ascii="Times New Roman" w:eastAsia="Times New Roman" w:hAnsi="Times New Roman" w:cs="Times New Roman"/>
          <w:i/>
          <w:iCs/>
          <w:sz w:val="24"/>
          <w:szCs w:val="24"/>
          <w:lang w:val="en-US" w:eastAsia="en-US"/>
        </w:rPr>
        <w:t>Medical Writing, 24</w:t>
      </w:r>
      <w:r w:rsidRPr="00E86206">
        <w:rPr>
          <w:rFonts w:ascii="Times New Roman" w:eastAsia="Times New Roman" w:hAnsi="Times New Roman" w:cs="Times New Roman"/>
          <w:sz w:val="24"/>
          <w:szCs w:val="24"/>
          <w:lang w:val="en-US" w:eastAsia="en-US"/>
        </w:rPr>
        <w:t>(4), 230–235. https://doi.org/10.1179/2047480615Z.000000000329</w:t>
      </w:r>
    </w:p>
    <w:p w14:paraId="4AEBE70C"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Grinberg, N., Joseph, K., Friedland, L., Swire-Thompson, B., &amp; Lazer, D. (2019). Fake news on Twitter during the 2016 U.S. presidential election. </w:t>
      </w:r>
      <w:r w:rsidRPr="00E86206">
        <w:rPr>
          <w:rFonts w:ascii="Times New Roman" w:eastAsia="Times New Roman" w:hAnsi="Times New Roman" w:cs="Times New Roman"/>
          <w:i/>
          <w:iCs/>
          <w:sz w:val="24"/>
          <w:szCs w:val="24"/>
          <w:lang w:val="en-US" w:eastAsia="en-US"/>
        </w:rPr>
        <w:t>Science, 363</w:t>
      </w:r>
      <w:r w:rsidRPr="00E86206">
        <w:rPr>
          <w:rFonts w:ascii="Times New Roman" w:eastAsia="Times New Roman" w:hAnsi="Times New Roman" w:cs="Times New Roman"/>
          <w:sz w:val="24"/>
          <w:szCs w:val="24"/>
          <w:lang w:val="en-US" w:eastAsia="en-US"/>
        </w:rPr>
        <w:t xml:space="preserve">(6425), 374–378. </w:t>
      </w:r>
      <w:hyperlink r:id="rId16" w:tgtFrame="_new" w:history="1">
        <w:r w:rsidRPr="00E86206">
          <w:rPr>
            <w:rFonts w:ascii="Times New Roman" w:eastAsia="Times New Roman" w:hAnsi="Times New Roman" w:cs="Times New Roman"/>
            <w:color w:val="0000FF"/>
            <w:sz w:val="24"/>
            <w:szCs w:val="24"/>
            <w:u w:val="single"/>
            <w:lang w:val="en-US" w:eastAsia="en-US"/>
          </w:rPr>
          <w:t>https://doi.org/10.1126/science.aau2706</w:t>
        </w:r>
      </w:hyperlink>
    </w:p>
    <w:p w14:paraId="570BA700"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Hussain, F. G., Wasim, M., Hameed, S., Rehman, A., Asim, M. N., &amp; Dengel, A. (2025). Fake news detection landscape: Datasets, data modalities, AI approaches, their challenges, and future perspectives. </w:t>
      </w:r>
      <w:r w:rsidRPr="00E86206">
        <w:rPr>
          <w:rFonts w:ascii="Times New Roman" w:eastAsia="Times New Roman" w:hAnsi="Times New Roman" w:cs="Times New Roman"/>
          <w:i/>
          <w:iCs/>
          <w:sz w:val="24"/>
          <w:szCs w:val="24"/>
          <w:lang w:val="en-US" w:eastAsia="en-US"/>
        </w:rPr>
        <w:t>IEEE Access, 13</w:t>
      </w:r>
      <w:r w:rsidRPr="00E86206">
        <w:rPr>
          <w:rFonts w:ascii="Times New Roman" w:eastAsia="Times New Roman" w:hAnsi="Times New Roman" w:cs="Times New Roman"/>
          <w:sz w:val="24"/>
          <w:szCs w:val="24"/>
          <w:lang w:val="en-US" w:eastAsia="en-US"/>
        </w:rPr>
        <w:t>, 54757–54778. https://doi.org/10.1109/ACCESS.2025.3553909</w:t>
      </w:r>
    </w:p>
    <w:p w14:paraId="66339319"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Guo, Z., Schlichtkrull, M., &amp; Vlachos, A. (2022). A survey on automated fact-checking. </w:t>
      </w:r>
      <w:r w:rsidRPr="00E86206">
        <w:rPr>
          <w:rFonts w:ascii="Times New Roman" w:eastAsia="Times New Roman" w:hAnsi="Times New Roman" w:cs="Times New Roman"/>
          <w:i/>
          <w:iCs/>
          <w:sz w:val="24"/>
          <w:szCs w:val="24"/>
          <w:lang w:val="en-US" w:eastAsia="en-US"/>
        </w:rPr>
        <w:t>Transactions of the Association for Computational Linguistics, 10</w:t>
      </w:r>
      <w:r w:rsidRPr="00E86206">
        <w:rPr>
          <w:rFonts w:ascii="Times New Roman" w:eastAsia="Times New Roman" w:hAnsi="Times New Roman" w:cs="Times New Roman"/>
          <w:sz w:val="24"/>
          <w:szCs w:val="24"/>
          <w:lang w:val="en-US" w:eastAsia="en-US"/>
        </w:rPr>
        <w:t xml:space="preserve">, 178–206. </w:t>
      </w:r>
      <w:hyperlink r:id="rId17" w:tgtFrame="_new" w:history="1">
        <w:r w:rsidRPr="00E86206">
          <w:rPr>
            <w:rFonts w:ascii="Times New Roman" w:eastAsia="Times New Roman" w:hAnsi="Times New Roman" w:cs="Times New Roman"/>
            <w:color w:val="0000FF"/>
            <w:sz w:val="24"/>
            <w:szCs w:val="24"/>
            <w:u w:val="single"/>
            <w:lang w:val="en-US" w:eastAsia="en-US"/>
          </w:rPr>
          <w:t>https://doi.org/10.1162/tacl_a_00454</w:t>
        </w:r>
      </w:hyperlink>
    </w:p>
    <w:p w14:paraId="639F1499"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Hamed, S. K., Ab Aziz, M. J., &amp; Yaakub, M. R. (2023). A review of fake news detection approaches: A critical analysis of relevant studies and highlighting key challenges associated with the dataset, feature representation, and data fusion. </w:t>
      </w:r>
      <w:proofErr w:type="spellStart"/>
      <w:r w:rsidRPr="00E86206">
        <w:rPr>
          <w:rFonts w:ascii="Times New Roman" w:eastAsia="Times New Roman" w:hAnsi="Times New Roman" w:cs="Times New Roman"/>
          <w:i/>
          <w:iCs/>
          <w:sz w:val="24"/>
          <w:szCs w:val="24"/>
          <w:lang w:val="en-US" w:eastAsia="en-US"/>
        </w:rPr>
        <w:t>Heliyon</w:t>
      </w:r>
      <w:proofErr w:type="spellEnd"/>
      <w:r w:rsidRPr="00E86206">
        <w:rPr>
          <w:rFonts w:ascii="Times New Roman" w:eastAsia="Times New Roman" w:hAnsi="Times New Roman" w:cs="Times New Roman"/>
          <w:i/>
          <w:iCs/>
          <w:sz w:val="24"/>
          <w:szCs w:val="24"/>
          <w:lang w:val="en-US" w:eastAsia="en-US"/>
        </w:rPr>
        <w:t>, 9</w:t>
      </w:r>
      <w:r w:rsidRPr="00E86206">
        <w:rPr>
          <w:rFonts w:ascii="Times New Roman" w:eastAsia="Times New Roman" w:hAnsi="Times New Roman" w:cs="Times New Roman"/>
          <w:sz w:val="24"/>
          <w:szCs w:val="24"/>
          <w:lang w:val="en-US" w:eastAsia="en-US"/>
        </w:rPr>
        <w:t>(10), Article e20382. https://doi.org/10.1016/j.heliyon.2023.e20382</w:t>
      </w:r>
    </w:p>
    <w:p w14:paraId="68E62EB6"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proofErr w:type="spellStart"/>
      <w:r w:rsidRPr="00E86206">
        <w:rPr>
          <w:rFonts w:ascii="Times New Roman" w:eastAsia="Times New Roman" w:hAnsi="Times New Roman" w:cs="Times New Roman"/>
          <w:sz w:val="24"/>
          <w:szCs w:val="24"/>
          <w:lang w:val="en-US" w:eastAsia="en-US"/>
        </w:rPr>
        <w:t>Hangloo</w:t>
      </w:r>
      <w:proofErr w:type="spellEnd"/>
      <w:r w:rsidRPr="00E86206">
        <w:rPr>
          <w:rFonts w:ascii="Times New Roman" w:eastAsia="Times New Roman" w:hAnsi="Times New Roman" w:cs="Times New Roman"/>
          <w:sz w:val="24"/>
          <w:szCs w:val="24"/>
          <w:lang w:val="en-US" w:eastAsia="en-US"/>
        </w:rPr>
        <w:t xml:space="preserve">, S., &amp; Arora, B. (2022). Combating multimodal fake news on social media: Methods, datasets, and future perspective. </w:t>
      </w:r>
      <w:r w:rsidRPr="00E86206">
        <w:rPr>
          <w:rFonts w:ascii="Times New Roman" w:eastAsia="Times New Roman" w:hAnsi="Times New Roman" w:cs="Times New Roman"/>
          <w:i/>
          <w:iCs/>
          <w:sz w:val="24"/>
          <w:szCs w:val="24"/>
          <w:lang w:val="en-US" w:eastAsia="en-US"/>
        </w:rPr>
        <w:t>Multimedia Systems, 28</w:t>
      </w:r>
      <w:r w:rsidRPr="00E86206">
        <w:rPr>
          <w:rFonts w:ascii="Times New Roman" w:eastAsia="Times New Roman" w:hAnsi="Times New Roman" w:cs="Times New Roman"/>
          <w:sz w:val="24"/>
          <w:szCs w:val="24"/>
          <w:lang w:val="en-US" w:eastAsia="en-US"/>
        </w:rPr>
        <w:t>(6), 2391–2422. https://doi.org/10.1007/s00530-022-00966-y</w:t>
      </w:r>
    </w:p>
    <w:p w14:paraId="619AE2FE"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Harris, S., Liu, J., Hadi, H. J., Ahmad, N., &amp; Alshara, M. A. (2025). Benchmarking Hook and Bait Urdu news dataset for domain-agnostic and multilingual fake news detection using large language models. </w:t>
      </w:r>
      <w:r w:rsidRPr="00E86206">
        <w:rPr>
          <w:rFonts w:ascii="Times New Roman" w:eastAsia="Times New Roman" w:hAnsi="Times New Roman" w:cs="Times New Roman"/>
          <w:i/>
          <w:iCs/>
          <w:sz w:val="24"/>
          <w:szCs w:val="24"/>
          <w:lang w:val="en-US" w:eastAsia="en-US"/>
        </w:rPr>
        <w:t>Scientific Reports, 15</w:t>
      </w:r>
      <w:r w:rsidRPr="00E86206">
        <w:rPr>
          <w:rFonts w:ascii="Times New Roman" w:eastAsia="Times New Roman" w:hAnsi="Times New Roman" w:cs="Times New Roman"/>
          <w:sz w:val="24"/>
          <w:szCs w:val="24"/>
          <w:lang w:val="en-US" w:eastAsia="en-US"/>
        </w:rPr>
        <w:t>, Article 15553. https://doi.org/10.1038/s41598-025-98271-x</w:t>
      </w:r>
    </w:p>
    <w:p w14:paraId="0E03132D"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Horne, B. D., Nørregaard, J., &amp; Adali, S. (2019). Robust fake news detection over time and attack. </w:t>
      </w:r>
      <w:r w:rsidRPr="00E86206">
        <w:rPr>
          <w:rFonts w:ascii="Times New Roman" w:eastAsia="Times New Roman" w:hAnsi="Times New Roman" w:cs="Times New Roman"/>
          <w:i/>
          <w:iCs/>
          <w:sz w:val="24"/>
          <w:szCs w:val="24"/>
          <w:lang w:val="en-US" w:eastAsia="en-US"/>
        </w:rPr>
        <w:t>ACM Transactions on Intelligent Systems and Technology, 11</w:t>
      </w:r>
      <w:r w:rsidRPr="00E86206">
        <w:rPr>
          <w:rFonts w:ascii="Times New Roman" w:eastAsia="Times New Roman" w:hAnsi="Times New Roman" w:cs="Times New Roman"/>
          <w:sz w:val="24"/>
          <w:szCs w:val="24"/>
          <w:lang w:val="en-US" w:eastAsia="en-US"/>
        </w:rPr>
        <w:t xml:space="preserve">(1), 1–23. </w:t>
      </w:r>
      <w:hyperlink r:id="rId18" w:tgtFrame="_new" w:history="1">
        <w:r w:rsidRPr="00E86206">
          <w:rPr>
            <w:rFonts w:ascii="Times New Roman" w:eastAsia="Times New Roman" w:hAnsi="Times New Roman" w:cs="Times New Roman"/>
            <w:color w:val="0000FF"/>
            <w:sz w:val="24"/>
            <w:szCs w:val="24"/>
            <w:u w:val="single"/>
            <w:lang w:val="en-US" w:eastAsia="en-US"/>
          </w:rPr>
          <w:t>https://doi.org/10.1145/3363818</w:t>
        </w:r>
      </w:hyperlink>
    </w:p>
    <w:p w14:paraId="27036437"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Hoy, N., &amp; Koulouri, T. (2025). An exploration of features to improve the </w:t>
      </w:r>
      <w:proofErr w:type="spellStart"/>
      <w:r w:rsidRPr="00E86206">
        <w:rPr>
          <w:rFonts w:ascii="Times New Roman" w:eastAsia="Times New Roman" w:hAnsi="Times New Roman" w:cs="Times New Roman"/>
          <w:sz w:val="24"/>
          <w:szCs w:val="24"/>
          <w:lang w:val="en-US" w:eastAsia="en-US"/>
        </w:rPr>
        <w:t>generalisability</w:t>
      </w:r>
      <w:proofErr w:type="spellEnd"/>
      <w:r w:rsidRPr="00E86206">
        <w:rPr>
          <w:rFonts w:ascii="Times New Roman" w:eastAsia="Times New Roman" w:hAnsi="Times New Roman" w:cs="Times New Roman"/>
          <w:sz w:val="24"/>
          <w:szCs w:val="24"/>
          <w:lang w:val="en-US" w:eastAsia="en-US"/>
        </w:rPr>
        <w:t xml:space="preserve"> of fake news detection models. </w:t>
      </w:r>
      <w:r w:rsidRPr="00E86206">
        <w:rPr>
          <w:rFonts w:ascii="Times New Roman" w:eastAsia="Times New Roman" w:hAnsi="Times New Roman" w:cs="Times New Roman"/>
          <w:i/>
          <w:iCs/>
          <w:sz w:val="24"/>
          <w:szCs w:val="24"/>
          <w:lang w:val="en-US" w:eastAsia="en-US"/>
        </w:rPr>
        <w:t>Expert Systems with Applications, 275</w:t>
      </w:r>
      <w:r w:rsidRPr="00E86206">
        <w:rPr>
          <w:rFonts w:ascii="Times New Roman" w:eastAsia="Times New Roman" w:hAnsi="Times New Roman" w:cs="Times New Roman"/>
          <w:sz w:val="24"/>
          <w:szCs w:val="24"/>
          <w:lang w:val="en-US" w:eastAsia="en-US"/>
        </w:rPr>
        <w:t>, Article 126949. https://doi.org/10.1016/j.eswa.2025.126949</w:t>
      </w:r>
    </w:p>
    <w:p w14:paraId="482854AB"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Hu, B., Sheng, Q., Cao, J., Shi, Y., Li, Y., Wang, D., &amp; Qi, P. (2024). Bad actor, good advisor: Exploring the role of large language models in fake news detection. </w:t>
      </w:r>
      <w:r w:rsidRPr="00E86206">
        <w:rPr>
          <w:rFonts w:ascii="Times New Roman" w:eastAsia="Times New Roman" w:hAnsi="Times New Roman" w:cs="Times New Roman"/>
          <w:i/>
          <w:iCs/>
          <w:sz w:val="24"/>
          <w:szCs w:val="24"/>
          <w:lang w:val="en-US" w:eastAsia="en-US"/>
        </w:rPr>
        <w:t xml:space="preserve">Proceedings of the AAAI </w:t>
      </w:r>
      <w:r w:rsidRPr="00E86206">
        <w:rPr>
          <w:rFonts w:ascii="Times New Roman" w:eastAsia="Times New Roman" w:hAnsi="Times New Roman" w:cs="Times New Roman"/>
          <w:i/>
          <w:iCs/>
          <w:sz w:val="24"/>
          <w:szCs w:val="24"/>
          <w:lang w:val="en-US" w:eastAsia="en-US"/>
        </w:rPr>
        <w:lastRenderedPageBreak/>
        <w:t>Conference on Artificial Intelligence, 38</w:t>
      </w:r>
      <w:r w:rsidRPr="00E86206">
        <w:rPr>
          <w:rFonts w:ascii="Times New Roman" w:eastAsia="Times New Roman" w:hAnsi="Times New Roman" w:cs="Times New Roman"/>
          <w:sz w:val="24"/>
          <w:szCs w:val="24"/>
          <w:lang w:val="en-US" w:eastAsia="en-US"/>
        </w:rPr>
        <w:t>(20), 22105–22113. https://doi.org/10.1609/aaai.v38i20.30214</w:t>
      </w:r>
    </w:p>
    <w:p w14:paraId="4E44F0EC"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Ireton, C., &amp; </w:t>
      </w:r>
      <w:proofErr w:type="spellStart"/>
      <w:r w:rsidRPr="00E86206">
        <w:rPr>
          <w:rFonts w:ascii="Times New Roman" w:eastAsia="Times New Roman" w:hAnsi="Times New Roman" w:cs="Times New Roman"/>
          <w:sz w:val="24"/>
          <w:szCs w:val="24"/>
          <w:lang w:val="en-US" w:eastAsia="en-US"/>
        </w:rPr>
        <w:t>Posetti</w:t>
      </w:r>
      <w:proofErr w:type="spellEnd"/>
      <w:r w:rsidRPr="00E86206">
        <w:rPr>
          <w:rFonts w:ascii="Times New Roman" w:eastAsia="Times New Roman" w:hAnsi="Times New Roman" w:cs="Times New Roman"/>
          <w:sz w:val="24"/>
          <w:szCs w:val="24"/>
          <w:lang w:val="en-US" w:eastAsia="en-US"/>
        </w:rPr>
        <w:t xml:space="preserve">, J. (Eds.). (2018). </w:t>
      </w:r>
      <w:r w:rsidRPr="00E86206">
        <w:rPr>
          <w:rFonts w:ascii="Times New Roman" w:eastAsia="Times New Roman" w:hAnsi="Times New Roman" w:cs="Times New Roman"/>
          <w:i/>
          <w:iCs/>
          <w:sz w:val="24"/>
          <w:szCs w:val="24"/>
          <w:lang w:val="en-US" w:eastAsia="en-US"/>
        </w:rPr>
        <w:t>Journalism, ‘fake news’ and disinformation: Handbook for journalism education and training</w:t>
      </w:r>
      <w:r w:rsidRPr="00E86206">
        <w:rPr>
          <w:rFonts w:ascii="Times New Roman" w:eastAsia="Times New Roman" w:hAnsi="Times New Roman" w:cs="Times New Roman"/>
          <w:sz w:val="24"/>
          <w:szCs w:val="24"/>
          <w:lang w:val="en-US" w:eastAsia="en-US"/>
        </w:rPr>
        <w:t xml:space="preserve">. United Nations Educational, Scientific and Cultural Organization. </w:t>
      </w:r>
      <w:hyperlink r:id="rId19" w:tgtFrame="_new" w:history="1">
        <w:r w:rsidRPr="00E86206">
          <w:rPr>
            <w:rFonts w:ascii="Times New Roman" w:eastAsia="Times New Roman" w:hAnsi="Times New Roman" w:cs="Times New Roman"/>
            <w:color w:val="0000FF"/>
            <w:sz w:val="24"/>
            <w:szCs w:val="24"/>
            <w:u w:val="single"/>
            <w:lang w:val="en-US" w:eastAsia="en-US"/>
          </w:rPr>
          <w:t>https://www.unesco.org/en/articles/journalism-fake-news-disinformation</w:t>
        </w:r>
      </w:hyperlink>
    </w:p>
    <w:p w14:paraId="45DB6E8B"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Islam, M. R., Liu, S., Wang, X., &amp; Xu, G. (2020). Deep learning for misinformation detection on online social networks: A survey and new perspectives. </w:t>
      </w:r>
      <w:r w:rsidRPr="00E86206">
        <w:rPr>
          <w:rFonts w:ascii="Times New Roman" w:eastAsia="Times New Roman" w:hAnsi="Times New Roman" w:cs="Times New Roman"/>
          <w:i/>
          <w:iCs/>
          <w:sz w:val="24"/>
          <w:szCs w:val="24"/>
          <w:lang w:val="en-US" w:eastAsia="en-US"/>
        </w:rPr>
        <w:t>Social Network Analysis and Mining, 10</w:t>
      </w:r>
      <w:r w:rsidRPr="00E86206">
        <w:rPr>
          <w:rFonts w:ascii="Times New Roman" w:eastAsia="Times New Roman" w:hAnsi="Times New Roman" w:cs="Times New Roman"/>
          <w:sz w:val="24"/>
          <w:szCs w:val="24"/>
          <w:lang w:val="en-US" w:eastAsia="en-US"/>
        </w:rPr>
        <w:t>, Article 82. https://doi.org/10.1007/s13278-020-00696-x</w:t>
      </w:r>
    </w:p>
    <w:p w14:paraId="0E2C980D"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Jeong, U., Ding, K., Cheng, L., Guo, R., Shu, K., &amp; Liu, H. (2022). Nothing stands alone: Relational fake news detection with hypergraph neural networks. In </w:t>
      </w:r>
      <w:r w:rsidRPr="00E86206">
        <w:rPr>
          <w:rFonts w:ascii="Times New Roman" w:eastAsia="Times New Roman" w:hAnsi="Times New Roman" w:cs="Times New Roman"/>
          <w:i/>
          <w:iCs/>
          <w:sz w:val="24"/>
          <w:szCs w:val="24"/>
          <w:lang w:val="en-US" w:eastAsia="en-US"/>
        </w:rPr>
        <w:t>2022 IEEE International Conference on Big Data (Big Data)</w:t>
      </w:r>
      <w:r w:rsidRPr="00E86206">
        <w:rPr>
          <w:rFonts w:ascii="Times New Roman" w:eastAsia="Times New Roman" w:hAnsi="Times New Roman" w:cs="Times New Roman"/>
          <w:sz w:val="24"/>
          <w:szCs w:val="24"/>
          <w:lang w:val="en-US" w:eastAsia="en-US"/>
        </w:rPr>
        <w:t xml:space="preserve"> (pp. 596–605). Institute of Electrical and Electronics Engineers. https://doi.org/10.1109/BigData55660.2022.10020234</w:t>
      </w:r>
    </w:p>
    <w:p w14:paraId="5FD1DE1F"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Jing, C., Gao, H., Zhang, X., Gao, T., &amp; Zhou, C. (2025). DPSG: Dynamic propagation social graphs for multi-modal fake news detection. </w:t>
      </w:r>
      <w:r w:rsidRPr="00E86206">
        <w:rPr>
          <w:rFonts w:ascii="Times New Roman" w:eastAsia="Times New Roman" w:hAnsi="Times New Roman" w:cs="Times New Roman"/>
          <w:i/>
          <w:iCs/>
          <w:sz w:val="24"/>
          <w:szCs w:val="24"/>
          <w:lang w:val="en-US" w:eastAsia="en-US"/>
        </w:rPr>
        <w:t>Information Fusion, 113</w:t>
      </w:r>
      <w:r w:rsidRPr="00E86206">
        <w:rPr>
          <w:rFonts w:ascii="Times New Roman" w:eastAsia="Times New Roman" w:hAnsi="Times New Roman" w:cs="Times New Roman"/>
          <w:sz w:val="24"/>
          <w:szCs w:val="24"/>
          <w:lang w:val="en-US" w:eastAsia="en-US"/>
        </w:rPr>
        <w:t>, Article 102595. https://doi.org/10.1016/j.inffus.2024.102595</w:t>
      </w:r>
    </w:p>
    <w:p w14:paraId="11433C55"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proofErr w:type="spellStart"/>
      <w:r w:rsidRPr="00E86206">
        <w:rPr>
          <w:rFonts w:ascii="Times New Roman" w:eastAsia="Times New Roman" w:hAnsi="Times New Roman" w:cs="Times New Roman"/>
          <w:sz w:val="24"/>
          <w:szCs w:val="24"/>
          <w:lang w:val="en-US" w:eastAsia="en-US"/>
        </w:rPr>
        <w:t>Kaliyar</w:t>
      </w:r>
      <w:proofErr w:type="spellEnd"/>
      <w:r w:rsidRPr="00E86206">
        <w:rPr>
          <w:rFonts w:ascii="Times New Roman" w:eastAsia="Times New Roman" w:hAnsi="Times New Roman" w:cs="Times New Roman"/>
          <w:sz w:val="24"/>
          <w:szCs w:val="24"/>
          <w:lang w:val="en-US" w:eastAsia="en-US"/>
        </w:rPr>
        <w:t xml:space="preserve">, R. K., Goswami, A., &amp; Narang, P. (2021). </w:t>
      </w:r>
      <w:proofErr w:type="spellStart"/>
      <w:r w:rsidRPr="00E86206">
        <w:rPr>
          <w:rFonts w:ascii="Times New Roman" w:eastAsia="Times New Roman" w:hAnsi="Times New Roman" w:cs="Times New Roman"/>
          <w:sz w:val="24"/>
          <w:szCs w:val="24"/>
          <w:lang w:val="en-US" w:eastAsia="en-US"/>
        </w:rPr>
        <w:t>FakeBERT</w:t>
      </w:r>
      <w:proofErr w:type="spellEnd"/>
      <w:r w:rsidRPr="00E86206">
        <w:rPr>
          <w:rFonts w:ascii="Times New Roman" w:eastAsia="Times New Roman" w:hAnsi="Times New Roman" w:cs="Times New Roman"/>
          <w:sz w:val="24"/>
          <w:szCs w:val="24"/>
          <w:lang w:val="en-US" w:eastAsia="en-US"/>
        </w:rPr>
        <w:t xml:space="preserve">: Fake news detection in social media with a BERT-based deep learning approach. </w:t>
      </w:r>
      <w:r w:rsidRPr="00E86206">
        <w:rPr>
          <w:rFonts w:ascii="Times New Roman" w:eastAsia="Times New Roman" w:hAnsi="Times New Roman" w:cs="Times New Roman"/>
          <w:i/>
          <w:iCs/>
          <w:sz w:val="24"/>
          <w:szCs w:val="24"/>
          <w:lang w:val="en-US" w:eastAsia="en-US"/>
        </w:rPr>
        <w:t>Multimedia Tools and Applications, 80</w:t>
      </w:r>
      <w:r w:rsidRPr="00E86206">
        <w:rPr>
          <w:rFonts w:ascii="Times New Roman" w:eastAsia="Times New Roman" w:hAnsi="Times New Roman" w:cs="Times New Roman"/>
          <w:sz w:val="24"/>
          <w:szCs w:val="24"/>
          <w:lang w:val="en-US" w:eastAsia="en-US"/>
        </w:rPr>
        <w:t>(8), 11765–11788. https://doi.org/10.1007/s11042-020-10183-2</w:t>
      </w:r>
    </w:p>
    <w:p w14:paraId="5B6E4006"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Khan, T., </w:t>
      </w:r>
      <w:proofErr w:type="spellStart"/>
      <w:r w:rsidRPr="00E86206">
        <w:rPr>
          <w:rFonts w:ascii="Times New Roman" w:eastAsia="Times New Roman" w:hAnsi="Times New Roman" w:cs="Times New Roman"/>
          <w:sz w:val="24"/>
          <w:szCs w:val="24"/>
          <w:lang w:val="en-US" w:eastAsia="en-US"/>
        </w:rPr>
        <w:t>Michalas</w:t>
      </w:r>
      <w:proofErr w:type="spellEnd"/>
      <w:r w:rsidRPr="00E86206">
        <w:rPr>
          <w:rFonts w:ascii="Times New Roman" w:eastAsia="Times New Roman" w:hAnsi="Times New Roman" w:cs="Times New Roman"/>
          <w:sz w:val="24"/>
          <w:szCs w:val="24"/>
          <w:lang w:val="en-US" w:eastAsia="en-US"/>
        </w:rPr>
        <w:t xml:space="preserve">, A., &amp; </w:t>
      </w:r>
      <w:proofErr w:type="spellStart"/>
      <w:r w:rsidRPr="00E86206">
        <w:rPr>
          <w:rFonts w:ascii="Times New Roman" w:eastAsia="Times New Roman" w:hAnsi="Times New Roman" w:cs="Times New Roman"/>
          <w:sz w:val="24"/>
          <w:szCs w:val="24"/>
          <w:lang w:val="en-US" w:eastAsia="en-US"/>
        </w:rPr>
        <w:t>Akhunzada</w:t>
      </w:r>
      <w:proofErr w:type="spellEnd"/>
      <w:r w:rsidRPr="00E86206">
        <w:rPr>
          <w:rFonts w:ascii="Times New Roman" w:eastAsia="Times New Roman" w:hAnsi="Times New Roman" w:cs="Times New Roman"/>
          <w:sz w:val="24"/>
          <w:szCs w:val="24"/>
          <w:lang w:val="en-US" w:eastAsia="en-US"/>
        </w:rPr>
        <w:t xml:space="preserve">, A. (2021). Fake news outbreak 2021: Can we stop the viral spread? </w:t>
      </w:r>
      <w:r w:rsidRPr="00E86206">
        <w:rPr>
          <w:rFonts w:ascii="Times New Roman" w:eastAsia="Times New Roman" w:hAnsi="Times New Roman" w:cs="Times New Roman"/>
          <w:i/>
          <w:iCs/>
          <w:sz w:val="24"/>
          <w:szCs w:val="24"/>
          <w:lang w:val="en-US" w:eastAsia="en-US"/>
        </w:rPr>
        <w:t>Journal of Network and Computer Applications, 190</w:t>
      </w:r>
      <w:r w:rsidRPr="00E86206">
        <w:rPr>
          <w:rFonts w:ascii="Times New Roman" w:eastAsia="Times New Roman" w:hAnsi="Times New Roman" w:cs="Times New Roman"/>
          <w:sz w:val="24"/>
          <w:szCs w:val="24"/>
          <w:lang w:val="en-US" w:eastAsia="en-US"/>
        </w:rPr>
        <w:t xml:space="preserve">, Article 103112. </w:t>
      </w:r>
      <w:hyperlink r:id="rId20" w:tgtFrame="_new" w:history="1">
        <w:r w:rsidRPr="00E86206">
          <w:rPr>
            <w:rFonts w:ascii="Times New Roman" w:eastAsia="Times New Roman" w:hAnsi="Times New Roman" w:cs="Times New Roman"/>
            <w:color w:val="0000FF"/>
            <w:sz w:val="24"/>
            <w:szCs w:val="24"/>
            <w:u w:val="single"/>
            <w:lang w:val="en-US" w:eastAsia="en-US"/>
          </w:rPr>
          <w:t>https://doi.org/10.1016/j.jnca.2021.103112</w:t>
        </w:r>
      </w:hyperlink>
    </w:p>
    <w:p w14:paraId="2F9B1A65"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Khattar, D., Goud, J. S., Gupta, M., &amp; Varma, V. (2019). MVAE: Multimodal variational autoencoder for fake news detection. In </w:t>
      </w:r>
      <w:r w:rsidRPr="00E86206">
        <w:rPr>
          <w:rFonts w:ascii="Times New Roman" w:eastAsia="Times New Roman" w:hAnsi="Times New Roman" w:cs="Times New Roman"/>
          <w:i/>
          <w:iCs/>
          <w:sz w:val="24"/>
          <w:szCs w:val="24"/>
          <w:lang w:val="en-US" w:eastAsia="en-US"/>
        </w:rPr>
        <w:t>The World Wide Web Conference</w:t>
      </w:r>
      <w:r w:rsidRPr="00E86206">
        <w:rPr>
          <w:rFonts w:ascii="Times New Roman" w:eastAsia="Times New Roman" w:hAnsi="Times New Roman" w:cs="Times New Roman"/>
          <w:sz w:val="24"/>
          <w:szCs w:val="24"/>
          <w:lang w:val="en-US" w:eastAsia="en-US"/>
        </w:rPr>
        <w:t xml:space="preserve"> (pp. 2915–2921). Association for Computing Machinery. </w:t>
      </w:r>
      <w:hyperlink r:id="rId21" w:tgtFrame="_new" w:history="1">
        <w:r w:rsidRPr="00E86206">
          <w:rPr>
            <w:rFonts w:ascii="Times New Roman" w:eastAsia="Times New Roman" w:hAnsi="Times New Roman" w:cs="Times New Roman"/>
            <w:color w:val="0000FF"/>
            <w:sz w:val="24"/>
            <w:szCs w:val="24"/>
            <w:u w:val="single"/>
            <w:lang w:val="en-US" w:eastAsia="en-US"/>
          </w:rPr>
          <w:t>https://doi.org/10.1145/3308558.3313552</w:t>
        </w:r>
      </w:hyperlink>
    </w:p>
    <w:p w14:paraId="6C5063F7"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Kim, G., &amp; Yang, Y. (2026). Knowledge integration for multilingual fake news detection: LLM rationales and adapter-based deep fusion. </w:t>
      </w:r>
      <w:r w:rsidRPr="00E86206">
        <w:rPr>
          <w:rFonts w:ascii="Times New Roman" w:eastAsia="Times New Roman" w:hAnsi="Times New Roman" w:cs="Times New Roman"/>
          <w:i/>
          <w:iCs/>
          <w:sz w:val="24"/>
          <w:szCs w:val="24"/>
          <w:lang w:val="en-US" w:eastAsia="en-US"/>
        </w:rPr>
        <w:t>IEEE Access, 14</w:t>
      </w:r>
      <w:r w:rsidRPr="00E86206">
        <w:rPr>
          <w:rFonts w:ascii="Times New Roman" w:eastAsia="Times New Roman" w:hAnsi="Times New Roman" w:cs="Times New Roman"/>
          <w:sz w:val="24"/>
          <w:szCs w:val="24"/>
          <w:lang w:val="en-US" w:eastAsia="en-US"/>
        </w:rPr>
        <w:t>, 61980–61992. https://doi.org/10.1109/ACCESS.2026.3681698</w:t>
      </w:r>
    </w:p>
    <w:p w14:paraId="6317DB50"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proofErr w:type="spellStart"/>
      <w:r w:rsidRPr="00E86206">
        <w:rPr>
          <w:rFonts w:ascii="Times New Roman" w:eastAsia="Times New Roman" w:hAnsi="Times New Roman" w:cs="Times New Roman"/>
          <w:sz w:val="24"/>
          <w:szCs w:val="24"/>
          <w:lang w:val="en-US" w:eastAsia="en-US"/>
        </w:rPr>
        <w:t>Kotonya</w:t>
      </w:r>
      <w:proofErr w:type="spellEnd"/>
      <w:r w:rsidRPr="00E86206">
        <w:rPr>
          <w:rFonts w:ascii="Times New Roman" w:eastAsia="Times New Roman" w:hAnsi="Times New Roman" w:cs="Times New Roman"/>
          <w:sz w:val="24"/>
          <w:szCs w:val="24"/>
          <w:lang w:val="en-US" w:eastAsia="en-US"/>
        </w:rPr>
        <w:t xml:space="preserve">, N., &amp; Toni, F. (2020). Explainable automated fact-checking: A survey. In </w:t>
      </w:r>
      <w:r w:rsidRPr="00E86206">
        <w:rPr>
          <w:rFonts w:ascii="Times New Roman" w:eastAsia="Times New Roman" w:hAnsi="Times New Roman" w:cs="Times New Roman"/>
          <w:i/>
          <w:iCs/>
          <w:sz w:val="24"/>
          <w:szCs w:val="24"/>
          <w:lang w:val="en-US" w:eastAsia="en-US"/>
        </w:rPr>
        <w:t>Proceedings of the 28th International Conference on Computational Linguistics</w:t>
      </w:r>
      <w:r w:rsidRPr="00E86206">
        <w:rPr>
          <w:rFonts w:ascii="Times New Roman" w:eastAsia="Times New Roman" w:hAnsi="Times New Roman" w:cs="Times New Roman"/>
          <w:sz w:val="24"/>
          <w:szCs w:val="24"/>
          <w:lang w:val="en-US" w:eastAsia="en-US"/>
        </w:rPr>
        <w:t xml:space="preserve"> (pp. 5430–5443). International Committee on Computational Linguistics. https://doi.org/10.18653/v1/2020.coling-main.474</w:t>
      </w:r>
    </w:p>
    <w:p w14:paraId="25456B26"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Kozyreva, A., Lewandowsky, S., &amp; Hertwig, R. (2020). Citizens versus the Internet: Confronting digital challenges with cognitive tools. </w:t>
      </w:r>
      <w:r w:rsidRPr="00E86206">
        <w:rPr>
          <w:rFonts w:ascii="Times New Roman" w:eastAsia="Times New Roman" w:hAnsi="Times New Roman" w:cs="Times New Roman"/>
          <w:i/>
          <w:iCs/>
          <w:sz w:val="24"/>
          <w:szCs w:val="24"/>
          <w:lang w:val="en-US" w:eastAsia="en-US"/>
        </w:rPr>
        <w:t>Psychological Science in the Public Interest, 21</w:t>
      </w:r>
      <w:r w:rsidRPr="00E86206">
        <w:rPr>
          <w:rFonts w:ascii="Times New Roman" w:eastAsia="Times New Roman" w:hAnsi="Times New Roman" w:cs="Times New Roman"/>
          <w:sz w:val="24"/>
          <w:szCs w:val="24"/>
          <w:lang w:val="en-US" w:eastAsia="en-US"/>
        </w:rPr>
        <w:t xml:space="preserve">(3), 103–156. </w:t>
      </w:r>
      <w:hyperlink r:id="rId22" w:tgtFrame="_new" w:history="1">
        <w:r w:rsidRPr="00E86206">
          <w:rPr>
            <w:rFonts w:ascii="Times New Roman" w:eastAsia="Times New Roman" w:hAnsi="Times New Roman" w:cs="Times New Roman"/>
            <w:color w:val="0000FF"/>
            <w:sz w:val="24"/>
            <w:szCs w:val="24"/>
            <w:u w:val="single"/>
            <w:lang w:val="en-US" w:eastAsia="en-US"/>
          </w:rPr>
          <w:t>https://doi.org/10.1177/1529100620946707</w:t>
        </w:r>
      </w:hyperlink>
    </w:p>
    <w:p w14:paraId="732C5789"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proofErr w:type="spellStart"/>
      <w:r w:rsidRPr="00E86206">
        <w:rPr>
          <w:rFonts w:ascii="Times New Roman" w:eastAsia="Times New Roman" w:hAnsi="Times New Roman" w:cs="Times New Roman"/>
          <w:sz w:val="24"/>
          <w:szCs w:val="24"/>
          <w:lang w:val="en-US" w:eastAsia="en-US"/>
        </w:rPr>
        <w:t>Kuntur</w:t>
      </w:r>
      <w:proofErr w:type="spellEnd"/>
      <w:r w:rsidRPr="00E86206">
        <w:rPr>
          <w:rFonts w:ascii="Times New Roman" w:eastAsia="Times New Roman" w:hAnsi="Times New Roman" w:cs="Times New Roman"/>
          <w:sz w:val="24"/>
          <w:szCs w:val="24"/>
          <w:lang w:val="en-US" w:eastAsia="en-US"/>
        </w:rPr>
        <w:t xml:space="preserve">, S., </w:t>
      </w:r>
      <w:proofErr w:type="spellStart"/>
      <w:r w:rsidRPr="00E86206">
        <w:rPr>
          <w:rFonts w:ascii="Times New Roman" w:eastAsia="Times New Roman" w:hAnsi="Times New Roman" w:cs="Times New Roman"/>
          <w:sz w:val="24"/>
          <w:szCs w:val="24"/>
          <w:lang w:val="en-US" w:eastAsia="en-US"/>
        </w:rPr>
        <w:t>Wróblewska</w:t>
      </w:r>
      <w:proofErr w:type="spellEnd"/>
      <w:r w:rsidRPr="00E86206">
        <w:rPr>
          <w:rFonts w:ascii="Times New Roman" w:eastAsia="Times New Roman" w:hAnsi="Times New Roman" w:cs="Times New Roman"/>
          <w:sz w:val="24"/>
          <w:szCs w:val="24"/>
          <w:lang w:val="en-US" w:eastAsia="en-US"/>
        </w:rPr>
        <w:t xml:space="preserve">, A., </w:t>
      </w:r>
      <w:proofErr w:type="spellStart"/>
      <w:r w:rsidRPr="00E86206">
        <w:rPr>
          <w:rFonts w:ascii="Times New Roman" w:eastAsia="Times New Roman" w:hAnsi="Times New Roman" w:cs="Times New Roman"/>
          <w:sz w:val="24"/>
          <w:szCs w:val="24"/>
          <w:lang w:val="en-US" w:eastAsia="en-US"/>
        </w:rPr>
        <w:t>Ganzha</w:t>
      </w:r>
      <w:proofErr w:type="spellEnd"/>
      <w:r w:rsidRPr="00E86206">
        <w:rPr>
          <w:rFonts w:ascii="Times New Roman" w:eastAsia="Times New Roman" w:hAnsi="Times New Roman" w:cs="Times New Roman"/>
          <w:sz w:val="24"/>
          <w:szCs w:val="24"/>
          <w:lang w:val="en-US" w:eastAsia="en-US"/>
        </w:rPr>
        <w:t xml:space="preserve">, M., Paprzycki, M., &amp; Sachdeva, S. (2026). Fake news detection: It’s all in the data! </w:t>
      </w:r>
      <w:r w:rsidRPr="00E86206">
        <w:rPr>
          <w:rFonts w:ascii="Times New Roman" w:eastAsia="Times New Roman" w:hAnsi="Times New Roman" w:cs="Times New Roman"/>
          <w:i/>
          <w:iCs/>
          <w:sz w:val="24"/>
          <w:szCs w:val="24"/>
          <w:lang w:val="en-US" w:eastAsia="en-US"/>
        </w:rPr>
        <w:t>Applied Sciences, 16</w:t>
      </w:r>
      <w:r w:rsidRPr="00E86206">
        <w:rPr>
          <w:rFonts w:ascii="Times New Roman" w:eastAsia="Times New Roman" w:hAnsi="Times New Roman" w:cs="Times New Roman"/>
          <w:sz w:val="24"/>
          <w:szCs w:val="24"/>
          <w:lang w:val="en-US" w:eastAsia="en-US"/>
        </w:rPr>
        <w:t xml:space="preserve">(3), Article 1585. </w:t>
      </w:r>
      <w:hyperlink r:id="rId23" w:tgtFrame="_new" w:history="1">
        <w:r w:rsidRPr="00E86206">
          <w:rPr>
            <w:rFonts w:ascii="Times New Roman" w:eastAsia="Times New Roman" w:hAnsi="Times New Roman" w:cs="Times New Roman"/>
            <w:color w:val="0000FF"/>
            <w:sz w:val="24"/>
            <w:szCs w:val="24"/>
            <w:u w:val="single"/>
            <w:lang w:val="en-US" w:eastAsia="en-US"/>
          </w:rPr>
          <w:t>https://doi.org/10.3390/app16031585</w:t>
        </w:r>
      </w:hyperlink>
    </w:p>
    <w:p w14:paraId="07270E98"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Lazer, D. M. J., Baum, M. A., </w:t>
      </w:r>
      <w:proofErr w:type="spellStart"/>
      <w:r w:rsidRPr="00E86206">
        <w:rPr>
          <w:rFonts w:ascii="Times New Roman" w:eastAsia="Times New Roman" w:hAnsi="Times New Roman" w:cs="Times New Roman"/>
          <w:sz w:val="24"/>
          <w:szCs w:val="24"/>
          <w:lang w:val="en-US" w:eastAsia="en-US"/>
        </w:rPr>
        <w:t>Benkler</w:t>
      </w:r>
      <w:proofErr w:type="spellEnd"/>
      <w:r w:rsidRPr="00E86206">
        <w:rPr>
          <w:rFonts w:ascii="Times New Roman" w:eastAsia="Times New Roman" w:hAnsi="Times New Roman" w:cs="Times New Roman"/>
          <w:sz w:val="24"/>
          <w:szCs w:val="24"/>
          <w:lang w:val="en-US" w:eastAsia="en-US"/>
        </w:rPr>
        <w:t xml:space="preserve">, Y., Berinsky, A. J., Greenhill, K. M., Menczer, F., Metzger, M. J., Nyhan, B., Pennycook, G., Rothschild, D., </w:t>
      </w:r>
      <w:proofErr w:type="spellStart"/>
      <w:r w:rsidRPr="00E86206">
        <w:rPr>
          <w:rFonts w:ascii="Times New Roman" w:eastAsia="Times New Roman" w:hAnsi="Times New Roman" w:cs="Times New Roman"/>
          <w:sz w:val="24"/>
          <w:szCs w:val="24"/>
          <w:lang w:val="en-US" w:eastAsia="en-US"/>
        </w:rPr>
        <w:t>Schudson</w:t>
      </w:r>
      <w:proofErr w:type="spellEnd"/>
      <w:r w:rsidRPr="00E86206">
        <w:rPr>
          <w:rFonts w:ascii="Times New Roman" w:eastAsia="Times New Roman" w:hAnsi="Times New Roman" w:cs="Times New Roman"/>
          <w:sz w:val="24"/>
          <w:szCs w:val="24"/>
          <w:lang w:val="en-US" w:eastAsia="en-US"/>
        </w:rPr>
        <w:t xml:space="preserve">, M., Sloman, S. A., Sunstein, C. R., Thorson, E. A., Watts, D. J., &amp; </w:t>
      </w:r>
      <w:proofErr w:type="spellStart"/>
      <w:r w:rsidRPr="00E86206">
        <w:rPr>
          <w:rFonts w:ascii="Times New Roman" w:eastAsia="Times New Roman" w:hAnsi="Times New Roman" w:cs="Times New Roman"/>
          <w:sz w:val="24"/>
          <w:szCs w:val="24"/>
          <w:lang w:val="en-US" w:eastAsia="en-US"/>
        </w:rPr>
        <w:t>Zittrain</w:t>
      </w:r>
      <w:proofErr w:type="spellEnd"/>
      <w:r w:rsidRPr="00E86206">
        <w:rPr>
          <w:rFonts w:ascii="Times New Roman" w:eastAsia="Times New Roman" w:hAnsi="Times New Roman" w:cs="Times New Roman"/>
          <w:sz w:val="24"/>
          <w:szCs w:val="24"/>
          <w:lang w:val="en-US" w:eastAsia="en-US"/>
        </w:rPr>
        <w:t xml:space="preserve">, J. L. (2018). The science of fake news. </w:t>
      </w:r>
      <w:r w:rsidRPr="00E86206">
        <w:rPr>
          <w:rFonts w:ascii="Times New Roman" w:eastAsia="Times New Roman" w:hAnsi="Times New Roman" w:cs="Times New Roman"/>
          <w:i/>
          <w:iCs/>
          <w:sz w:val="24"/>
          <w:szCs w:val="24"/>
          <w:lang w:val="en-US" w:eastAsia="en-US"/>
        </w:rPr>
        <w:t>Science, 359</w:t>
      </w:r>
      <w:r w:rsidRPr="00E86206">
        <w:rPr>
          <w:rFonts w:ascii="Times New Roman" w:eastAsia="Times New Roman" w:hAnsi="Times New Roman" w:cs="Times New Roman"/>
          <w:sz w:val="24"/>
          <w:szCs w:val="24"/>
          <w:lang w:val="en-US" w:eastAsia="en-US"/>
        </w:rPr>
        <w:t xml:space="preserve">(6380), 1094–1096. </w:t>
      </w:r>
      <w:hyperlink r:id="rId24" w:tgtFrame="_new" w:history="1">
        <w:r w:rsidRPr="00E86206">
          <w:rPr>
            <w:rFonts w:ascii="Times New Roman" w:eastAsia="Times New Roman" w:hAnsi="Times New Roman" w:cs="Times New Roman"/>
            <w:color w:val="0000FF"/>
            <w:sz w:val="24"/>
            <w:szCs w:val="24"/>
            <w:u w:val="single"/>
            <w:lang w:val="en-US" w:eastAsia="en-US"/>
          </w:rPr>
          <w:t>https://doi.org/10.1126/science.aao2998</w:t>
        </w:r>
      </w:hyperlink>
    </w:p>
    <w:p w14:paraId="00679F62"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proofErr w:type="spellStart"/>
      <w:r w:rsidRPr="00E86206">
        <w:rPr>
          <w:rFonts w:ascii="Times New Roman" w:eastAsia="Times New Roman" w:hAnsi="Times New Roman" w:cs="Times New Roman"/>
          <w:sz w:val="24"/>
          <w:szCs w:val="24"/>
          <w:lang w:val="en-US" w:eastAsia="en-US"/>
        </w:rPr>
        <w:lastRenderedPageBreak/>
        <w:t>LekshmiAmmal</w:t>
      </w:r>
      <w:proofErr w:type="spellEnd"/>
      <w:r w:rsidRPr="00E86206">
        <w:rPr>
          <w:rFonts w:ascii="Times New Roman" w:eastAsia="Times New Roman" w:hAnsi="Times New Roman" w:cs="Times New Roman"/>
          <w:sz w:val="24"/>
          <w:szCs w:val="24"/>
          <w:lang w:val="en-US" w:eastAsia="en-US"/>
        </w:rPr>
        <w:t xml:space="preserve">, H. R., &amp; </w:t>
      </w:r>
      <w:proofErr w:type="spellStart"/>
      <w:r w:rsidRPr="00E86206">
        <w:rPr>
          <w:rFonts w:ascii="Times New Roman" w:eastAsia="Times New Roman" w:hAnsi="Times New Roman" w:cs="Times New Roman"/>
          <w:sz w:val="24"/>
          <w:szCs w:val="24"/>
          <w:lang w:val="en-US" w:eastAsia="en-US"/>
        </w:rPr>
        <w:t>Madasamy</w:t>
      </w:r>
      <w:proofErr w:type="spellEnd"/>
      <w:r w:rsidRPr="00E86206">
        <w:rPr>
          <w:rFonts w:ascii="Times New Roman" w:eastAsia="Times New Roman" w:hAnsi="Times New Roman" w:cs="Times New Roman"/>
          <w:sz w:val="24"/>
          <w:szCs w:val="24"/>
          <w:lang w:val="en-US" w:eastAsia="en-US"/>
        </w:rPr>
        <w:t xml:space="preserve">, A. K. (2025). A reasoning based explainable multimodal fake news detection for low resource language using large language models and transformers. </w:t>
      </w:r>
      <w:r w:rsidRPr="00E86206">
        <w:rPr>
          <w:rFonts w:ascii="Times New Roman" w:eastAsia="Times New Roman" w:hAnsi="Times New Roman" w:cs="Times New Roman"/>
          <w:i/>
          <w:iCs/>
          <w:sz w:val="24"/>
          <w:szCs w:val="24"/>
          <w:lang w:val="en-US" w:eastAsia="en-US"/>
        </w:rPr>
        <w:t>Journal of Big Data, 12</w:t>
      </w:r>
      <w:r w:rsidRPr="00E86206">
        <w:rPr>
          <w:rFonts w:ascii="Times New Roman" w:eastAsia="Times New Roman" w:hAnsi="Times New Roman" w:cs="Times New Roman"/>
          <w:sz w:val="24"/>
          <w:szCs w:val="24"/>
          <w:lang w:val="en-US" w:eastAsia="en-US"/>
        </w:rPr>
        <w:t>, Article 46. https://doi.org/10.1186/s40537-025-01093-x</w:t>
      </w:r>
    </w:p>
    <w:p w14:paraId="225A34FD"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Li, Y., He, H., Bai, J., &amp; Wen, D. (2024). MCFEND: A multi-source benchmark dataset for Chinese fake news detection. In </w:t>
      </w:r>
      <w:r w:rsidRPr="00E86206">
        <w:rPr>
          <w:rFonts w:ascii="Times New Roman" w:eastAsia="Times New Roman" w:hAnsi="Times New Roman" w:cs="Times New Roman"/>
          <w:i/>
          <w:iCs/>
          <w:sz w:val="24"/>
          <w:szCs w:val="24"/>
          <w:lang w:val="en-US" w:eastAsia="en-US"/>
        </w:rPr>
        <w:t>Proceedings of the ACM Web Conference 2024</w:t>
      </w:r>
      <w:r w:rsidRPr="00E86206">
        <w:rPr>
          <w:rFonts w:ascii="Times New Roman" w:eastAsia="Times New Roman" w:hAnsi="Times New Roman" w:cs="Times New Roman"/>
          <w:sz w:val="24"/>
          <w:szCs w:val="24"/>
          <w:lang w:val="en-US" w:eastAsia="en-US"/>
        </w:rPr>
        <w:t xml:space="preserve"> (pp. 4018–4027). Association for Computing Machinery. https://doi.org/10.1145/3589334.3645385</w:t>
      </w:r>
    </w:p>
    <w:p w14:paraId="79AFA533"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Ma, X., Zhang, Y., Ding, K., Yang, J., Wu, J., &amp; Fan, H. (2024). On fake news detection with LLM enhanced semantics mining. In </w:t>
      </w:r>
      <w:r w:rsidRPr="00E86206">
        <w:rPr>
          <w:rFonts w:ascii="Times New Roman" w:eastAsia="Times New Roman" w:hAnsi="Times New Roman" w:cs="Times New Roman"/>
          <w:i/>
          <w:iCs/>
          <w:sz w:val="24"/>
          <w:szCs w:val="24"/>
          <w:lang w:val="en-US" w:eastAsia="en-US"/>
        </w:rPr>
        <w:t>Proceedings of the 2024 Conference on Empirical Methods in Natural Language Processing</w:t>
      </w:r>
      <w:r w:rsidRPr="00E86206">
        <w:rPr>
          <w:rFonts w:ascii="Times New Roman" w:eastAsia="Times New Roman" w:hAnsi="Times New Roman" w:cs="Times New Roman"/>
          <w:sz w:val="24"/>
          <w:szCs w:val="24"/>
          <w:lang w:val="en-US" w:eastAsia="en-US"/>
        </w:rPr>
        <w:t xml:space="preserve"> (pp. 508–521). Association for Computational Linguistics. https://doi.org/10.18653/v1/2024.emnlp-main.31</w:t>
      </w:r>
    </w:p>
    <w:p w14:paraId="62619534"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Martirano, L., Comito, C., Guarascio, M., Pisani, F. S., &amp; Zicari, P. (2025). M3DUSA: A modular multi-modal deep </w:t>
      </w:r>
      <w:proofErr w:type="spellStart"/>
      <w:r w:rsidRPr="00E86206">
        <w:rPr>
          <w:rFonts w:ascii="Times New Roman" w:eastAsia="Times New Roman" w:hAnsi="Times New Roman" w:cs="Times New Roman"/>
          <w:sz w:val="24"/>
          <w:szCs w:val="24"/>
          <w:lang w:val="en-US" w:eastAsia="en-US"/>
        </w:rPr>
        <w:t>fUSion</w:t>
      </w:r>
      <w:proofErr w:type="spellEnd"/>
      <w:r w:rsidRPr="00E86206">
        <w:rPr>
          <w:rFonts w:ascii="Times New Roman" w:eastAsia="Times New Roman" w:hAnsi="Times New Roman" w:cs="Times New Roman"/>
          <w:sz w:val="24"/>
          <w:szCs w:val="24"/>
          <w:lang w:val="en-US" w:eastAsia="en-US"/>
        </w:rPr>
        <w:t xml:space="preserve"> architecture for fake news detection on social media. </w:t>
      </w:r>
      <w:r w:rsidRPr="00E86206">
        <w:rPr>
          <w:rFonts w:ascii="Times New Roman" w:eastAsia="Times New Roman" w:hAnsi="Times New Roman" w:cs="Times New Roman"/>
          <w:i/>
          <w:iCs/>
          <w:sz w:val="24"/>
          <w:szCs w:val="24"/>
          <w:lang w:val="en-US" w:eastAsia="en-US"/>
        </w:rPr>
        <w:t>Social Network Analysis and Mining, 15</w:t>
      </w:r>
      <w:r w:rsidRPr="00E86206">
        <w:rPr>
          <w:rFonts w:ascii="Times New Roman" w:eastAsia="Times New Roman" w:hAnsi="Times New Roman" w:cs="Times New Roman"/>
          <w:sz w:val="24"/>
          <w:szCs w:val="24"/>
          <w:lang w:val="en-US" w:eastAsia="en-US"/>
        </w:rPr>
        <w:t xml:space="preserve">, Article 53. </w:t>
      </w:r>
      <w:hyperlink r:id="rId25" w:tgtFrame="_new" w:history="1">
        <w:r w:rsidRPr="00E86206">
          <w:rPr>
            <w:rFonts w:ascii="Times New Roman" w:eastAsia="Times New Roman" w:hAnsi="Times New Roman" w:cs="Times New Roman"/>
            <w:color w:val="0000FF"/>
            <w:sz w:val="24"/>
            <w:szCs w:val="24"/>
            <w:u w:val="single"/>
            <w:lang w:val="en-US" w:eastAsia="en-US"/>
          </w:rPr>
          <w:t>https://doi.org/10.1007/s13278-025-01468-1</w:t>
        </w:r>
      </w:hyperlink>
    </w:p>
    <w:p w14:paraId="54A5D983"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Mura, D. A., Usai, M., </w:t>
      </w:r>
      <w:proofErr w:type="spellStart"/>
      <w:r w:rsidRPr="00E86206">
        <w:rPr>
          <w:rFonts w:ascii="Times New Roman" w:eastAsia="Times New Roman" w:hAnsi="Times New Roman" w:cs="Times New Roman"/>
          <w:sz w:val="24"/>
          <w:szCs w:val="24"/>
          <w:lang w:val="en-US" w:eastAsia="en-US"/>
        </w:rPr>
        <w:t>Loddo</w:t>
      </w:r>
      <w:proofErr w:type="spellEnd"/>
      <w:r w:rsidRPr="00E86206">
        <w:rPr>
          <w:rFonts w:ascii="Times New Roman" w:eastAsia="Times New Roman" w:hAnsi="Times New Roman" w:cs="Times New Roman"/>
          <w:sz w:val="24"/>
          <w:szCs w:val="24"/>
          <w:lang w:val="en-US" w:eastAsia="en-US"/>
        </w:rPr>
        <w:t xml:space="preserve">, A., Sanguinetti, M., Zedda, L., Di Ruberto, C., &amp; Atzori, M. (2025). Is it fake or not? A comprehensive approach for multimodal fake news detection. </w:t>
      </w:r>
      <w:r w:rsidRPr="00E86206">
        <w:rPr>
          <w:rFonts w:ascii="Times New Roman" w:eastAsia="Times New Roman" w:hAnsi="Times New Roman" w:cs="Times New Roman"/>
          <w:i/>
          <w:iCs/>
          <w:sz w:val="24"/>
          <w:szCs w:val="24"/>
          <w:lang w:val="en-US" w:eastAsia="en-US"/>
        </w:rPr>
        <w:t>Online Social Networks and Media, 47</w:t>
      </w:r>
      <w:r w:rsidRPr="00E86206">
        <w:rPr>
          <w:rFonts w:ascii="Times New Roman" w:eastAsia="Times New Roman" w:hAnsi="Times New Roman" w:cs="Times New Roman"/>
          <w:sz w:val="24"/>
          <w:szCs w:val="24"/>
          <w:lang w:val="en-US" w:eastAsia="en-US"/>
        </w:rPr>
        <w:t xml:space="preserve">, Article 100314. </w:t>
      </w:r>
      <w:hyperlink r:id="rId26" w:tgtFrame="_new" w:history="1">
        <w:r w:rsidRPr="00E86206">
          <w:rPr>
            <w:rFonts w:ascii="Times New Roman" w:eastAsia="Times New Roman" w:hAnsi="Times New Roman" w:cs="Times New Roman"/>
            <w:color w:val="0000FF"/>
            <w:sz w:val="24"/>
            <w:szCs w:val="24"/>
            <w:u w:val="single"/>
            <w:lang w:val="en-US" w:eastAsia="en-US"/>
          </w:rPr>
          <w:t>https://doi.org/10.1016/j.osnem.2025.100314</w:t>
        </w:r>
      </w:hyperlink>
    </w:p>
    <w:p w14:paraId="79964676"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Nakov, P., Corney, D., Hasanain, M., Alam, F., Elsayed, T., Barrón-Cedeño, A., Papotti, P., Shaar, S., &amp; Da San Martino, G. (2021). Automated fact-checking for assisting human fact-checkers. In </w:t>
      </w:r>
      <w:r w:rsidRPr="00E86206">
        <w:rPr>
          <w:rFonts w:ascii="Times New Roman" w:eastAsia="Times New Roman" w:hAnsi="Times New Roman" w:cs="Times New Roman"/>
          <w:i/>
          <w:iCs/>
          <w:sz w:val="24"/>
          <w:szCs w:val="24"/>
          <w:lang w:val="en-US" w:eastAsia="en-US"/>
        </w:rPr>
        <w:t>Proceedings of the Thirtieth International Joint Conference on Artificial Intelligence</w:t>
      </w:r>
      <w:r w:rsidRPr="00E86206">
        <w:rPr>
          <w:rFonts w:ascii="Times New Roman" w:eastAsia="Times New Roman" w:hAnsi="Times New Roman" w:cs="Times New Roman"/>
          <w:sz w:val="24"/>
          <w:szCs w:val="24"/>
          <w:lang w:val="en-US" w:eastAsia="en-US"/>
        </w:rPr>
        <w:t xml:space="preserve"> (pp. 4551–4558). International Joint Conferences on Artificial Intelligence Organization. https://doi.org/10.24963/ijcai.2021/619</w:t>
      </w:r>
    </w:p>
    <w:p w14:paraId="151A0ED6"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Nan, Q., Cao, J., Zhu, Y., Wang, Y., &amp; Li, J. (2021). MDFEND: Multi-domain fake news detection. In </w:t>
      </w:r>
      <w:r w:rsidRPr="00E86206">
        <w:rPr>
          <w:rFonts w:ascii="Times New Roman" w:eastAsia="Times New Roman" w:hAnsi="Times New Roman" w:cs="Times New Roman"/>
          <w:i/>
          <w:iCs/>
          <w:sz w:val="24"/>
          <w:szCs w:val="24"/>
          <w:lang w:val="en-US" w:eastAsia="en-US"/>
        </w:rPr>
        <w:t>Proceedings of the 30th ACM International Conference on Information &amp; Knowledge Management</w:t>
      </w:r>
      <w:r w:rsidRPr="00E86206">
        <w:rPr>
          <w:rFonts w:ascii="Times New Roman" w:eastAsia="Times New Roman" w:hAnsi="Times New Roman" w:cs="Times New Roman"/>
          <w:sz w:val="24"/>
          <w:szCs w:val="24"/>
          <w:lang w:val="en-US" w:eastAsia="en-US"/>
        </w:rPr>
        <w:t xml:space="preserve"> (pp. 3343–3347). Association for Computing Machinery. </w:t>
      </w:r>
      <w:hyperlink r:id="rId27" w:tgtFrame="_new" w:history="1">
        <w:r w:rsidRPr="00E86206">
          <w:rPr>
            <w:rFonts w:ascii="Times New Roman" w:eastAsia="Times New Roman" w:hAnsi="Times New Roman" w:cs="Times New Roman"/>
            <w:color w:val="0000FF"/>
            <w:sz w:val="24"/>
            <w:szCs w:val="24"/>
            <w:u w:val="single"/>
            <w:lang w:val="en-US" w:eastAsia="en-US"/>
          </w:rPr>
          <w:t>https://doi.org/10.1145/3459637.3482139</w:t>
        </w:r>
      </w:hyperlink>
    </w:p>
    <w:p w14:paraId="23B7E5DC"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Nielsen, D. S., &amp; McConville, R. (2022). </w:t>
      </w:r>
      <w:proofErr w:type="spellStart"/>
      <w:r w:rsidRPr="00E86206">
        <w:rPr>
          <w:rFonts w:ascii="Times New Roman" w:eastAsia="Times New Roman" w:hAnsi="Times New Roman" w:cs="Times New Roman"/>
          <w:sz w:val="24"/>
          <w:szCs w:val="24"/>
          <w:lang w:val="en-US" w:eastAsia="en-US"/>
        </w:rPr>
        <w:t>MuMiN</w:t>
      </w:r>
      <w:proofErr w:type="spellEnd"/>
      <w:r w:rsidRPr="00E86206">
        <w:rPr>
          <w:rFonts w:ascii="Times New Roman" w:eastAsia="Times New Roman" w:hAnsi="Times New Roman" w:cs="Times New Roman"/>
          <w:sz w:val="24"/>
          <w:szCs w:val="24"/>
          <w:lang w:val="en-US" w:eastAsia="en-US"/>
        </w:rPr>
        <w:t xml:space="preserve">: A large-scale multilingual multimodal fact-checked misinformation social network dataset. In </w:t>
      </w:r>
      <w:r w:rsidRPr="00E86206">
        <w:rPr>
          <w:rFonts w:ascii="Times New Roman" w:eastAsia="Times New Roman" w:hAnsi="Times New Roman" w:cs="Times New Roman"/>
          <w:i/>
          <w:iCs/>
          <w:sz w:val="24"/>
          <w:szCs w:val="24"/>
          <w:lang w:val="en-US" w:eastAsia="en-US"/>
        </w:rPr>
        <w:t>Proceedings of the 45th International ACM SIGIR Conference on Research and Development in Information Retrieval</w:t>
      </w:r>
      <w:r w:rsidRPr="00E86206">
        <w:rPr>
          <w:rFonts w:ascii="Times New Roman" w:eastAsia="Times New Roman" w:hAnsi="Times New Roman" w:cs="Times New Roman"/>
          <w:sz w:val="24"/>
          <w:szCs w:val="24"/>
          <w:lang w:val="en-US" w:eastAsia="en-US"/>
        </w:rPr>
        <w:t xml:space="preserve"> (pp. 3141–3153). Association for Computing Machinery. https://doi.org/10.1145/3477495.3531744</w:t>
      </w:r>
    </w:p>
    <w:p w14:paraId="60F9F2A6"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Papageorgiou, E., Chronis, C., </w:t>
      </w:r>
      <w:proofErr w:type="spellStart"/>
      <w:r w:rsidRPr="00E86206">
        <w:rPr>
          <w:rFonts w:ascii="Times New Roman" w:eastAsia="Times New Roman" w:hAnsi="Times New Roman" w:cs="Times New Roman"/>
          <w:sz w:val="24"/>
          <w:szCs w:val="24"/>
          <w:lang w:val="en-US" w:eastAsia="en-US"/>
        </w:rPr>
        <w:t>Varlamis</w:t>
      </w:r>
      <w:proofErr w:type="spellEnd"/>
      <w:r w:rsidRPr="00E86206">
        <w:rPr>
          <w:rFonts w:ascii="Times New Roman" w:eastAsia="Times New Roman" w:hAnsi="Times New Roman" w:cs="Times New Roman"/>
          <w:sz w:val="24"/>
          <w:szCs w:val="24"/>
          <w:lang w:val="en-US" w:eastAsia="en-US"/>
        </w:rPr>
        <w:t xml:space="preserve">, I., &amp; Himeur, Y. (2024). A survey on the use of large language models (LLMs) in fake news. </w:t>
      </w:r>
      <w:r w:rsidRPr="00E86206">
        <w:rPr>
          <w:rFonts w:ascii="Times New Roman" w:eastAsia="Times New Roman" w:hAnsi="Times New Roman" w:cs="Times New Roman"/>
          <w:i/>
          <w:iCs/>
          <w:sz w:val="24"/>
          <w:szCs w:val="24"/>
          <w:lang w:val="en-US" w:eastAsia="en-US"/>
        </w:rPr>
        <w:t>Future Internet, 16</w:t>
      </w:r>
      <w:r w:rsidRPr="00E86206">
        <w:rPr>
          <w:rFonts w:ascii="Times New Roman" w:eastAsia="Times New Roman" w:hAnsi="Times New Roman" w:cs="Times New Roman"/>
          <w:sz w:val="24"/>
          <w:szCs w:val="24"/>
          <w:lang w:val="en-US" w:eastAsia="en-US"/>
        </w:rPr>
        <w:t xml:space="preserve">(8), Article 298. </w:t>
      </w:r>
      <w:hyperlink r:id="rId28" w:tgtFrame="_new" w:history="1">
        <w:r w:rsidRPr="00E86206">
          <w:rPr>
            <w:rFonts w:ascii="Times New Roman" w:eastAsia="Times New Roman" w:hAnsi="Times New Roman" w:cs="Times New Roman"/>
            <w:color w:val="0000FF"/>
            <w:sz w:val="24"/>
            <w:szCs w:val="24"/>
            <w:u w:val="single"/>
            <w:lang w:val="en-US" w:eastAsia="en-US"/>
          </w:rPr>
          <w:t>https://doi.org/10.3390/fi16080298</w:t>
        </w:r>
      </w:hyperlink>
    </w:p>
    <w:p w14:paraId="6FDEC050"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Pennycook, G., &amp; Rand, D. G. (2021). The psychology of fake news. </w:t>
      </w:r>
      <w:r w:rsidRPr="00E86206">
        <w:rPr>
          <w:rFonts w:ascii="Times New Roman" w:eastAsia="Times New Roman" w:hAnsi="Times New Roman" w:cs="Times New Roman"/>
          <w:i/>
          <w:iCs/>
          <w:sz w:val="24"/>
          <w:szCs w:val="24"/>
          <w:lang w:val="en-US" w:eastAsia="en-US"/>
        </w:rPr>
        <w:t>Trends in Cognitive Sciences, 25</w:t>
      </w:r>
      <w:r w:rsidRPr="00E86206">
        <w:rPr>
          <w:rFonts w:ascii="Times New Roman" w:eastAsia="Times New Roman" w:hAnsi="Times New Roman" w:cs="Times New Roman"/>
          <w:sz w:val="24"/>
          <w:szCs w:val="24"/>
          <w:lang w:val="en-US" w:eastAsia="en-US"/>
        </w:rPr>
        <w:t xml:space="preserve">(5), 388–402. </w:t>
      </w:r>
      <w:hyperlink r:id="rId29" w:tgtFrame="_new" w:history="1">
        <w:r w:rsidRPr="00E86206">
          <w:rPr>
            <w:rFonts w:ascii="Times New Roman" w:eastAsia="Times New Roman" w:hAnsi="Times New Roman" w:cs="Times New Roman"/>
            <w:color w:val="0000FF"/>
            <w:sz w:val="24"/>
            <w:szCs w:val="24"/>
            <w:u w:val="single"/>
            <w:lang w:val="en-US" w:eastAsia="en-US"/>
          </w:rPr>
          <w:t>https://doi.org/10.1016/j.tics.2021.02.007</w:t>
        </w:r>
      </w:hyperlink>
    </w:p>
    <w:p w14:paraId="4F84C07C"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Phan, H. T., Nguyen, N. T., &amp; Hwang, D. (2023). Fake news detection: A survey of graph neural network methods. </w:t>
      </w:r>
      <w:r w:rsidRPr="00E86206">
        <w:rPr>
          <w:rFonts w:ascii="Times New Roman" w:eastAsia="Times New Roman" w:hAnsi="Times New Roman" w:cs="Times New Roman"/>
          <w:i/>
          <w:iCs/>
          <w:sz w:val="24"/>
          <w:szCs w:val="24"/>
          <w:lang w:val="en-US" w:eastAsia="en-US"/>
        </w:rPr>
        <w:t>Applied Soft Computing, 139</w:t>
      </w:r>
      <w:r w:rsidRPr="00E86206">
        <w:rPr>
          <w:rFonts w:ascii="Times New Roman" w:eastAsia="Times New Roman" w:hAnsi="Times New Roman" w:cs="Times New Roman"/>
          <w:sz w:val="24"/>
          <w:szCs w:val="24"/>
          <w:lang w:val="en-US" w:eastAsia="en-US"/>
        </w:rPr>
        <w:t>, Article 110235. https://doi.org/10.1016/j.asoc.2023.110235</w:t>
      </w:r>
    </w:p>
    <w:p w14:paraId="32D945F7"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Qi, P., Yan, Z., Hsu, W., &amp; Lee, M. L. (2024). Sniffer: Multimodal large language model for explainable out-of-context misinformation detection. In </w:t>
      </w:r>
      <w:r w:rsidRPr="00E86206">
        <w:rPr>
          <w:rFonts w:ascii="Times New Roman" w:eastAsia="Times New Roman" w:hAnsi="Times New Roman" w:cs="Times New Roman"/>
          <w:i/>
          <w:iCs/>
          <w:sz w:val="24"/>
          <w:szCs w:val="24"/>
          <w:lang w:val="en-US" w:eastAsia="en-US"/>
        </w:rPr>
        <w:t>2024 IEEE/CVF Conference on Computer Vision and Pattern Recognition (CVPR)</w:t>
      </w:r>
      <w:r w:rsidRPr="00E86206">
        <w:rPr>
          <w:rFonts w:ascii="Times New Roman" w:eastAsia="Times New Roman" w:hAnsi="Times New Roman" w:cs="Times New Roman"/>
          <w:sz w:val="24"/>
          <w:szCs w:val="24"/>
          <w:lang w:val="en-US" w:eastAsia="en-US"/>
        </w:rPr>
        <w:t xml:space="preserve"> (pp. 13052–13062). Institute of Electrical and Electronics Engineers. https://doi.org/10.1109/CVPR52733.2024.01240</w:t>
      </w:r>
    </w:p>
    <w:p w14:paraId="545DE44E"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lastRenderedPageBreak/>
        <w:t xml:space="preserve">Rudin, C. (2019). Stop explaining black box machine learning models for </w:t>
      </w:r>
      <w:proofErr w:type="gramStart"/>
      <w:r w:rsidRPr="00E86206">
        <w:rPr>
          <w:rFonts w:ascii="Times New Roman" w:eastAsia="Times New Roman" w:hAnsi="Times New Roman" w:cs="Times New Roman"/>
          <w:sz w:val="24"/>
          <w:szCs w:val="24"/>
          <w:lang w:val="en-US" w:eastAsia="en-US"/>
        </w:rPr>
        <w:t>high stakes</w:t>
      </w:r>
      <w:proofErr w:type="gramEnd"/>
      <w:r w:rsidRPr="00E86206">
        <w:rPr>
          <w:rFonts w:ascii="Times New Roman" w:eastAsia="Times New Roman" w:hAnsi="Times New Roman" w:cs="Times New Roman"/>
          <w:sz w:val="24"/>
          <w:szCs w:val="24"/>
          <w:lang w:val="en-US" w:eastAsia="en-US"/>
        </w:rPr>
        <w:t xml:space="preserve"> decisions and use interpretable models instead. </w:t>
      </w:r>
      <w:r w:rsidRPr="00E86206">
        <w:rPr>
          <w:rFonts w:ascii="Times New Roman" w:eastAsia="Times New Roman" w:hAnsi="Times New Roman" w:cs="Times New Roman"/>
          <w:i/>
          <w:iCs/>
          <w:sz w:val="24"/>
          <w:szCs w:val="24"/>
          <w:lang w:val="en-US" w:eastAsia="en-US"/>
        </w:rPr>
        <w:t>Nature Machine Intelligence, 1</w:t>
      </w:r>
      <w:r w:rsidRPr="00E86206">
        <w:rPr>
          <w:rFonts w:ascii="Times New Roman" w:eastAsia="Times New Roman" w:hAnsi="Times New Roman" w:cs="Times New Roman"/>
          <w:sz w:val="24"/>
          <w:szCs w:val="24"/>
          <w:lang w:val="en-US" w:eastAsia="en-US"/>
        </w:rPr>
        <w:t xml:space="preserve">(5), 206–215. </w:t>
      </w:r>
      <w:hyperlink r:id="rId30" w:tgtFrame="_new" w:history="1">
        <w:r w:rsidRPr="00E86206">
          <w:rPr>
            <w:rFonts w:ascii="Times New Roman" w:eastAsia="Times New Roman" w:hAnsi="Times New Roman" w:cs="Times New Roman"/>
            <w:color w:val="0000FF"/>
            <w:sz w:val="24"/>
            <w:szCs w:val="24"/>
            <w:u w:val="single"/>
            <w:lang w:val="en-US" w:eastAsia="en-US"/>
          </w:rPr>
          <w:t>https://doi.org/10.1038/s42256-019-0048-x</w:t>
        </w:r>
      </w:hyperlink>
    </w:p>
    <w:p w14:paraId="310C5A6E"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Ruchansky, N., Seo, S., &amp; Liu, Y. (2017). CSI: A hybrid deep model for fake news detection. In </w:t>
      </w:r>
      <w:r w:rsidRPr="00E86206">
        <w:rPr>
          <w:rFonts w:ascii="Times New Roman" w:eastAsia="Times New Roman" w:hAnsi="Times New Roman" w:cs="Times New Roman"/>
          <w:i/>
          <w:iCs/>
          <w:sz w:val="24"/>
          <w:szCs w:val="24"/>
          <w:lang w:val="en-US" w:eastAsia="en-US"/>
        </w:rPr>
        <w:t>Proceedings of the 2017 ACM on Conference on Information and Knowledge Management</w:t>
      </w:r>
      <w:r w:rsidRPr="00E86206">
        <w:rPr>
          <w:rFonts w:ascii="Times New Roman" w:eastAsia="Times New Roman" w:hAnsi="Times New Roman" w:cs="Times New Roman"/>
          <w:sz w:val="24"/>
          <w:szCs w:val="24"/>
          <w:lang w:val="en-US" w:eastAsia="en-US"/>
        </w:rPr>
        <w:t xml:space="preserve"> (pp. 797–806). Association for Computing Machinery. https://doi.org/10.1145/3132847.3132877</w:t>
      </w:r>
    </w:p>
    <w:p w14:paraId="41F5FC7C"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Shao, C., Ciampaglia, G. L., Varol, O., Yang, K.-C., Flammini, A., &amp; Menczer, F. (2018). The spread of low-credibility content by social bots. </w:t>
      </w:r>
      <w:r w:rsidRPr="00E86206">
        <w:rPr>
          <w:rFonts w:ascii="Times New Roman" w:eastAsia="Times New Roman" w:hAnsi="Times New Roman" w:cs="Times New Roman"/>
          <w:i/>
          <w:iCs/>
          <w:sz w:val="24"/>
          <w:szCs w:val="24"/>
          <w:lang w:val="en-US" w:eastAsia="en-US"/>
        </w:rPr>
        <w:t>Nature Communications, 9</w:t>
      </w:r>
      <w:r w:rsidRPr="00E86206">
        <w:rPr>
          <w:rFonts w:ascii="Times New Roman" w:eastAsia="Times New Roman" w:hAnsi="Times New Roman" w:cs="Times New Roman"/>
          <w:sz w:val="24"/>
          <w:szCs w:val="24"/>
          <w:lang w:val="en-US" w:eastAsia="en-US"/>
        </w:rPr>
        <w:t xml:space="preserve">, Article 4787. </w:t>
      </w:r>
      <w:hyperlink r:id="rId31" w:tgtFrame="_new" w:history="1">
        <w:r w:rsidRPr="00E86206">
          <w:rPr>
            <w:rFonts w:ascii="Times New Roman" w:eastAsia="Times New Roman" w:hAnsi="Times New Roman" w:cs="Times New Roman"/>
            <w:color w:val="0000FF"/>
            <w:sz w:val="24"/>
            <w:szCs w:val="24"/>
            <w:u w:val="single"/>
            <w:lang w:val="en-US" w:eastAsia="en-US"/>
          </w:rPr>
          <w:t>https://doi.org/10.1038/s41467-018-06930-7</w:t>
        </w:r>
      </w:hyperlink>
    </w:p>
    <w:p w14:paraId="14E408AD"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Sharma, K., Qian, F., Jiang, H., Ruchansky, N., Zhang, M., &amp; Liu, Y. (2019). Combating fake news: A survey on identification and mitigation techniques. </w:t>
      </w:r>
      <w:r w:rsidRPr="00E86206">
        <w:rPr>
          <w:rFonts w:ascii="Times New Roman" w:eastAsia="Times New Roman" w:hAnsi="Times New Roman" w:cs="Times New Roman"/>
          <w:i/>
          <w:iCs/>
          <w:sz w:val="24"/>
          <w:szCs w:val="24"/>
          <w:lang w:val="en-US" w:eastAsia="en-US"/>
        </w:rPr>
        <w:t>ACM Transactions on Intelligent Systems and Technology, 10</w:t>
      </w:r>
      <w:r w:rsidRPr="00E86206">
        <w:rPr>
          <w:rFonts w:ascii="Times New Roman" w:eastAsia="Times New Roman" w:hAnsi="Times New Roman" w:cs="Times New Roman"/>
          <w:sz w:val="24"/>
          <w:szCs w:val="24"/>
          <w:lang w:val="en-US" w:eastAsia="en-US"/>
        </w:rPr>
        <w:t xml:space="preserve">(3), 1–42. </w:t>
      </w:r>
      <w:hyperlink r:id="rId32" w:tgtFrame="_new" w:history="1">
        <w:r w:rsidRPr="00E86206">
          <w:rPr>
            <w:rFonts w:ascii="Times New Roman" w:eastAsia="Times New Roman" w:hAnsi="Times New Roman" w:cs="Times New Roman"/>
            <w:color w:val="0000FF"/>
            <w:sz w:val="24"/>
            <w:szCs w:val="24"/>
            <w:u w:val="single"/>
            <w:lang w:val="en-US" w:eastAsia="en-US"/>
          </w:rPr>
          <w:t>https://doi.org/10.1145/3305260</w:t>
        </w:r>
      </w:hyperlink>
    </w:p>
    <w:p w14:paraId="0B2D9058"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Sheng, Q., Cao, J., Zhang, X., Li, R., Wang, D., &amp; Zhu, Y. (2022). Zoom out and observe: News environment perception for fake news detection. In </w:t>
      </w:r>
      <w:r w:rsidRPr="00E86206">
        <w:rPr>
          <w:rFonts w:ascii="Times New Roman" w:eastAsia="Times New Roman" w:hAnsi="Times New Roman" w:cs="Times New Roman"/>
          <w:i/>
          <w:iCs/>
          <w:sz w:val="24"/>
          <w:szCs w:val="24"/>
          <w:lang w:val="en-US" w:eastAsia="en-US"/>
        </w:rPr>
        <w:t>Proceedings of the 60th Annual Meeting of the Association for Computational Linguistics (Volume 1: Long Papers)</w:t>
      </w:r>
      <w:r w:rsidRPr="00E86206">
        <w:rPr>
          <w:rFonts w:ascii="Times New Roman" w:eastAsia="Times New Roman" w:hAnsi="Times New Roman" w:cs="Times New Roman"/>
          <w:sz w:val="24"/>
          <w:szCs w:val="24"/>
          <w:lang w:val="en-US" w:eastAsia="en-US"/>
        </w:rPr>
        <w:t xml:space="preserve"> (pp. 4543–4556). Association for Computational Linguistics. https://doi.org/10.18653/v1/2022.acl-long.311</w:t>
      </w:r>
    </w:p>
    <w:p w14:paraId="6E073BFC"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Shu, K., Cui, L., Wang, S., Lee, D., &amp; Liu, H. (2019). </w:t>
      </w:r>
      <w:proofErr w:type="spellStart"/>
      <w:r w:rsidRPr="00E86206">
        <w:rPr>
          <w:rFonts w:ascii="Times New Roman" w:eastAsia="Times New Roman" w:hAnsi="Times New Roman" w:cs="Times New Roman"/>
          <w:sz w:val="24"/>
          <w:szCs w:val="24"/>
          <w:lang w:val="en-US" w:eastAsia="en-US"/>
        </w:rPr>
        <w:t>dEFEND</w:t>
      </w:r>
      <w:proofErr w:type="spellEnd"/>
      <w:r w:rsidRPr="00E86206">
        <w:rPr>
          <w:rFonts w:ascii="Times New Roman" w:eastAsia="Times New Roman" w:hAnsi="Times New Roman" w:cs="Times New Roman"/>
          <w:sz w:val="24"/>
          <w:szCs w:val="24"/>
          <w:lang w:val="en-US" w:eastAsia="en-US"/>
        </w:rPr>
        <w:t xml:space="preserve">: Explainable fake news detection. In </w:t>
      </w:r>
      <w:r w:rsidRPr="00E86206">
        <w:rPr>
          <w:rFonts w:ascii="Times New Roman" w:eastAsia="Times New Roman" w:hAnsi="Times New Roman" w:cs="Times New Roman"/>
          <w:i/>
          <w:iCs/>
          <w:sz w:val="24"/>
          <w:szCs w:val="24"/>
          <w:lang w:val="en-US" w:eastAsia="en-US"/>
        </w:rPr>
        <w:t>Proceedings of the 25th ACM SIGKDD International Conference on Knowledge Discovery &amp; Data Mining</w:t>
      </w:r>
      <w:r w:rsidRPr="00E86206">
        <w:rPr>
          <w:rFonts w:ascii="Times New Roman" w:eastAsia="Times New Roman" w:hAnsi="Times New Roman" w:cs="Times New Roman"/>
          <w:sz w:val="24"/>
          <w:szCs w:val="24"/>
          <w:lang w:val="en-US" w:eastAsia="en-US"/>
        </w:rPr>
        <w:t xml:space="preserve"> (pp. 395–405). Association for Computing Machinery. https://doi.org/10.1145/3292500.3330935</w:t>
      </w:r>
    </w:p>
    <w:p w14:paraId="26951F58"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Shu, K., </w:t>
      </w:r>
      <w:proofErr w:type="spellStart"/>
      <w:r w:rsidRPr="00E86206">
        <w:rPr>
          <w:rFonts w:ascii="Times New Roman" w:eastAsia="Times New Roman" w:hAnsi="Times New Roman" w:cs="Times New Roman"/>
          <w:sz w:val="24"/>
          <w:szCs w:val="24"/>
          <w:lang w:val="en-US" w:eastAsia="en-US"/>
        </w:rPr>
        <w:t>Mahudeswaran</w:t>
      </w:r>
      <w:proofErr w:type="spellEnd"/>
      <w:r w:rsidRPr="00E86206">
        <w:rPr>
          <w:rFonts w:ascii="Times New Roman" w:eastAsia="Times New Roman" w:hAnsi="Times New Roman" w:cs="Times New Roman"/>
          <w:sz w:val="24"/>
          <w:szCs w:val="24"/>
          <w:lang w:val="en-US" w:eastAsia="en-US"/>
        </w:rPr>
        <w:t xml:space="preserve">, D., Wang, S., Lee, D., &amp; Liu, H. (2020). </w:t>
      </w:r>
      <w:proofErr w:type="spellStart"/>
      <w:r w:rsidRPr="00E86206">
        <w:rPr>
          <w:rFonts w:ascii="Times New Roman" w:eastAsia="Times New Roman" w:hAnsi="Times New Roman" w:cs="Times New Roman"/>
          <w:sz w:val="24"/>
          <w:szCs w:val="24"/>
          <w:lang w:val="en-US" w:eastAsia="en-US"/>
        </w:rPr>
        <w:t>FakeNewsNet</w:t>
      </w:r>
      <w:proofErr w:type="spellEnd"/>
      <w:r w:rsidRPr="00E86206">
        <w:rPr>
          <w:rFonts w:ascii="Times New Roman" w:eastAsia="Times New Roman" w:hAnsi="Times New Roman" w:cs="Times New Roman"/>
          <w:sz w:val="24"/>
          <w:szCs w:val="24"/>
          <w:lang w:val="en-US" w:eastAsia="en-US"/>
        </w:rPr>
        <w:t xml:space="preserve">: A data repository with news content, social context, and spatiotemporal information for studying fake news on social media. </w:t>
      </w:r>
      <w:r w:rsidRPr="00E86206">
        <w:rPr>
          <w:rFonts w:ascii="Times New Roman" w:eastAsia="Times New Roman" w:hAnsi="Times New Roman" w:cs="Times New Roman"/>
          <w:i/>
          <w:iCs/>
          <w:sz w:val="24"/>
          <w:szCs w:val="24"/>
          <w:lang w:val="en-US" w:eastAsia="en-US"/>
        </w:rPr>
        <w:t>Big Data, 8</w:t>
      </w:r>
      <w:r w:rsidRPr="00E86206">
        <w:rPr>
          <w:rFonts w:ascii="Times New Roman" w:eastAsia="Times New Roman" w:hAnsi="Times New Roman" w:cs="Times New Roman"/>
          <w:sz w:val="24"/>
          <w:szCs w:val="24"/>
          <w:lang w:val="en-US" w:eastAsia="en-US"/>
        </w:rPr>
        <w:t xml:space="preserve">(3), 171–188. </w:t>
      </w:r>
      <w:hyperlink r:id="rId33" w:tgtFrame="_new" w:history="1">
        <w:r w:rsidRPr="00E86206">
          <w:rPr>
            <w:rFonts w:ascii="Times New Roman" w:eastAsia="Times New Roman" w:hAnsi="Times New Roman" w:cs="Times New Roman"/>
            <w:color w:val="0000FF"/>
            <w:sz w:val="24"/>
            <w:szCs w:val="24"/>
            <w:u w:val="single"/>
            <w:lang w:val="en-US" w:eastAsia="en-US"/>
          </w:rPr>
          <w:t>https://doi.org/10.1089/big.2020.0062</w:t>
        </w:r>
      </w:hyperlink>
    </w:p>
    <w:p w14:paraId="41E042EB"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Shu, K., Sliva, A., Wang, S., Tang, J., &amp; Liu, H. (2017). Fake news detection on social media: A data mining perspective. </w:t>
      </w:r>
      <w:r w:rsidRPr="00E86206">
        <w:rPr>
          <w:rFonts w:ascii="Times New Roman" w:eastAsia="Times New Roman" w:hAnsi="Times New Roman" w:cs="Times New Roman"/>
          <w:i/>
          <w:iCs/>
          <w:sz w:val="24"/>
          <w:szCs w:val="24"/>
          <w:lang w:val="en-US" w:eastAsia="en-US"/>
        </w:rPr>
        <w:t>ACM SIGKDD Explorations Newsletter, 19</w:t>
      </w:r>
      <w:r w:rsidRPr="00E86206">
        <w:rPr>
          <w:rFonts w:ascii="Times New Roman" w:eastAsia="Times New Roman" w:hAnsi="Times New Roman" w:cs="Times New Roman"/>
          <w:sz w:val="24"/>
          <w:szCs w:val="24"/>
          <w:lang w:val="en-US" w:eastAsia="en-US"/>
        </w:rPr>
        <w:t xml:space="preserve">(1), 22–36. </w:t>
      </w:r>
      <w:hyperlink r:id="rId34" w:tgtFrame="_new" w:history="1">
        <w:r w:rsidRPr="00E86206">
          <w:rPr>
            <w:rFonts w:ascii="Times New Roman" w:eastAsia="Times New Roman" w:hAnsi="Times New Roman" w:cs="Times New Roman"/>
            <w:color w:val="0000FF"/>
            <w:sz w:val="24"/>
            <w:szCs w:val="24"/>
            <w:u w:val="single"/>
            <w:lang w:val="en-US" w:eastAsia="en-US"/>
          </w:rPr>
          <w:t>https://doi.org/10.1145/3137597.3137600</w:t>
        </w:r>
      </w:hyperlink>
    </w:p>
    <w:p w14:paraId="537403F1"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Silva, A., Luo, L., </w:t>
      </w:r>
      <w:proofErr w:type="spellStart"/>
      <w:r w:rsidRPr="00E86206">
        <w:rPr>
          <w:rFonts w:ascii="Times New Roman" w:eastAsia="Times New Roman" w:hAnsi="Times New Roman" w:cs="Times New Roman"/>
          <w:sz w:val="24"/>
          <w:szCs w:val="24"/>
          <w:lang w:val="en-US" w:eastAsia="en-US"/>
        </w:rPr>
        <w:t>Karunasekera</w:t>
      </w:r>
      <w:proofErr w:type="spellEnd"/>
      <w:r w:rsidRPr="00E86206">
        <w:rPr>
          <w:rFonts w:ascii="Times New Roman" w:eastAsia="Times New Roman" w:hAnsi="Times New Roman" w:cs="Times New Roman"/>
          <w:sz w:val="24"/>
          <w:szCs w:val="24"/>
          <w:lang w:val="en-US" w:eastAsia="en-US"/>
        </w:rPr>
        <w:t xml:space="preserve">, S., &amp; Leckie, C. (2021). Embracing domain differences in fake news: Cross-domain fake news detection using multi-modal data. </w:t>
      </w:r>
      <w:r w:rsidRPr="00E86206">
        <w:rPr>
          <w:rFonts w:ascii="Times New Roman" w:eastAsia="Times New Roman" w:hAnsi="Times New Roman" w:cs="Times New Roman"/>
          <w:i/>
          <w:iCs/>
          <w:sz w:val="24"/>
          <w:szCs w:val="24"/>
          <w:lang w:val="en-US" w:eastAsia="en-US"/>
        </w:rPr>
        <w:t>Proceedings of the AAAI Conference on Artificial Intelligence, 35</w:t>
      </w:r>
      <w:r w:rsidRPr="00E86206">
        <w:rPr>
          <w:rFonts w:ascii="Times New Roman" w:eastAsia="Times New Roman" w:hAnsi="Times New Roman" w:cs="Times New Roman"/>
          <w:sz w:val="24"/>
          <w:szCs w:val="24"/>
          <w:lang w:val="en-US" w:eastAsia="en-US"/>
        </w:rPr>
        <w:t>(1), 557–565. https://doi.org/10.1609/aaai.v35i1.16134</w:t>
      </w:r>
    </w:p>
    <w:p w14:paraId="24C814D6"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Simon, F. M., Altay, S., &amp; Mercier, H. (2023). Misinformation reloaded? Fears about the impact of generative AI on misinformation are overblown. </w:t>
      </w:r>
      <w:r w:rsidRPr="00E86206">
        <w:rPr>
          <w:rFonts w:ascii="Times New Roman" w:eastAsia="Times New Roman" w:hAnsi="Times New Roman" w:cs="Times New Roman"/>
          <w:i/>
          <w:iCs/>
          <w:sz w:val="24"/>
          <w:szCs w:val="24"/>
          <w:lang w:val="en-US" w:eastAsia="en-US"/>
        </w:rPr>
        <w:t>Harvard Kennedy School Misinformation Review</w:t>
      </w:r>
      <w:r w:rsidRPr="00E86206">
        <w:rPr>
          <w:rFonts w:ascii="Times New Roman" w:eastAsia="Times New Roman" w:hAnsi="Times New Roman" w:cs="Times New Roman"/>
          <w:sz w:val="24"/>
          <w:szCs w:val="24"/>
          <w:lang w:val="en-US" w:eastAsia="en-US"/>
        </w:rPr>
        <w:t xml:space="preserve">. </w:t>
      </w:r>
      <w:hyperlink r:id="rId35" w:tgtFrame="_new" w:history="1">
        <w:r w:rsidRPr="00E86206">
          <w:rPr>
            <w:rFonts w:ascii="Times New Roman" w:eastAsia="Times New Roman" w:hAnsi="Times New Roman" w:cs="Times New Roman"/>
            <w:color w:val="0000FF"/>
            <w:sz w:val="24"/>
            <w:szCs w:val="24"/>
            <w:u w:val="single"/>
            <w:lang w:val="en-US" w:eastAsia="en-US"/>
          </w:rPr>
          <w:t>https://doi.org/10.37016/mr-2020-127</w:t>
        </w:r>
      </w:hyperlink>
    </w:p>
    <w:p w14:paraId="2AD418E1"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Su, J., Cardie, C., &amp; Nakov, P. (2024). Adapting fake news detection to the era of large language models. In </w:t>
      </w:r>
      <w:r w:rsidRPr="00E86206">
        <w:rPr>
          <w:rFonts w:ascii="Times New Roman" w:eastAsia="Times New Roman" w:hAnsi="Times New Roman" w:cs="Times New Roman"/>
          <w:i/>
          <w:iCs/>
          <w:sz w:val="24"/>
          <w:szCs w:val="24"/>
          <w:lang w:val="en-US" w:eastAsia="en-US"/>
        </w:rPr>
        <w:t>Findings of the Association for Computational Linguistics: NAACL 2024</w:t>
      </w:r>
      <w:r w:rsidRPr="00E86206">
        <w:rPr>
          <w:rFonts w:ascii="Times New Roman" w:eastAsia="Times New Roman" w:hAnsi="Times New Roman" w:cs="Times New Roman"/>
          <w:sz w:val="24"/>
          <w:szCs w:val="24"/>
          <w:lang w:val="en-US" w:eastAsia="en-US"/>
        </w:rPr>
        <w:t xml:space="preserve"> (pp. 1473–1490). Association for Computational Linguistics. https://doi.org/10.18653/v1/2024.findings-naacl.95</w:t>
      </w:r>
    </w:p>
    <w:p w14:paraId="25CB3FFD"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Sukhera, J. (2022). Narrative reviews: Flexible, rigorous, and practical. </w:t>
      </w:r>
      <w:r w:rsidRPr="00E86206">
        <w:rPr>
          <w:rFonts w:ascii="Times New Roman" w:eastAsia="Times New Roman" w:hAnsi="Times New Roman" w:cs="Times New Roman"/>
          <w:i/>
          <w:iCs/>
          <w:sz w:val="24"/>
          <w:szCs w:val="24"/>
          <w:lang w:val="en-US" w:eastAsia="en-US"/>
        </w:rPr>
        <w:t>Journal of Graduate Medical Education, 14</w:t>
      </w:r>
      <w:r w:rsidRPr="00E86206">
        <w:rPr>
          <w:rFonts w:ascii="Times New Roman" w:eastAsia="Times New Roman" w:hAnsi="Times New Roman" w:cs="Times New Roman"/>
          <w:sz w:val="24"/>
          <w:szCs w:val="24"/>
          <w:lang w:val="en-US" w:eastAsia="en-US"/>
        </w:rPr>
        <w:t xml:space="preserve">(4), 414–417. </w:t>
      </w:r>
      <w:hyperlink r:id="rId36" w:tgtFrame="_new" w:history="1">
        <w:r w:rsidRPr="00E86206">
          <w:rPr>
            <w:rFonts w:ascii="Times New Roman" w:eastAsia="Times New Roman" w:hAnsi="Times New Roman" w:cs="Times New Roman"/>
            <w:color w:val="0000FF"/>
            <w:sz w:val="24"/>
            <w:szCs w:val="24"/>
            <w:u w:val="single"/>
            <w:lang w:val="en-US" w:eastAsia="en-US"/>
          </w:rPr>
          <w:t>https://doi.org/10.4300/JGME-D-22-00480.1</w:t>
        </w:r>
      </w:hyperlink>
    </w:p>
    <w:p w14:paraId="016294FF"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lastRenderedPageBreak/>
        <w:t xml:space="preserve">Torabi Asr, F., &amp; Taboada, M. (2019). Big Data and quality data for fake news and misinformation detection. </w:t>
      </w:r>
      <w:r w:rsidRPr="00E86206">
        <w:rPr>
          <w:rFonts w:ascii="Times New Roman" w:eastAsia="Times New Roman" w:hAnsi="Times New Roman" w:cs="Times New Roman"/>
          <w:i/>
          <w:iCs/>
          <w:sz w:val="24"/>
          <w:szCs w:val="24"/>
          <w:lang w:val="en-US" w:eastAsia="en-US"/>
        </w:rPr>
        <w:t>Big Data &amp; Society, 6</w:t>
      </w:r>
      <w:r w:rsidRPr="00E86206">
        <w:rPr>
          <w:rFonts w:ascii="Times New Roman" w:eastAsia="Times New Roman" w:hAnsi="Times New Roman" w:cs="Times New Roman"/>
          <w:sz w:val="24"/>
          <w:szCs w:val="24"/>
          <w:lang w:val="en-US" w:eastAsia="en-US"/>
        </w:rPr>
        <w:t xml:space="preserve">(1), Article 2053951719843310. </w:t>
      </w:r>
      <w:hyperlink r:id="rId37" w:tgtFrame="_new" w:history="1">
        <w:r w:rsidRPr="00E86206">
          <w:rPr>
            <w:rFonts w:ascii="Times New Roman" w:eastAsia="Times New Roman" w:hAnsi="Times New Roman" w:cs="Times New Roman"/>
            <w:color w:val="0000FF"/>
            <w:sz w:val="24"/>
            <w:szCs w:val="24"/>
            <w:u w:val="single"/>
            <w:lang w:val="en-US" w:eastAsia="en-US"/>
          </w:rPr>
          <w:t>https://doi.org/10.1177/2053951719843310</w:t>
        </w:r>
      </w:hyperlink>
    </w:p>
    <w:p w14:paraId="3DFAA413"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Touahri, I., &amp; Mazroui, A. (2024). Survey of machine learning techniques for Arabic fake news detection. </w:t>
      </w:r>
      <w:r w:rsidRPr="00E86206">
        <w:rPr>
          <w:rFonts w:ascii="Times New Roman" w:eastAsia="Times New Roman" w:hAnsi="Times New Roman" w:cs="Times New Roman"/>
          <w:i/>
          <w:iCs/>
          <w:sz w:val="24"/>
          <w:szCs w:val="24"/>
          <w:lang w:val="en-US" w:eastAsia="en-US"/>
        </w:rPr>
        <w:t>Artificial Intelligence Review, 57</w:t>
      </w:r>
      <w:r w:rsidRPr="00E86206">
        <w:rPr>
          <w:rFonts w:ascii="Times New Roman" w:eastAsia="Times New Roman" w:hAnsi="Times New Roman" w:cs="Times New Roman"/>
          <w:sz w:val="24"/>
          <w:szCs w:val="24"/>
          <w:lang w:val="en-US" w:eastAsia="en-US"/>
        </w:rPr>
        <w:t>(6), Article 157. https://doi.org/10.1007/s10462-024-10778-3</w:t>
      </w:r>
    </w:p>
    <w:p w14:paraId="53753189"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Vosoughi, S., Roy, D., &amp; Aral, S. (2018). The spread of true and false news online. </w:t>
      </w:r>
      <w:r w:rsidRPr="00E86206">
        <w:rPr>
          <w:rFonts w:ascii="Times New Roman" w:eastAsia="Times New Roman" w:hAnsi="Times New Roman" w:cs="Times New Roman"/>
          <w:i/>
          <w:iCs/>
          <w:sz w:val="24"/>
          <w:szCs w:val="24"/>
          <w:lang w:val="en-US" w:eastAsia="en-US"/>
        </w:rPr>
        <w:t>Science, 359</w:t>
      </w:r>
      <w:r w:rsidRPr="00E86206">
        <w:rPr>
          <w:rFonts w:ascii="Times New Roman" w:eastAsia="Times New Roman" w:hAnsi="Times New Roman" w:cs="Times New Roman"/>
          <w:sz w:val="24"/>
          <w:szCs w:val="24"/>
          <w:lang w:val="en-US" w:eastAsia="en-US"/>
        </w:rPr>
        <w:t xml:space="preserve">(6380), 1146–1151. </w:t>
      </w:r>
      <w:hyperlink r:id="rId38" w:tgtFrame="_new" w:history="1">
        <w:r w:rsidRPr="00E86206">
          <w:rPr>
            <w:rFonts w:ascii="Times New Roman" w:eastAsia="Times New Roman" w:hAnsi="Times New Roman" w:cs="Times New Roman"/>
            <w:color w:val="0000FF"/>
            <w:sz w:val="24"/>
            <w:szCs w:val="24"/>
            <w:u w:val="single"/>
            <w:lang w:val="en-US" w:eastAsia="en-US"/>
          </w:rPr>
          <w:t>https://doi.org/10.1126/science.aap9559</w:t>
        </w:r>
      </w:hyperlink>
    </w:p>
    <w:p w14:paraId="51FA48C2"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Wang, B., Ma, J., Lin, H., Yang, Z., Yang, R., Tian, Y., &amp; Chang, Y. (2024). Explainable fake news detection with large language model via defense among competing wisdom. In </w:t>
      </w:r>
      <w:r w:rsidRPr="00E86206">
        <w:rPr>
          <w:rFonts w:ascii="Times New Roman" w:eastAsia="Times New Roman" w:hAnsi="Times New Roman" w:cs="Times New Roman"/>
          <w:i/>
          <w:iCs/>
          <w:sz w:val="24"/>
          <w:szCs w:val="24"/>
          <w:lang w:val="en-US" w:eastAsia="en-US"/>
        </w:rPr>
        <w:t>Proceedings of the ACM Web Conference 2024</w:t>
      </w:r>
      <w:r w:rsidRPr="00E86206">
        <w:rPr>
          <w:rFonts w:ascii="Times New Roman" w:eastAsia="Times New Roman" w:hAnsi="Times New Roman" w:cs="Times New Roman"/>
          <w:sz w:val="24"/>
          <w:szCs w:val="24"/>
          <w:lang w:val="en-US" w:eastAsia="en-US"/>
        </w:rPr>
        <w:t xml:space="preserve"> (pp. 2452–2463). Association for Computing Machinery. </w:t>
      </w:r>
      <w:hyperlink r:id="rId39" w:tgtFrame="_new" w:history="1">
        <w:r w:rsidRPr="00E86206">
          <w:rPr>
            <w:rFonts w:ascii="Times New Roman" w:eastAsia="Times New Roman" w:hAnsi="Times New Roman" w:cs="Times New Roman"/>
            <w:color w:val="0000FF"/>
            <w:sz w:val="24"/>
            <w:szCs w:val="24"/>
            <w:u w:val="single"/>
            <w:lang w:val="en-US" w:eastAsia="en-US"/>
          </w:rPr>
          <w:t>https://doi.org/10.1145/3589334.3645471</w:t>
        </w:r>
      </w:hyperlink>
    </w:p>
    <w:p w14:paraId="09C61B36"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Wang, H., Dou, Y., Chen, C., Sun, L., Yu, P. S., &amp; Shu, K. (2023). Attacking fake news detectors via manipulating news social engagement. In </w:t>
      </w:r>
      <w:r w:rsidRPr="00E86206">
        <w:rPr>
          <w:rFonts w:ascii="Times New Roman" w:eastAsia="Times New Roman" w:hAnsi="Times New Roman" w:cs="Times New Roman"/>
          <w:i/>
          <w:iCs/>
          <w:sz w:val="24"/>
          <w:szCs w:val="24"/>
          <w:lang w:val="en-US" w:eastAsia="en-US"/>
        </w:rPr>
        <w:t>Proceedings of the ACM Web Conference 2023</w:t>
      </w:r>
      <w:r w:rsidRPr="00E86206">
        <w:rPr>
          <w:rFonts w:ascii="Times New Roman" w:eastAsia="Times New Roman" w:hAnsi="Times New Roman" w:cs="Times New Roman"/>
          <w:sz w:val="24"/>
          <w:szCs w:val="24"/>
          <w:lang w:val="en-US" w:eastAsia="en-US"/>
        </w:rPr>
        <w:t xml:space="preserve"> (pp. 3978–3986). Association for Computing Machinery. </w:t>
      </w:r>
      <w:hyperlink r:id="rId40" w:tgtFrame="_new" w:history="1">
        <w:r w:rsidRPr="00E86206">
          <w:rPr>
            <w:rFonts w:ascii="Times New Roman" w:eastAsia="Times New Roman" w:hAnsi="Times New Roman" w:cs="Times New Roman"/>
            <w:color w:val="0000FF"/>
            <w:sz w:val="24"/>
            <w:szCs w:val="24"/>
            <w:u w:val="single"/>
            <w:lang w:val="en-US" w:eastAsia="en-US"/>
          </w:rPr>
          <w:t>https://doi.org/10.1145/3543507.3583868</w:t>
        </w:r>
      </w:hyperlink>
    </w:p>
    <w:p w14:paraId="100EAD34"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Wang, W. Y. (2017). “Liar, liar pants on fire”: A new benchmark dataset for fake news detection. In </w:t>
      </w:r>
      <w:r w:rsidRPr="00E86206">
        <w:rPr>
          <w:rFonts w:ascii="Times New Roman" w:eastAsia="Times New Roman" w:hAnsi="Times New Roman" w:cs="Times New Roman"/>
          <w:i/>
          <w:iCs/>
          <w:sz w:val="24"/>
          <w:szCs w:val="24"/>
          <w:lang w:val="en-US" w:eastAsia="en-US"/>
        </w:rPr>
        <w:t>Proceedings of the 55th Annual Meeting of the Association for Computational Linguistics (Volume 2: Short Papers)</w:t>
      </w:r>
      <w:r w:rsidRPr="00E86206">
        <w:rPr>
          <w:rFonts w:ascii="Times New Roman" w:eastAsia="Times New Roman" w:hAnsi="Times New Roman" w:cs="Times New Roman"/>
          <w:sz w:val="24"/>
          <w:szCs w:val="24"/>
          <w:lang w:val="en-US" w:eastAsia="en-US"/>
        </w:rPr>
        <w:t xml:space="preserve"> (pp. 422–426). Association for Computational Linguistics. https://doi.org/10.18653/v1/P17-2067</w:t>
      </w:r>
    </w:p>
    <w:p w14:paraId="1E175B6A"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Wang, Y., Ma, F., Jin, Z., Yuan, Y., Xun, G., Jha, K., Su, L., &amp; Gao, J. (2018). EANN: Event adversarial neural networks for multi-modal fake news detection. In </w:t>
      </w:r>
      <w:r w:rsidRPr="00E86206">
        <w:rPr>
          <w:rFonts w:ascii="Times New Roman" w:eastAsia="Times New Roman" w:hAnsi="Times New Roman" w:cs="Times New Roman"/>
          <w:i/>
          <w:iCs/>
          <w:sz w:val="24"/>
          <w:szCs w:val="24"/>
          <w:lang w:val="en-US" w:eastAsia="en-US"/>
        </w:rPr>
        <w:t>Proceedings of the 24th ACM SIGKDD International Conference on Knowledge Discovery &amp; Data Mining</w:t>
      </w:r>
      <w:r w:rsidRPr="00E86206">
        <w:rPr>
          <w:rFonts w:ascii="Times New Roman" w:eastAsia="Times New Roman" w:hAnsi="Times New Roman" w:cs="Times New Roman"/>
          <w:sz w:val="24"/>
          <w:szCs w:val="24"/>
          <w:lang w:val="en-US" w:eastAsia="en-US"/>
        </w:rPr>
        <w:t xml:space="preserve"> (pp. 849–857). Association for Computing Machinery. https://doi.org/10.1145/3219819.3219903</w:t>
      </w:r>
    </w:p>
    <w:p w14:paraId="011ABBD7"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Wu, J., Guo, J., &amp; Hooi, B. (2024). Fake news in sheep’s clothing: Robust fake news detection against LLM-empowered style attacks. In </w:t>
      </w:r>
      <w:r w:rsidRPr="00E86206">
        <w:rPr>
          <w:rFonts w:ascii="Times New Roman" w:eastAsia="Times New Roman" w:hAnsi="Times New Roman" w:cs="Times New Roman"/>
          <w:i/>
          <w:iCs/>
          <w:sz w:val="24"/>
          <w:szCs w:val="24"/>
          <w:lang w:val="en-US" w:eastAsia="en-US"/>
        </w:rPr>
        <w:t>Proceedings of the 30th ACM SIGKDD Conference on Knowledge Discovery and Data Mining</w:t>
      </w:r>
      <w:r w:rsidRPr="00E86206">
        <w:rPr>
          <w:rFonts w:ascii="Times New Roman" w:eastAsia="Times New Roman" w:hAnsi="Times New Roman" w:cs="Times New Roman"/>
          <w:sz w:val="24"/>
          <w:szCs w:val="24"/>
          <w:lang w:val="en-US" w:eastAsia="en-US"/>
        </w:rPr>
        <w:t xml:space="preserve"> (pp. 3367–3378). Association for Computing Machinery. https://doi.org/10.1145/3637528.3671977</w:t>
      </w:r>
    </w:p>
    <w:p w14:paraId="79A4E1C5"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Yeung, A. W. K., </w:t>
      </w:r>
      <w:proofErr w:type="spellStart"/>
      <w:r w:rsidRPr="00E86206">
        <w:rPr>
          <w:rFonts w:ascii="Times New Roman" w:eastAsia="Times New Roman" w:hAnsi="Times New Roman" w:cs="Times New Roman"/>
          <w:sz w:val="24"/>
          <w:szCs w:val="24"/>
          <w:lang w:val="en-US" w:eastAsia="en-US"/>
        </w:rPr>
        <w:t>Tosevska</w:t>
      </w:r>
      <w:proofErr w:type="spellEnd"/>
      <w:r w:rsidRPr="00E86206">
        <w:rPr>
          <w:rFonts w:ascii="Times New Roman" w:eastAsia="Times New Roman" w:hAnsi="Times New Roman" w:cs="Times New Roman"/>
          <w:sz w:val="24"/>
          <w:szCs w:val="24"/>
          <w:lang w:val="en-US" w:eastAsia="en-US"/>
        </w:rPr>
        <w:t xml:space="preserve">, A., Klager, E., </w:t>
      </w:r>
      <w:proofErr w:type="spellStart"/>
      <w:r w:rsidRPr="00E86206">
        <w:rPr>
          <w:rFonts w:ascii="Times New Roman" w:eastAsia="Times New Roman" w:hAnsi="Times New Roman" w:cs="Times New Roman"/>
          <w:sz w:val="24"/>
          <w:szCs w:val="24"/>
          <w:lang w:val="en-US" w:eastAsia="en-US"/>
        </w:rPr>
        <w:t>Eibensteiner</w:t>
      </w:r>
      <w:proofErr w:type="spellEnd"/>
      <w:r w:rsidRPr="00E86206">
        <w:rPr>
          <w:rFonts w:ascii="Times New Roman" w:eastAsia="Times New Roman" w:hAnsi="Times New Roman" w:cs="Times New Roman"/>
          <w:sz w:val="24"/>
          <w:szCs w:val="24"/>
          <w:lang w:val="en-US" w:eastAsia="en-US"/>
        </w:rPr>
        <w:t xml:space="preserve">, F., </w:t>
      </w:r>
      <w:proofErr w:type="spellStart"/>
      <w:r w:rsidRPr="00E86206">
        <w:rPr>
          <w:rFonts w:ascii="Times New Roman" w:eastAsia="Times New Roman" w:hAnsi="Times New Roman" w:cs="Times New Roman"/>
          <w:sz w:val="24"/>
          <w:szCs w:val="24"/>
          <w:lang w:val="en-US" w:eastAsia="en-US"/>
        </w:rPr>
        <w:t>Tsagkaris</w:t>
      </w:r>
      <w:proofErr w:type="spellEnd"/>
      <w:r w:rsidRPr="00E86206">
        <w:rPr>
          <w:rFonts w:ascii="Times New Roman" w:eastAsia="Times New Roman" w:hAnsi="Times New Roman" w:cs="Times New Roman"/>
          <w:sz w:val="24"/>
          <w:szCs w:val="24"/>
          <w:lang w:val="en-US" w:eastAsia="en-US"/>
        </w:rPr>
        <w:t xml:space="preserve">, C., Parvanov, E. D., Nawaz, F. A., Völkl-Kernstock, S., Schaden, E., </w:t>
      </w:r>
      <w:proofErr w:type="spellStart"/>
      <w:r w:rsidRPr="00E86206">
        <w:rPr>
          <w:rFonts w:ascii="Times New Roman" w:eastAsia="Times New Roman" w:hAnsi="Times New Roman" w:cs="Times New Roman"/>
          <w:sz w:val="24"/>
          <w:szCs w:val="24"/>
          <w:lang w:val="en-US" w:eastAsia="en-US"/>
        </w:rPr>
        <w:t>Kletecka</w:t>
      </w:r>
      <w:proofErr w:type="spellEnd"/>
      <w:r w:rsidRPr="00E86206">
        <w:rPr>
          <w:rFonts w:ascii="Times New Roman" w:eastAsia="Times New Roman" w:hAnsi="Times New Roman" w:cs="Times New Roman"/>
          <w:sz w:val="24"/>
          <w:szCs w:val="24"/>
          <w:lang w:val="en-US" w:eastAsia="en-US"/>
        </w:rPr>
        <w:t xml:space="preserve">-Pulker, M., Willschke, H., &amp; Atanasov, A. G. (2022). Medical and health-related misinformation on social media: Bibliometric study of the scientific literature. </w:t>
      </w:r>
      <w:r w:rsidRPr="00E86206">
        <w:rPr>
          <w:rFonts w:ascii="Times New Roman" w:eastAsia="Times New Roman" w:hAnsi="Times New Roman" w:cs="Times New Roman"/>
          <w:i/>
          <w:iCs/>
          <w:sz w:val="24"/>
          <w:szCs w:val="24"/>
          <w:lang w:val="en-US" w:eastAsia="en-US"/>
        </w:rPr>
        <w:t>Journal of Medical Internet Research, 24</w:t>
      </w:r>
      <w:r w:rsidRPr="00E86206">
        <w:rPr>
          <w:rFonts w:ascii="Times New Roman" w:eastAsia="Times New Roman" w:hAnsi="Times New Roman" w:cs="Times New Roman"/>
          <w:sz w:val="24"/>
          <w:szCs w:val="24"/>
          <w:lang w:val="en-US" w:eastAsia="en-US"/>
        </w:rPr>
        <w:t xml:space="preserve">(1), Article e28152. </w:t>
      </w:r>
      <w:hyperlink r:id="rId41" w:tgtFrame="_new" w:history="1">
        <w:r w:rsidRPr="00E86206">
          <w:rPr>
            <w:rFonts w:ascii="Times New Roman" w:eastAsia="Times New Roman" w:hAnsi="Times New Roman" w:cs="Times New Roman"/>
            <w:color w:val="0000FF"/>
            <w:sz w:val="24"/>
            <w:szCs w:val="24"/>
            <w:u w:val="single"/>
            <w:lang w:val="en-US" w:eastAsia="en-US"/>
          </w:rPr>
          <w:t>https://doi.org/10.2196/28152</w:t>
        </w:r>
      </w:hyperlink>
    </w:p>
    <w:p w14:paraId="45764B63"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Zhao, Y., &amp; Zeng, S. (2026). Leveraging deep active learning for multimodal health misinformation detection on social media. </w:t>
      </w:r>
      <w:r w:rsidRPr="00E86206">
        <w:rPr>
          <w:rFonts w:ascii="Times New Roman" w:eastAsia="Times New Roman" w:hAnsi="Times New Roman" w:cs="Times New Roman"/>
          <w:i/>
          <w:iCs/>
          <w:sz w:val="24"/>
          <w:szCs w:val="24"/>
          <w:lang w:val="en-US" w:eastAsia="en-US"/>
        </w:rPr>
        <w:t>Information Processing &amp; Management, 63</w:t>
      </w:r>
      <w:r w:rsidRPr="00E86206">
        <w:rPr>
          <w:rFonts w:ascii="Times New Roman" w:eastAsia="Times New Roman" w:hAnsi="Times New Roman" w:cs="Times New Roman"/>
          <w:sz w:val="24"/>
          <w:szCs w:val="24"/>
          <w:lang w:val="en-US" w:eastAsia="en-US"/>
        </w:rPr>
        <w:t>(3), Article 104540. https://doi.org/10.1016/j.ipm.2025.104540</w:t>
      </w:r>
    </w:p>
    <w:p w14:paraId="6636EDE7"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Zhou, X., Jain, A., Phoha, V. V., &amp; </w:t>
      </w:r>
      <w:proofErr w:type="spellStart"/>
      <w:r w:rsidRPr="00E86206">
        <w:rPr>
          <w:rFonts w:ascii="Times New Roman" w:eastAsia="Times New Roman" w:hAnsi="Times New Roman" w:cs="Times New Roman"/>
          <w:sz w:val="24"/>
          <w:szCs w:val="24"/>
          <w:lang w:val="en-US" w:eastAsia="en-US"/>
        </w:rPr>
        <w:t>Zafarani</w:t>
      </w:r>
      <w:proofErr w:type="spellEnd"/>
      <w:r w:rsidRPr="00E86206">
        <w:rPr>
          <w:rFonts w:ascii="Times New Roman" w:eastAsia="Times New Roman" w:hAnsi="Times New Roman" w:cs="Times New Roman"/>
          <w:sz w:val="24"/>
          <w:szCs w:val="24"/>
          <w:lang w:val="en-US" w:eastAsia="en-US"/>
        </w:rPr>
        <w:t xml:space="preserve">, R. (2020). Fake news early detection: A theory-driven model. </w:t>
      </w:r>
      <w:r w:rsidRPr="00E86206">
        <w:rPr>
          <w:rFonts w:ascii="Times New Roman" w:eastAsia="Times New Roman" w:hAnsi="Times New Roman" w:cs="Times New Roman"/>
          <w:i/>
          <w:iCs/>
          <w:sz w:val="24"/>
          <w:szCs w:val="24"/>
          <w:lang w:val="en-US" w:eastAsia="en-US"/>
        </w:rPr>
        <w:t>Digital Threats: Research and Practice, 1</w:t>
      </w:r>
      <w:r w:rsidRPr="00E86206">
        <w:rPr>
          <w:rFonts w:ascii="Times New Roman" w:eastAsia="Times New Roman" w:hAnsi="Times New Roman" w:cs="Times New Roman"/>
          <w:sz w:val="24"/>
          <w:szCs w:val="24"/>
          <w:lang w:val="en-US" w:eastAsia="en-US"/>
        </w:rPr>
        <w:t xml:space="preserve">(2), 1–25. </w:t>
      </w:r>
      <w:hyperlink r:id="rId42" w:tgtFrame="_new" w:history="1">
        <w:r w:rsidRPr="00E86206">
          <w:rPr>
            <w:rFonts w:ascii="Times New Roman" w:eastAsia="Times New Roman" w:hAnsi="Times New Roman" w:cs="Times New Roman"/>
            <w:color w:val="0000FF"/>
            <w:sz w:val="24"/>
            <w:szCs w:val="24"/>
            <w:u w:val="single"/>
            <w:lang w:val="en-US" w:eastAsia="en-US"/>
          </w:rPr>
          <w:t>https://doi.org/10.1145/3377478</w:t>
        </w:r>
      </w:hyperlink>
    </w:p>
    <w:p w14:paraId="6451A80F"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Zhou, X., &amp; </w:t>
      </w:r>
      <w:proofErr w:type="spellStart"/>
      <w:r w:rsidRPr="00E86206">
        <w:rPr>
          <w:rFonts w:ascii="Times New Roman" w:eastAsia="Times New Roman" w:hAnsi="Times New Roman" w:cs="Times New Roman"/>
          <w:sz w:val="24"/>
          <w:szCs w:val="24"/>
          <w:lang w:val="en-US" w:eastAsia="en-US"/>
        </w:rPr>
        <w:t>Zafarani</w:t>
      </w:r>
      <w:proofErr w:type="spellEnd"/>
      <w:r w:rsidRPr="00E86206">
        <w:rPr>
          <w:rFonts w:ascii="Times New Roman" w:eastAsia="Times New Roman" w:hAnsi="Times New Roman" w:cs="Times New Roman"/>
          <w:sz w:val="24"/>
          <w:szCs w:val="24"/>
          <w:lang w:val="en-US" w:eastAsia="en-US"/>
        </w:rPr>
        <w:t xml:space="preserve">, R. (2020). A survey of fake news: Fundamental theories, detection methods, and opportunities. </w:t>
      </w:r>
      <w:r w:rsidRPr="00E86206">
        <w:rPr>
          <w:rFonts w:ascii="Times New Roman" w:eastAsia="Times New Roman" w:hAnsi="Times New Roman" w:cs="Times New Roman"/>
          <w:i/>
          <w:iCs/>
          <w:sz w:val="24"/>
          <w:szCs w:val="24"/>
          <w:lang w:val="en-US" w:eastAsia="en-US"/>
        </w:rPr>
        <w:t>ACM Computing Surveys, 53</w:t>
      </w:r>
      <w:r w:rsidRPr="00E86206">
        <w:rPr>
          <w:rFonts w:ascii="Times New Roman" w:eastAsia="Times New Roman" w:hAnsi="Times New Roman" w:cs="Times New Roman"/>
          <w:sz w:val="24"/>
          <w:szCs w:val="24"/>
          <w:lang w:val="en-US" w:eastAsia="en-US"/>
        </w:rPr>
        <w:t xml:space="preserve">(5), 1–40. </w:t>
      </w:r>
      <w:hyperlink r:id="rId43" w:tgtFrame="_new" w:history="1">
        <w:r w:rsidRPr="00E86206">
          <w:rPr>
            <w:rFonts w:ascii="Times New Roman" w:eastAsia="Times New Roman" w:hAnsi="Times New Roman" w:cs="Times New Roman"/>
            <w:color w:val="0000FF"/>
            <w:sz w:val="24"/>
            <w:szCs w:val="24"/>
            <w:u w:val="single"/>
            <w:lang w:val="en-US" w:eastAsia="en-US"/>
          </w:rPr>
          <w:t>https://doi.org/10.1145/3395046</w:t>
        </w:r>
      </w:hyperlink>
    </w:p>
    <w:p w14:paraId="2BA92BEE"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lastRenderedPageBreak/>
        <w:t xml:space="preserve">Zhu, Y., Sheng, Q., Cao, J., Li, S., Wang, D., &amp; Zhuang, F. (2022). Generalizing to the future: Mitigating entity bias in fake news detection. In </w:t>
      </w:r>
      <w:r w:rsidRPr="00E86206">
        <w:rPr>
          <w:rFonts w:ascii="Times New Roman" w:eastAsia="Times New Roman" w:hAnsi="Times New Roman" w:cs="Times New Roman"/>
          <w:i/>
          <w:iCs/>
          <w:sz w:val="24"/>
          <w:szCs w:val="24"/>
          <w:lang w:val="en-US" w:eastAsia="en-US"/>
        </w:rPr>
        <w:t>Proceedings of the 45th International ACM SIGIR Conference on Research and Development in Information Retrieval</w:t>
      </w:r>
      <w:r w:rsidRPr="00E86206">
        <w:rPr>
          <w:rFonts w:ascii="Times New Roman" w:eastAsia="Times New Roman" w:hAnsi="Times New Roman" w:cs="Times New Roman"/>
          <w:sz w:val="24"/>
          <w:szCs w:val="24"/>
          <w:lang w:val="en-US" w:eastAsia="en-US"/>
        </w:rPr>
        <w:t xml:space="preserve"> (pp. 2120–2125). Association for Computing Machinery. https://doi.org/10.1145/3477495.3531816</w:t>
      </w:r>
    </w:p>
    <w:p w14:paraId="14071332" w14:textId="77777777" w:rsidR="00E86206" w:rsidRPr="00E86206" w:rsidRDefault="00E86206" w:rsidP="00E86206">
      <w:pPr>
        <w:spacing w:before="100" w:beforeAutospacing="1" w:after="100" w:afterAutospacing="1"/>
        <w:rPr>
          <w:rFonts w:ascii="Times New Roman" w:eastAsia="Times New Roman" w:hAnsi="Times New Roman" w:cs="Times New Roman"/>
          <w:sz w:val="24"/>
          <w:szCs w:val="24"/>
          <w:lang w:val="en-US" w:eastAsia="en-US"/>
        </w:rPr>
      </w:pPr>
      <w:r w:rsidRPr="00E86206">
        <w:rPr>
          <w:rFonts w:ascii="Times New Roman" w:eastAsia="Times New Roman" w:hAnsi="Times New Roman" w:cs="Times New Roman"/>
          <w:sz w:val="24"/>
          <w:szCs w:val="24"/>
          <w:lang w:val="en-US" w:eastAsia="en-US"/>
        </w:rPr>
        <w:t xml:space="preserve">Zubiaga, A., Aker, A., Bontcheva, K., </w:t>
      </w:r>
      <w:proofErr w:type="spellStart"/>
      <w:r w:rsidRPr="00E86206">
        <w:rPr>
          <w:rFonts w:ascii="Times New Roman" w:eastAsia="Times New Roman" w:hAnsi="Times New Roman" w:cs="Times New Roman"/>
          <w:sz w:val="24"/>
          <w:szCs w:val="24"/>
          <w:lang w:val="en-US" w:eastAsia="en-US"/>
        </w:rPr>
        <w:t>Liakata</w:t>
      </w:r>
      <w:proofErr w:type="spellEnd"/>
      <w:r w:rsidRPr="00E86206">
        <w:rPr>
          <w:rFonts w:ascii="Times New Roman" w:eastAsia="Times New Roman" w:hAnsi="Times New Roman" w:cs="Times New Roman"/>
          <w:sz w:val="24"/>
          <w:szCs w:val="24"/>
          <w:lang w:val="en-US" w:eastAsia="en-US"/>
        </w:rPr>
        <w:t xml:space="preserve">, M., &amp; Procter, R. (2018). Detection and resolution of </w:t>
      </w:r>
      <w:proofErr w:type="spellStart"/>
      <w:r w:rsidRPr="00E86206">
        <w:rPr>
          <w:rFonts w:ascii="Times New Roman" w:eastAsia="Times New Roman" w:hAnsi="Times New Roman" w:cs="Times New Roman"/>
          <w:sz w:val="24"/>
          <w:szCs w:val="24"/>
          <w:lang w:val="en-US" w:eastAsia="en-US"/>
        </w:rPr>
        <w:t>rumours</w:t>
      </w:r>
      <w:proofErr w:type="spellEnd"/>
      <w:r w:rsidRPr="00E86206">
        <w:rPr>
          <w:rFonts w:ascii="Times New Roman" w:eastAsia="Times New Roman" w:hAnsi="Times New Roman" w:cs="Times New Roman"/>
          <w:sz w:val="24"/>
          <w:szCs w:val="24"/>
          <w:lang w:val="en-US" w:eastAsia="en-US"/>
        </w:rPr>
        <w:t xml:space="preserve"> in social media: A survey. </w:t>
      </w:r>
      <w:r w:rsidRPr="00E86206">
        <w:rPr>
          <w:rFonts w:ascii="Times New Roman" w:eastAsia="Times New Roman" w:hAnsi="Times New Roman" w:cs="Times New Roman"/>
          <w:i/>
          <w:iCs/>
          <w:sz w:val="24"/>
          <w:szCs w:val="24"/>
          <w:lang w:val="en-US" w:eastAsia="en-US"/>
        </w:rPr>
        <w:t>ACM Computing Surveys, 51</w:t>
      </w:r>
      <w:r w:rsidRPr="00E86206">
        <w:rPr>
          <w:rFonts w:ascii="Times New Roman" w:eastAsia="Times New Roman" w:hAnsi="Times New Roman" w:cs="Times New Roman"/>
          <w:sz w:val="24"/>
          <w:szCs w:val="24"/>
          <w:lang w:val="en-US" w:eastAsia="en-US"/>
        </w:rPr>
        <w:t xml:space="preserve">(2), 1–36. </w:t>
      </w:r>
      <w:hyperlink r:id="rId44" w:tgtFrame="_new" w:history="1">
        <w:r w:rsidRPr="00E86206">
          <w:rPr>
            <w:rFonts w:ascii="Times New Roman" w:eastAsia="Times New Roman" w:hAnsi="Times New Roman" w:cs="Times New Roman"/>
            <w:color w:val="0000FF"/>
            <w:sz w:val="24"/>
            <w:szCs w:val="24"/>
            <w:u w:val="single"/>
            <w:lang w:val="en-US" w:eastAsia="en-US"/>
          </w:rPr>
          <w:t>https://doi.org/10.1145/3161603</w:t>
        </w:r>
      </w:hyperlink>
    </w:p>
    <w:p w14:paraId="02230F33" w14:textId="77777777" w:rsidR="00E86206" w:rsidRDefault="00E86206" w:rsidP="00816A47">
      <w:pPr>
        <w:pStyle w:val="Heading1"/>
        <w:spacing w:before="100" w:beforeAutospacing="1" w:after="100" w:afterAutospacing="1"/>
        <w:jc w:val="both"/>
      </w:pPr>
    </w:p>
    <w:sectPr w:rsidR="00E86206">
      <w:headerReference w:type="even" r:id="rId45"/>
      <w:headerReference w:type="default" r:id="rId46"/>
      <w:footerReference w:type="even" r:id="rId47"/>
      <w:footerReference w:type="default" r:id="rId48"/>
      <w:headerReference w:type="first" r:id="rId49"/>
      <w:footerReference w:type="first" r:id="rId50"/>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752A6" w14:textId="77777777" w:rsidR="00C2569C" w:rsidRDefault="00C2569C" w:rsidP="009571A9">
      <w:r>
        <w:separator/>
      </w:r>
    </w:p>
  </w:endnote>
  <w:endnote w:type="continuationSeparator" w:id="0">
    <w:p w14:paraId="28F7AF7E" w14:textId="77777777" w:rsidR="00C2569C" w:rsidRDefault="00C2569C" w:rsidP="00957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CF133" w14:textId="77777777" w:rsidR="009571A9" w:rsidRDefault="009571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1C491" w14:textId="77777777" w:rsidR="009571A9" w:rsidRDefault="009571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9669F" w14:textId="77777777" w:rsidR="009571A9" w:rsidRDefault="009571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A791D" w14:textId="77777777" w:rsidR="00C2569C" w:rsidRDefault="00C2569C" w:rsidP="009571A9">
      <w:r>
        <w:separator/>
      </w:r>
    </w:p>
  </w:footnote>
  <w:footnote w:type="continuationSeparator" w:id="0">
    <w:p w14:paraId="65305541" w14:textId="77777777" w:rsidR="00C2569C" w:rsidRDefault="00C2569C" w:rsidP="009571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A4E34" w14:textId="77777777" w:rsidR="009571A9" w:rsidRDefault="00000000">
    <w:pPr>
      <w:pStyle w:val="Header"/>
    </w:pPr>
    <w:r>
      <w:rPr>
        <w:noProof/>
      </w:rPr>
      <w:pict w14:anchorId="7348CF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0001735" o:spid="_x0000_s1026" type="#_x0000_t136" style="position:absolute;margin-left:0;margin-top:0;width:603.95pt;height:75.45pt;rotation:315;z-index:-251655168;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3F021" w14:textId="77777777" w:rsidR="009571A9" w:rsidRDefault="00000000">
    <w:pPr>
      <w:pStyle w:val="Header"/>
    </w:pPr>
    <w:r>
      <w:rPr>
        <w:noProof/>
      </w:rPr>
      <w:pict w14:anchorId="5D3BC3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0001736" o:spid="_x0000_s1027" type="#_x0000_t136" style="position:absolute;margin-left:0;margin-top:0;width:603.95pt;height:75.45pt;rotation:315;z-index:-251653120;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ED5CC" w14:textId="77777777" w:rsidR="009571A9" w:rsidRDefault="00000000">
    <w:pPr>
      <w:pStyle w:val="Header"/>
    </w:pPr>
    <w:r>
      <w:rPr>
        <w:noProof/>
      </w:rPr>
      <w:pict w14:anchorId="220748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0001734" o:spid="_x0000_s1025" type="#_x0000_t136" style="position:absolute;margin-left:0;margin-top:0;width:603.95pt;height:75.45pt;rotation:315;z-index:-251657216;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595D42"/>
    <w:multiLevelType w:val="hybridMultilevel"/>
    <w:tmpl w:val="CE4A954A"/>
    <w:lvl w:ilvl="0" w:tplc="A6F23E76">
      <w:start w:val="1"/>
      <w:numFmt w:val="bullet"/>
      <w:lvlText w:val="●"/>
      <w:lvlJc w:val="left"/>
      <w:pPr>
        <w:ind w:left="720" w:hanging="360"/>
      </w:pPr>
    </w:lvl>
    <w:lvl w:ilvl="1" w:tplc="9858D9AE">
      <w:start w:val="1"/>
      <w:numFmt w:val="bullet"/>
      <w:lvlText w:val="○"/>
      <w:lvlJc w:val="left"/>
      <w:pPr>
        <w:ind w:left="1440" w:hanging="360"/>
      </w:pPr>
    </w:lvl>
    <w:lvl w:ilvl="2" w:tplc="834683DE">
      <w:start w:val="1"/>
      <w:numFmt w:val="bullet"/>
      <w:lvlText w:val="■"/>
      <w:lvlJc w:val="left"/>
      <w:pPr>
        <w:ind w:left="2160" w:hanging="360"/>
      </w:pPr>
    </w:lvl>
    <w:lvl w:ilvl="3" w:tplc="446C5DDE">
      <w:start w:val="1"/>
      <w:numFmt w:val="bullet"/>
      <w:lvlText w:val="●"/>
      <w:lvlJc w:val="left"/>
      <w:pPr>
        <w:ind w:left="2880" w:hanging="360"/>
      </w:pPr>
    </w:lvl>
    <w:lvl w:ilvl="4" w:tplc="61B6F35C">
      <w:start w:val="1"/>
      <w:numFmt w:val="bullet"/>
      <w:lvlText w:val="○"/>
      <w:lvlJc w:val="left"/>
      <w:pPr>
        <w:ind w:left="3600" w:hanging="360"/>
      </w:pPr>
    </w:lvl>
    <w:lvl w:ilvl="5" w:tplc="924E4110">
      <w:start w:val="1"/>
      <w:numFmt w:val="bullet"/>
      <w:lvlText w:val="■"/>
      <w:lvlJc w:val="left"/>
      <w:pPr>
        <w:ind w:left="4320" w:hanging="360"/>
      </w:pPr>
    </w:lvl>
    <w:lvl w:ilvl="6" w:tplc="4DA4DF70">
      <w:start w:val="1"/>
      <w:numFmt w:val="bullet"/>
      <w:lvlText w:val="●"/>
      <w:lvlJc w:val="left"/>
      <w:pPr>
        <w:ind w:left="5040" w:hanging="360"/>
      </w:pPr>
    </w:lvl>
    <w:lvl w:ilvl="7" w:tplc="50729192">
      <w:start w:val="1"/>
      <w:numFmt w:val="bullet"/>
      <w:lvlText w:val="●"/>
      <w:lvlJc w:val="left"/>
      <w:pPr>
        <w:ind w:left="5760" w:hanging="360"/>
      </w:pPr>
    </w:lvl>
    <w:lvl w:ilvl="8" w:tplc="0D18C5F6">
      <w:start w:val="1"/>
      <w:numFmt w:val="bullet"/>
      <w:lvlText w:val="●"/>
      <w:lvlJc w:val="left"/>
      <w:pPr>
        <w:ind w:left="6480" w:hanging="360"/>
      </w:pPr>
    </w:lvl>
  </w:abstractNum>
  <w:num w:numId="1" w16cid:durableId="104741034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AFA"/>
    <w:rsid w:val="000A2A2F"/>
    <w:rsid w:val="0011070F"/>
    <w:rsid w:val="00294DCA"/>
    <w:rsid w:val="00393FD9"/>
    <w:rsid w:val="00432843"/>
    <w:rsid w:val="0057228C"/>
    <w:rsid w:val="00715AFA"/>
    <w:rsid w:val="007979F8"/>
    <w:rsid w:val="00816A47"/>
    <w:rsid w:val="0095058E"/>
    <w:rsid w:val="009571A9"/>
    <w:rsid w:val="00A536CB"/>
    <w:rsid w:val="00C2569C"/>
    <w:rsid w:val="00D45189"/>
    <w:rsid w:val="00E424C9"/>
    <w:rsid w:val="00E725F0"/>
    <w:rsid w:val="00E86206"/>
    <w:rsid w:val="00EA2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BAD399"/>
  <w15:docId w15:val="{BCCA732D-5831-4987-AC1C-ADEAEDC49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9571A9"/>
    <w:pPr>
      <w:tabs>
        <w:tab w:val="center" w:pos="4513"/>
        <w:tab w:val="right" w:pos="9026"/>
      </w:tabs>
    </w:pPr>
  </w:style>
  <w:style w:type="character" w:customStyle="1" w:styleId="HeaderChar">
    <w:name w:val="Header Char"/>
    <w:basedOn w:val="DefaultParagraphFont"/>
    <w:link w:val="Header"/>
    <w:uiPriority w:val="99"/>
    <w:rsid w:val="009571A9"/>
  </w:style>
  <w:style w:type="paragraph" w:styleId="Footer">
    <w:name w:val="footer"/>
    <w:basedOn w:val="Normal"/>
    <w:link w:val="FooterChar"/>
    <w:uiPriority w:val="99"/>
    <w:unhideWhenUsed/>
    <w:rsid w:val="009571A9"/>
    <w:pPr>
      <w:tabs>
        <w:tab w:val="center" w:pos="4513"/>
        <w:tab w:val="right" w:pos="9026"/>
      </w:tabs>
    </w:pPr>
  </w:style>
  <w:style w:type="character" w:customStyle="1" w:styleId="FooterChar">
    <w:name w:val="Footer Char"/>
    <w:basedOn w:val="DefaultParagraphFont"/>
    <w:link w:val="Footer"/>
    <w:uiPriority w:val="99"/>
    <w:rsid w:val="009571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2/aaai.12188" TargetMode="External"/><Relationship Id="rId18" Type="http://schemas.openxmlformats.org/officeDocument/2006/relationships/hyperlink" Target="https://doi.org/10.1145/3363818" TargetMode="External"/><Relationship Id="rId26" Type="http://schemas.openxmlformats.org/officeDocument/2006/relationships/hyperlink" Target="https://doi.org/10.1016/j.osnem.2025.100314" TargetMode="External"/><Relationship Id="rId39" Type="http://schemas.openxmlformats.org/officeDocument/2006/relationships/hyperlink" Target="https://doi.org/10.1145/3589334.3645471" TargetMode="External"/><Relationship Id="rId21" Type="http://schemas.openxmlformats.org/officeDocument/2006/relationships/hyperlink" Target="https://doi.org/10.1145/3308558.3313552" TargetMode="External"/><Relationship Id="rId34" Type="http://schemas.openxmlformats.org/officeDocument/2006/relationships/hyperlink" Target="https://doi.org/10.1145/3137597.3137600" TargetMode="External"/><Relationship Id="rId42" Type="http://schemas.openxmlformats.org/officeDocument/2006/relationships/hyperlink" Target="https://doi.org/10.1145/3377478"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hyperlink" Target="https://doi.org/10.1155/2020/8885861" TargetMode="External"/><Relationship Id="rId2" Type="http://schemas.openxmlformats.org/officeDocument/2006/relationships/styles" Target="styles.xml"/><Relationship Id="rId16" Type="http://schemas.openxmlformats.org/officeDocument/2006/relationships/hyperlink" Target="https://doi.org/10.1126/science.aau2706" TargetMode="External"/><Relationship Id="rId29" Type="http://schemas.openxmlformats.org/officeDocument/2006/relationships/hyperlink" Target="https://doi.org/10.1016/j.tics.2021.02.007" TargetMode="External"/><Relationship Id="rId11" Type="http://schemas.openxmlformats.org/officeDocument/2006/relationships/hyperlink" Target="https://doi.org/10.1186/s41073-019-0064-8" TargetMode="External"/><Relationship Id="rId24" Type="http://schemas.openxmlformats.org/officeDocument/2006/relationships/hyperlink" Target="https://doi.org/10.1126/science.aao2998" TargetMode="External"/><Relationship Id="rId32" Type="http://schemas.openxmlformats.org/officeDocument/2006/relationships/hyperlink" Target="https://doi.org/10.1145/3305260" TargetMode="External"/><Relationship Id="rId37" Type="http://schemas.openxmlformats.org/officeDocument/2006/relationships/hyperlink" Target="https://doi.org/10.1177/2053951719843310" TargetMode="External"/><Relationship Id="rId40" Type="http://schemas.openxmlformats.org/officeDocument/2006/relationships/hyperlink" Target="https://doi.org/10.1145/3543507.3583868"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oi.org/10.1177/08944393261432625?utm_source=chatgpt.com" TargetMode="External"/><Relationship Id="rId23" Type="http://schemas.openxmlformats.org/officeDocument/2006/relationships/hyperlink" Target="https://doi.org/10.3390/app16031585" TargetMode="External"/><Relationship Id="rId28" Type="http://schemas.openxmlformats.org/officeDocument/2006/relationships/hyperlink" Target="https://doi.org/10.3390/fi16080298" TargetMode="External"/><Relationship Id="rId36" Type="http://schemas.openxmlformats.org/officeDocument/2006/relationships/hyperlink" Target="https://doi.org/10.4300/JGME-D-22-00480.1" TargetMode="External"/><Relationship Id="rId49" Type="http://schemas.openxmlformats.org/officeDocument/2006/relationships/header" Target="header3.xml"/><Relationship Id="rId10" Type="http://schemas.openxmlformats.org/officeDocument/2006/relationships/hyperlink" Target="https://doi.org/10.1177/20563051221150412" TargetMode="External"/><Relationship Id="rId19" Type="http://schemas.openxmlformats.org/officeDocument/2006/relationships/hyperlink" Target="https://www.unesco.org/en/articles/journalism-fake-news-disinformation" TargetMode="External"/><Relationship Id="rId31" Type="http://schemas.openxmlformats.org/officeDocument/2006/relationships/hyperlink" Target="https://doi.org/10.1038/s41467-018-06930-7" TargetMode="External"/><Relationship Id="rId44" Type="http://schemas.openxmlformats.org/officeDocument/2006/relationships/hyperlink" Target="https://doi.org/10.1145/3161603"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1257/jep.31.2.211" TargetMode="External"/><Relationship Id="rId14" Type="http://schemas.openxmlformats.org/officeDocument/2006/relationships/hyperlink" Target="https://doi.org/10.1145/3404835.3462990" TargetMode="External"/><Relationship Id="rId22" Type="http://schemas.openxmlformats.org/officeDocument/2006/relationships/hyperlink" Target="https://doi.org/10.1177/1529100620946707" TargetMode="External"/><Relationship Id="rId27" Type="http://schemas.openxmlformats.org/officeDocument/2006/relationships/hyperlink" Target="https://doi.org/10.1145/3459637.3482139" TargetMode="External"/><Relationship Id="rId30" Type="http://schemas.openxmlformats.org/officeDocument/2006/relationships/hyperlink" Target="https://doi.org/10.1038/s42256-019-0048-x" TargetMode="External"/><Relationship Id="rId35" Type="http://schemas.openxmlformats.org/officeDocument/2006/relationships/hyperlink" Target="https://doi.org/10.37016/mr-2020-127" TargetMode="External"/><Relationship Id="rId43" Type="http://schemas.openxmlformats.org/officeDocument/2006/relationships/hyperlink" Target="https://doi.org/10.1145/3395046" TargetMode="External"/><Relationship Id="rId48" Type="http://schemas.openxmlformats.org/officeDocument/2006/relationships/footer" Target="footer2.xml"/><Relationship Id="rId8" Type="http://schemas.openxmlformats.org/officeDocument/2006/relationships/hyperlink" Target="https://doi.org/10.1007/s13278-023-01028-5?utm_source=chatgpt.com"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doi.org/10.1609/aaai.v34i01.5393" TargetMode="External"/><Relationship Id="rId17" Type="http://schemas.openxmlformats.org/officeDocument/2006/relationships/hyperlink" Target="https://doi.org/10.1162/tacl_a_00454" TargetMode="External"/><Relationship Id="rId25" Type="http://schemas.openxmlformats.org/officeDocument/2006/relationships/hyperlink" Target="https://doi.org/10.1007/s13278-025-01468-1?utm_source=chatgpt.com" TargetMode="External"/><Relationship Id="rId33" Type="http://schemas.openxmlformats.org/officeDocument/2006/relationships/hyperlink" Target="https://doi.org/10.1089/big.2020.0062" TargetMode="External"/><Relationship Id="rId38" Type="http://schemas.openxmlformats.org/officeDocument/2006/relationships/hyperlink" Target="https://doi.org/10.1126/science.aap9559" TargetMode="External"/><Relationship Id="rId46" Type="http://schemas.openxmlformats.org/officeDocument/2006/relationships/header" Target="header2.xml"/><Relationship Id="rId20" Type="http://schemas.openxmlformats.org/officeDocument/2006/relationships/hyperlink" Target="https://doi.org/10.1016/j.jnca.2021.103112" TargetMode="External"/><Relationship Id="rId41" Type="http://schemas.openxmlformats.org/officeDocument/2006/relationships/hyperlink" Target="https://doi.org/10.2196/28152"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27</Pages>
  <Words>16241</Words>
  <Characters>92576</Characters>
  <Application>Microsoft Office Word</Application>
  <DocSecurity>0</DocSecurity>
  <Lines>771</Lines>
  <Paragraphs>217</Paragraphs>
  <ScaleCrop>false</ScaleCrop>
  <Company>HP</Company>
  <LinksUpToDate>false</LinksUpToDate>
  <CharactersWithSpaces>108600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Machine learning for the detection of fake news on social media: a critical narrative review of methods, evaluation validity and deployment readiness</dc:title>
  <dc:creator>Critical narrative review</dc:creator>
  <cp:lastModifiedBy>SDI 1087</cp:lastModifiedBy>
  <cp:revision>8</cp:revision>
  <dcterms:created xsi:type="dcterms:W3CDTF">2026-08-07T18:07:00Z</dcterms:created>
  <dcterms:modified xsi:type="dcterms:W3CDTF">2026-08-12T12:51:00Z</dcterms:modified>
</cp:coreProperties>
</file>