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3CECA" w14:textId="77777777" w:rsidR="00FE4FCA" w:rsidRPr="00FE4FCA" w:rsidRDefault="00FE4FCA" w:rsidP="00FE4FCA">
      <w:pPr>
        <w:keepNext/>
        <w:spacing w:before="120" w:after="280"/>
        <w:jc w:val="center"/>
        <w:rPr>
          <w:b/>
          <w:bCs/>
          <w:i/>
          <w:iCs/>
          <w:color w:val="1F4E79"/>
          <w:sz w:val="33"/>
          <w:u w:val="single"/>
          <w:lang w:val="en-US"/>
        </w:rPr>
      </w:pPr>
      <w:r w:rsidRPr="00FE4FCA">
        <w:rPr>
          <w:b/>
          <w:bCs/>
          <w:i/>
          <w:iCs/>
          <w:color w:val="1F4E79"/>
          <w:sz w:val="33"/>
          <w:u w:val="single"/>
          <w:lang w:val="en-US"/>
        </w:rPr>
        <w:t>Review Article</w:t>
      </w:r>
    </w:p>
    <w:p w14:paraId="1590D18F" w14:textId="77777777" w:rsidR="000146C6" w:rsidRDefault="00000000">
      <w:pPr>
        <w:keepNext/>
        <w:spacing w:before="120" w:after="280"/>
        <w:jc w:val="center"/>
      </w:pPr>
      <w:r>
        <w:rPr>
          <w:b/>
          <w:color w:val="1F4E79"/>
          <w:sz w:val="33"/>
        </w:rPr>
        <w:t>Geostatistical and Machine-Learning Methodologies for Predicting Recoverable Mineral Value in U.S. Critical-Mineral Deposits: A Critical Narrative Review</w:t>
      </w:r>
    </w:p>
    <w:p w14:paraId="6FC41AEF" w14:textId="77777777" w:rsidR="000146C6" w:rsidRDefault="00000000">
      <w:pPr>
        <w:keepNext/>
        <w:spacing w:after="80"/>
      </w:pPr>
      <w:r>
        <w:rPr>
          <w:b/>
          <w:color w:val="1F4E79"/>
          <w:sz w:val="24"/>
        </w:rPr>
        <w:t>Abstract</w:t>
      </w:r>
    </w:p>
    <w:p w14:paraId="514A47AC" w14:textId="77777777" w:rsidR="000146C6" w:rsidRDefault="00000000">
      <w:pPr>
        <w:ind w:firstLine="288"/>
      </w:pPr>
      <w:r>
        <w:t xml:space="preserve">Critical minerals underpin energy, defence, digital and advanced-manufacturing systems, yet the economic value of a deposit depends not only on in situ grade but also on how much mineral value can be recovered under variable geological, mineralogical and operating conditions. In the United States, prediction is particularly difficult because critical-mineral resources span carbonatites, peralkaline rhyolites, lithium-bearing caldera sediments, polymetallic hydrothermal systems and other deposit classes with distinct spatial architectures and processing responses. This critical narrative review evaluates geostatistical and machine-learning methodologies for predicting recoverable mineral value across regional prospectivity, three-dimensional resource models, </w:t>
      </w:r>
      <w:proofErr w:type="spellStart"/>
      <w:r>
        <w:t>geometallurgical</w:t>
      </w:r>
      <w:proofErr w:type="spellEnd"/>
      <w:r>
        <w:t xml:space="preserve"> domains and mineral-processing operations. Literature was selected through live searches of accessible scholarly indexes, bibliographic registries, institutional repositories and official scientific sources, with an end date of 2 June 2026. The synthesis shows that </w:t>
      </w:r>
      <w:proofErr w:type="spellStart"/>
      <w:r>
        <w:t>geostatistics</w:t>
      </w:r>
      <w:proofErr w:type="spellEnd"/>
      <w:r>
        <w:t xml:space="preserve"> remains indispensable for modelling spatial continuity, sample support, geological domains and uncertainty realisations, whereas machine learning is most useful for nonlinear integration of geochemistry, geophysics, hyperspectral mineralogy, imagery and process-sensor data. Neither family is sufficient alone. Kriging can smooth extreme grades and does not automatically represent recovery behaviour; machine-learning models can exploit spatial or temporal leakage, obscure extrapolation and deliver overconfident predictions when training data are sparse or preferentially sampled. The strongest methodological direction is therefore hybrid and scale-aware: geological domaining and support harmonisation should precede modelling; geostatistical simulations should represent plausible orebody variability; machine learning should estimate nonlinear grade, mineralogical or recovery responses; and uncertainty should be propagated to recoverable metal, concentrate quality, throughput and economic decisions. U.S. applications are currently constrained by proprietary metallurgical data, inconsistent sampling, weak external validation and limited public benchmarks. Progress requires paired geological-mineralogical-metallurgical datasets, spatial and temporal validation, calibrated uncertainty, decision-centred performance metrics and transparent model governance. An integrated workflow is proposed to connect national mineral-potential mapping with block-scale </w:t>
      </w:r>
      <w:proofErr w:type="spellStart"/>
      <w:r>
        <w:t>geometallurgy</w:t>
      </w:r>
      <w:proofErr w:type="spellEnd"/>
      <w:r>
        <w:t xml:space="preserve"> and operational recovery control without conflating occurrence, grade and metallurgical recovery.</w:t>
      </w:r>
    </w:p>
    <w:p w14:paraId="29AC6D46" w14:textId="77777777" w:rsidR="000146C6" w:rsidRDefault="00000000">
      <w:pPr>
        <w:keepNext/>
        <w:spacing w:before="80" w:after="200"/>
      </w:pPr>
      <w:r>
        <w:rPr>
          <w:b/>
          <w:color w:val="1F4E79"/>
          <w:sz w:val="20"/>
        </w:rPr>
        <w:t xml:space="preserve">Keywords: </w:t>
      </w:r>
      <w:proofErr w:type="spellStart"/>
      <w:r>
        <w:rPr>
          <w:sz w:val="20"/>
        </w:rPr>
        <w:t>geometallurgy</w:t>
      </w:r>
      <w:proofErr w:type="spellEnd"/>
      <w:r>
        <w:rPr>
          <w:sz w:val="20"/>
        </w:rPr>
        <w:t>; spatial prediction; conditional simulation; mineral prospectivity mapping; process soft sensor; uncertainty quantification; rare earth elements; lithium</w:t>
      </w:r>
    </w:p>
    <w:p w14:paraId="56E8DD76" w14:textId="77777777" w:rsidR="000146C6" w:rsidRDefault="00000000">
      <w:pPr>
        <w:pStyle w:val="Heading1"/>
      </w:pPr>
      <w:r>
        <w:t>1. Introduction</w:t>
      </w:r>
    </w:p>
    <w:p w14:paraId="3E84D933" w14:textId="77777777" w:rsidR="000146C6" w:rsidRDefault="00000000">
      <w:pPr>
        <w:ind w:firstLine="288"/>
      </w:pPr>
      <w:r>
        <w:t xml:space="preserve">Critical minerals are defined through the interaction of economic importance, supply vulnerability and the consequences of disruption rather than by a fixed geological property. The U.S. critical-minerals framework therefore changes as technologies, trade patterns, domestic capacity and strategic priorities evolve. The final 2025 U.S. list contained 60 mineral commodities, while national assessments continue to distinguish geological availability from supply-chain exposure and manufacturing dependence (McCullough &amp; Nassar, 2017; Nassar et al., 2020; U.S. Geological Survey, 2026). This policy context creates a demand for predictions that are more decision-relevant than maps of anomalous concentration. A deposit can be large and high </w:t>
      </w:r>
      <w:r>
        <w:lastRenderedPageBreak/>
        <w:t>grade but technically difficult to beneficiate, chemically complex, environmentally burdensome or poorly matched to existing separation capacity. Conversely, lower-grade material may become valuable when mineral liberation, reagent response, by-product credits or selective mining are favourable.</w:t>
      </w:r>
    </w:p>
    <w:p w14:paraId="098D517F" w14:textId="77777777" w:rsidR="000146C6" w:rsidRDefault="00000000">
      <w:pPr>
        <w:ind w:firstLine="288"/>
      </w:pPr>
      <w:r>
        <w:t xml:space="preserve">The term mineral recovery is used inconsistently across exploration, resource evaluation and processing. At the plant scale, recovery commonly denotes the proportion of a valuable component transferred from feed to a concentrate, intermediate or leach solution. At the block scale, recoverable value depends on tonnage, grade, mineral deportment, liberation, hardness, recovery response, dilution and the selectivity of mining and processing. At the regional scale, predictive studies usually estimate mineral occurrence or prospectivity rather than recovery. These targets are related but not interchangeable. A prospectivity probability is not an ore grade, a grade estimate is not a process response, and a laboratory recovery result is not automatically representative of a mine block or sustained plant operation. Conflation of these </w:t>
      </w:r>
      <w:proofErr w:type="spellStart"/>
      <w:r>
        <w:t>estimands</w:t>
      </w:r>
      <w:proofErr w:type="spellEnd"/>
      <w:r>
        <w:t xml:space="preserve"> is a recurrent source of overclaiming in data-driven mineral prediction.</w:t>
      </w:r>
    </w:p>
    <w:p w14:paraId="70991069" w14:textId="74D908E1" w:rsidR="00D81CAF" w:rsidRDefault="00000000" w:rsidP="00E936CC">
      <w:pPr>
        <w:ind w:firstLine="288"/>
      </w:pPr>
      <w:r>
        <w:t>U.S. critical-mineral deposits amplify this problem because their ore-forming systems, host rocks and value-bearing minerals differ markedly. The Mountain Pass deposit in California is a rare-earth-element carbonatite dominated by light rare earths in bastnäsite-group minerals, but its mineralogical variability and associated carbonate, sulphate, phosphate and silicate phases influence sensing, beneficiation and separation (Castor, 2008; Watts &amp; Andersen, 2026). Lithium enrichment in the McDermitt caldera system of Nevada and Oregon is hosted in altered volcanic and sedimentary materials whose mineralogical controls differ from those of brines or hard-rock pegmatites (Benson et al., 2017; Castor &amp; Henry, 2020; Glanzman et al., 1978). Round Top in Texas is a peralkaline rhyolite containing heavy rare earth elements associated with fluorite and other accessory phases, for which leachability and permeability are central to recoverability (Negron et al., 2016; Pingitore et al., 2014). The Idaho Cobalt Belt comprises multistage strata-bound mineralisation with complex assemblages and structural controls that complicate simple grade-only modelling (Slack, 2012). National-scale focus areas and Earth Mapping Resources Initiative products add a further level of heterogeneity because they integrate geology, geochemistry, geophysics and mineral-system knowledge across regions and scales (Day, 2019; Hammarstrom et al., 2023; Hofstra &amp; Kreiner, 2020).</w:t>
      </w:r>
      <w:r w:rsidR="00E936CC">
        <w:t xml:space="preserve"> </w:t>
      </w:r>
      <w:r w:rsidRPr="00E936CC">
        <w:rPr>
          <w:bCs/>
          <w:highlight w:val="yellow"/>
        </w:rPr>
        <w:t>Recent synthesis of rare-earth beneficiation further shows that mineralogical composition and ore characteristics shape feasible separation routes and process performance, underscoring the need to connect geological prediction with process-relevant attributes (Shuai et al., 2024).</w:t>
      </w:r>
    </w:p>
    <w:p w14:paraId="3B17775E" w14:textId="77777777" w:rsidR="000146C6" w:rsidRDefault="00000000">
      <w:pPr>
        <w:ind w:firstLine="288"/>
      </w:pPr>
      <w:proofErr w:type="spellStart"/>
      <w:r>
        <w:t>Geostatistics</w:t>
      </w:r>
      <w:proofErr w:type="spellEnd"/>
      <w:r>
        <w:t xml:space="preserve"> and machine learning address different parts of this predictive problem. </w:t>
      </w:r>
      <w:proofErr w:type="spellStart"/>
      <w:r>
        <w:t>Geostatistics</w:t>
      </w:r>
      <w:proofErr w:type="spellEnd"/>
      <w:r>
        <w:t xml:space="preserve"> was developed to model regionalised variables whose values depend on separation distance, direction, geological continuity and sample support. Variograms, kriging, co-kriging, indicator methods and conditional simulation provide explicit mechanisms for estimating spatial continuity and uncertainty (Oliver &amp; Webster, 2014). They are well aligned with drill-hole data and block models, but standard estimators can smooth local extremes, obscure multimodality and struggle when process response is governed by nonlinear combinations of mineralogy, texture and operating conditions (Yamamoto, 2005). Multiple-point </w:t>
      </w:r>
      <w:proofErr w:type="spellStart"/>
      <w:r>
        <w:t>geostatistics</w:t>
      </w:r>
      <w:proofErr w:type="spellEnd"/>
      <w:r>
        <w:t xml:space="preserve"> can represent complex geological patterns, although its performance depends heavily on training images and pattern representativeness (Hu &amp; Chugunova, 2008; </w:t>
      </w:r>
      <w:proofErr w:type="spellStart"/>
      <w:r>
        <w:t>Mariethoz</w:t>
      </w:r>
      <w:proofErr w:type="spellEnd"/>
      <w:r>
        <w:t xml:space="preserve"> et al., 2010).</w:t>
      </w:r>
    </w:p>
    <w:p w14:paraId="7455823C" w14:textId="5938AE07" w:rsidR="00D81CAF" w:rsidRDefault="00000000" w:rsidP="00E936CC">
      <w:pPr>
        <w:ind w:firstLine="288"/>
      </w:pPr>
      <w:r>
        <w:t>Machine learning offers flexible prediction from high-dimensional and heterogeneous inputs. Random forests, support-vector machines, artificial neural networks and convolutional neural networks have been used for mineral prospectivity, geological mapping, grade interpolation, froth-image analysis and process soft sensing (Carranza &amp; Laborte, 2015; McCoy &amp; Auret, 2019; Rodríguez-Galiano et al., 2015). These models can identify nonlinear interactions that are difficult to specify a priori and can ingest remote-sensing, geophysical, hyperspectral, image and time-series data. Yet their apparent accuracy is often inflated by random train-test splits that allow neighbouring samples, repeated campaigns or temporally adjacent observations to appear in both training and test sets. They may also learn acquisition footprints, class-label artefacts or process-</w:t>
      </w:r>
      <w:r>
        <w:lastRenderedPageBreak/>
        <w:t>control policies instead of transferable geological or metallurgical relationships (Cracknell &amp; Reading, 2014; Parsa &amp; Cumani, 2025; Roberts et al., 2017).</w:t>
      </w:r>
      <w:r w:rsidR="00E936CC">
        <w:t xml:space="preserve"> </w:t>
      </w:r>
      <w:r w:rsidRPr="00E936CC">
        <w:rPr>
          <w:bCs/>
          <w:highlight w:val="yellow"/>
        </w:rPr>
        <w:t>Recent studies have further demonstrated the potential of deep-learning and ensemble approaches for extracting complex geological patterns; however, class imbalance, sample construction and model evaluation remain important determinants of predictive reliability (Farahnakian et al., 2024; He et al., 2024; Sun et al., 2024).</w:t>
      </w:r>
    </w:p>
    <w:p w14:paraId="0F723275" w14:textId="77777777" w:rsidR="000146C6" w:rsidRDefault="00000000">
      <w:pPr>
        <w:ind w:firstLine="288"/>
      </w:pPr>
      <w:r>
        <w:t xml:space="preserve">Existing reviews provide valuable but fragmented perspectives. </w:t>
      </w:r>
      <w:proofErr w:type="spellStart"/>
      <w:r>
        <w:t>Geometallurgical</w:t>
      </w:r>
      <w:proofErr w:type="spellEnd"/>
      <w:r>
        <w:t xml:space="preserve"> reviews explain how geological variability should be connected to processing performance and mine planning (Dominy et al., 2018; </w:t>
      </w:r>
      <w:proofErr w:type="spellStart"/>
      <w:r>
        <w:t>Lishchuk</w:t>
      </w:r>
      <w:proofErr w:type="spellEnd"/>
      <w:r>
        <w:t xml:space="preserve"> et al., 2020). Mineral-processing reviews describe machine-learning and machine-vision applications, particularly in flotation (Aldrich et al., 2010; McCoy &amp; Auret, 2019). Prospectivity and spatial-learning studies compare algorithms and uncertainty sources, but they usually target occurrence rather than recoverable output (Burkin et al., 2019; </w:t>
      </w:r>
      <w:proofErr w:type="spellStart"/>
      <w:r>
        <w:t>Hoffimann</w:t>
      </w:r>
      <w:proofErr w:type="spellEnd"/>
      <w:r>
        <w:t xml:space="preserve"> et al., 2021; Zhang, Lawley, et al., 2024). A coherent synthesis is still needed to connect regional mineral-potential mapping, deposit-scale geological modelling, block-scale </w:t>
      </w:r>
      <w:proofErr w:type="spellStart"/>
      <w:r>
        <w:t>geometallurgy</w:t>
      </w:r>
      <w:proofErr w:type="spellEnd"/>
      <w:r>
        <w:t xml:space="preserve"> and plant-scale recovery prediction in the specific context of U.S. critical-mineral deposits.</w:t>
      </w:r>
    </w:p>
    <w:p w14:paraId="2B067352" w14:textId="77777777" w:rsidR="000146C6" w:rsidRDefault="00000000">
      <w:pPr>
        <w:pStyle w:val="Heading2"/>
      </w:pPr>
      <w:r>
        <w:t>1.1 Scope, Research Gap and Objectives</w:t>
      </w:r>
    </w:p>
    <w:p w14:paraId="3182C8D6" w14:textId="77777777" w:rsidR="000146C6" w:rsidRDefault="00000000">
      <w:pPr>
        <w:ind w:firstLine="288"/>
      </w:pPr>
      <w:r>
        <w:t xml:space="preserve">This review examines methods for predicting recoverable critical-mineral value in U.S. deposits across four linked scales: regional mineral potential, three-dimensional grade and geological continuity, block-scale mineralogical and metallurgical response, and plant-scale recovery and concentrate performance. It evaluates conventional and advanced </w:t>
      </w:r>
      <w:proofErr w:type="spellStart"/>
      <w:r>
        <w:t>geostatistics</w:t>
      </w:r>
      <w:proofErr w:type="spellEnd"/>
      <w:r>
        <w:t>, supervised and deep machine learning, hybrid spatial-learning approaches, uncertainty quantification, validation and model governance. Representative U.S. deposit systems are used to identify how geological setting, mineralogy, sample support and processing route alter methodological requirements. The principal gap addressed is the lack of an integrated, recovery-centred appraisal that distinguishes prospectivity, grade and metallurgical recovery while showing how uncertainty should be transferred between them. The objectives are to compare methodological strengths and failure modes, assess the evidence supporting hybrid workflows, establish validation and uncertainty requirements, and prioritise research needed for defensible deployment. Purely financial forecasting, downstream refining and recycling are excluded except where they clarify the definition of recoverable value.</w:t>
      </w:r>
    </w:p>
    <w:p w14:paraId="015F8E7E" w14:textId="77777777" w:rsidR="000146C6" w:rsidRDefault="00000000">
      <w:pPr>
        <w:pStyle w:val="Heading1"/>
      </w:pPr>
      <w:r>
        <w:t>2. Methods for Literature Selection</w:t>
      </w:r>
    </w:p>
    <w:p w14:paraId="49EA1598" w14:textId="77777777" w:rsidR="000146C6" w:rsidRDefault="00000000">
      <w:pPr>
        <w:pStyle w:val="Heading2"/>
      </w:pPr>
      <w:r>
        <w:t>2.1 Review Design and Rationale</w:t>
      </w:r>
    </w:p>
    <w:p w14:paraId="344B4D4D" w14:textId="77777777" w:rsidR="000146C6" w:rsidRDefault="00000000">
      <w:pPr>
        <w:ind w:firstLine="288"/>
      </w:pPr>
      <w:r>
        <w:t xml:space="preserve">A critical narrative design was selected because the evidence spans economic geology, spatial statistics, remote sensing, </w:t>
      </w:r>
      <w:proofErr w:type="spellStart"/>
      <w:r>
        <w:t>geometallurgy</w:t>
      </w:r>
      <w:proofErr w:type="spellEnd"/>
      <w:r>
        <w:t>, mineral processing and machine learning, with heterogeneous objectives, data structures and performance measures. A systematic review or meta-analysis would have required a sufficiently homogeneous intervention, target and outcome definition, which is not available across prospectivity maps, grade models, laboratory recovery tests and plant soft sensors. The narrative approach was nevertheless implemented transparently, with topic-specific searches, explicit eligibility criteria, bibliographic verification and critical appraisal, consistent with methodological guidance that narrative reviews should integrate rather than merely catalogue evidence (Green et al., 2006).</w:t>
      </w:r>
    </w:p>
    <w:p w14:paraId="47E14330" w14:textId="77777777" w:rsidR="000146C6" w:rsidRDefault="00000000">
      <w:pPr>
        <w:pStyle w:val="Heading2"/>
      </w:pPr>
      <w:r>
        <w:t>2.2 Information Sources</w:t>
      </w:r>
    </w:p>
    <w:p w14:paraId="27DB5577" w14:textId="77777777" w:rsidR="000146C6" w:rsidRDefault="00000000">
      <w:pPr>
        <w:ind w:firstLine="288"/>
      </w:pPr>
      <w:r>
        <w:t xml:space="preserve">Live searches were conducted in </w:t>
      </w:r>
      <w:proofErr w:type="spellStart"/>
      <w:r>
        <w:t>Crossref</w:t>
      </w:r>
      <w:proofErr w:type="spellEnd"/>
      <w:r>
        <w:t xml:space="preserve"> Metadata Search, PubMed and PubMed Central, the Directory of Open Access Journals, Semantic Scholar and CORE. U.S. Geological Survey Publications Warehouse and official U.S. Geological Survey pages were searched for national mineral assessments, Earth Mapping Resources Initiative products, deposit descriptions and authoritative commodity context. Official journal and DOI landing pages were used to verify bibliographic metadata and Digital Object Identifiers. Searches were </w:t>
      </w:r>
      <w:r>
        <w:lastRenderedPageBreak/>
        <w:t>supplemented by backward reference checking, forward citation tracing, related-article searching and examination of references in recent high-quality reviews. Semantic Scholar and CORE contributed discovery support but yielded few records that were retained after verification. No completed search of Scopus, Web of Science or GeoRef was claimed because direct subscription access and complete exports were not available in the present task.</w:t>
      </w:r>
    </w:p>
    <w:p w14:paraId="246A8595" w14:textId="77777777" w:rsidR="000146C6" w:rsidRDefault="00000000">
      <w:pPr>
        <w:pStyle w:val="Heading2"/>
      </w:pPr>
      <w:r>
        <w:t>2.3 Search Strategy and Search Period</w:t>
      </w:r>
    </w:p>
    <w:p w14:paraId="25936652" w14:textId="77777777" w:rsidR="000146C6" w:rsidRDefault="00000000">
      <w:pPr>
        <w:ind w:firstLine="288"/>
      </w:pPr>
      <w:r>
        <w:t xml:space="preserve">The principal search period was 1 January 2000 to 2 June 2026. Earlier studies were retained when they were necessary to establish seminal geostatistical concepts, historical deposit characterisation or long-standing mineralogical interpretations. Search concepts combined critical-mineral commodities, U.S. geography and deposit names with </w:t>
      </w:r>
      <w:proofErr w:type="spellStart"/>
      <w:r>
        <w:t>geostatistics</w:t>
      </w:r>
      <w:proofErr w:type="spellEnd"/>
      <w:r>
        <w:t xml:space="preserve">, machine learning, mineral prospectivity, grade prediction, </w:t>
      </w:r>
      <w:proofErr w:type="spellStart"/>
      <w:r>
        <w:t>geometallurgy</w:t>
      </w:r>
      <w:proofErr w:type="spellEnd"/>
      <w:r>
        <w:t xml:space="preserve"> and processing recovery. Representative Boolean formulations included: ("critical mineral*" OR "rare earth*" OR lithium OR cobalt OR nickel OR niobium OR scandium) AND ("United States" OR U.S. OR Alaska OR California OR Nevada OR Texas OR Idaho) AND (</w:t>
      </w:r>
      <w:proofErr w:type="spellStart"/>
      <w:r>
        <w:t>geostatistic</w:t>
      </w:r>
      <w:proofErr w:type="spellEnd"/>
      <w:r>
        <w:t xml:space="preserve">* OR kriging OR variogram OR "conditional simulation" OR "multiple-point statistics"); ("mineral recovery" OR </w:t>
      </w:r>
      <w:proofErr w:type="spellStart"/>
      <w:r>
        <w:t>geometallurg</w:t>
      </w:r>
      <w:proofErr w:type="spellEnd"/>
      <w:r>
        <w:t>* OR flotation OR leach* OR "process recovery") AND ("machine learning" OR "random forest" OR "support vector machine" OR "neural network*" OR "deep learning" OR "soft sensor"); and ("mineral prospectivity mapping" OR "grade prediction" OR "orebody model*") AND (uncertainty OR validation OR "spatial cross-validation" OR interpretability). Deposit-specific searches used Mountain Pass, McDermitt Caldera, Thacker Pass, Round Top and Idaho Cobalt Belt with mineralogy, recovery, hyperspectral, geochemistry and modelling terms.</w:t>
      </w:r>
    </w:p>
    <w:p w14:paraId="22C90C51" w14:textId="77777777" w:rsidR="000146C6" w:rsidRDefault="00000000">
      <w:pPr>
        <w:pStyle w:val="Heading2"/>
      </w:pPr>
      <w:r>
        <w:t>2.4 Eligibility Criteria</w:t>
      </w:r>
    </w:p>
    <w:p w14:paraId="15EA3F91" w14:textId="77777777" w:rsidR="000146C6" w:rsidRDefault="00000000">
      <w:pPr>
        <w:ind w:firstLine="288"/>
      </w:pPr>
      <w:r>
        <w:t xml:space="preserve">Eligible evidence comprised peer-reviewed original research, high-quality methodological or domain reviews, and authoritative U.S. governmental reports directly relevant to spatial prediction, </w:t>
      </w:r>
      <w:proofErr w:type="spellStart"/>
      <w:r>
        <w:t>geometallurgy</w:t>
      </w:r>
      <w:proofErr w:type="spellEnd"/>
      <w:r>
        <w:t>, mineral processing, critical-mineral assessment or representative U.S. deposits. Studies outside the United States were included when they provided transferable methodological evidence on spatial learning, recovery modelling, validation or uncertainty that was not adequately documented in U.S. case studies. English-language publications were prioritised because the review concerned U.S. implementation and because reliable translation of technical metadata was not available for all records. Conference abstracts, unverifiable records, promotional material, patents used as evidence of effectiveness, duplicated publications, non-peer-reviewed preprints where peer-reviewed evidence existed and studies unrelated to prediction of occurrence, grade, mineralogy or recovery were excluded.</w:t>
      </w:r>
    </w:p>
    <w:p w14:paraId="569563BC" w14:textId="77777777" w:rsidR="000146C6" w:rsidRDefault="00000000">
      <w:pPr>
        <w:pStyle w:val="Heading2"/>
      </w:pPr>
      <w:r>
        <w:t>2.5 Screening, Duplicate Handling and Study Selection</w:t>
      </w:r>
    </w:p>
    <w:p w14:paraId="3C1FF6C4" w14:textId="77777777" w:rsidR="000146C6" w:rsidRDefault="00000000">
      <w:pPr>
        <w:ind w:firstLine="288"/>
      </w:pPr>
      <w:r>
        <w:t>Titles and abstracts were assessed for relevance to the review's linked prediction scales, followed by full-text or authoritative metadata review where accessible. Duplicate records were identified through DOI, exact title and author-year matching. Studies were selected for methodological contribution, empirical relevance, transparency, quality of validation and importance to the U.S. deposit context rather than citation count alone. Sources with incomplete or conflicting bibliographic identities were excluded unless corrected metadata could be confirmed through an official DOI, journal or institutional record. No screening counts or flow diagram were produced because the review was not designed as an exhaustive systematic review and record-level counts were not prospectively maintained.</w:t>
      </w:r>
    </w:p>
    <w:p w14:paraId="314AA461" w14:textId="77777777" w:rsidR="000146C6" w:rsidRDefault="00000000">
      <w:pPr>
        <w:pStyle w:val="Heading2"/>
      </w:pPr>
      <w:r>
        <w:t>2.6 Critical Appraisal and Evidence Synthesis</w:t>
      </w:r>
    </w:p>
    <w:p w14:paraId="1790FBA7" w14:textId="77777777" w:rsidR="000146C6" w:rsidRDefault="00000000">
      <w:pPr>
        <w:ind w:firstLine="288"/>
      </w:pPr>
      <w:r>
        <w:t xml:space="preserve">Evidence was appraised according to the appropriateness of the prediction target, geological and sampling design, representativeness of labels, treatment of spatial and temporal dependence, handling of sample support, transparency of preprocessing, robustness of validation, uncertainty reporting and transferability to operational decisions. Particular attention was given to spatial leakage, class imbalance, </w:t>
      </w:r>
      <w:r>
        <w:lastRenderedPageBreak/>
        <w:t>preferential sampling, geological non-stationarity, change of support, process drift and the distinction between prediction error and decision risk. Themes were developed iteratively around prediction targets, U.S. deposit data architectures, geostatistical methods, machine-learning methods, validation, uncertainty and hybrid implementation. Conflicting findings were interpreted in relation to differences in data density, geological domain, scale, target definition and validation design rather than resolved by algorithmic ranking alone.</w:t>
      </w:r>
    </w:p>
    <w:p w14:paraId="3012E40D" w14:textId="77777777" w:rsidR="000146C6" w:rsidRDefault="00000000">
      <w:pPr>
        <w:pStyle w:val="Heading1"/>
      </w:pPr>
      <w:r>
        <w:t>3. Conceptualising Recovery Across the Mineral Value Chain</w:t>
      </w:r>
    </w:p>
    <w:p w14:paraId="5FC38AE8" w14:textId="77777777" w:rsidR="000146C6" w:rsidRDefault="00000000">
      <w:pPr>
        <w:ind w:firstLine="288"/>
      </w:pPr>
      <w:r>
        <w:t xml:space="preserve">Prediction becomes defensible only after the </w:t>
      </w:r>
      <w:proofErr w:type="spellStart"/>
      <w:r>
        <w:t>estimand</w:t>
      </w:r>
      <w:proofErr w:type="spellEnd"/>
      <w:r>
        <w:t xml:space="preserve"> has been defined. Mineral-potential mapping typically estimates the relative favourability or probability of a mineral occurrence given geological evidence. Resource modelling estimates variables such as grade, density, thickness or domain membership at unsampled locations. </w:t>
      </w:r>
      <w:proofErr w:type="spellStart"/>
      <w:r>
        <w:t>Geometallurgical</w:t>
      </w:r>
      <w:proofErr w:type="spellEnd"/>
      <w:r>
        <w:t xml:space="preserve"> modelling links these attributes to comminution, liberation, flotation, leaching or separation response. Plant models estimate dynamic outcomes such as recovery, concentrate grade, throughput, energy use or reagent consumption. The variables are connected, but each is conditioned by a different sampling support, decision horizon and set of controllable factors. Treating them as interchangeable obscures the source of predictive error and can lead to invalid economic conclusions.</w:t>
      </w:r>
    </w:p>
    <w:p w14:paraId="6BB4CB5B" w14:textId="77777777" w:rsidR="000146C6" w:rsidRDefault="00000000">
      <w:pPr>
        <w:ind w:firstLine="288"/>
      </w:pPr>
      <w:r>
        <w:t>At regional scale, a prospectivity model may use geophysical anomalies, mapped lithology, structural distance and geochemical signatures to rank cells. Its output can guide acquisition or field investigation, but it does not demonstrate that a deposit is economically mineable. Training labels are commonly known deposits and occurrences, which are themselves affected by exploration history and accessibility. A classifier may therefore learn where exploration has been concentrated rather than where mineralisation is most probable. Studies comparing random forests, neural networks, support-vector machines and regression trees show that algorithm rankings depend on class construction, missingness and the spatial distribution of training data (Carranza &amp; Laborte, 2015; Rodríguez-Galiano et al., 2015). Explicit spatial information can improve geological mapping, but it can also create a model that interpolates survey footprint rather than geology if location variables dominate (Cracknell &amp; Reading, 2014).</w:t>
      </w:r>
    </w:p>
    <w:p w14:paraId="11EA638A" w14:textId="77777777" w:rsidR="000146C6" w:rsidRDefault="00000000">
      <w:pPr>
        <w:ind w:firstLine="288"/>
      </w:pPr>
      <w:r>
        <w:t xml:space="preserve">At deposit scale, grade is a regionalised variable measured on cores, chips, composites or assays. The prediction target may be </w:t>
      </w:r>
      <w:proofErr w:type="gramStart"/>
      <w:r>
        <w:t>point</w:t>
      </w:r>
      <w:proofErr w:type="gramEnd"/>
      <w:r>
        <w:t xml:space="preserve"> grade, composite grade, block-average grade or tonnes above a cut-off. These are not equivalent because averaging changes variance and extreme-value behaviour. Ordinary kriging estimates the conditional mean under its assumptions and is often valued for local unbiasedness and stable block estimates. The same smoothing that makes kriging operationally convenient can underrepresent high and low grades and distort recoverable tonnage near a cut-off (Yamamoto, 2005). Conditional simulation addresses a different objective by generating alternative realisations that reproduce data and spatial statistics, allowing uncertainty in grade continuity and selectivity to be propagated. A single estimated model should therefore not be treated as a substitute for uncertainty realisations when mine design or recovery risk is sensitive to local heterogeneity.</w:t>
      </w:r>
    </w:p>
    <w:p w14:paraId="67F953D0" w14:textId="77777777" w:rsidR="000146C6" w:rsidRDefault="00000000">
      <w:pPr>
        <w:ind w:firstLine="288"/>
      </w:pPr>
      <w:r>
        <w:t xml:space="preserve">Metallurgical recovery introduces additional state variables. Recovery can change with valuable-mineral species, gangue associations, grain size, texture, oxidation, weathering, hardness and reagent response even when head grade is similar. The </w:t>
      </w:r>
      <w:proofErr w:type="spellStart"/>
      <w:r>
        <w:t>geometallurgical</w:t>
      </w:r>
      <w:proofErr w:type="spellEnd"/>
      <w:r>
        <w:t xml:space="preserve"> unit is consequently not just a geological domain or grade bin; it is a volume expected to show a reasonably coherent processing response. Reviews of </w:t>
      </w:r>
      <w:proofErr w:type="spellStart"/>
      <w:r>
        <w:t>geometallurgical</w:t>
      </w:r>
      <w:proofErr w:type="spellEnd"/>
      <w:r>
        <w:t xml:space="preserve"> practice emphasise that such units require coordinated geological, mineralogical, comminution and metallurgical measurements and must be integrated with planning rather than appended after resource estimation (Dominy et al., 2018; </w:t>
      </w:r>
      <w:proofErr w:type="spellStart"/>
      <w:r>
        <w:t>Lishchuk</w:t>
      </w:r>
      <w:proofErr w:type="spellEnd"/>
      <w:r>
        <w:t xml:space="preserve"> et al., 2020). A model trained only on assays cannot recover information about liberation or deportment that was never measured.</w:t>
      </w:r>
    </w:p>
    <w:p w14:paraId="6311329E" w14:textId="77777777" w:rsidR="000146C6" w:rsidRDefault="00000000">
      <w:pPr>
        <w:ind w:firstLine="288"/>
      </w:pPr>
      <w:r>
        <w:t xml:space="preserve">Plant-scale recovery is still more conditional. Feed is blended from multiple blocks, residence time and reagent dosage vary, sensors are noisy, maintenance and operator actions alter the process, and measured </w:t>
      </w:r>
      <w:r>
        <w:lastRenderedPageBreak/>
        <w:t>recovery may be delayed by laboratory turnaround. Machine-vision and soft-sensor studies demonstrate that froth appearance and process variables can predict performance, but a model may partly encode the control policy that generated the data (Aldrich et al., 2010; Kaartinen et al., 2006; McCoy &amp; Auret, 2019). If control practice changes, the relationship between an image or sensor pattern and recovery can drift. Operational predictions therefore require time-aware validation, latency management and recalibration, not merely a high random-split coefficient of determination.</w:t>
      </w:r>
    </w:p>
    <w:p w14:paraId="25CFD25C" w14:textId="77777777" w:rsidR="000146C6" w:rsidRDefault="00000000">
      <w:pPr>
        <w:ind w:firstLine="288"/>
      </w:pPr>
      <w:r>
        <w:t>Recoverable mineral value is also multicommodity. Many critical minerals occur as by-products or co-products, so a model must represent mineral deportment and recovery pathways rather than only the concentration of one element. Rare-earth deposits illustrate the issue: total rare-earth-element grade may mask large differences in the distribution of individual light and heavy rare earths, value-bearing mineral species and deleterious phases. A prediction of total grade can therefore be statistically accurate yet economically misleading. Similarly, cobalt value in a polymetallic system depends on whether cobalt is hosted in minerals recoverable by the selected flowsheet and whether competing process constraints affect copper, gold or other products.</w:t>
      </w:r>
    </w:p>
    <w:p w14:paraId="30C5C9AC" w14:textId="77777777" w:rsidR="000146C6" w:rsidRDefault="00000000">
      <w:pPr>
        <w:ind w:firstLine="288"/>
      </w:pPr>
      <w:r>
        <w:t>A useful hierarchy is to separate occurrence uncertainty, geological uncertainty, grade uncertainty, mineralogical uncertainty, metallurgical-response uncertainty and operational uncertainty. These components should not be collapsed into a single undifferentiated prediction interval. Occurrence uncertainty dominates early exploration, whereas mineralogy and process conditions increasingly dominate as a project advances. The hierarchy also clarifies model accountability. A regional model can be useful even if it cannot predict recovery, provided its output is represented as prospectivity and is not promoted as an economic forecast. Conversely, an operational recovery model may be accurate within a plant's historical envelope but unsuitable for estimating untested ore domains.</w:t>
      </w:r>
    </w:p>
    <w:p w14:paraId="2ED69271" w14:textId="77777777" w:rsidR="000146C6" w:rsidRDefault="00000000">
      <w:pPr>
        <w:ind w:firstLine="288"/>
      </w:pPr>
      <w:r>
        <w:t xml:space="preserve">This distinction has practical consequences for data collection. Regional models need consistent geoscience layers and defensible negative or unlabelled examples. Deposit models need oriented drilling, support-aware compositing, domain coding and quality-controlled assays. </w:t>
      </w:r>
      <w:proofErr w:type="spellStart"/>
      <w:r>
        <w:t>Geometallurgical</w:t>
      </w:r>
      <w:proofErr w:type="spellEnd"/>
      <w:r>
        <w:t xml:space="preserve"> models need paired measurements of grade, mineralogy, texture and process response. Plant models need synchronised time-series data, material tracking and records of control interventions. Prediction quality cannot be rescued by algorithmic complexity when the data architecture does not connect the target to its causal or mechanistic determinants.</w:t>
      </w:r>
    </w:p>
    <w:p w14:paraId="78BCD369" w14:textId="77777777" w:rsidR="000146C6" w:rsidRDefault="00000000">
      <w:pPr>
        <w:ind w:firstLine="288"/>
      </w:pPr>
      <w:r>
        <w:t xml:space="preserve">Table 1 summarises the principal targets and shows why their data supports and validation designs differ. The table also indicates where </w:t>
      </w:r>
      <w:proofErr w:type="spellStart"/>
      <w:r>
        <w:t>geostatistics</w:t>
      </w:r>
      <w:proofErr w:type="spellEnd"/>
      <w:r>
        <w:t xml:space="preserve">, machine learning and hybrid approaches provide the strongest contribution. Its central implication is that model choice should follow the </w:t>
      </w:r>
      <w:proofErr w:type="spellStart"/>
      <w:r>
        <w:t>estimand</w:t>
      </w:r>
      <w:proofErr w:type="spellEnd"/>
      <w:r>
        <w:t xml:space="preserve"> and decision, not precede them.</w:t>
      </w:r>
    </w:p>
    <w:p w14:paraId="7F076597" w14:textId="77777777" w:rsidR="000146C6" w:rsidRDefault="000146C6">
      <w:pPr>
        <w:sectPr w:rsidR="000146C6">
          <w:headerReference w:type="even" r:id="rId8"/>
          <w:headerReference w:type="default" r:id="rId9"/>
          <w:footerReference w:type="even" r:id="rId10"/>
          <w:footerReference w:type="default" r:id="rId11"/>
          <w:headerReference w:type="first" r:id="rId12"/>
          <w:footerReference w:type="first" r:id="rId13"/>
          <w:pgSz w:w="12240" w:h="15840"/>
          <w:pgMar w:top="1037" w:right="1181" w:bottom="1037" w:left="1181" w:header="432" w:footer="432" w:gutter="0"/>
          <w:cols w:space="720"/>
          <w:docGrid w:linePitch="360"/>
        </w:sectPr>
      </w:pPr>
    </w:p>
    <w:p w14:paraId="59D15B33" w14:textId="77777777" w:rsidR="000146C6" w:rsidRDefault="00000000">
      <w:pPr>
        <w:keepNext/>
        <w:spacing w:after="120"/>
        <w:jc w:val="left"/>
      </w:pPr>
      <w:r>
        <w:rPr>
          <w:b/>
          <w:color w:val="1F4E79"/>
          <w:sz w:val="20"/>
        </w:rPr>
        <w:lastRenderedPageBreak/>
        <w:t>Table 1. Prediction targets, data supports and methodological requirements across the mineral value chain</w:t>
      </w:r>
    </w:p>
    <w:tbl>
      <w:tblPr>
        <w:tblStyle w:val="TableGrid"/>
        <w:tblW w:w="0" w:type="auto"/>
        <w:jc w:val="center"/>
        <w:tblLayout w:type="fixed"/>
        <w:tblLook w:val="04A0" w:firstRow="1" w:lastRow="0" w:firstColumn="1" w:lastColumn="0" w:noHBand="0" w:noVBand="1"/>
      </w:tblPr>
      <w:tblGrid>
        <w:gridCol w:w="2232"/>
        <w:gridCol w:w="3384"/>
        <w:gridCol w:w="3384"/>
        <w:gridCol w:w="3384"/>
        <w:gridCol w:w="2088"/>
      </w:tblGrid>
      <w:tr w:rsidR="000146C6" w14:paraId="784E5B38" w14:textId="77777777">
        <w:trPr>
          <w:cantSplit/>
          <w:tblHeader/>
          <w:jc w:val="center"/>
        </w:trPr>
        <w:tc>
          <w:tcPr>
            <w:tcW w:w="2232" w:type="dxa"/>
            <w:shd w:val="clear" w:color="auto" w:fill="1F4E79"/>
            <w:tcMar>
              <w:top w:w="95" w:type="dxa"/>
              <w:left w:w="95" w:type="dxa"/>
              <w:bottom w:w="95" w:type="dxa"/>
              <w:right w:w="95" w:type="dxa"/>
            </w:tcMar>
            <w:vAlign w:val="center"/>
          </w:tcPr>
          <w:p w14:paraId="4FA48B6B" w14:textId="77777777" w:rsidR="000146C6" w:rsidRDefault="00000000">
            <w:pPr>
              <w:spacing w:after="0" w:line="240" w:lineRule="auto"/>
              <w:jc w:val="center"/>
            </w:pPr>
            <w:r>
              <w:rPr>
                <w:b/>
                <w:color w:val="FFFFFF"/>
                <w:sz w:val="16"/>
              </w:rPr>
              <w:t>Prediction target</w:t>
            </w:r>
          </w:p>
        </w:tc>
        <w:tc>
          <w:tcPr>
            <w:tcW w:w="3384" w:type="dxa"/>
            <w:shd w:val="clear" w:color="auto" w:fill="1F4E79"/>
            <w:tcMar>
              <w:top w:w="95" w:type="dxa"/>
              <w:left w:w="95" w:type="dxa"/>
              <w:bottom w:w="95" w:type="dxa"/>
              <w:right w:w="95" w:type="dxa"/>
            </w:tcMar>
            <w:vAlign w:val="center"/>
          </w:tcPr>
          <w:p w14:paraId="7685642E" w14:textId="77777777" w:rsidR="000146C6" w:rsidRDefault="00000000">
            <w:pPr>
              <w:spacing w:after="0" w:line="240" w:lineRule="auto"/>
              <w:jc w:val="center"/>
            </w:pPr>
            <w:r>
              <w:rPr>
                <w:b/>
                <w:color w:val="FFFFFF"/>
                <w:sz w:val="16"/>
              </w:rPr>
              <w:t>Typical data and support</w:t>
            </w:r>
          </w:p>
        </w:tc>
        <w:tc>
          <w:tcPr>
            <w:tcW w:w="3384" w:type="dxa"/>
            <w:shd w:val="clear" w:color="auto" w:fill="1F4E79"/>
            <w:tcMar>
              <w:top w:w="95" w:type="dxa"/>
              <w:left w:w="95" w:type="dxa"/>
              <w:bottom w:w="95" w:type="dxa"/>
              <w:right w:w="95" w:type="dxa"/>
            </w:tcMar>
            <w:vAlign w:val="center"/>
          </w:tcPr>
          <w:p w14:paraId="76613085" w14:textId="77777777" w:rsidR="000146C6" w:rsidRDefault="00000000">
            <w:pPr>
              <w:spacing w:after="0" w:line="240" w:lineRule="auto"/>
              <w:jc w:val="center"/>
            </w:pPr>
            <w:r>
              <w:rPr>
                <w:b/>
                <w:color w:val="FFFFFF"/>
                <w:sz w:val="16"/>
              </w:rPr>
              <w:t>Methodological emphasis</w:t>
            </w:r>
          </w:p>
        </w:tc>
        <w:tc>
          <w:tcPr>
            <w:tcW w:w="3384" w:type="dxa"/>
            <w:shd w:val="clear" w:color="auto" w:fill="1F4E79"/>
            <w:tcMar>
              <w:top w:w="95" w:type="dxa"/>
              <w:left w:w="95" w:type="dxa"/>
              <w:bottom w:w="95" w:type="dxa"/>
              <w:right w:w="95" w:type="dxa"/>
            </w:tcMar>
            <w:vAlign w:val="center"/>
          </w:tcPr>
          <w:p w14:paraId="098F493E" w14:textId="77777777" w:rsidR="000146C6" w:rsidRDefault="00000000">
            <w:pPr>
              <w:spacing w:after="0" w:line="240" w:lineRule="auto"/>
              <w:jc w:val="center"/>
            </w:pPr>
            <w:r>
              <w:rPr>
                <w:b/>
                <w:color w:val="FFFFFF"/>
                <w:sz w:val="16"/>
              </w:rPr>
              <w:t>Principal limitation</w:t>
            </w:r>
          </w:p>
        </w:tc>
        <w:tc>
          <w:tcPr>
            <w:tcW w:w="2088" w:type="dxa"/>
            <w:shd w:val="clear" w:color="auto" w:fill="1F4E79"/>
            <w:tcMar>
              <w:top w:w="95" w:type="dxa"/>
              <w:left w:w="95" w:type="dxa"/>
              <w:bottom w:w="95" w:type="dxa"/>
              <w:right w:w="95" w:type="dxa"/>
            </w:tcMar>
            <w:vAlign w:val="center"/>
          </w:tcPr>
          <w:p w14:paraId="58F98ACA" w14:textId="77777777" w:rsidR="000146C6" w:rsidRDefault="00000000">
            <w:pPr>
              <w:spacing w:after="0" w:line="240" w:lineRule="auto"/>
              <w:jc w:val="center"/>
            </w:pPr>
            <w:r>
              <w:rPr>
                <w:b/>
                <w:color w:val="FFFFFF"/>
                <w:sz w:val="16"/>
              </w:rPr>
              <w:t>Supporting references</w:t>
            </w:r>
          </w:p>
        </w:tc>
      </w:tr>
      <w:tr w:rsidR="000146C6" w14:paraId="2E2053FB" w14:textId="77777777">
        <w:trPr>
          <w:cantSplit/>
          <w:jc w:val="center"/>
        </w:trPr>
        <w:tc>
          <w:tcPr>
            <w:tcW w:w="2232" w:type="dxa"/>
            <w:shd w:val="clear" w:color="auto" w:fill="F6F9FC"/>
            <w:tcMar>
              <w:top w:w="85" w:type="dxa"/>
              <w:left w:w="90" w:type="dxa"/>
              <w:bottom w:w="85" w:type="dxa"/>
              <w:right w:w="90" w:type="dxa"/>
            </w:tcMar>
            <w:vAlign w:val="center"/>
          </w:tcPr>
          <w:p w14:paraId="710E6C80" w14:textId="77777777" w:rsidR="000146C6" w:rsidRDefault="00000000">
            <w:pPr>
              <w:spacing w:after="0" w:line="240" w:lineRule="auto"/>
              <w:jc w:val="left"/>
            </w:pPr>
            <w:r>
              <w:rPr>
                <w:sz w:val="15"/>
              </w:rPr>
              <w:t>Regional mineral prospectivity</w:t>
            </w:r>
          </w:p>
        </w:tc>
        <w:tc>
          <w:tcPr>
            <w:tcW w:w="3384" w:type="dxa"/>
            <w:shd w:val="clear" w:color="auto" w:fill="F6F9FC"/>
            <w:tcMar>
              <w:top w:w="85" w:type="dxa"/>
              <w:left w:w="90" w:type="dxa"/>
              <w:bottom w:w="85" w:type="dxa"/>
              <w:right w:w="90" w:type="dxa"/>
            </w:tcMar>
            <w:vAlign w:val="center"/>
          </w:tcPr>
          <w:p w14:paraId="51655FC3" w14:textId="77777777" w:rsidR="000146C6" w:rsidRDefault="00000000">
            <w:pPr>
              <w:spacing w:after="0" w:line="240" w:lineRule="auto"/>
              <w:jc w:val="left"/>
            </w:pPr>
            <w:r>
              <w:rPr>
                <w:sz w:val="15"/>
              </w:rPr>
              <w:t>Mapped geology, geochemistry, geophysics and remote-sensing cells; known occurrences or deposits as labels</w:t>
            </w:r>
          </w:p>
        </w:tc>
        <w:tc>
          <w:tcPr>
            <w:tcW w:w="3384" w:type="dxa"/>
            <w:shd w:val="clear" w:color="auto" w:fill="F6F9FC"/>
            <w:tcMar>
              <w:top w:w="85" w:type="dxa"/>
              <w:left w:w="90" w:type="dxa"/>
              <w:bottom w:w="85" w:type="dxa"/>
              <w:right w:w="90" w:type="dxa"/>
            </w:tcMar>
            <w:vAlign w:val="center"/>
          </w:tcPr>
          <w:p w14:paraId="3917A005" w14:textId="77777777" w:rsidR="000146C6" w:rsidRDefault="00000000">
            <w:pPr>
              <w:spacing w:after="0" w:line="240" w:lineRule="auto"/>
              <w:jc w:val="left"/>
            </w:pPr>
            <w:r>
              <w:rPr>
                <w:sz w:val="15"/>
              </w:rPr>
              <w:t>Mineral-system constraints, class-imbalance handling, spatially blocked validation and calibrated target ranking</w:t>
            </w:r>
          </w:p>
        </w:tc>
        <w:tc>
          <w:tcPr>
            <w:tcW w:w="3384" w:type="dxa"/>
            <w:shd w:val="clear" w:color="auto" w:fill="F6F9FC"/>
            <w:tcMar>
              <w:top w:w="85" w:type="dxa"/>
              <w:left w:w="90" w:type="dxa"/>
              <w:bottom w:w="85" w:type="dxa"/>
              <w:right w:w="90" w:type="dxa"/>
            </w:tcMar>
            <w:vAlign w:val="center"/>
          </w:tcPr>
          <w:p w14:paraId="5A62B409" w14:textId="77777777" w:rsidR="000146C6" w:rsidRDefault="00000000">
            <w:pPr>
              <w:spacing w:after="0" w:line="240" w:lineRule="auto"/>
              <w:jc w:val="left"/>
            </w:pPr>
            <w:r>
              <w:rPr>
                <w:sz w:val="15"/>
              </w:rPr>
              <w:t>Known deposits reflect exploration history; background cells are unlabelled rather than verified negatives</w:t>
            </w:r>
          </w:p>
        </w:tc>
        <w:tc>
          <w:tcPr>
            <w:tcW w:w="2088" w:type="dxa"/>
            <w:shd w:val="clear" w:color="auto" w:fill="F6F9FC"/>
            <w:tcMar>
              <w:top w:w="85" w:type="dxa"/>
              <w:left w:w="90" w:type="dxa"/>
              <w:bottom w:w="85" w:type="dxa"/>
              <w:right w:w="90" w:type="dxa"/>
            </w:tcMar>
            <w:vAlign w:val="center"/>
          </w:tcPr>
          <w:p w14:paraId="17A19D68" w14:textId="77777777" w:rsidR="000146C6" w:rsidRDefault="00000000">
            <w:pPr>
              <w:spacing w:after="0" w:line="240" w:lineRule="auto"/>
              <w:jc w:val="left"/>
            </w:pPr>
            <w:r>
              <w:rPr>
                <w:sz w:val="15"/>
              </w:rPr>
              <w:t>(Anderson et al., 2017; Carranza &amp; Laborte, 2015; Parsa &amp; Cumani, 2025; Rodríguez-Galiano et al., 2015)</w:t>
            </w:r>
          </w:p>
        </w:tc>
      </w:tr>
      <w:tr w:rsidR="000146C6" w14:paraId="413E5E49" w14:textId="77777777">
        <w:trPr>
          <w:cantSplit/>
          <w:jc w:val="center"/>
        </w:trPr>
        <w:tc>
          <w:tcPr>
            <w:tcW w:w="2232" w:type="dxa"/>
            <w:tcMar>
              <w:top w:w="85" w:type="dxa"/>
              <w:left w:w="90" w:type="dxa"/>
              <w:bottom w:w="85" w:type="dxa"/>
              <w:right w:w="90" w:type="dxa"/>
            </w:tcMar>
            <w:vAlign w:val="center"/>
          </w:tcPr>
          <w:p w14:paraId="29429CAD" w14:textId="77777777" w:rsidR="000146C6" w:rsidRDefault="00000000">
            <w:pPr>
              <w:spacing w:after="0" w:line="240" w:lineRule="auto"/>
              <w:jc w:val="left"/>
            </w:pPr>
            <w:r>
              <w:rPr>
                <w:sz w:val="15"/>
              </w:rPr>
              <w:t>Deposit grade and tonnage</w:t>
            </w:r>
          </w:p>
        </w:tc>
        <w:tc>
          <w:tcPr>
            <w:tcW w:w="3384" w:type="dxa"/>
            <w:tcMar>
              <w:top w:w="85" w:type="dxa"/>
              <w:left w:w="90" w:type="dxa"/>
              <w:bottom w:w="85" w:type="dxa"/>
              <w:right w:w="90" w:type="dxa"/>
            </w:tcMar>
            <w:vAlign w:val="center"/>
          </w:tcPr>
          <w:p w14:paraId="7B81602D" w14:textId="77777777" w:rsidR="000146C6" w:rsidRDefault="00000000">
            <w:pPr>
              <w:spacing w:after="0" w:line="240" w:lineRule="auto"/>
              <w:jc w:val="left"/>
            </w:pPr>
            <w:r>
              <w:rPr>
                <w:sz w:val="15"/>
              </w:rPr>
              <w:t>Drill-core or channel composites aggregated to selective mining or resource blocks</w:t>
            </w:r>
          </w:p>
        </w:tc>
        <w:tc>
          <w:tcPr>
            <w:tcW w:w="3384" w:type="dxa"/>
            <w:tcMar>
              <w:top w:w="85" w:type="dxa"/>
              <w:left w:w="90" w:type="dxa"/>
              <w:bottom w:w="85" w:type="dxa"/>
              <w:right w:w="90" w:type="dxa"/>
            </w:tcMar>
            <w:vAlign w:val="center"/>
          </w:tcPr>
          <w:p w14:paraId="2D539B8E" w14:textId="77777777" w:rsidR="000146C6" w:rsidRDefault="00000000">
            <w:pPr>
              <w:spacing w:after="0" w:line="240" w:lineRule="auto"/>
              <w:jc w:val="left"/>
            </w:pPr>
            <w:r>
              <w:rPr>
                <w:sz w:val="15"/>
              </w:rPr>
              <w:t xml:space="preserve">Geological domaining, </w:t>
            </w:r>
            <w:proofErr w:type="spellStart"/>
            <w:r>
              <w:rPr>
                <w:sz w:val="15"/>
              </w:rPr>
              <w:t>variography</w:t>
            </w:r>
            <w:proofErr w:type="spellEnd"/>
            <w:r>
              <w:rPr>
                <w:sz w:val="15"/>
              </w:rPr>
              <w:t>, kriging, conditional simulation and change-of-support analysis</w:t>
            </w:r>
          </w:p>
        </w:tc>
        <w:tc>
          <w:tcPr>
            <w:tcW w:w="3384" w:type="dxa"/>
            <w:tcMar>
              <w:top w:w="85" w:type="dxa"/>
              <w:left w:w="90" w:type="dxa"/>
              <w:bottom w:w="85" w:type="dxa"/>
              <w:right w:w="90" w:type="dxa"/>
            </w:tcMar>
            <w:vAlign w:val="center"/>
          </w:tcPr>
          <w:p w14:paraId="7B835E24" w14:textId="77777777" w:rsidR="000146C6" w:rsidRDefault="00000000">
            <w:pPr>
              <w:spacing w:after="0" w:line="240" w:lineRule="auto"/>
              <w:jc w:val="left"/>
            </w:pPr>
            <w:r>
              <w:rPr>
                <w:sz w:val="15"/>
              </w:rPr>
              <w:t>Kriging smoothing and support mismatch can distort extremes, cut-off response and local continuity</w:t>
            </w:r>
          </w:p>
        </w:tc>
        <w:tc>
          <w:tcPr>
            <w:tcW w:w="2088" w:type="dxa"/>
            <w:tcMar>
              <w:top w:w="85" w:type="dxa"/>
              <w:left w:w="90" w:type="dxa"/>
              <w:bottom w:w="85" w:type="dxa"/>
              <w:right w:w="90" w:type="dxa"/>
            </w:tcMar>
            <w:vAlign w:val="center"/>
          </w:tcPr>
          <w:p w14:paraId="79BF76D2" w14:textId="77777777" w:rsidR="000146C6" w:rsidRDefault="00000000">
            <w:pPr>
              <w:spacing w:after="0" w:line="240" w:lineRule="auto"/>
              <w:jc w:val="left"/>
            </w:pPr>
            <w:r>
              <w:rPr>
                <w:sz w:val="15"/>
              </w:rPr>
              <w:t>(</w:t>
            </w:r>
            <w:proofErr w:type="spellStart"/>
            <w:r>
              <w:rPr>
                <w:sz w:val="15"/>
              </w:rPr>
              <w:t>Nwaila</w:t>
            </w:r>
            <w:proofErr w:type="spellEnd"/>
            <w:r>
              <w:rPr>
                <w:sz w:val="15"/>
              </w:rPr>
              <w:t xml:space="preserve"> et al., 2024; Oliver &amp; Webster, 2014; Yamamoto, 2005)</w:t>
            </w:r>
          </w:p>
        </w:tc>
      </w:tr>
      <w:tr w:rsidR="000146C6" w14:paraId="517A2D85" w14:textId="77777777">
        <w:trPr>
          <w:cantSplit/>
          <w:jc w:val="center"/>
        </w:trPr>
        <w:tc>
          <w:tcPr>
            <w:tcW w:w="2232" w:type="dxa"/>
            <w:shd w:val="clear" w:color="auto" w:fill="F6F9FC"/>
            <w:tcMar>
              <w:top w:w="85" w:type="dxa"/>
              <w:left w:w="90" w:type="dxa"/>
              <w:bottom w:w="85" w:type="dxa"/>
              <w:right w:w="90" w:type="dxa"/>
            </w:tcMar>
            <w:vAlign w:val="center"/>
          </w:tcPr>
          <w:p w14:paraId="10B3E413" w14:textId="77777777" w:rsidR="000146C6" w:rsidRDefault="00000000">
            <w:pPr>
              <w:spacing w:after="0" w:line="240" w:lineRule="auto"/>
              <w:jc w:val="left"/>
            </w:pPr>
            <w:r>
              <w:rPr>
                <w:sz w:val="15"/>
              </w:rPr>
              <w:t xml:space="preserve">Block-scale </w:t>
            </w:r>
            <w:proofErr w:type="spellStart"/>
            <w:r>
              <w:rPr>
                <w:sz w:val="15"/>
              </w:rPr>
              <w:t>geometallurgical</w:t>
            </w:r>
            <w:proofErr w:type="spellEnd"/>
            <w:r>
              <w:rPr>
                <w:sz w:val="15"/>
              </w:rPr>
              <w:t xml:space="preserve"> response</w:t>
            </w:r>
          </w:p>
        </w:tc>
        <w:tc>
          <w:tcPr>
            <w:tcW w:w="3384" w:type="dxa"/>
            <w:shd w:val="clear" w:color="auto" w:fill="F6F9FC"/>
            <w:tcMar>
              <w:top w:w="85" w:type="dxa"/>
              <w:left w:w="90" w:type="dxa"/>
              <w:bottom w:w="85" w:type="dxa"/>
              <w:right w:w="90" w:type="dxa"/>
            </w:tcMar>
            <w:vAlign w:val="center"/>
          </w:tcPr>
          <w:p w14:paraId="6041604D" w14:textId="77777777" w:rsidR="000146C6" w:rsidRDefault="00000000">
            <w:pPr>
              <w:spacing w:after="0" w:line="240" w:lineRule="auto"/>
              <w:jc w:val="left"/>
            </w:pPr>
            <w:r>
              <w:rPr>
                <w:sz w:val="15"/>
              </w:rPr>
              <w:t>Paired assays, mineralogy, texture, hardness and standardised metallurgical tests</w:t>
            </w:r>
          </w:p>
        </w:tc>
        <w:tc>
          <w:tcPr>
            <w:tcW w:w="3384" w:type="dxa"/>
            <w:shd w:val="clear" w:color="auto" w:fill="F6F9FC"/>
            <w:tcMar>
              <w:top w:w="85" w:type="dxa"/>
              <w:left w:w="90" w:type="dxa"/>
              <w:bottom w:w="85" w:type="dxa"/>
              <w:right w:w="90" w:type="dxa"/>
            </w:tcMar>
            <w:vAlign w:val="center"/>
          </w:tcPr>
          <w:p w14:paraId="47185B0A" w14:textId="77777777" w:rsidR="000146C6" w:rsidRDefault="00000000">
            <w:pPr>
              <w:spacing w:after="0" w:line="240" w:lineRule="auto"/>
              <w:jc w:val="left"/>
            </w:pPr>
            <w:r>
              <w:rPr>
                <w:sz w:val="15"/>
              </w:rPr>
              <w:t>Domain-aware nonlinear response models linked to spatial simulations of predictors</w:t>
            </w:r>
          </w:p>
        </w:tc>
        <w:tc>
          <w:tcPr>
            <w:tcW w:w="3384" w:type="dxa"/>
            <w:shd w:val="clear" w:color="auto" w:fill="F6F9FC"/>
            <w:tcMar>
              <w:top w:w="85" w:type="dxa"/>
              <w:left w:w="90" w:type="dxa"/>
              <w:bottom w:w="85" w:type="dxa"/>
              <w:right w:w="90" w:type="dxa"/>
            </w:tcMar>
            <w:vAlign w:val="center"/>
          </w:tcPr>
          <w:p w14:paraId="0C696C26" w14:textId="77777777" w:rsidR="000146C6" w:rsidRDefault="00000000">
            <w:pPr>
              <w:spacing w:after="0" w:line="240" w:lineRule="auto"/>
              <w:jc w:val="left"/>
            </w:pPr>
            <w:r>
              <w:rPr>
                <w:sz w:val="15"/>
              </w:rPr>
              <w:t>Tests are sparse, preferentially selected and often generated under heterogeneous laboratory conditions</w:t>
            </w:r>
          </w:p>
        </w:tc>
        <w:tc>
          <w:tcPr>
            <w:tcW w:w="2088" w:type="dxa"/>
            <w:shd w:val="clear" w:color="auto" w:fill="F6F9FC"/>
            <w:tcMar>
              <w:top w:w="85" w:type="dxa"/>
              <w:left w:w="90" w:type="dxa"/>
              <w:bottom w:w="85" w:type="dxa"/>
              <w:right w:w="90" w:type="dxa"/>
            </w:tcMar>
            <w:vAlign w:val="center"/>
          </w:tcPr>
          <w:p w14:paraId="4366954B" w14:textId="77777777" w:rsidR="000146C6" w:rsidRDefault="00000000">
            <w:pPr>
              <w:spacing w:after="0" w:line="240" w:lineRule="auto"/>
              <w:jc w:val="left"/>
            </w:pPr>
            <w:r>
              <w:rPr>
                <w:sz w:val="15"/>
              </w:rPr>
              <w:t xml:space="preserve">(Dominy et al., 2018; </w:t>
            </w:r>
            <w:proofErr w:type="spellStart"/>
            <w:r>
              <w:rPr>
                <w:sz w:val="15"/>
              </w:rPr>
              <w:t>Lishchuk</w:t>
            </w:r>
            <w:proofErr w:type="spellEnd"/>
            <w:r>
              <w:rPr>
                <w:sz w:val="15"/>
              </w:rPr>
              <w:t xml:space="preserve"> et al., 2020)</w:t>
            </w:r>
          </w:p>
        </w:tc>
      </w:tr>
      <w:tr w:rsidR="000146C6" w14:paraId="4F548C9D" w14:textId="77777777">
        <w:trPr>
          <w:cantSplit/>
          <w:jc w:val="center"/>
        </w:trPr>
        <w:tc>
          <w:tcPr>
            <w:tcW w:w="2232" w:type="dxa"/>
            <w:tcMar>
              <w:top w:w="85" w:type="dxa"/>
              <w:left w:w="90" w:type="dxa"/>
              <w:bottom w:w="85" w:type="dxa"/>
              <w:right w:w="90" w:type="dxa"/>
            </w:tcMar>
            <w:vAlign w:val="center"/>
          </w:tcPr>
          <w:p w14:paraId="573127E6" w14:textId="77777777" w:rsidR="000146C6" w:rsidRDefault="00000000">
            <w:pPr>
              <w:spacing w:after="0" w:line="240" w:lineRule="auto"/>
              <w:jc w:val="left"/>
            </w:pPr>
            <w:r>
              <w:rPr>
                <w:sz w:val="15"/>
              </w:rPr>
              <w:t>Plant recovery and concentrate performance</w:t>
            </w:r>
          </w:p>
        </w:tc>
        <w:tc>
          <w:tcPr>
            <w:tcW w:w="3384" w:type="dxa"/>
            <w:tcMar>
              <w:top w:w="85" w:type="dxa"/>
              <w:left w:w="90" w:type="dxa"/>
              <w:bottom w:w="85" w:type="dxa"/>
              <w:right w:w="90" w:type="dxa"/>
            </w:tcMar>
            <w:vAlign w:val="center"/>
          </w:tcPr>
          <w:p w14:paraId="13D48191" w14:textId="77777777" w:rsidR="000146C6" w:rsidRDefault="00000000">
            <w:pPr>
              <w:spacing w:after="0" w:line="240" w:lineRule="auto"/>
              <w:jc w:val="left"/>
            </w:pPr>
            <w:r>
              <w:rPr>
                <w:sz w:val="15"/>
              </w:rPr>
              <w:t>Synchronised sensor, image, control, assay and material-tracking time series</w:t>
            </w:r>
          </w:p>
        </w:tc>
        <w:tc>
          <w:tcPr>
            <w:tcW w:w="3384" w:type="dxa"/>
            <w:tcMar>
              <w:top w:w="85" w:type="dxa"/>
              <w:left w:w="90" w:type="dxa"/>
              <w:bottom w:w="85" w:type="dxa"/>
              <w:right w:w="90" w:type="dxa"/>
            </w:tcMar>
            <w:vAlign w:val="center"/>
          </w:tcPr>
          <w:p w14:paraId="5A7B5770" w14:textId="77777777" w:rsidR="000146C6" w:rsidRDefault="00000000">
            <w:pPr>
              <w:spacing w:after="0" w:line="240" w:lineRule="auto"/>
              <w:jc w:val="left"/>
            </w:pPr>
            <w:r>
              <w:rPr>
                <w:sz w:val="15"/>
              </w:rPr>
              <w:t>Soft sensors, temporal models, machine vision, rolling validation and drift monitoring</w:t>
            </w:r>
          </w:p>
        </w:tc>
        <w:tc>
          <w:tcPr>
            <w:tcW w:w="3384" w:type="dxa"/>
            <w:tcMar>
              <w:top w:w="85" w:type="dxa"/>
              <w:left w:w="90" w:type="dxa"/>
              <w:bottom w:w="85" w:type="dxa"/>
              <w:right w:w="90" w:type="dxa"/>
            </w:tcMar>
            <w:vAlign w:val="center"/>
          </w:tcPr>
          <w:p w14:paraId="48D653A1" w14:textId="77777777" w:rsidR="000146C6" w:rsidRDefault="00000000">
            <w:pPr>
              <w:spacing w:after="0" w:line="240" w:lineRule="auto"/>
              <w:jc w:val="left"/>
            </w:pPr>
            <w:r>
              <w:rPr>
                <w:sz w:val="15"/>
              </w:rPr>
              <w:t>Autocorrelation, delayed labels and operator control can create leakage or non-transferable relationships</w:t>
            </w:r>
          </w:p>
        </w:tc>
        <w:tc>
          <w:tcPr>
            <w:tcW w:w="2088" w:type="dxa"/>
            <w:tcMar>
              <w:top w:w="85" w:type="dxa"/>
              <w:left w:w="90" w:type="dxa"/>
              <w:bottom w:w="85" w:type="dxa"/>
              <w:right w:w="90" w:type="dxa"/>
            </w:tcMar>
            <w:vAlign w:val="center"/>
          </w:tcPr>
          <w:p w14:paraId="61532F90" w14:textId="77777777" w:rsidR="000146C6" w:rsidRDefault="00000000">
            <w:pPr>
              <w:spacing w:after="0" w:line="240" w:lineRule="auto"/>
              <w:jc w:val="left"/>
            </w:pPr>
            <w:r>
              <w:rPr>
                <w:sz w:val="15"/>
              </w:rPr>
              <w:t>(Aldrich et al., 2010; Kaartinen et al., 2006; McCoy &amp; Auret, 2019)</w:t>
            </w:r>
          </w:p>
        </w:tc>
      </w:tr>
      <w:tr w:rsidR="000146C6" w14:paraId="5745CD17" w14:textId="77777777">
        <w:trPr>
          <w:cantSplit/>
          <w:jc w:val="center"/>
        </w:trPr>
        <w:tc>
          <w:tcPr>
            <w:tcW w:w="2232" w:type="dxa"/>
            <w:shd w:val="clear" w:color="auto" w:fill="F6F9FC"/>
            <w:tcMar>
              <w:top w:w="85" w:type="dxa"/>
              <w:left w:w="90" w:type="dxa"/>
              <w:bottom w:w="85" w:type="dxa"/>
              <w:right w:w="90" w:type="dxa"/>
            </w:tcMar>
            <w:vAlign w:val="center"/>
          </w:tcPr>
          <w:p w14:paraId="79A3530D" w14:textId="77777777" w:rsidR="000146C6" w:rsidRDefault="00000000">
            <w:pPr>
              <w:spacing w:after="0" w:line="240" w:lineRule="auto"/>
              <w:jc w:val="left"/>
            </w:pPr>
            <w:r>
              <w:rPr>
                <w:sz w:val="15"/>
              </w:rPr>
              <w:t>Integrated recoverable output</w:t>
            </w:r>
          </w:p>
        </w:tc>
        <w:tc>
          <w:tcPr>
            <w:tcW w:w="3384" w:type="dxa"/>
            <w:shd w:val="clear" w:color="auto" w:fill="F6F9FC"/>
            <w:tcMar>
              <w:top w:w="85" w:type="dxa"/>
              <w:left w:w="90" w:type="dxa"/>
              <w:bottom w:w="85" w:type="dxa"/>
              <w:right w:w="90" w:type="dxa"/>
            </w:tcMar>
            <w:vAlign w:val="center"/>
          </w:tcPr>
          <w:p w14:paraId="09B608C5" w14:textId="77777777" w:rsidR="000146C6" w:rsidRDefault="00000000">
            <w:pPr>
              <w:spacing w:after="0" w:line="240" w:lineRule="auto"/>
              <w:jc w:val="left"/>
            </w:pPr>
            <w:r>
              <w:rPr>
                <w:sz w:val="15"/>
              </w:rPr>
              <w:t>Geological realisations, response-model uncertainty, mine schedules, blends and operating scenarios</w:t>
            </w:r>
          </w:p>
        </w:tc>
        <w:tc>
          <w:tcPr>
            <w:tcW w:w="3384" w:type="dxa"/>
            <w:shd w:val="clear" w:color="auto" w:fill="F6F9FC"/>
            <w:tcMar>
              <w:top w:w="85" w:type="dxa"/>
              <w:left w:w="90" w:type="dxa"/>
              <w:bottom w:w="85" w:type="dxa"/>
              <w:right w:w="90" w:type="dxa"/>
            </w:tcMar>
            <w:vAlign w:val="center"/>
          </w:tcPr>
          <w:p w14:paraId="277B2889" w14:textId="77777777" w:rsidR="000146C6" w:rsidRDefault="00000000">
            <w:pPr>
              <w:spacing w:after="0" w:line="240" w:lineRule="auto"/>
              <w:jc w:val="left"/>
            </w:pPr>
            <w:r>
              <w:rPr>
                <w:sz w:val="15"/>
              </w:rPr>
              <w:t>Nested uncertainty propagation and decision-centred evaluation of recoverable metal and product quality</w:t>
            </w:r>
          </w:p>
        </w:tc>
        <w:tc>
          <w:tcPr>
            <w:tcW w:w="3384" w:type="dxa"/>
            <w:shd w:val="clear" w:color="auto" w:fill="F6F9FC"/>
            <w:tcMar>
              <w:top w:w="85" w:type="dxa"/>
              <w:left w:w="90" w:type="dxa"/>
              <w:bottom w:w="85" w:type="dxa"/>
              <w:right w:w="90" w:type="dxa"/>
            </w:tcMar>
            <w:vAlign w:val="center"/>
          </w:tcPr>
          <w:p w14:paraId="3ACEE7BC" w14:textId="77777777" w:rsidR="000146C6" w:rsidRDefault="00000000">
            <w:pPr>
              <w:spacing w:after="0" w:line="240" w:lineRule="auto"/>
              <w:jc w:val="left"/>
            </w:pPr>
            <w:r>
              <w:rPr>
                <w:sz w:val="15"/>
              </w:rPr>
              <w:t>Dependence among uncertainty sources is easily broken, producing implausible combinations or false precision</w:t>
            </w:r>
          </w:p>
        </w:tc>
        <w:tc>
          <w:tcPr>
            <w:tcW w:w="2088" w:type="dxa"/>
            <w:shd w:val="clear" w:color="auto" w:fill="F6F9FC"/>
            <w:tcMar>
              <w:top w:w="85" w:type="dxa"/>
              <w:left w:w="90" w:type="dxa"/>
              <w:bottom w:w="85" w:type="dxa"/>
              <w:right w:w="90" w:type="dxa"/>
            </w:tcMar>
            <w:vAlign w:val="center"/>
          </w:tcPr>
          <w:p w14:paraId="2E9CFA94" w14:textId="77777777" w:rsidR="000146C6" w:rsidRDefault="00000000">
            <w:pPr>
              <w:spacing w:after="0" w:line="240" w:lineRule="auto"/>
              <w:jc w:val="left"/>
            </w:pPr>
            <w:r>
              <w:rPr>
                <w:sz w:val="15"/>
              </w:rPr>
              <w:t>(Burkin et al., 2019; Wang &amp; Zuo, 2024; Zhang, Lawley, et al., 2024; Zhang, Wang, et al., 2024)</w:t>
            </w:r>
          </w:p>
        </w:tc>
      </w:tr>
    </w:tbl>
    <w:p w14:paraId="2BD9D694" w14:textId="77777777" w:rsidR="000146C6" w:rsidRDefault="00000000">
      <w:pPr>
        <w:spacing w:before="100" w:after="0"/>
      </w:pPr>
      <w:r>
        <w:rPr>
          <w:i/>
          <w:color w:val="4A4A4A"/>
          <w:sz w:val="16"/>
        </w:rPr>
        <w:t>Note. The supports listed are indicative. A valid workflow must record the actual sample mass, spatial volume, temporal aggregation and process conditions associated with every target and predictor.</w:t>
      </w:r>
    </w:p>
    <w:p w14:paraId="5F09C2D5" w14:textId="77777777" w:rsidR="000146C6" w:rsidRDefault="000146C6">
      <w:pPr>
        <w:sectPr w:rsidR="000146C6">
          <w:pgSz w:w="15840" w:h="12240" w:orient="landscape"/>
          <w:pgMar w:top="792" w:right="792" w:bottom="792" w:left="792" w:header="432" w:footer="432" w:gutter="0"/>
          <w:cols w:space="720"/>
          <w:docGrid w:linePitch="360"/>
        </w:sectPr>
      </w:pPr>
    </w:p>
    <w:p w14:paraId="148441C5" w14:textId="77777777" w:rsidR="000146C6" w:rsidRDefault="00000000">
      <w:pPr>
        <w:pStyle w:val="Heading1"/>
      </w:pPr>
      <w:r>
        <w:lastRenderedPageBreak/>
        <w:t>4. U.S. Critical-Mineral Deposit Context and Data Architecture</w:t>
      </w:r>
    </w:p>
    <w:p w14:paraId="30DBD49F" w14:textId="77777777" w:rsidR="000146C6" w:rsidRDefault="00000000">
      <w:pPr>
        <w:ind w:firstLine="288"/>
      </w:pPr>
      <w:r>
        <w:t>U.S. critical-mineral prediction is not a single modelling problem. The national inventory includes commodities hosted in igneous, sedimentary, hydrothermal and weathering-related systems, and the same commodity can occur in deposits with very different processing routes. The national systems-deposits-commodities framework and focus-area mapping are valuable because they organise commodities by mineral-system context and identify areas where new mapping and data acquisition could reduce geological uncertainty (Hammarstrom et al., 2023; Hofstra &amp; Kreiner, 2020). These products are designed for regional prioritisation, not for block recovery estimation. Their appropriate role in an integrated workflow is to constrain geological plausibility, guide data acquisition and provide spatial priors that are later refined by deposit-specific evidence.</w:t>
      </w:r>
    </w:p>
    <w:p w14:paraId="7C78981F" w14:textId="77777777" w:rsidR="000146C6" w:rsidRDefault="00000000">
      <w:pPr>
        <w:ind w:firstLine="288"/>
      </w:pPr>
      <w:r>
        <w:t>The Earth Mapping Resources Initiative has increased the availability of airborne geophysics, geologic mapping, geochemistry and hyperspectral information for areas with critical-mineral potential (Day, 2019). Such data are well suited to machine-learning integration because they are spatially extensive and multivariate. They also create classic geostatistical problems: different pixel sizes, irregular sampling, varying detection limits, positional uncertainty and non-stationary relationships between geophysical response and mineralisation. A national model trained on harmonised grids may conceal regional acquisition differences. A deposit model trained on dense local data may not transfer beyond its geological setting. Data provenance and scale must therefore be retained through every transformation.</w:t>
      </w:r>
    </w:p>
    <w:p w14:paraId="3970DE97" w14:textId="77777777" w:rsidR="000146C6" w:rsidRDefault="00000000">
      <w:pPr>
        <w:ind w:firstLine="288"/>
      </w:pPr>
      <w:r>
        <w:t>Mountain Pass provides a mature example of why mineralogical specificity matters. The carbonatite complex is strongly enriched in light rare earth elements and has been characterised through petrology, mineralogy, remote sensing and geophysics (Castor, 2008; Peacock et al., 2021; Rowan &amp; Mars, 2003). Recent mineralogical work shows that carbonate ore contains a more complex suite of rare-earth-bearing and gangue minerals than a simple bastnäsite grade model implies (Watts &amp; Andersen, 2026). Hyperspectral indices can estimate bastnäsite abundance at several scales, creating an opportunity to link core or image spectra with mineralogy and potentially with recovery response (Gadea et al., 2024). Yet an index calibrated to mineral abundance is not automatically a recovery predictor. Recovery depends on liberation, particle size, reagent interactions and the separation response of specific minerals. The strongest workflow would use spectral features as secondary variables within geological domains and calibrate them against mineralogical and metallurgical tests rather than assuming that spectral abundance and recoverability are proportional.</w:t>
      </w:r>
    </w:p>
    <w:p w14:paraId="3A180E1D" w14:textId="77777777" w:rsidR="000146C6" w:rsidRDefault="00000000">
      <w:pPr>
        <w:ind w:firstLine="288"/>
      </w:pPr>
      <w:r>
        <w:t>Three-dimensional resistivity and remote-sensing studies around Mountain Pass demonstrate another scale issue. Regional or district geophysics can delineate structures and lithological contrasts that inform exploration and domain architecture (Peacock et al., 2021; Rowan &amp; Mars, 2003). These data have supports far larger than drill-core assays or process samples. Direct concatenation of cell values into a machine-learning table can produce precise-looking predictions without a valid change-of-support model. Geophysical inversions also contain their own regularisation and non-uniqueness. Treating inversion output as error-free predictors transfers unacknowledged uncertainty into the recovery model.</w:t>
      </w:r>
    </w:p>
    <w:p w14:paraId="47E23E69" w14:textId="77777777" w:rsidR="000146C6" w:rsidRDefault="00000000">
      <w:pPr>
        <w:ind w:firstLine="288"/>
      </w:pPr>
      <w:r>
        <w:t xml:space="preserve">The McDermitt caldera system illustrates a different challenge. Lithium enrichment is associated with </w:t>
      </w:r>
      <w:proofErr w:type="spellStart"/>
      <w:r>
        <w:t>intracaldera</w:t>
      </w:r>
      <w:proofErr w:type="spellEnd"/>
      <w:r>
        <w:t xml:space="preserve"> volcanic and sedimentary processes, alteration and mineralogical transformations that vary vertically and laterally (Benson et al., 2017; Castor &amp; Henry, 2020; Glanzman et al., 1978). Assay grade alone cannot identify whether lithium is hosted in phases with similar leaching behaviour. Spatial prediction should therefore distinguish geological facies and alteration domains before modelling grade and response. If metallurgical tests are sparse, hierarchical or multi-task models may borrow strength across related domains, but they should preserve uncertainty where mineralogical equivalence has not been demonstrated. Random cross-validation among adjacent core samples would be particularly misleading because neighbouring samples share stratigraphic and alteration histories.</w:t>
      </w:r>
    </w:p>
    <w:p w14:paraId="4D810DBF" w14:textId="77777777" w:rsidR="000146C6" w:rsidRDefault="00000000">
      <w:pPr>
        <w:ind w:firstLine="288"/>
      </w:pPr>
      <w:r>
        <w:lastRenderedPageBreak/>
        <w:t xml:space="preserve">Round Top provides a useful case for linking rock properties to processing strategy. The deposit's heavy rare-earth-element potential is associated with a large rhyolitic body containing yttrium-bearing fluorite and dispersed accessory minerals (Pingitore et al., 2014). Laboratory characterisation of porosity and permeability has supported the proposition that coarse crushing may be compatible with heap leaching (Negron et al., 2016). A predictive model for such a deposit would need to integrate grade, mineralogy, fracture or pore structure, crush size, acid consumption and leach kinetics. A grade-only block model could </w:t>
      </w:r>
      <w:proofErr w:type="spellStart"/>
      <w:r>
        <w:t>misrank</w:t>
      </w:r>
      <w:proofErr w:type="spellEnd"/>
      <w:r>
        <w:t xml:space="preserve"> material if high-value blocks are impermeable or contain phases with slow extraction. Spatially explicit leach-response domains would be more informative, but their development requires sufficiently distributed tests rather than a few representative composites.</w:t>
      </w:r>
    </w:p>
    <w:p w14:paraId="6AF93CCA" w14:textId="77777777" w:rsidR="000146C6" w:rsidRDefault="00000000">
      <w:pPr>
        <w:ind w:firstLine="288"/>
      </w:pPr>
      <w:r>
        <w:t>The Idaho Cobalt Belt further demonstrates that deposit-scale prediction must respect mineral system evolution. Its strata-bound iron-cobalt-copper-gold-bismuth-yttrium-rare-earth-element mineralisation records multiple hydrothermal stages and structural controls (Slack, 2012). Such overprinting can create abrupt changes in mineral assemblage and recovery response across boundaries that a globally stationary variogram or generic machine-learning model may blur. Geological domaining must therefore be tested against mineralogical and metallurgical evidence. Hard domain boundaries may be justified where processes differ sharply, whereas probabilistic boundaries or transition models may be preferable when alteration and mineralisation grade continuously.</w:t>
      </w:r>
    </w:p>
    <w:p w14:paraId="769DFA81" w14:textId="77777777" w:rsidR="000146C6" w:rsidRDefault="00000000">
      <w:pPr>
        <w:ind w:firstLine="288"/>
      </w:pPr>
      <w:r>
        <w:t>Alaska mineral-potential mapping shows how regional evidence can be used without overstating its meaning. Aeromagnetic data and geological information have been combined to identify prospective settings in accreted island-arc terranes (Anderson et al., 2017). These models can prioritise fieldwork over large and inaccessible areas, but their validation labels are known deposits and occurrences, not recoverable reserves. Their principal contribution to recovery prediction is upstream: they help identify targets and geological analogues that may justify expensive drilling and metallurgical testing. The downstream recovery model must be rebuilt around deposit-specific mineralogy, grade continuity and process response.</w:t>
      </w:r>
    </w:p>
    <w:p w14:paraId="25A02113" w14:textId="77777777" w:rsidR="000146C6" w:rsidRDefault="00000000">
      <w:pPr>
        <w:ind w:firstLine="288"/>
      </w:pPr>
      <w:r>
        <w:t xml:space="preserve">Across these examples, the main data-architecture requirement is linkage. Drill-hole intervals, mineralogical measurements, </w:t>
      </w:r>
      <w:proofErr w:type="spellStart"/>
      <w:r>
        <w:t>geometallurgical</w:t>
      </w:r>
      <w:proofErr w:type="spellEnd"/>
      <w:r>
        <w:t xml:space="preserve"> tests, geophysical cells and process records must be connected through coordinates, depth, time, sample lineage and material tracking. The linkage should preserve raw measurements, detection limits, analytical uncertainty, sample mass, preparation method, test conditions and aggregation history. Without this information, model developers cannot determine whether apparent relationships are geological, analytical or procedural.</w:t>
      </w:r>
    </w:p>
    <w:p w14:paraId="0B219346" w14:textId="77777777" w:rsidR="000146C6" w:rsidRDefault="00000000">
      <w:pPr>
        <w:ind w:firstLine="288"/>
      </w:pPr>
      <w:r>
        <w:t>Compositional structure also requires attention. Elemental and mineralogical percentages are constrained and can exhibit spurious correlations when treated as unconstrained variables. Log-ratio transformations, physically meaningful ratios and mass-balance checks can reduce this risk, although zero values and detection limits must be handled transparently. Similarly, core imagery and hyperspectral data may contain thousands of correlated bands or features. Dimensionality reduction can help, but latent features should be evaluated for geological meaning and stability across instruments, campaigns and core conditions.</w:t>
      </w:r>
    </w:p>
    <w:p w14:paraId="221B8ED7" w14:textId="77777777" w:rsidR="000146C6" w:rsidRDefault="00000000">
      <w:pPr>
        <w:ind w:firstLine="288"/>
      </w:pPr>
      <w:r>
        <w:t>Preferential sampling is pervasive. Exploration drilling targets anomalies and promising structures; metallurgical tests favour material considered representative or economically important; and plant data reflect ore that passed earlier selection decisions. The resulting training set is not a random sample of the orebody or national resource base. Models that ignore this selection process may be calibrated for the sampled envelope but biased elsewhere. Explicit sampling-design variables, inverse-probability weighting, targeted infill and uncertainty-driven sampling can mitigate the problem, but none can fully recover information absent from untested domains.</w:t>
      </w:r>
    </w:p>
    <w:p w14:paraId="1643A09B" w14:textId="77777777" w:rsidR="000146C6" w:rsidRDefault="00000000">
      <w:pPr>
        <w:ind w:firstLine="288"/>
      </w:pPr>
      <w:r>
        <w:lastRenderedPageBreak/>
        <w:t>Table 2 compares representative U.S. deposit archetypes and the modelling consequences of their geology and likely processing controls. The table is deliberately illustrative rather than exhaustive. It shows that a method that performs well for one deposit class may fail for another because the relevant predictors, supports and failure modes change.</w:t>
      </w:r>
    </w:p>
    <w:p w14:paraId="3B750D43" w14:textId="77777777" w:rsidR="000146C6" w:rsidRDefault="000146C6">
      <w:pPr>
        <w:sectPr w:rsidR="000146C6">
          <w:pgSz w:w="12240" w:h="15840"/>
          <w:pgMar w:top="1037" w:right="1181" w:bottom="1037" w:left="1181" w:header="432" w:footer="432" w:gutter="0"/>
          <w:cols w:space="720"/>
          <w:docGrid w:linePitch="360"/>
        </w:sectPr>
      </w:pPr>
    </w:p>
    <w:p w14:paraId="148A8A9A" w14:textId="77777777" w:rsidR="000146C6" w:rsidRDefault="00000000">
      <w:pPr>
        <w:keepNext/>
        <w:spacing w:after="120"/>
        <w:jc w:val="left"/>
      </w:pPr>
      <w:r>
        <w:rPr>
          <w:b/>
          <w:color w:val="1F4E79"/>
          <w:sz w:val="20"/>
        </w:rPr>
        <w:lastRenderedPageBreak/>
        <w:t>Table 2. Representative U.S. critical-mineral deposit archetypes and implications for recovery prediction</w:t>
      </w:r>
    </w:p>
    <w:tbl>
      <w:tblPr>
        <w:tblStyle w:val="TableGrid"/>
        <w:tblW w:w="0" w:type="auto"/>
        <w:jc w:val="center"/>
        <w:tblLayout w:type="fixed"/>
        <w:tblLook w:val="04A0" w:firstRow="1" w:lastRow="0" w:firstColumn="1" w:lastColumn="0" w:noHBand="0" w:noVBand="1"/>
      </w:tblPr>
      <w:tblGrid>
        <w:gridCol w:w="2232"/>
        <w:gridCol w:w="3384"/>
        <w:gridCol w:w="3384"/>
        <w:gridCol w:w="3384"/>
        <w:gridCol w:w="2088"/>
      </w:tblGrid>
      <w:tr w:rsidR="000146C6" w14:paraId="61DD9B6E" w14:textId="77777777">
        <w:trPr>
          <w:cantSplit/>
          <w:tblHeader/>
          <w:jc w:val="center"/>
        </w:trPr>
        <w:tc>
          <w:tcPr>
            <w:tcW w:w="2232" w:type="dxa"/>
            <w:shd w:val="clear" w:color="auto" w:fill="1F4E79"/>
            <w:tcMar>
              <w:top w:w="95" w:type="dxa"/>
              <w:left w:w="95" w:type="dxa"/>
              <w:bottom w:w="95" w:type="dxa"/>
              <w:right w:w="95" w:type="dxa"/>
            </w:tcMar>
            <w:vAlign w:val="center"/>
          </w:tcPr>
          <w:p w14:paraId="21F3DF75" w14:textId="77777777" w:rsidR="000146C6" w:rsidRDefault="00000000">
            <w:pPr>
              <w:spacing w:after="0" w:line="240" w:lineRule="auto"/>
              <w:jc w:val="center"/>
            </w:pPr>
            <w:r>
              <w:rPr>
                <w:b/>
                <w:color w:val="FFFFFF"/>
                <w:sz w:val="16"/>
              </w:rPr>
              <w:t>Deposit or regional example</w:t>
            </w:r>
          </w:p>
        </w:tc>
        <w:tc>
          <w:tcPr>
            <w:tcW w:w="3384" w:type="dxa"/>
            <w:shd w:val="clear" w:color="auto" w:fill="1F4E79"/>
            <w:tcMar>
              <w:top w:w="95" w:type="dxa"/>
              <w:left w:w="95" w:type="dxa"/>
              <w:bottom w:w="95" w:type="dxa"/>
              <w:right w:w="95" w:type="dxa"/>
            </w:tcMar>
            <w:vAlign w:val="center"/>
          </w:tcPr>
          <w:p w14:paraId="23D0571C" w14:textId="77777777" w:rsidR="000146C6" w:rsidRDefault="00000000">
            <w:pPr>
              <w:spacing w:after="0" w:line="240" w:lineRule="auto"/>
              <w:jc w:val="center"/>
            </w:pPr>
            <w:r>
              <w:rPr>
                <w:b/>
                <w:color w:val="FFFFFF"/>
                <w:sz w:val="16"/>
              </w:rPr>
              <w:t>Key geological and mineralogical features</w:t>
            </w:r>
          </w:p>
        </w:tc>
        <w:tc>
          <w:tcPr>
            <w:tcW w:w="3384" w:type="dxa"/>
            <w:shd w:val="clear" w:color="auto" w:fill="1F4E79"/>
            <w:tcMar>
              <w:top w:w="95" w:type="dxa"/>
              <w:left w:w="95" w:type="dxa"/>
              <w:bottom w:w="95" w:type="dxa"/>
              <w:right w:w="95" w:type="dxa"/>
            </w:tcMar>
            <w:vAlign w:val="center"/>
          </w:tcPr>
          <w:p w14:paraId="0AAA8B37" w14:textId="77777777" w:rsidR="000146C6" w:rsidRDefault="00000000">
            <w:pPr>
              <w:spacing w:after="0" w:line="240" w:lineRule="auto"/>
              <w:jc w:val="center"/>
            </w:pPr>
            <w:r>
              <w:rPr>
                <w:b/>
                <w:color w:val="FFFFFF"/>
                <w:sz w:val="16"/>
              </w:rPr>
              <w:t>Recovery-related predictors</w:t>
            </w:r>
          </w:p>
        </w:tc>
        <w:tc>
          <w:tcPr>
            <w:tcW w:w="3384" w:type="dxa"/>
            <w:shd w:val="clear" w:color="auto" w:fill="1F4E79"/>
            <w:tcMar>
              <w:top w:w="95" w:type="dxa"/>
              <w:left w:w="95" w:type="dxa"/>
              <w:bottom w:w="95" w:type="dxa"/>
              <w:right w:w="95" w:type="dxa"/>
            </w:tcMar>
            <w:vAlign w:val="center"/>
          </w:tcPr>
          <w:p w14:paraId="4BAB7FBE" w14:textId="77777777" w:rsidR="000146C6" w:rsidRDefault="00000000">
            <w:pPr>
              <w:spacing w:after="0" w:line="240" w:lineRule="auto"/>
              <w:jc w:val="center"/>
            </w:pPr>
            <w:r>
              <w:rPr>
                <w:b/>
                <w:color w:val="FFFFFF"/>
                <w:sz w:val="16"/>
              </w:rPr>
              <w:t>Modelling implications and risks</w:t>
            </w:r>
          </w:p>
        </w:tc>
        <w:tc>
          <w:tcPr>
            <w:tcW w:w="2088" w:type="dxa"/>
            <w:shd w:val="clear" w:color="auto" w:fill="1F4E79"/>
            <w:tcMar>
              <w:top w:w="95" w:type="dxa"/>
              <w:left w:w="95" w:type="dxa"/>
              <w:bottom w:w="95" w:type="dxa"/>
              <w:right w:w="95" w:type="dxa"/>
            </w:tcMar>
            <w:vAlign w:val="center"/>
          </w:tcPr>
          <w:p w14:paraId="0D506FCC" w14:textId="77777777" w:rsidR="000146C6" w:rsidRDefault="00000000">
            <w:pPr>
              <w:spacing w:after="0" w:line="240" w:lineRule="auto"/>
              <w:jc w:val="center"/>
            </w:pPr>
            <w:r>
              <w:rPr>
                <w:b/>
                <w:color w:val="FFFFFF"/>
                <w:sz w:val="16"/>
              </w:rPr>
              <w:t>Supporting references</w:t>
            </w:r>
          </w:p>
        </w:tc>
      </w:tr>
      <w:tr w:rsidR="000146C6" w14:paraId="3600288C" w14:textId="77777777">
        <w:trPr>
          <w:cantSplit/>
          <w:jc w:val="center"/>
        </w:trPr>
        <w:tc>
          <w:tcPr>
            <w:tcW w:w="2232" w:type="dxa"/>
            <w:shd w:val="clear" w:color="auto" w:fill="F6F9FC"/>
            <w:tcMar>
              <w:top w:w="85" w:type="dxa"/>
              <w:left w:w="90" w:type="dxa"/>
              <w:bottom w:w="85" w:type="dxa"/>
              <w:right w:w="90" w:type="dxa"/>
            </w:tcMar>
            <w:vAlign w:val="center"/>
          </w:tcPr>
          <w:p w14:paraId="0DA0BF41" w14:textId="77777777" w:rsidR="000146C6" w:rsidRDefault="00000000">
            <w:pPr>
              <w:spacing w:after="0" w:line="240" w:lineRule="auto"/>
              <w:jc w:val="left"/>
            </w:pPr>
            <w:r>
              <w:rPr>
                <w:sz w:val="15"/>
              </w:rPr>
              <w:t>Mountain Pass, California</w:t>
            </w:r>
          </w:p>
        </w:tc>
        <w:tc>
          <w:tcPr>
            <w:tcW w:w="3384" w:type="dxa"/>
            <w:shd w:val="clear" w:color="auto" w:fill="F6F9FC"/>
            <w:tcMar>
              <w:top w:w="85" w:type="dxa"/>
              <w:left w:w="90" w:type="dxa"/>
              <w:bottom w:w="85" w:type="dxa"/>
              <w:right w:w="90" w:type="dxa"/>
            </w:tcMar>
            <w:vAlign w:val="center"/>
          </w:tcPr>
          <w:p w14:paraId="6AD5D07D" w14:textId="77777777" w:rsidR="000146C6" w:rsidRDefault="00000000">
            <w:pPr>
              <w:spacing w:after="0" w:line="240" w:lineRule="auto"/>
              <w:jc w:val="left"/>
            </w:pPr>
            <w:r>
              <w:rPr>
                <w:sz w:val="15"/>
              </w:rPr>
              <w:t>Rare-earth-element carbonatite dominated by light rare earths, with diverse carbonate, sulphate, phosphate and silicate phases</w:t>
            </w:r>
          </w:p>
        </w:tc>
        <w:tc>
          <w:tcPr>
            <w:tcW w:w="3384" w:type="dxa"/>
            <w:shd w:val="clear" w:color="auto" w:fill="F6F9FC"/>
            <w:tcMar>
              <w:top w:w="85" w:type="dxa"/>
              <w:left w:w="90" w:type="dxa"/>
              <w:bottom w:w="85" w:type="dxa"/>
              <w:right w:w="90" w:type="dxa"/>
            </w:tcMar>
            <w:vAlign w:val="center"/>
          </w:tcPr>
          <w:p w14:paraId="27AC4E3D" w14:textId="77777777" w:rsidR="000146C6" w:rsidRDefault="00000000">
            <w:pPr>
              <w:spacing w:after="0" w:line="240" w:lineRule="auto"/>
              <w:jc w:val="left"/>
            </w:pPr>
            <w:r>
              <w:rPr>
                <w:sz w:val="15"/>
              </w:rPr>
              <w:t>Rare-earth mineral species, bastnäsite abundance, gangue mineralogy, texture, liberation, spectral indices and process conditions</w:t>
            </w:r>
          </w:p>
        </w:tc>
        <w:tc>
          <w:tcPr>
            <w:tcW w:w="3384" w:type="dxa"/>
            <w:shd w:val="clear" w:color="auto" w:fill="F6F9FC"/>
            <w:tcMar>
              <w:top w:w="85" w:type="dxa"/>
              <w:left w:w="90" w:type="dxa"/>
              <w:bottom w:w="85" w:type="dxa"/>
              <w:right w:w="90" w:type="dxa"/>
            </w:tcMar>
            <w:vAlign w:val="center"/>
          </w:tcPr>
          <w:p w14:paraId="18423355" w14:textId="77777777" w:rsidR="000146C6" w:rsidRDefault="00000000">
            <w:pPr>
              <w:spacing w:after="0" w:line="240" w:lineRule="auto"/>
              <w:jc w:val="left"/>
            </w:pPr>
            <w:r>
              <w:rPr>
                <w:sz w:val="15"/>
              </w:rPr>
              <w:t>Spectral abundance should be calibrated to mineralogy and recovery; regional geophysics and drill-core measurements require support reconciliation</w:t>
            </w:r>
          </w:p>
        </w:tc>
        <w:tc>
          <w:tcPr>
            <w:tcW w:w="2088" w:type="dxa"/>
            <w:shd w:val="clear" w:color="auto" w:fill="F6F9FC"/>
            <w:tcMar>
              <w:top w:w="85" w:type="dxa"/>
              <w:left w:w="90" w:type="dxa"/>
              <w:bottom w:w="85" w:type="dxa"/>
              <w:right w:w="90" w:type="dxa"/>
            </w:tcMar>
            <w:vAlign w:val="center"/>
          </w:tcPr>
          <w:p w14:paraId="3EB80E0F" w14:textId="77777777" w:rsidR="000146C6" w:rsidRDefault="00000000">
            <w:pPr>
              <w:spacing w:after="0" w:line="240" w:lineRule="auto"/>
              <w:jc w:val="left"/>
            </w:pPr>
            <w:r>
              <w:rPr>
                <w:sz w:val="15"/>
              </w:rPr>
              <w:t>(Castor, 2008; Gadea et al., 2024; Peacock et al., 2021; Rowan &amp; Mars, 2003; Watts &amp; Andersen, 2026)</w:t>
            </w:r>
          </w:p>
        </w:tc>
      </w:tr>
      <w:tr w:rsidR="000146C6" w14:paraId="5C6A3892" w14:textId="77777777">
        <w:trPr>
          <w:cantSplit/>
          <w:jc w:val="center"/>
        </w:trPr>
        <w:tc>
          <w:tcPr>
            <w:tcW w:w="2232" w:type="dxa"/>
            <w:tcMar>
              <w:top w:w="85" w:type="dxa"/>
              <w:left w:w="90" w:type="dxa"/>
              <w:bottom w:w="85" w:type="dxa"/>
              <w:right w:w="90" w:type="dxa"/>
            </w:tcMar>
            <w:vAlign w:val="center"/>
          </w:tcPr>
          <w:p w14:paraId="3F204732" w14:textId="77777777" w:rsidR="000146C6" w:rsidRDefault="00000000">
            <w:pPr>
              <w:spacing w:after="0" w:line="240" w:lineRule="auto"/>
              <w:jc w:val="left"/>
            </w:pPr>
            <w:r>
              <w:rPr>
                <w:sz w:val="15"/>
              </w:rPr>
              <w:t>McDermitt caldera, Nevada-Oregon</w:t>
            </w:r>
          </w:p>
        </w:tc>
        <w:tc>
          <w:tcPr>
            <w:tcW w:w="3384" w:type="dxa"/>
            <w:tcMar>
              <w:top w:w="85" w:type="dxa"/>
              <w:left w:w="90" w:type="dxa"/>
              <w:bottom w:w="85" w:type="dxa"/>
              <w:right w:w="90" w:type="dxa"/>
            </w:tcMar>
            <w:vAlign w:val="center"/>
          </w:tcPr>
          <w:p w14:paraId="545815D1" w14:textId="77777777" w:rsidR="000146C6" w:rsidRDefault="00000000">
            <w:pPr>
              <w:spacing w:after="0" w:line="240" w:lineRule="auto"/>
              <w:jc w:val="left"/>
            </w:pPr>
            <w:r>
              <w:rPr>
                <w:sz w:val="15"/>
              </w:rPr>
              <w:t xml:space="preserve">Lithium-rich </w:t>
            </w:r>
            <w:proofErr w:type="spellStart"/>
            <w:r>
              <w:rPr>
                <w:sz w:val="15"/>
              </w:rPr>
              <w:t>intracaldera</w:t>
            </w:r>
            <w:proofErr w:type="spellEnd"/>
            <w:r>
              <w:rPr>
                <w:sz w:val="15"/>
              </w:rPr>
              <w:t xml:space="preserve"> volcanic and sedimentary units affected by facies, alteration and mineralogical transformation</w:t>
            </w:r>
          </w:p>
        </w:tc>
        <w:tc>
          <w:tcPr>
            <w:tcW w:w="3384" w:type="dxa"/>
            <w:tcMar>
              <w:top w:w="85" w:type="dxa"/>
              <w:left w:w="90" w:type="dxa"/>
              <w:bottom w:w="85" w:type="dxa"/>
              <w:right w:w="90" w:type="dxa"/>
            </w:tcMar>
            <w:vAlign w:val="center"/>
          </w:tcPr>
          <w:p w14:paraId="5249C5CC" w14:textId="77777777" w:rsidR="000146C6" w:rsidRDefault="00000000">
            <w:pPr>
              <w:spacing w:after="0" w:line="240" w:lineRule="auto"/>
              <w:jc w:val="left"/>
            </w:pPr>
            <w:r>
              <w:rPr>
                <w:sz w:val="15"/>
              </w:rPr>
              <w:t>Stratigraphy, alteration state, lithium-hosting phase, grain size, leach conditions and acid consumption</w:t>
            </w:r>
          </w:p>
        </w:tc>
        <w:tc>
          <w:tcPr>
            <w:tcW w:w="3384" w:type="dxa"/>
            <w:tcMar>
              <w:top w:w="85" w:type="dxa"/>
              <w:left w:w="90" w:type="dxa"/>
              <w:bottom w:w="85" w:type="dxa"/>
              <w:right w:w="90" w:type="dxa"/>
            </w:tcMar>
            <w:vAlign w:val="center"/>
          </w:tcPr>
          <w:p w14:paraId="7335F8E6" w14:textId="77777777" w:rsidR="000146C6" w:rsidRDefault="00000000">
            <w:pPr>
              <w:spacing w:after="0" w:line="240" w:lineRule="auto"/>
              <w:jc w:val="left"/>
            </w:pPr>
            <w:r>
              <w:rPr>
                <w:sz w:val="15"/>
              </w:rPr>
              <w:t>Adjacent core samples are not independent; grade may not represent leachability across mineralogical domains</w:t>
            </w:r>
          </w:p>
        </w:tc>
        <w:tc>
          <w:tcPr>
            <w:tcW w:w="2088" w:type="dxa"/>
            <w:tcMar>
              <w:top w:w="85" w:type="dxa"/>
              <w:left w:w="90" w:type="dxa"/>
              <w:bottom w:w="85" w:type="dxa"/>
              <w:right w:w="90" w:type="dxa"/>
            </w:tcMar>
            <w:vAlign w:val="center"/>
          </w:tcPr>
          <w:p w14:paraId="789A8EEE" w14:textId="77777777" w:rsidR="000146C6" w:rsidRDefault="00000000">
            <w:pPr>
              <w:spacing w:after="0" w:line="240" w:lineRule="auto"/>
              <w:jc w:val="left"/>
            </w:pPr>
            <w:r>
              <w:rPr>
                <w:sz w:val="15"/>
              </w:rPr>
              <w:t>(Benson et al., 2017; Castor &amp; Henry, 2020; Glanzman et al., 1978)</w:t>
            </w:r>
          </w:p>
        </w:tc>
      </w:tr>
      <w:tr w:rsidR="000146C6" w14:paraId="79530B37" w14:textId="77777777">
        <w:trPr>
          <w:cantSplit/>
          <w:jc w:val="center"/>
        </w:trPr>
        <w:tc>
          <w:tcPr>
            <w:tcW w:w="2232" w:type="dxa"/>
            <w:shd w:val="clear" w:color="auto" w:fill="F6F9FC"/>
            <w:tcMar>
              <w:top w:w="85" w:type="dxa"/>
              <w:left w:w="90" w:type="dxa"/>
              <w:bottom w:w="85" w:type="dxa"/>
              <w:right w:w="90" w:type="dxa"/>
            </w:tcMar>
            <w:vAlign w:val="center"/>
          </w:tcPr>
          <w:p w14:paraId="72091978" w14:textId="77777777" w:rsidR="000146C6" w:rsidRDefault="00000000">
            <w:pPr>
              <w:spacing w:after="0" w:line="240" w:lineRule="auto"/>
              <w:jc w:val="left"/>
            </w:pPr>
            <w:r>
              <w:rPr>
                <w:sz w:val="15"/>
              </w:rPr>
              <w:t>Round Top, Texas</w:t>
            </w:r>
          </w:p>
        </w:tc>
        <w:tc>
          <w:tcPr>
            <w:tcW w:w="3384" w:type="dxa"/>
            <w:shd w:val="clear" w:color="auto" w:fill="F6F9FC"/>
            <w:tcMar>
              <w:top w:w="85" w:type="dxa"/>
              <w:left w:w="90" w:type="dxa"/>
              <w:bottom w:w="85" w:type="dxa"/>
              <w:right w:w="90" w:type="dxa"/>
            </w:tcMar>
            <w:vAlign w:val="center"/>
          </w:tcPr>
          <w:p w14:paraId="62230807" w14:textId="77777777" w:rsidR="000146C6" w:rsidRDefault="00000000">
            <w:pPr>
              <w:spacing w:after="0" w:line="240" w:lineRule="auto"/>
              <w:jc w:val="left"/>
            </w:pPr>
            <w:r>
              <w:rPr>
                <w:sz w:val="15"/>
              </w:rPr>
              <w:t>Peralkaline rhyolite with yttrium-bearing fluorite and dispersed heavy rare-earth-element-bearing phases</w:t>
            </w:r>
          </w:p>
        </w:tc>
        <w:tc>
          <w:tcPr>
            <w:tcW w:w="3384" w:type="dxa"/>
            <w:shd w:val="clear" w:color="auto" w:fill="F6F9FC"/>
            <w:tcMar>
              <w:top w:w="85" w:type="dxa"/>
              <w:left w:w="90" w:type="dxa"/>
              <w:bottom w:w="85" w:type="dxa"/>
              <w:right w:w="90" w:type="dxa"/>
            </w:tcMar>
            <w:vAlign w:val="center"/>
          </w:tcPr>
          <w:p w14:paraId="74F7E30F" w14:textId="77777777" w:rsidR="000146C6" w:rsidRDefault="00000000">
            <w:pPr>
              <w:spacing w:after="0" w:line="240" w:lineRule="auto"/>
              <w:jc w:val="left"/>
            </w:pPr>
            <w:r>
              <w:rPr>
                <w:sz w:val="15"/>
              </w:rPr>
              <w:t>Element deportment, porosity, permeability, fracture state, crush size, leach kinetics and reagent consumption</w:t>
            </w:r>
          </w:p>
        </w:tc>
        <w:tc>
          <w:tcPr>
            <w:tcW w:w="3384" w:type="dxa"/>
            <w:shd w:val="clear" w:color="auto" w:fill="F6F9FC"/>
            <w:tcMar>
              <w:top w:w="85" w:type="dxa"/>
              <w:left w:w="90" w:type="dxa"/>
              <w:bottom w:w="85" w:type="dxa"/>
              <w:right w:w="90" w:type="dxa"/>
            </w:tcMar>
            <w:vAlign w:val="center"/>
          </w:tcPr>
          <w:p w14:paraId="64CEB394" w14:textId="77777777" w:rsidR="000146C6" w:rsidRDefault="00000000">
            <w:pPr>
              <w:spacing w:after="0" w:line="240" w:lineRule="auto"/>
              <w:jc w:val="left"/>
            </w:pPr>
            <w:r>
              <w:rPr>
                <w:sz w:val="15"/>
              </w:rPr>
              <w:t xml:space="preserve">Grade-only models can </w:t>
            </w:r>
            <w:proofErr w:type="spellStart"/>
            <w:r>
              <w:rPr>
                <w:sz w:val="15"/>
              </w:rPr>
              <w:t>misrank</w:t>
            </w:r>
            <w:proofErr w:type="spellEnd"/>
            <w:r>
              <w:rPr>
                <w:sz w:val="15"/>
              </w:rPr>
              <w:t xml:space="preserve"> impermeable or slow-leaching material; fluid-flow support differs from assay support</w:t>
            </w:r>
          </w:p>
        </w:tc>
        <w:tc>
          <w:tcPr>
            <w:tcW w:w="2088" w:type="dxa"/>
            <w:shd w:val="clear" w:color="auto" w:fill="F6F9FC"/>
            <w:tcMar>
              <w:top w:w="85" w:type="dxa"/>
              <w:left w:w="90" w:type="dxa"/>
              <w:bottom w:w="85" w:type="dxa"/>
              <w:right w:w="90" w:type="dxa"/>
            </w:tcMar>
            <w:vAlign w:val="center"/>
          </w:tcPr>
          <w:p w14:paraId="68CC1BCA" w14:textId="77777777" w:rsidR="000146C6" w:rsidRDefault="00000000">
            <w:pPr>
              <w:spacing w:after="0" w:line="240" w:lineRule="auto"/>
              <w:jc w:val="left"/>
            </w:pPr>
            <w:r>
              <w:rPr>
                <w:sz w:val="15"/>
              </w:rPr>
              <w:t>(Negron et al., 2016; Pingitore et al., 2014)</w:t>
            </w:r>
          </w:p>
        </w:tc>
      </w:tr>
      <w:tr w:rsidR="000146C6" w14:paraId="6B87F9C6" w14:textId="77777777">
        <w:trPr>
          <w:cantSplit/>
          <w:jc w:val="center"/>
        </w:trPr>
        <w:tc>
          <w:tcPr>
            <w:tcW w:w="2232" w:type="dxa"/>
            <w:tcMar>
              <w:top w:w="85" w:type="dxa"/>
              <w:left w:w="90" w:type="dxa"/>
              <w:bottom w:w="85" w:type="dxa"/>
              <w:right w:w="90" w:type="dxa"/>
            </w:tcMar>
            <w:vAlign w:val="center"/>
          </w:tcPr>
          <w:p w14:paraId="01E24055" w14:textId="77777777" w:rsidR="000146C6" w:rsidRDefault="00000000">
            <w:pPr>
              <w:spacing w:after="0" w:line="240" w:lineRule="auto"/>
              <w:jc w:val="left"/>
            </w:pPr>
            <w:r>
              <w:rPr>
                <w:sz w:val="15"/>
              </w:rPr>
              <w:t>Idaho Cobalt Belt, Idaho</w:t>
            </w:r>
          </w:p>
        </w:tc>
        <w:tc>
          <w:tcPr>
            <w:tcW w:w="3384" w:type="dxa"/>
            <w:tcMar>
              <w:top w:w="85" w:type="dxa"/>
              <w:left w:w="90" w:type="dxa"/>
              <w:bottom w:w="85" w:type="dxa"/>
              <w:right w:w="90" w:type="dxa"/>
            </w:tcMar>
            <w:vAlign w:val="center"/>
          </w:tcPr>
          <w:p w14:paraId="5FCAC063" w14:textId="77777777" w:rsidR="000146C6" w:rsidRDefault="00000000">
            <w:pPr>
              <w:spacing w:after="0" w:line="240" w:lineRule="auto"/>
              <w:jc w:val="left"/>
            </w:pPr>
            <w:r>
              <w:rPr>
                <w:sz w:val="15"/>
              </w:rPr>
              <w:t>Strata-bound polymetallic mineralisation with multiple hydrothermal stages, structural controls and mineralogical overprinting</w:t>
            </w:r>
          </w:p>
        </w:tc>
        <w:tc>
          <w:tcPr>
            <w:tcW w:w="3384" w:type="dxa"/>
            <w:tcMar>
              <w:top w:w="85" w:type="dxa"/>
              <w:left w:w="90" w:type="dxa"/>
              <w:bottom w:w="85" w:type="dxa"/>
              <w:right w:w="90" w:type="dxa"/>
            </w:tcMar>
            <w:vAlign w:val="center"/>
          </w:tcPr>
          <w:p w14:paraId="00438910" w14:textId="77777777" w:rsidR="000146C6" w:rsidRDefault="00000000">
            <w:pPr>
              <w:spacing w:after="0" w:line="240" w:lineRule="auto"/>
              <w:jc w:val="left"/>
            </w:pPr>
            <w:r>
              <w:rPr>
                <w:sz w:val="15"/>
              </w:rPr>
              <w:t>Cobalt host minerals, sulphide assemblage, alteration, structure, hardness and multi-product recovery response</w:t>
            </w:r>
          </w:p>
        </w:tc>
        <w:tc>
          <w:tcPr>
            <w:tcW w:w="3384" w:type="dxa"/>
            <w:tcMar>
              <w:top w:w="85" w:type="dxa"/>
              <w:left w:w="90" w:type="dxa"/>
              <w:bottom w:w="85" w:type="dxa"/>
              <w:right w:w="90" w:type="dxa"/>
            </w:tcMar>
            <w:vAlign w:val="center"/>
          </w:tcPr>
          <w:p w14:paraId="39EDCEEE" w14:textId="77777777" w:rsidR="000146C6" w:rsidRDefault="00000000">
            <w:pPr>
              <w:spacing w:after="0" w:line="240" w:lineRule="auto"/>
              <w:jc w:val="left"/>
            </w:pPr>
            <w:r>
              <w:rPr>
                <w:sz w:val="15"/>
              </w:rPr>
              <w:t>Global stationarity may blur abrupt process boundaries; hierarchical or domain-specific models are preferable</w:t>
            </w:r>
          </w:p>
        </w:tc>
        <w:tc>
          <w:tcPr>
            <w:tcW w:w="2088" w:type="dxa"/>
            <w:tcMar>
              <w:top w:w="85" w:type="dxa"/>
              <w:left w:w="90" w:type="dxa"/>
              <w:bottom w:w="85" w:type="dxa"/>
              <w:right w:w="90" w:type="dxa"/>
            </w:tcMar>
            <w:vAlign w:val="center"/>
          </w:tcPr>
          <w:p w14:paraId="73284911" w14:textId="77777777" w:rsidR="000146C6" w:rsidRDefault="00000000">
            <w:pPr>
              <w:spacing w:after="0" w:line="240" w:lineRule="auto"/>
              <w:jc w:val="left"/>
            </w:pPr>
            <w:r>
              <w:rPr>
                <w:sz w:val="15"/>
              </w:rPr>
              <w:t>(Schulz et al., 2017; Slack, 2012)</w:t>
            </w:r>
          </w:p>
        </w:tc>
      </w:tr>
      <w:tr w:rsidR="000146C6" w14:paraId="21B8F16F" w14:textId="77777777">
        <w:trPr>
          <w:cantSplit/>
          <w:jc w:val="center"/>
        </w:trPr>
        <w:tc>
          <w:tcPr>
            <w:tcW w:w="2232" w:type="dxa"/>
            <w:shd w:val="clear" w:color="auto" w:fill="F6F9FC"/>
            <w:tcMar>
              <w:top w:w="85" w:type="dxa"/>
              <w:left w:w="90" w:type="dxa"/>
              <w:bottom w:w="85" w:type="dxa"/>
              <w:right w:w="90" w:type="dxa"/>
            </w:tcMar>
            <w:vAlign w:val="center"/>
          </w:tcPr>
          <w:p w14:paraId="5A8610A5" w14:textId="77777777" w:rsidR="000146C6" w:rsidRDefault="00000000">
            <w:pPr>
              <w:spacing w:after="0" w:line="240" w:lineRule="auto"/>
              <w:jc w:val="left"/>
            </w:pPr>
            <w:r>
              <w:rPr>
                <w:sz w:val="15"/>
              </w:rPr>
              <w:t>Southwest Alaska mineral-potential setting</w:t>
            </w:r>
          </w:p>
        </w:tc>
        <w:tc>
          <w:tcPr>
            <w:tcW w:w="3384" w:type="dxa"/>
            <w:shd w:val="clear" w:color="auto" w:fill="F6F9FC"/>
            <w:tcMar>
              <w:top w:w="85" w:type="dxa"/>
              <w:left w:w="90" w:type="dxa"/>
              <w:bottom w:w="85" w:type="dxa"/>
              <w:right w:w="90" w:type="dxa"/>
            </w:tcMar>
            <w:vAlign w:val="center"/>
          </w:tcPr>
          <w:p w14:paraId="6439838C" w14:textId="77777777" w:rsidR="000146C6" w:rsidRDefault="00000000">
            <w:pPr>
              <w:spacing w:after="0" w:line="240" w:lineRule="auto"/>
              <w:jc w:val="left"/>
            </w:pPr>
            <w:r>
              <w:rPr>
                <w:sz w:val="15"/>
              </w:rPr>
              <w:t>Large, incompletely explored accreted island-arc terranes represented by regional aeromagnetic and geological evidence</w:t>
            </w:r>
          </w:p>
        </w:tc>
        <w:tc>
          <w:tcPr>
            <w:tcW w:w="3384" w:type="dxa"/>
            <w:shd w:val="clear" w:color="auto" w:fill="F6F9FC"/>
            <w:tcMar>
              <w:top w:w="85" w:type="dxa"/>
              <w:left w:w="90" w:type="dxa"/>
              <w:bottom w:w="85" w:type="dxa"/>
              <w:right w:w="90" w:type="dxa"/>
            </w:tcMar>
            <w:vAlign w:val="center"/>
          </w:tcPr>
          <w:p w14:paraId="0D788A7F" w14:textId="77777777" w:rsidR="000146C6" w:rsidRDefault="00000000">
            <w:pPr>
              <w:spacing w:after="0" w:line="240" w:lineRule="auto"/>
              <w:jc w:val="left"/>
            </w:pPr>
            <w:r>
              <w:rPr>
                <w:sz w:val="15"/>
              </w:rPr>
              <w:t>Geophysical signatures, terrane architecture, mapped geology and occurrence labels</w:t>
            </w:r>
          </w:p>
        </w:tc>
        <w:tc>
          <w:tcPr>
            <w:tcW w:w="3384" w:type="dxa"/>
            <w:shd w:val="clear" w:color="auto" w:fill="F6F9FC"/>
            <w:tcMar>
              <w:top w:w="85" w:type="dxa"/>
              <w:left w:w="90" w:type="dxa"/>
              <w:bottom w:w="85" w:type="dxa"/>
              <w:right w:w="90" w:type="dxa"/>
            </w:tcMar>
            <w:vAlign w:val="center"/>
          </w:tcPr>
          <w:p w14:paraId="6465EE8B" w14:textId="77777777" w:rsidR="000146C6" w:rsidRDefault="00000000">
            <w:pPr>
              <w:spacing w:after="0" w:line="240" w:lineRule="auto"/>
              <w:jc w:val="left"/>
            </w:pPr>
            <w:r>
              <w:rPr>
                <w:sz w:val="15"/>
              </w:rPr>
              <w:t>Outputs support target ranking, not direct grade or recovery estimation; exploration bias affects validation labels</w:t>
            </w:r>
          </w:p>
        </w:tc>
        <w:tc>
          <w:tcPr>
            <w:tcW w:w="2088" w:type="dxa"/>
            <w:shd w:val="clear" w:color="auto" w:fill="F6F9FC"/>
            <w:tcMar>
              <w:top w:w="85" w:type="dxa"/>
              <w:left w:w="90" w:type="dxa"/>
              <w:bottom w:w="85" w:type="dxa"/>
              <w:right w:w="90" w:type="dxa"/>
            </w:tcMar>
            <w:vAlign w:val="center"/>
          </w:tcPr>
          <w:p w14:paraId="357D447B" w14:textId="77777777" w:rsidR="000146C6" w:rsidRDefault="00000000">
            <w:pPr>
              <w:spacing w:after="0" w:line="240" w:lineRule="auto"/>
              <w:jc w:val="left"/>
            </w:pPr>
            <w:r>
              <w:rPr>
                <w:sz w:val="15"/>
              </w:rPr>
              <w:t>(Anderson et al., 2017; Hammarstrom et al., 2023)</w:t>
            </w:r>
          </w:p>
        </w:tc>
      </w:tr>
    </w:tbl>
    <w:p w14:paraId="4F13057E" w14:textId="77777777" w:rsidR="000146C6" w:rsidRDefault="00000000">
      <w:pPr>
        <w:spacing w:before="100" w:after="0"/>
      </w:pPr>
      <w:r>
        <w:rPr>
          <w:i/>
          <w:color w:val="4A4A4A"/>
          <w:sz w:val="16"/>
        </w:rPr>
        <w:t>Note. REE = rare earth element. The examples are illustrative deposit and regional contexts, not an exhaustive inventory of U.S. critical-mineral resources.</w:t>
      </w:r>
    </w:p>
    <w:p w14:paraId="27C68845" w14:textId="77777777" w:rsidR="000146C6" w:rsidRDefault="000146C6">
      <w:pPr>
        <w:sectPr w:rsidR="000146C6">
          <w:pgSz w:w="15840" w:h="12240" w:orient="landscape"/>
          <w:pgMar w:top="792" w:right="792" w:bottom="792" w:left="792" w:header="432" w:footer="432" w:gutter="0"/>
          <w:cols w:space="720"/>
          <w:docGrid w:linePitch="360"/>
        </w:sectPr>
      </w:pPr>
    </w:p>
    <w:p w14:paraId="06667C36" w14:textId="77777777" w:rsidR="000146C6" w:rsidRDefault="00000000">
      <w:pPr>
        <w:pStyle w:val="Heading1"/>
      </w:pPr>
      <w:r>
        <w:lastRenderedPageBreak/>
        <w:t>5. Geostatistical Methodologies for Spatial Recovery Prediction</w:t>
      </w:r>
    </w:p>
    <w:p w14:paraId="24B7DF7D" w14:textId="77777777" w:rsidR="000146C6" w:rsidRDefault="00000000">
      <w:pPr>
        <w:ind w:firstLine="288"/>
      </w:pPr>
      <w:proofErr w:type="spellStart"/>
      <w:r>
        <w:t>Geostatistics</w:t>
      </w:r>
      <w:proofErr w:type="spellEnd"/>
      <w:r>
        <w:t xml:space="preserve"> is the natural starting point for deposit-scale prediction because mineralised variables are spatially structured and sampled irregularly. Its distinctive value is not simply interpolation; it provides a framework for modelling spatial dependence, anisotropy, support and conditional uncertainty. These properties remain essential even when machine learning is introduced. A model that ignores spatial dependence can generate optimistic validation and incoherent block patterns, whereas a model that ignores nonlinear mineralogical response can be spatially coherent but metallurgically incomplete.</w:t>
      </w:r>
    </w:p>
    <w:p w14:paraId="3D0576E8" w14:textId="77777777" w:rsidR="000146C6" w:rsidRDefault="00000000">
      <w:pPr>
        <w:ind w:firstLine="288"/>
      </w:pPr>
      <w:proofErr w:type="spellStart"/>
      <w:r>
        <w:t>Variography</w:t>
      </w:r>
      <w:proofErr w:type="spellEnd"/>
      <w:r>
        <w:t xml:space="preserve"> is the core diagnostic. Experimental variograms reveal how variability changes with separation distance and direction, subject to sampling geometry and domain definition. Nugget variance can reflect microscale variation, analytical error, support differences or unresolved structures. Range and anisotropy can correspond to geological continuity, but they are not geological truths independent of sampling. Sparse drilling, clustered data and mixed domains can produce unstable models. A defensible analysis therefore compares directional variograms, examines pair counts and lag sensitivity, tests geological plausibility and avoids fitting elaborate structures unsupported by the data (Oliver &amp; Webster, 2014).</w:t>
      </w:r>
    </w:p>
    <w:p w14:paraId="15AF7A7A" w14:textId="77777777" w:rsidR="000146C6" w:rsidRDefault="00000000">
      <w:pPr>
        <w:ind w:firstLine="288"/>
      </w:pPr>
      <w:r>
        <w:t>Ordinary kriging remains widely used because it provides linear estimates with an explicit neighbourhood and kriging variance. It works best when domains are reasonably stationary after appropriate transformation and when the target can be represented by a weighted linear combination of nearby observations. Its weaknesses are consequential for recovery prediction. The kriging variance is primarily a function of data configuration and the variogram; it is not a complete measure of local geological or model uncertainty. Kriging also smooths the distribution, underestimating extremes and reducing spatial variance. This can bias estimates of tonnes above cut-off and can attenuate local relationships between grade and recovery (Yamamoto, 2005). Post-processing intended to restore variance must be evaluated carefully because reproducing a histogram does not guarantee correct spatial connectivity or conditional behaviour.</w:t>
      </w:r>
    </w:p>
    <w:p w14:paraId="07FA45C8" w14:textId="77777777" w:rsidR="000146C6" w:rsidRDefault="00000000">
      <w:pPr>
        <w:ind w:firstLine="288"/>
      </w:pPr>
      <w:r>
        <w:t xml:space="preserve">Indicator kriging and categorical </w:t>
      </w:r>
      <w:proofErr w:type="spellStart"/>
      <w:r>
        <w:t>geostatistics</w:t>
      </w:r>
      <w:proofErr w:type="spellEnd"/>
      <w:r>
        <w:t xml:space="preserve"> can be useful where recovery depends on thresholds or facies. Indicator methods estimate the probability of exceeding a grade or response threshold without assuming a Gaussian distribution. They can also model categorical domains, oxidation states or mineralogical classes. The difficulty lies in selecting thresholds, maintaining order relations and obtaining enough data in each category. If metallurgical domains are defined retrospectively from noisy test results, indicator models can reproduce classification error rather than genuine process units.</w:t>
      </w:r>
    </w:p>
    <w:p w14:paraId="2753CA9F" w14:textId="77777777" w:rsidR="000146C6" w:rsidRDefault="00000000">
      <w:pPr>
        <w:ind w:firstLine="288"/>
      </w:pPr>
      <w:r>
        <w:t>Co-kriging and related multivariate methods use secondary variables that are more densely sampled than the primary target. In critical-mineral deposits, potential secondary variables include portable X-ray fluorescence, hyperspectral mineral indices, density, magnetic susceptibility, down-hole geophysics or geochemical proxies. Their value depends on a stable cross-covariance relationship and compatible supports. A strong correlation at sample scale may disappear at block scale or change by geological domain. Collocated approaches can reduce the burden of modelling many cross-variograms, but they still require a defensible relationship between primary and secondary data. Machine-learning feature importance does not substitute for cross-support validation.</w:t>
      </w:r>
    </w:p>
    <w:p w14:paraId="5490FBBE" w14:textId="77777777" w:rsidR="000146C6" w:rsidRDefault="00000000">
      <w:pPr>
        <w:ind w:firstLine="288"/>
      </w:pPr>
      <w:r>
        <w:t xml:space="preserve">Conditional simulation is preferable when decisions depend on spatial uncertainty, selectivity or connectivity. Sequential Gaussian simulation, sequential indicator simulation and related algorithms generate equiprobable realisations conditioned to data and a spatial model. Each realisation can be passed through a recovery function, mine plan or economic calculation, producing a distribution of recoverable output rather than a single smoothed estimate. The approach is particularly valuable where high-grade continuity, low-recovery lenses or deleterious-mineral zones affect scheduling. Its credibility depends on transformations, variogram models, domain boundaries and the reproduction of multivariate relationships. </w:t>
      </w:r>
      <w:r>
        <w:lastRenderedPageBreak/>
        <w:t>Simulation is not uncertainty by declaration; poorly specified simulations can produce many precise-looking but geologically implausible scenarios.</w:t>
      </w:r>
    </w:p>
    <w:p w14:paraId="59169AE3" w14:textId="77777777" w:rsidR="000146C6" w:rsidRDefault="00000000">
      <w:pPr>
        <w:ind w:firstLine="288"/>
      </w:pPr>
      <w:r>
        <w:t xml:space="preserve">Multiple-point </w:t>
      </w:r>
      <w:proofErr w:type="spellStart"/>
      <w:r>
        <w:t>geostatistics</w:t>
      </w:r>
      <w:proofErr w:type="spellEnd"/>
      <w:r>
        <w:t xml:space="preserve"> extends the spatial model beyond two-point covariance by using training images to reproduce complex patterns such as channels, breccia networks or facies architecture (Hu &amp; Chugunova, 2008). Direct sampling can condition simulations to data while matching patterns from training images without relying on a fixed catalogue of patterns (</w:t>
      </w:r>
      <w:proofErr w:type="spellStart"/>
      <w:r>
        <w:t>Mariethoz</w:t>
      </w:r>
      <w:proofErr w:type="spellEnd"/>
      <w:r>
        <w:t xml:space="preserve"> et al., 2010). These methods are potentially valuable for deposits whose recovery is controlled by connected alteration or mineralogical textures. The main limitation is representativeness: a training image encodes assumptions about geometry, proportions and stationarity. If it is conceptual rather than empirically constrained, uncertainty may be narrowed around an attractive but unverified geological scenario.</w:t>
      </w:r>
    </w:p>
    <w:p w14:paraId="5340E1C3" w14:textId="77777777" w:rsidR="000146C6" w:rsidRDefault="00000000">
      <w:pPr>
        <w:ind w:firstLine="288"/>
      </w:pPr>
      <w:proofErr w:type="spellStart"/>
      <w:r>
        <w:t>Geometallurgical</w:t>
      </w:r>
      <w:proofErr w:type="spellEnd"/>
      <w:r>
        <w:t xml:space="preserve"> variables present additional challenges because metallurgical tests are usually sparse, expensive and heterogeneous. Simple kriging of recovery may be inappropriate when test conditions differ or recovery is strongly nonlinear in mineralogy and grind size. One option is to standardise test protocols and krige recovery within process-relevant domains. Another is to model mineralogical and physical predictors </w:t>
      </w:r>
      <w:proofErr w:type="spellStart"/>
      <w:r>
        <w:t>geostatistically</w:t>
      </w:r>
      <w:proofErr w:type="spellEnd"/>
      <w:r>
        <w:t>, then apply a calibrated response model. A third is to co-simulate grade, mineralogy and response while preserving cross-dependence. The second and third strategies are generally more interpretable because they expose the pathway from geology to recovery, but they require enough paired data to estimate the relationships.</w:t>
      </w:r>
    </w:p>
    <w:p w14:paraId="7B21D3DF" w14:textId="77777777" w:rsidR="000146C6" w:rsidRDefault="00000000">
      <w:pPr>
        <w:ind w:firstLine="288"/>
      </w:pPr>
      <w:r>
        <w:t xml:space="preserve">Spatial interpolation using machine learning has been proposed as an alternative to conventional block modelling. A major synthesis by </w:t>
      </w:r>
      <w:proofErr w:type="spellStart"/>
      <w:r>
        <w:t>Nwaila</w:t>
      </w:r>
      <w:proofErr w:type="spellEnd"/>
      <w:r>
        <w:t xml:space="preserve"> et al. (2024) argues that machine-learning interpolators can identify patterns and regularities that are difficult to capture with stationary covariance models. Yet the comparison should not be framed as machine learning replacing </w:t>
      </w:r>
      <w:proofErr w:type="spellStart"/>
      <w:r>
        <w:t>geostatistics</w:t>
      </w:r>
      <w:proofErr w:type="spellEnd"/>
      <w:r>
        <w:t xml:space="preserve">. Geostatistical models explicitly address spatial covariance and conditional simulation, whereas many machine-learning models predict a mean response from coordinates and covariates. Their uncertainty and spatial coherence require separate treatment. A hybrid design can use machine learning for the nonlinear trend and </w:t>
      </w:r>
      <w:proofErr w:type="spellStart"/>
      <w:r>
        <w:t>geostatistics</w:t>
      </w:r>
      <w:proofErr w:type="spellEnd"/>
      <w:r>
        <w:t xml:space="preserve"> for spatial residuals, or geostatistical simulations as inputs to a machine-learning response model.</w:t>
      </w:r>
    </w:p>
    <w:p w14:paraId="5BCA10A4" w14:textId="77777777" w:rsidR="000146C6" w:rsidRDefault="00000000">
      <w:pPr>
        <w:ind w:firstLine="288"/>
      </w:pPr>
      <w:r>
        <w:t>A recurring issue is geological domaining. Stationarity is rarely plausible across an entire deposit, but excessive subdivision leaves too few data for reliable variograms and response models. Domains should therefore be treated as testable hypotheses about continuity and process behaviour. Geological contacts, alteration boundaries and mineralogical classes can define hard domains where there is clear evidence of discontinuity. Soft probabilities can represent uncertain contacts or gradual transitions. Hierarchical models can partially pool related domains while retaining local differences. The critical test is whether the chosen domain structure improves out-of-area prediction and decision quality, not merely in-sample variogram fit.</w:t>
      </w:r>
    </w:p>
    <w:p w14:paraId="71ED3C84" w14:textId="77777777" w:rsidR="000146C6" w:rsidRDefault="00000000">
      <w:pPr>
        <w:ind w:firstLine="288"/>
      </w:pPr>
      <w:r>
        <w:t>Change of support is equally important. Drill-core assays may represent centimetre- to metre-scale intervals, hyperspectral measurements millimetres to centimetres, geophysical inversions tens to hundreds of metres, mine blocks several metres and plant feeds blended over hours or days. Averaging alters variance and correlation. A recovery function fitted at sample scale may be biased when applied to block averages because nonlinear functions do not commute with averaging. Support correction, block simulation or explicit aggregation of fine-scale realisations is needed when local heterogeneity controls liberation or reaction. This is one reason why a single deterministic block grade paired with a deterministic recovery curve can underestimate operational variability.</w:t>
      </w:r>
    </w:p>
    <w:p w14:paraId="35378519" w14:textId="77777777" w:rsidR="000146C6" w:rsidRDefault="00000000">
      <w:pPr>
        <w:ind w:firstLine="288"/>
      </w:pPr>
      <w:r>
        <w:t xml:space="preserve">Geostatistical outputs should ultimately be evaluated through decisions. For early exploration, useful metrics include calibration of prospectivity classes and the spatial efficiency of target selection. For resource evaluation, conditional bias, slope of regression, local accuracy and reproduction of grade-tonnage behaviour matter. For recovery prediction, the model should reproduce not only average recovery but also the </w:t>
      </w:r>
      <w:r>
        <w:lastRenderedPageBreak/>
        <w:t xml:space="preserve">spatial distribution of low-recovery or high-penalty material and the uncertainty in blended feed. Decision-centred validation links geostatistical performance to scheduling, stockpiling, </w:t>
      </w:r>
      <w:proofErr w:type="spellStart"/>
      <w:r>
        <w:t>testwork</w:t>
      </w:r>
      <w:proofErr w:type="spellEnd"/>
      <w:r>
        <w:t xml:space="preserve"> allocation and process design rather than treating interpolation error as the sole objective.</w:t>
      </w:r>
    </w:p>
    <w:p w14:paraId="2DF9CE59" w14:textId="77777777" w:rsidR="000146C6" w:rsidRDefault="00000000">
      <w:pPr>
        <w:ind w:firstLine="288"/>
      </w:pPr>
      <w:r>
        <w:t>Table 3 compares the principal geostatistical families in terms of their appropriate recovery-related use, strengths and failure modes. The comparison reinforces that no method is universally superior; method selection should follow the spatial process, data density and decision consequence.</w:t>
      </w:r>
    </w:p>
    <w:p w14:paraId="636E03FF" w14:textId="77777777" w:rsidR="000146C6" w:rsidRDefault="000146C6">
      <w:pPr>
        <w:sectPr w:rsidR="000146C6">
          <w:pgSz w:w="12240" w:h="15840"/>
          <w:pgMar w:top="1037" w:right="1181" w:bottom="1037" w:left="1181" w:header="432" w:footer="432" w:gutter="0"/>
          <w:cols w:space="720"/>
          <w:docGrid w:linePitch="360"/>
        </w:sectPr>
      </w:pPr>
    </w:p>
    <w:p w14:paraId="0E9C3B69" w14:textId="77777777" w:rsidR="000146C6" w:rsidRDefault="00000000">
      <w:pPr>
        <w:keepNext/>
        <w:spacing w:after="120"/>
        <w:jc w:val="left"/>
      </w:pPr>
      <w:r>
        <w:rPr>
          <w:b/>
          <w:color w:val="1F4E79"/>
          <w:sz w:val="20"/>
        </w:rPr>
        <w:lastRenderedPageBreak/>
        <w:t>Table 3. Geostatistical methodologies for grade, domain and recovery-related spatial prediction</w:t>
      </w:r>
    </w:p>
    <w:tbl>
      <w:tblPr>
        <w:tblStyle w:val="TableGrid"/>
        <w:tblW w:w="0" w:type="auto"/>
        <w:jc w:val="center"/>
        <w:tblLayout w:type="fixed"/>
        <w:tblLook w:val="04A0" w:firstRow="1" w:lastRow="0" w:firstColumn="1" w:lastColumn="0" w:noHBand="0" w:noVBand="1"/>
      </w:tblPr>
      <w:tblGrid>
        <w:gridCol w:w="2232"/>
        <w:gridCol w:w="3384"/>
        <w:gridCol w:w="3384"/>
        <w:gridCol w:w="3384"/>
        <w:gridCol w:w="2088"/>
      </w:tblGrid>
      <w:tr w:rsidR="000146C6" w14:paraId="1A8A248B" w14:textId="77777777">
        <w:trPr>
          <w:cantSplit/>
          <w:tblHeader/>
          <w:jc w:val="center"/>
        </w:trPr>
        <w:tc>
          <w:tcPr>
            <w:tcW w:w="2232" w:type="dxa"/>
            <w:shd w:val="clear" w:color="auto" w:fill="1F4E79"/>
            <w:tcMar>
              <w:top w:w="95" w:type="dxa"/>
              <w:left w:w="95" w:type="dxa"/>
              <w:bottom w:w="95" w:type="dxa"/>
              <w:right w:w="95" w:type="dxa"/>
            </w:tcMar>
            <w:vAlign w:val="center"/>
          </w:tcPr>
          <w:p w14:paraId="1A9FE298" w14:textId="77777777" w:rsidR="000146C6" w:rsidRDefault="00000000">
            <w:pPr>
              <w:spacing w:after="0" w:line="240" w:lineRule="auto"/>
              <w:jc w:val="center"/>
            </w:pPr>
            <w:r>
              <w:rPr>
                <w:b/>
                <w:color w:val="FFFFFF"/>
                <w:sz w:val="16"/>
              </w:rPr>
              <w:t>Method</w:t>
            </w:r>
          </w:p>
        </w:tc>
        <w:tc>
          <w:tcPr>
            <w:tcW w:w="3384" w:type="dxa"/>
            <w:shd w:val="clear" w:color="auto" w:fill="1F4E79"/>
            <w:tcMar>
              <w:top w:w="95" w:type="dxa"/>
              <w:left w:w="95" w:type="dxa"/>
              <w:bottom w:w="95" w:type="dxa"/>
              <w:right w:w="95" w:type="dxa"/>
            </w:tcMar>
            <w:vAlign w:val="center"/>
          </w:tcPr>
          <w:p w14:paraId="02C4A495" w14:textId="77777777" w:rsidR="000146C6" w:rsidRDefault="00000000">
            <w:pPr>
              <w:spacing w:after="0" w:line="240" w:lineRule="auto"/>
              <w:jc w:val="center"/>
            </w:pPr>
            <w:r>
              <w:rPr>
                <w:b/>
                <w:color w:val="FFFFFF"/>
                <w:sz w:val="16"/>
              </w:rPr>
              <w:t>Most appropriate use</w:t>
            </w:r>
          </w:p>
        </w:tc>
        <w:tc>
          <w:tcPr>
            <w:tcW w:w="3384" w:type="dxa"/>
            <w:shd w:val="clear" w:color="auto" w:fill="1F4E79"/>
            <w:tcMar>
              <w:top w:w="95" w:type="dxa"/>
              <w:left w:w="95" w:type="dxa"/>
              <w:bottom w:w="95" w:type="dxa"/>
              <w:right w:w="95" w:type="dxa"/>
            </w:tcMar>
            <w:vAlign w:val="center"/>
          </w:tcPr>
          <w:p w14:paraId="4CEAA6EB" w14:textId="77777777" w:rsidR="000146C6" w:rsidRDefault="00000000">
            <w:pPr>
              <w:spacing w:after="0" w:line="240" w:lineRule="auto"/>
              <w:jc w:val="center"/>
            </w:pPr>
            <w:r>
              <w:rPr>
                <w:b/>
                <w:color w:val="FFFFFF"/>
                <w:sz w:val="16"/>
              </w:rPr>
              <w:t>Principal strength</w:t>
            </w:r>
          </w:p>
        </w:tc>
        <w:tc>
          <w:tcPr>
            <w:tcW w:w="3384" w:type="dxa"/>
            <w:shd w:val="clear" w:color="auto" w:fill="1F4E79"/>
            <w:tcMar>
              <w:top w:w="95" w:type="dxa"/>
              <w:left w:w="95" w:type="dxa"/>
              <w:bottom w:w="95" w:type="dxa"/>
              <w:right w:w="95" w:type="dxa"/>
            </w:tcMar>
            <w:vAlign w:val="center"/>
          </w:tcPr>
          <w:p w14:paraId="61126774" w14:textId="77777777" w:rsidR="000146C6" w:rsidRDefault="00000000">
            <w:pPr>
              <w:spacing w:after="0" w:line="240" w:lineRule="auto"/>
              <w:jc w:val="center"/>
            </w:pPr>
            <w:r>
              <w:rPr>
                <w:b/>
                <w:color w:val="FFFFFF"/>
                <w:sz w:val="16"/>
              </w:rPr>
              <w:t>Principal limitation</w:t>
            </w:r>
          </w:p>
        </w:tc>
        <w:tc>
          <w:tcPr>
            <w:tcW w:w="2088" w:type="dxa"/>
            <w:shd w:val="clear" w:color="auto" w:fill="1F4E79"/>
            <w:tcMar>
              <w:top w:w="95" w:type="dxa"/>
              <w:left w:w="95" w:type="dxa"/>
              <w:bottom w:w="95" w:type="dxa"/>
              <w:right w:w="95" w:type="dxa"/>
            </w:tcMar>
            <w:vAlign w:val="center"/>
          </w:tcPr>
          <w:p w14:paraId="1A17B512" w14:textId="77777777" w:rsidR="000146C6" w:rsidRDefault="00000000">
            <w:pPr>
              <w:spacing w:after="0" w:line="240" w:lineRule="auto"/>
              <w:jc w:val="center"/>
            </w:pPr>
            <w:r>
              <w:rPr>
                <w:b/>
                <w:color w:val="FFFFFF"/>
                <w:sz w:val="16"/>
              </w:rPr>
              <w:t>Supporting references</w:t>
            </w:r>
          </w:p>
        </w:tc>
      </w:tr>
      <w:tr w:rsidR="000146C6" w14:paraId="1A6B528B" w14:textId="77777777">
        <w:trPr>
          <w:cantSplit/>
          <w:jc w:val="center"/>
        </w:trPr>
        <w:tc>
          <w:tcPr>
            <w:tcW w:w="2232" w:type="dxa"/>
            <w:shd w:val="clear" w:color="auto" w:fill="F6F9FC"/>
            <w:tcMar>
              <w:top w:w="85" w:type="dxa"/>
              <w:left w:w="90" w:type="dxa"/>
              <w:bottom w:w="85" w:type="dxa"/>
              <w:right w:w="90" w:type="dxa"/>
            </w:tcMar>
            <w:vAlign w:val="center"/>
          </w:tcPr>
          <w:p w14:paraId="40A8BA65" w14:textId="77777777" w:rsidR="000146C6" w:rsidRDefault="00000000">
            <w:pPr>
              <w:spacing w:after="0" w:line="240" w:lineRule="auto"/>
              <w:jc w:val="left"/>
            </w:pPr>
            <w:r>
              <w:rPr>
                <w:sz w:val="15"/>
              </w:rPr>
              <w:t>Ordinary or universal kriging</w:t>
            </w:r>
          </w:p>
        </w:tc>
        <w:tc>
          <w:tcPr>
            <w:tcW w:w="3384" w:type="dxa"/>
            <w:shd w:val="clear" w:color="auto" w:fill="F6F9FC"/>
            <w:tcMar>
              <w:top w:w="85" w:type="dxa"/>
              <w:left w:w="90" w:type="dxa"/>
              <w:bottom w:w="85" w:type="dxa"/>
              <w:right w:w="90" w:type="dxa"/>
            </w:tcMar>
            <w:vAlign w:val="center"/>
          </w:tcPr>
          <w:p w14:paraId="24037CA0" w14:textId="77777777" w:rsidR="000146C6" w:rsidRDefault="00000000">
            <w:pPr>
              <w:spacing w:after="0" w:line="240" w:lineRule="auto"/>
              <w:jc w:val="left"/>
            </w:pPr>
            <w:r>
              <w:rPr>
                <w:sz w:val="15"/>
              </w:rPr>
              <w:t>Local estimation of grade or a transformed response within defensible domains</w:t>
            </w:r>
          </w:p>
        </w:tc>
        <w:tc>
          <w:tcPr>
            <w:tcW w:w="3384" w:type="dxa"/>
            <w:shd w:val="clear" w:color="auto" w:fill="F6F9FC"/>
            <w:tcMar>
              <w:top w:w="85" w:type="dxa"/>
              <w:left w:w="90" w:type="dxa"/>
              <w:bottom w:w="85" w:type="dxa"/>
              <w:right w:w="90" w:type="dxa"/>
            </w:tcMar>
            <w:vAlign w:val="center"/>
          </w:tcPr>
          <w:p w14:paraId="34D0C7FD" w14:textId="77777777" w:rsidR="000146C6" w:rsidRDefault="00000000">
            <w:pPr>
              <w:spacing w:after="0" w:line="240" w:lineRule="auto"/>
              <w:jc w:val="left"/>
            </w:pPr>
            <w:r>
              <w:rPr>
                <w:sz w:val="15"/>
              </w:rPr>
              <w:t>Explicit neighbourhood, covariance structure and support-aware block estimation</w:t>
            </w:r>
          </w:p>
        </w:tc>
        <w:tc>
          <w:tcPr>
            <w:tcW w:w="3384" w:type="dxa"/>
            <w:shd w:val="clear" w:color="auto" w:fill="F6F9FC"/>
            <w:tcMar>
              <w:top w:w="85" w:type="dxa"/>
              <w:left w:w="90" w:type="dxa"/>
              <w:bottom w:w="85" w:type="dxa"/>
              <w:right w:w="90" w:type="dxa"/>
            </w:tcMar>
            <w:vAlign w:val="center"/>
          </w:tcPr>
          <w:p w14:paraId="489501C9" w14:textId="77777777" w:rsidR="000146C6" w:rsidRDefault="00000000">
            <w:pPr>
              <w:spacing w:after="0" w:line="240" w:lineRule="auto"/>
              <w:jc w:val="left"/>
            </w:pPr>
            <w:r>
              <w:rPr>
                <w:sz w:val="15"/>
              </w:rPr>
              <w:t>Conditional-mean smoothing suppresses extremes; kriging variance does not capture all geological or model uncertainty</w:t>
            </w:r>
          </w:p>
        </w:tc>
        <w:tc>
          <w:tcPr>
            <w:tcW w:w="2088" w:type="dxa"/>
            <w:shd w:val="clear" w:color="auto" w:fill="F6F9FC"/>
            <w:tcMar>
              <w:top w:w="85" w:type="dxa"/>
              <w:left w:w="90" w:type="dxa"/>
              <w:bottom w:w="85" w:type="dxa"/>
              <w:right w:w="90" w:type="dxa"/>
            </w:tcMar>
            <w:vAlign w:val="center"/>
          </w:tcPr>
          <w:p w14:paraId="177263CC" w14:textId="77777777" w:rsidR="000146C6" w:rsidRDefault="00000000">
            <w:pPr>
              <w:spacing w:after="0" w:line="240" w:lineRule="auto"/>
              <w:jc w:val="left"/>
            </w:pPr>
            <w:r>
              <w:rPr>
                <w:sz w:val="15"/>
              </w:rPr>
              <w:t>(Oliver &amp; Webster, 2014; Yamamoto, 2005)</w:t>
            </w:r>
          </w:p>
        </w:tc>
      </w:tr>
      <w:tr w:rsidR="000146C6" w14:paraId="4233C026" w14:textId="77777777">
        <w:trPr>
          <w:cantSplit/>
          <w:jc w:val="center"/>
        </w:trPr>
        <w:tc>
          <w:tcPr>
            <w:tcW w:w="2232" w:type="dxa"/>
            <w:tcMar>
              <w:top w:w="85" w:type="dxa"/>
              <w:left w:w="90" w:type="dxa"/>
              <w:bottom w:w="85" w:type="dxa"/>
              <w:right w:w="90" w:type="dxa"/>
            </w:tcMar>
            <w:vAlign w:val="center"/>
          </w:tcPr>
          <w:p w14:paraId="224A5246" w14:textId="77777777" w:rsidR="000146C6" w:rsidRDefault="00000000">
            <w:pPr>
              <w:spacing w:after="0" w:line="240" w:lineRule="auto"/>
              <w:jc w:val="left"/>
            </w:pPr>
            <w:r>
              <w:rPr>
                <w:sz w:val="15"/>
              </w:rPr>
              <w:t xml:space="preserve">Indicator and categorical </w:t>
            </w:r>
            <w:proofErr w:type="spellStart"/>
            <w:r>
              <w:rPr>
                <w:sz w:val="15"/>
              </w:rPr>
              <w:t>geostatistics</w:t>
            </w:r>
            <w:proofErr w:type="spellEnd"/>
          </w:p>
        </w:tc>
        <w:tc>
          <w:tcPr>
            <w:tcW w:w="3384" w:type="dxa"/>
            <w:tcMar>
              <w:top w:w="85" w:type="dxa"/>
              <w:left w:w="90" w:type="dxa"/>
              <w:bottom w:w="85" w:type="dxa"/>
              <w:right w:w="90" w:type="dxa"/>
            </w:tcMar>
            <w:vAlign w:val="center"/>
          </w:tcPr>
          <w:p w14:paraId="18430E9D" w14:textId="77777777" w:rsidR="000146C6" w:rsidRDefault="00000000">
            <w:pPr>
              <w:spacing w:after="0" w:line="240" w:lineRule="auto"/>
              <w:jc w:val="left"/>
            </w:pPr>
            <w:r>
              <w:rPr>
                <w:sz w:val="15"/>
              </w:rPr>
              <w:t>Probabilities of threshold exceedance, facies, oxidation states or metallurgical classes</w:t>
            </w:r>
          </w:p>
        </w:tc>
        <w:tc>
          <w:tcPr>
            <w:tcW w:w="3384" w:type="dxa"/>
            <w:tcMar>
              <w:top w:w="85" w:type="dxa"/>
              <w:left w:w="90" w:type="dxa"/>
              <w:bottom w:w="85" w:type="dxa"/>
              <w:right w:w="90" w:type="dxa"/>
            </w:tcMar>
            <w:vAlign w:val="center"/>
          </w:tcPr>
          <w:p w14:paraId="5F9465F0" w14:textId="77777777" w:rsidR="000146C6" w:rsidRDefault="00000000">
            <w:pPr>
              <w:spacing w:after="0" w:line="240" w:lineRule="auto"/>
              <w:jc w:val="left"/>
            </w:pPr>
            <w:r>
              <w:rPr>
                <w:sz w:val="15"/>
              </w:rPr>
              <w:t>Handles non-Gaussian thresholds and expresses class uncertainty spatially</w:t>
            </w:r>
          </w:p>
        </w:tc>
        <w:tc>
          <w:tcPr>
            <w:tcW w:w="3384" w:type="dxa"/>
            <w:tcMar>
              <w:top w:w="85" w:type="dxa"/>
              <w:left w:w="90" w:type="dxa"/>
              <w:bottom w:w="85" w:type="dxa"/>
              <w:right w:w="90" w:type="dxa"/>
            </w:tcMar>
            <w:vAlign w:val="center"/>
          </w:tcPr>
          <w:p w14:paraId="5B179E46" w14:textId="77777777" w:rsidR="000146C6" w:rsidRDefault="00000000">
            <w:pPr>
              <w:spacing w:after="0" w:line="240" w:lineRule="auto"/>
              <w:jc w:val="left"/>
            </w:pPr>
            <w:r>
              <w:rPr>
                <w:sz w:val="15"/>
              </w:rPr>
              <w:t>Sensitive to threshold selection, order relations and sparse classes; retrospective class labels may contain error</w:t>
            </w:r>
          </w:p>
        </w:tc>
        <w:tc>
          <w:tcPr>
            <w:tcW w:w="2088" w:type="dxa"/>
            <w:tcMar>
              <w:top w:w="85" w:type="dxa"/>
              <w:left w:w="90" w:type="dxa"/>
              <w:bottom w:w="85" w:type="dxa"/>
              <w:right w:w="90" w:type="dxa"/>
            </w:tcMar>
            <w:vAlign w:val="center"/>
          </w:tcPr>
          <w:p w14:paraId="341FC776" w14:textId="77777777" w:rsidR="000146C6" w:rsidRDefault="00000000">
            <w:pPr>
              <w:spacing w:after="0" w:line="240" w:lineRule="auto"/>
              <w:jc w:val="left"/>
            </w:pPr>
            <w:r>
              <w:rPr>
                <w:sz w:val="15"/>
              </w:rPr>
              <w:t>(Oliver &amp; Webster, 2014)</w:t>
            </w:r>
          </w:p>
        </w:tc>
      </w:tr>
      <w:tr w:rsidR="000146C6" w14:paraId="7BC6DC9B" w14:textId="77777777">
        <w:trPr>
          <w:cantSplit/>
          <w:jc w:val="center"/>
        </w:trPr>
        <w:tc>
          <w:tcPr>
            <w:tcW w:w="2232" w:type="dxa"/>
            <w:shd w:val="clear" w:color="auto" w:fill="F6F9FC"/>
            <w:tcMar>
              <w:top w:w="85" w:type="dxa"/>
              <w:left w:w="90" w:type="dxa"/>
              <w:bottom w:w="85" w:type="dxa"/>
              <w:right w:w="90" w:type="dxa"/>
            </w:tcMar>
            <w:vAlign w:val="center"/>
          </w:tcPr>
          <w:p w14:paraId="565F5A2E" w14:textId="77777777" w:rsidR="000146C6" w:rsidRDefault="00000000">
            <w:pPr>
              <w:spacing w:after="0" w:line="240" w:lineRule="auto"/>
              <w:jc w:val="left"/>
            </w:pPr>
            <w:r>
              <w:rPr>
                <w:sz w:val="15"/>
              </w:rPr>
              <w:t>Co-kriging and secondary-variable integration</w:t>
            </w:r>
          </w:p>
        </w:tc>
        <w:tc>
          <w:tcPr>
            <w:tcW w:w="3384" w:type="dxa"/>
            <w:shd w:val="clear" w:color="auto" w:fill="F6F9FC"/>
            <w:tcMar>
              <w:top w:w="85" w:type="dxa"/>
              <w:left w:w="90" w:type="dxa"/>
              <w:bottom w:w="85" w:type="dxa"/>
              <w:right w:w="90" w:type="dxa"/>
            </w:tcMar>
            <w:vAlign w:val="center"/>
          </w:tcPr>
          <w:p w14:paraId="23137187" w14:textId="77777777" w:rsidR="000146C6" w:rsidRDefault="00000000">
            <w:pPr>
              <w:spacing w:after="0" w:line="240" w:lineRule="auto"/>
              <w:jc w:val="left"/>
            </w:pPr>
            <w:r>
              <w:rPr>
                <w:sz w:val="15"/>
              </w:rPr>
              <w:t>Prediction of sparsely tested grade, mineralogy or response using dense spectral, geophysical or proxy data</w:t>
            </w:r>
          </w:p>
        </w:tc>
        <w:tc>
          <w:tcPr>
            <w:tcW w:w="3384" w:type="dxa"/>
            <w:shd w:val="clear" w:color="auto" w:fill="F6F9FC"/>
            <w:tcMar>
              <w:top w:w="85" w:type="dxa"/>
              <w:left w:w="90" w:type="dxa"/>
              <w:bottom w:w="85" w:type="dxa"/>
              <w:right w:w="90" w:type="dxa"/>
            </w:tcMar>
            <w:vAlign w:val="center"/>
          </w:tcPr>
          <w:p w14:paraId="3BF70137" w14:textId="77777777" w:rsidR="000146C6" w:rsidRDefault="00000000">
            <w:pPr>
              <w:spacing w:after="0" w:line="240" w:lineRule="auto"/>
              <w:jc w:val="left"/>
            </w:pPr>
            <w:r>
              <w:rPr>
                <w:sz w:val="15"/>
              </w:rPr>
              <w:t>Can improve local estimates when cross-covariance and supports are stable</w:t>
            </w:r>
          </w:p>
        </w:tc>
        <w:tc>
          <w:tcPr>
            <w:tcW w:w="3384" w:type="dxa"/>
            <w:shd w:val="clear" w:color="auto" w:fill="F6F9FC"/>
            <w:tcMar>
              <w:top w:w="85" w:type="dxa"/>
              <w:left w:w="90" w:type="dxa"/>
              <w:bottom w:w="85" w:type="dxa"/>
              <w:right w:w="90" w:type="dxa"/>
            </w:tcMar>
            <w:vAlign w:val="center"/>
          </w:tcPr>
          <w:p w14:paraId="0DF6652A" w14:textId="77777777" w:rsidR="000146C6" w:rsidRDefault="00000000">
            <w:pPr>
              <w:spacing w:after="0" w:line="240" w:lineRule="auto"/>
              <w:jc w:val="left"/>
            </w:pPr>
            <w:r>
              <w:rPr>
                <w:sz w:val="15"/>
              </w:rPr>
              <w:t>Cross-relationships may change by domain or support; dense secondary data can dominate weak primary calibration</w:t>
            </w:r>
          </w:p>
        </w:tc>
        <w:tc>
          <w:tcPr>
            <w:tcW w:w="2088" w:type="dxa"/>
            <w:shd w:val="clear" w:color="auto" w:fill="F6F9FC"/>
            <w:tcMar>
              <w:top w:w="85" w:type="dxa"/>
              <w:left w:w="90" w:type="dxa"/>
              <w:bottom w:w="85" w:type="dxa"/>
              <w:right w:w="90" w:type="dxa"/>
            </w:tcMar>
            <w:vAlign w:val="center"/>
          </w:tcPr>
          <w:p w14:paraId="4093A8FE" w14:textId="77777777" w:rsidR="000146C6" w:rsidRDefault="00000000">
            <w:pPr>
              <w:spacing w:after="0" w:line="240" w:lineRule="auto"/>
              <w:jc w:val="left"/>
            </w:pPr>
            <w:r>
              <w:rPr>
                <w:sz w:val="15"/>
              </w:rPr>
              <w:t>(Gadea et al., 2024; Oliver &amp; Webster, 2014)</w:t>
            </w:r>
          </w:p>
        </w:tc>
      </w:tr>
      <w:tr w:rsidR="000146C6" w14:paraId="32F37BE6" w14:textId="77777777">
        <w:trPr>
          <w:cantSplit/>
          <w:jc w:val="center"/>
        </w:trPr>
        <w:tc>
          <w:tcPr>
            <w:tcW w:w="2232" w:type="dxa"/>
            <w:tcMar>
              <w:top w:w="85" w:type="dxa"/>
              <w:left w:w="90" w:type="dxa"/>
              <w:bottom w:w="85" w:type="dxa"/>
              <w:right w:w="90" w:type="dxa"/>
            </w:tcMar>
            <w:vAlign w:val="center"/>
          </w:tcPr>
          <w:p w14:paraId="170A1954" w14:textId="77777777" w:rsidR="000146C6" w:rsidRDefault="00000000">
            <w:pPr>
              <w:spacing w:after="0" w:line="240" w:lineRule="auto"/>
              <w:jc w:val="left"/>
            </w:pPr>
            <w:r>
              <w:rPr>
                <w:sz w:val="15"/>
              </w:rPr>
              <w:t>Conditional simulation</w:t>
            </w:r>
          </w:p>
        </w:tc>
        <w:tc>
          <w:tcPr>
            <w:tcW w:w="3384" w:type="dxa"/>
            <w:tcMar>
              <w:top w:w="85" w:type="dxa"/>
              <w:left w:w="90" w:type="dxa"/>
              <w:bottom w:w="85" w:type="dxa"/>
              <w:right w:w="90" w:type="dxa"/>
            </w:tcMar>
            <w:vAlign w:val="center"/>
          </w:tcPr>
          <w:p w14:paraId="797A5818" w14:textId="77777777" w:rsidR="000146C6" w:rsidRDefault="00000000">
            <w:pPr>
              <w:spacing w:after="0" w:line="240" w:lineRule="auto"/>
              <w:jc w:val="left"/>
            </w:pPr>
            <w:r>
              <w:rPr>
                <w:sz w:val="15"/>
              </w:rPr>
              <w:t>Uncertainty in continuity, grade-tonnage, selective mining, blending and recoverable output</w:t>
            </w:r>
          </w:p>
        </w:tc>
        <w:tc>
          <w:tcPr>
            <w:tcW w:w="3384" w:type="dxa"/>
            <w:tcMar>
              <w:top w:w="85" w:type="dxa"/>
              <w:left w:w="90" w:type="dxa"/>
              <w:bottom w:w="85" w:type="dxa"/>
              <w:right w:w="90" w:type="dxa"/>
            </w:tcMar>
            <w:vAlign w:val="center"/>
          </w:tcPr>
          <w:p w14:paraId="659293D7" w14:textId="77777777" w:rsidR="000146C6" w:rsidRDefault="00000000">
            <w:pPr>
              <w:spacing w:after="0" w:line="240" w:lineRule="auto"/>
              <w:jc w:val="left"/>
            </w:pPr>
            <w:r>
              <w:rPr>
                <w:sz w:val="15"/>
              </w:rPr>
              <w:t>Generates alternative spatial realisations that can be propagated through response and planning models</w:t>
            </w:r>
          </w:p>
        </w:tc>
        <w:tc>
          <w:tcPr>
            <w:tcW w:w="3384" w:type="dxa"/>
            <w:tcMar>
              <w:top w:w="85" w:type="dxa"/>
              <w:left w:w="90" w:type="dxa"/>
              <w:bottom w:w="85" w:type="dxa"/>
              <w:right w:w="90" w:type="dxa"/>
            </w:tcMar>
            <w:vAlign w:val="center"/>
          </w:tcPr>
          <w:p w14:paraId="433E9A83" w14:textId="77777777" w:rsidR="000146C6" w:rsidRDefault="00000000">
            <w:pPr>
              <w:spacing w:after="0" w:line="240" w:lineRule="auto"/>
              <w:jc w:val="left"/>
            </w:pPr>
            <w:r>
              <w:rPr>
                <w:sz w:val="15"/>
              </w:rPr>
              <w:t>Results depend on transformation, variogram and domain assumptions; multiple realisations can still be systematically wrong</w:t>
            </w:r>
          </w:p>
        </w:tc>
        <w:tc>
          <w:tcPr>
            <w:tcW w:w="2088" w:type="dxa"/>
            <w:tcMar>
              <w:top w:w="85" w:type="dxa"/>
              <w:left w:w="90" w:type="dxa"/>
              <w:bottom w:w="85" w:type="dxa"/>
              <w:right w:w="90" w:type="dxa"/>
            </w:tcMar>
            <w:vAlign w:val="center"/>
          </w:tcPr>
          <w:p w14:paraId="53BA73A6" w14:textId="77777777" w:rsidR="000146C6" w:rsidRDefault="00000000">
            <w:pPr>
              <w:spacing w:after="0" w:line="240" w:lineRule="auto"/>
              <w:jc w:val="left"/>
            </w:pPr>
            <w:r>
              <w:rPr>
                <w:sz w:val="15"/>
              </w:rPr>
              <w:t>(</w:t>
            </w:r>
            <w:proofErr w:type="spellStart"/>
            <w:r>
              <w:rPr>
                <w:sz w:val="15"/>
              </w:rPr>
              <w:t>Nwaila</w:t>
            </w:r>
            <w:proofErr w:type="spellEnd"/>
            <w:r>
              <w:rPr>
                <w:sz w:val="15"/>
              </w:rPr>
              <w:t xml:space="preserve"> et al., 2024; Oliver &amp; Webster, 2014)</w:t>
            </w:r>
          </w:p>
        </w:tc>
      </w:tr>
      <w:tr w:rsidR="000146C6" w14:paraId="6B152A0B" w14:textId="77777777">
        <w:trPr>
          <w:cantSplit/>
          <w:jc w:val="center"/>
        </w:trPr>
        <w:tc>
          <w:tcPr>
            <w:tcW w:w="2232" w:type="dxa"/>
            <w:shd w:val="clear" w:color="auto" w:fill="F6F9FC"/>
            <w:tcMar>
              <w:top w:w="85" w:type="dxa"/>
              <w:left w:w="90" w:type="dxa"/>
              <w:bottom w:w="85" w:type="dxa"/>
              <w:right w:w="90" w:type="dxa"/>
            </w:tcMar>
            <w:vAlign w:val="center"/>
          </w:tcPr>
          <w:p w14:paraId="41E5032B" w14:textId="77777777" w:rsidR="000146C6" w:rsidRDefault="00000000">
            <w:pPr>
              <w:spacing w:after="0" w:line="240" w:lineRule="auto"/>
              <w:jc w:val="left"/>
            </w:pPr>
            <w:r>
              <w:rPr>
                <w:sz w:val="15"/>
              </w:rPr>
              <w:t xml:space="preserve">Multiple-point </w:t>
            </w:r>
            <w:proofErr w:type="spellStart"/>
            <w:r>
              <w:rPr>
                <w:sz w:val="15"/>
              </w:rPr>
              <w:t>geostatistics</w:t>
            </w:r>
            <w:proofErr w:type="spellEnd"/>
          </w:p>
        </w:tc>
        <w:tc>
          <w:tcPr>
            <w:tcW w:w="3384" w:type="dxa"/>
            <w:shd w:val="clear" w:color="auto" w:fill="F6F9FC"/>
            <w:tcMar>
              <w:top w:w="85" w:type="dxa"/>
              <w:left w:w="90" w:type="dxa"/>
              <w:bottom w:w="85" w:type="dxa"/>
              <w:right w:w="90" w:type="dxa"/>
            </w:tcMar>
            <w:vAlign w:val="center"/>
          </w:tcPr>
          <w:p w14:paraId="09B74F95" w14:textId="77777777" w:rsidR="000146C6" w:rsidRDefault="00000000">
            <w:pPr>
              <w:spacing w:after="0" w:line="240" w:lineRule="auto"/>
              <w:jc w:val="left"/>
            </w:pPr>
            <w:r>
              <w:rPr>
                <w:sz w:val="15"/>
              </w:rPr>
              <w:t>Complex facies, alteration or connected textural patterns not described by two-point covariance</w:t>
            </w:r>
          </w:p>
        </w:tc>
        <w:tc>
          <w:tcPr>
            <w:tcW w:w="3384" w:type="dxa"/>
            <w:shd w:val="clear" w:color="auto" w:fill="F6F9FC"/>
            <w:tcMar>
              <w:top w:w="85" w:type="dxa"/>
              <w:left w:w="90" w:type="dxa"/>
              <w:bottom w:w="85" w:type="dxa"/>
              <w:right w:w="90" w:type="dxa"/>
            </w:tcMar>
            <w:vAlign w:val="center"/>
          </w:tcPr>
          <w:p w14:paraId="5874BB21" w14:textId="77777777" w:rsidR="000146C6" w:rsidRDefault="00000000">
            <w:pPr>
              <w:spacing w:after="0" w:line="240" w:lineRule="auto"/>
              <w:jc w:val="left"/>
            </w:pPr>
            <w:r>
              <w:rPr>
                <w:sz w:val="15"/>
              </w:rPr>
              <w:t>Reproduces higher-order spatial patterns from training images</w:t>
            </w:r>
          </w:p>
        </w:tc>
        <w:tc>
          <w:tcPr>
            <w:tcW w:w="3384" w:type="dxa"/>
            <w:shd w:val="clear" w:color="auto" w:fill="F6F9FC"/>
            <w:tcMar>
              <w:top w:w="85" w:type="dxa"/>
              <w:left w:w="90" w:type="dxa"/>
              <w:bottom w:w="85" w:type="dxa"/>
              <w:right w:w="90" w:type="dxa"/>
            </w:tcMar>
            <w:vAlign w:val="center"/>
          </w:tcPr>
          <w:p w14:paraId="113BBD14" w14:textId="77777777" w:rsidR="000146C6" w:rsidRDefault="00000000">
            <w:pPr>
              <w:spacing w:after="0" w:line="240" w:lineRule="auto"/>
              <w:jc w:val="left"/>
            </w:pPr>
            <w:r>
              <w:rPr>
                <w:sz w:val="15"/>
              </w:rPr>
              <w:t>Training-image representativeness is difficult to establish and can impose unverified geological geometry</w:t>
            </w:r>
          </w:p>
        </w:tc>
        <w:tc>
          <w:tcPr>
            <w:tcW w:w="2088" w:type="dxa"/>
            <w:shd w:val="clear" w:color="auto" w:fill="F6F9FC"/>
            <w:tcMar>
              <w:top w:w="85" w:type="dxa"/>
              <w:left w:w="90" w:type="dxa"/>
              <w:bottom w:w="85" w:type="dxa"/>
              <w:right w:w="90" w:type="dxa"/>
            </w:tcMar>
            <w:vAlign w:val="center"/>
          </w:tcPr>
          <w:p w14:paraId="3BD164CF" w14:textId="77777777" w:rsidR="000146C6" w:rsidRDefault="00000000">
            <w:pPr>
              <w:spacing w:after="0" w:line="240" w:lineRule="auto"/>
              <w:jc w:val="left"/>
            </w:pPr>
            <w:r>
              <w:rPr>
                <w:sz w:val="15"/>
              </w:rPr>
              <w:t xml:space="preserve">(Hu &amp; Chugunova, 2008; </w:t>
            </w:r>
            <w:proofErr w:type="spellStart"/>
            <w:r>
              <w:rPr>
                <w:sz w:val="15"/>
              </w:rPr>
              <w:t>Mariethoz</w:t>
            </w:r>
            <w:proofErr w:type="spellEnd"/>
            <w:r>
              <w:rPr>
                <w:sz w:val="15"/>
              </w:rPr>
              <w:t xml:space="preserve"> et al., 2010)</w:t>
            </w:r>
          </w:p>
        </w:tc>
      </w:tr>
      <w:tr w:rsidR="000146C6" w14:paraId="3219A04C" w14:textId="77777777">
        <w:trPr>
          <w:cantSplit/>
          <w:jc w:val="center"/>
        </w:trPr>
        <w:tc>
          <w:tcPr>
            <w:tcW w:w="2232" w:type="dxa"/>
            <w:tcMar>
              <w:top w:w="85" w:type="dxa"/>
              <w:left w:w="90" w:type="dxa"/>
              <w:bottom w:w="85" w:type="dxa"/>
              <w:right w:w="90" w:type="dxa"/>
            </w:tcMar>
            <w:vAlign w:val="center"/>
          </w:tcPr>
          <w:p w14:paraId="25FAE7D3" w14:textId="77777777" w:rsidR="000146C6" w:rsidRDefault="00000000">
            <w:pPr>
              <w:spacing w:after="0" w:line="240" w:lineRule="auto"/>
              <w:jc w:val="left"/>
            </w:pPr>
            <w:r>
              <w:rPr>
                <w:sz w:val="15"/>
              </w:rPr>
              <w:t>Machine-learning trend plus spatial residual model</w:t>
            </w:r>
          </w:p>
        </w:tc>
        <w:tc>
          <w:tcPr>
            <w:tcW w:w="3384" w:type="dxa"/>
            <w:tcMar>
              <w:top w:w="85" w:type="dxa"/>
              <w:left w:w="90" w:type="dxa"/>
              <w:bottom w:w="85" w:type="dxa"/>
              <w:right w:w="90" w:type="dxa"/>
            </w:tcMar>
            <w:vAlign w:val="center"/>
          </w:tcPr>
          <w:p w14:paraId="259C5EFF" w14:textId="77777777" w:rsidR="000146C6" w:rsidRDefault="00000000">
            <w:pPr>
              <w:spacing w:after="0" w:line="240" w:lineRule="auto"/>
              <w:jc w:val="left"/>
            </w:pPr>
            <w:r>
              <w:rPr>
                <w:sz w:val="15"/>
              </w:rPr>
              <w:t>Nonlinear relations among covariates with residual spatial dependence</w:t>
            </w:r>
          </w:p>
        </w:tc>
        <w:tc>
          <w:tcPr>
            <w:tcW w:w="3384" w:type="dxa"/>
            <w:tcMar>
              <w:top w:w="85" w:type="dxa"/>
              <w:left w:w="90" w:type="dxa"/>
              <w:bottom w:w="85" w:type="dxa"/>
              <w:right w:w="90" w:type="dxa"/>
            </w:tcMar>
            <w:vAlign w:val="center"/>
          </w:tcPr>
          <w:p w14:paraId="7AF53234" w14:textId="77777777" w:rsidR="000146C6" w:rsidRDefault="00000000">
            <w:pPr>
              <w:spacing w:after="0" w:line="240" w:lineRule="auto"/>
              <w:jc w:val="left"/>
            </w:pPr>
            <w:r>
              <w:rPr>
                <w:sz w:val="15"/>
              </w:rPr>
              <w:t>Combines flexible trend estimation with spatially coherent correction and uncertainty analysis</w:t>
            </w:r>
          </w:p>
        </w:tc>
        <w:tc>
          <w:tcPr>
            <w:tcW w:w="3384" w:type="dxa"/>
            <w:tcMar>
              <w:top w:w="85" w:type="dxa"/>
              <w:left w:w="90" w:type="dxa"/>
              <w:bottom w:w="85" w:type="dxa"/>
              <w:right w:w="90" w:type="dxa"/>
            </w:tcMar>
            <w:vAlign w:val="center"/>
          </w:tcPr>
          <w:p w14:paraId="2B93DF5E" w14:textId="77777777" w:rsidR="000146C6" w:rsidRDefault="00000000">
            <w:pPr>
              <w:spacing w:after="0" w:line="240" w:lineRule="auto"/>
              <w:jc w:val="left"/>
            </w:pPr>
            <w:r>
              <w:rPr>
                <w:sz w:val="15"/>
              </w:rPr>
              <w:t>Can double-count location information or propagate biased residual structure if validation is not spatially separated</w:t>
            </w:r>
          </w:p>
        </w:tc>
        <w:tc>
          <w:tcPr>
            <w:tcW w:w="2088" w:type="dxa"/>
            <w:tcMar>
              <w:top w:w="85" w:type="dxa"/>
              <w:left w:w="90" w:type="dxa"/>
              <w:bottom w:w="85" w:type="dxa"/>
              <w:right w:w="90" w:type="dxa"/>
            </w:tcMar>
            <w:vAlign w:val="center"/>
          </w:tcPr>
          <w:p w14:paraId="62ECD0F8" w14:textId="77777777" w:rsidR="000146C6" w:rsidRDefault="00000000">
            <w:pPr>
              <w:spacing w:after="0" w:line="240" w:lineRule="auto"/>
              <w:jc w:val="left"/>
            </w:pPr>
            <w:r>
              <w:rPr>
                <w:sz w:val="15"/>
              </w:rPr>
              <w:t>(</w:t>
            </w:r>
            <w:proofErr w:type="spellStart"/>
            <w:r>
              <w:rPr>
                <w:sz w:val="15"/>
              </w:rPr>
              <w:t>Hoffimann</w:t>
            </w:r>
            <w:proofErr w:type="spellEnd"/>
            <w:r>
              <w:rPr>
                <w:sz w:val="15"/>
              </w:rPr>
              <w:t xml:space="preserve"> et al., 2021; </w:t>
            </w:r>
            <w:proofErr w:type="spellStart"/>
            <w:r>
              <w:rPr>
                <w:sz w:val="15"/>
              </w:rPr>
              <w:t>Nwaila</w:t>
            </w:r>
            <w:proofErr w:type="spellEnd"/>
            <w:r>
              <w:rPr>
                <w:sz w:val="15"/>
              </w:rPr>
              <w:t xml:space="preserve"> et al., 2024)</w:t>
            </w:r>
          </w:p>
        </w:tc>
      </w:tr>
    </w:tbl>
    <w:p w14:paraId="1C275429" w14:textId="77777777" w:rsidR="000146C6" w:rsidRDefault="00000000">
      <w:pPr>
        <w:spacing w:before="100" w:after="0"/>
      </w:pPr>
      <w:r>
        <w:rPr>
          <w:i/>
          <w:color w:val="4A4A4A"/>
          <w:sz w:val="16"/>
        </w:rPr>
        <w:t xml:space="preserve">Note. Method choice should follow the </w:t>
      </w:r>
      <w:proofErr w:type="spellStart"/>
      <w:r>
        <w:rPr>
          <w:i/>
          <w:color w:val="4A4A4A"/>
          <w:sz w:val="16"/>
        </w:rPr>
        <w:t>estimand</w:t>
      </w:r>
      <w:proofErr w:type="spellEnd"/>
      <w:r>
        <w:rPr>
          <w:i/>
          <w:color w:val="4A4A4A"/>
          <w:sz w:val="16"/>
        </w:rPr>
        <w:t>, spatial process and decision. The table does not imply that a named method is valid without geological domaining, support analysis and independent validation.</w:t>
      </w:r>
    </w:p>
    <w:p w14:paraId="2BD4667D" w14:textId="77777777" w:rsidR="000146C6" w:rsidRDefault="000146C6">
      <w:pPr>
        <w:sectPr w:rsidR="000146C6">
          <w:pgSz w:w="15840" w:h="12240" w:orient="landscape"/>
          <w:pgMar w:top="792" w:right="792" w:bottom="792" w:left="792" w:header="432" w:footer="432" w:gutter="0"/>
          <w:cols w:space="720"/>
          <w:docGrid w:linePitch="360"/>
        </w:sectPr>
      </w:pPr>
    </w:p>
    <w:p w14:paraId="0E6C88BA" w14:textId="77777777" w:rsidR="000146C6" w:rsidRDefault="00000000">
      <w:pPr>
        <w:pStyle w:val="Heading1"/>
      </w:pPr>
      <w:r>
        <w:lastRenderedPageBreak/>
        <w:t>6. Machine Learning for Prospectivity, Grade, Mineralogy and Process Recovery</w:t>
      </w:r>
    </w:p>
    <w:p w14:paraId="74C60DB3" w14:textId="77777777" w:rsidR="000146C6" w:rsidRDefault="00000000">
      <w:pPr>
        <w:ind w:firstLine="288"/>
      </w:pPr>
      <w:r>
        <w:t>Machine learning is attractive in critical-mineral prediction because modern datasets are heterogeneous, nonlinear and high dimensional. The term covers distinct model families with different inductive biases. Tree ensembles partition predictor space and capture interactions with little distributional specification. Support-vector machines construct margins or nonlinear kernel surfaces. Neural networks learn layered representations and can process images, spectra and sequences. Convolutional architectures exploit local structure in images or grids, while recurrent and attention-based models can represent temporal dependencies. These capabilities are valuable, but they do not remove the need to define the target, sampling process and spatial support.</w:t>
      </w:r>
    </w:p>
    <w:p w14:paraId="6D088CD4" w14:textId="77777777" w:rsidR="000146C6" w:rsidRDefault="00000000">
      <w:pPr>
        <w:ind w:firstLine="288"/>
      </w:pPr>
      <w:r>
        <w:t>In regional mineral prospectivity mapping, random forests are often competitive because they handle nonlinear effects, mixed predictor types and missing values and are relatively robust in small- to moderate-sized tabular datasets. Carranza and Laborte (2015) demonstrated their utility under few-positive and missing-data conditions, although the case also highlights that performance is conditioned by how negative examples are generated. Comparative work has shown that random forests, neural networks, regression trees and support-vector machines can produce different prospectivity patterns even when summary accuracy appears similar (Rodríguez-Galiano et al., 2015). Such differences are not merely computational. Each algorithm encodes a different response to class imbalance, correlated evidence layers, local sample density and extrapolation.</w:t>
      </w:r>
    </w:p>
    <w:p w14:paraId="7C0F8424" w14:textId="77777777" w:rsidR="000146C6" w:rsidRDefault="00000000">
      <w:pPr>
        <w:ind w:firstLine="288"/>
      </w:pPr>
      <w:r>
        <w:t xml:space="preserve">Mineral prospectivity labels are unusually problematic. Known deposits provide positive examples, but true negatives are rarely known because an </w:t>
      </w:r>
      <w:proofErr w:type="spellStart"/>
      <w:r>
        <w:t>unmineralised</w:t>
      </w:r>
      <w:proofErr w:type="spellEnd"/>
      <w:r>
        <w:t xml:space="preserve"> label may mean only that no discovery has been recorded. Randomly sampled background cells can include undiscovered mineralisation or areas with inadequate exploration. Class-label representativeness can materially alter both performance estimates and resulting maps (Parsa &amp; Cumani, 2025). Positive-unlabelled learning, expert-constrained background selection and sensitivity analysis across label-generation schemes are therefore more defensible than a single arbitrary negative set. In data-scarce settings, ensemble methods may improve stability, but they cannot eliminate label bias (</w:t>
      </w:r>
      <w:proofErr w:type="spellStart"/>
      <w:r>
        <w:t>Amirajlo</w:t>
      </w:r>
      <w:proofErr w:type="spellEnd"/>
      <w:r>
        <w:t xml:space="preserve"> et al., 2026).</w:t>
      </w:r>
    </w:p>
    <w:p w14:paraId="7A4D6544" w14:textId="77777777" w:rsidR="000146C6" w:rsidRDefault="00000000">
      <w:pPr>
        <w:ind w:firstLine="288"/>
      </w:pPr>
      <w:r>
        <w:t>Predictor construction is another source of both value and risk. Distance to faults, intrusions or contacts can encode mineral-system reasoning, while geophysical derivatives and geochemical anomalies can reveal concealed structure. Models that ingest raw grids may learn useful combinations, but they can also exploit map boundaries, survey line spacing, interpolation artefacts or missingness patterns. Explicit spatial coordinates can improve mapping where geological classes are spatially coherent, as shown in remote-sensing geological classification, but they may reduce transferability by making location a proxy for the label (Cracknell &amp; Reading, 2014). Feature engineering should therefore separate geological evidence from acquisition metadata and test whether predictions remain credible when survey or regional blocks are withheld.</w:t>
      </w:r>
    </w:p>
    <w:p w14:paraId="0632DC37" w14:textId="77777777" w:rsidR="000146C6" w:rsidRDefault="00000000">
      <w:pPr>
        <w:ind w:firstLine="288"/>
      </w:pPr>
      <w:r>
        <w:t xml:space="preserve">Deep learning has broadened the representation of spatial geoscience. Convolutional networks can learn multi-scale textures from stacked geophysical, geochemical and geological grids. </w:t>
      </w:r>
      <w:proofErr w:type="spellStart"/>
      <w:r>
        <w:t>VNet</w:t>
      </w:r>
      <w:proofErr w:type="spellEnd"/>
      <w:r>
        <w:t>-based three-dimensional or volumetric architectures and attention-based networks have been used to map mineral prospectivity with reduced reliance on handcrafted features (Li et al., 2023; McMillan et al., 2021). Their main advantage is the ability to learn spatial context and interactions. Their main liabilities are data hunger, sensitivity to architecture and preprocessing, opaque extrapolation, and the possibility that an apparently independent test cell remains surrounded by training information. Small numbers of deposits do not become large independent datasets merely because each map is divided into many pixels.</w:t>
      </w:r>
    </w:p>
    <w:p w14:paraId="6836DCDB" w14:textId="77777777" w:rsidR="000146C6" w:rsidRDefault="00000000">
      <w:pPr>
        <w:ind w:firstLine="288"/>
      </w:pPr>
      <w:r>
        <w:t xml:space="preserve">For grade and block modelling, machine learning can incorporate coordinates, geological codes, geochemistry, geophysics, mineralogy and imagery. Random forests and gradient-boosted trees often </w:t>
      </w:r>
      <w:r>
        <w:lastRenderedPageBreak/>
        <w:t xml:space="preserve">provide strong tabular baselines; neural networks may outperform them when relationships are highly nonlinear and enough data are available. Yet coordinate-based models can create discontinuities or unrealistic patterns unless spatial structure is constrained. </w:t>
      </w:r>
      <w:proofErr w:type="spellStart"/>
      <w:r>
        <w:t>Nwaila</w:t>
      </w:r>
      <w:proofErr w:type="spellEnd"/>
      <w:r>
        <w:t xml:space="preserve"> et al. (2024) emphasise the opportunity for machine-learning interpolation but also the need to move from pattern recognition to defensible block models. A credible model should reproduce geological continuity, avoid artefacts at domain boundaries, quantify uncertainty and respect the intended block support.</w:t>
      </w:r>
    </w:p>
    <w:p w14:paraId="1BC3A436" w14:textId="77777777" w:rsidR="000146C6" w:rsidRDefault="00000000">
      <w:pPr>
        <w:ind w:firstLine="288"/>
      </w:pPr>
      <w:r>
        <w:t>Machine learning is particularly promising for mineralogical prediction. Hyperspectral imagery, core photography, X-ray computed tomography and automated mineralogy generate high-dimensional information related to mineral abundance, grain texture and alteration. At Mountain Pass, bastnäsite indices derived at different scales show the potential of spectral proxies for rare-earth mineral estimation (Gadea et al., 2024). A recovery-centred model would extend this approach by pairing spectral or image features with mineralogical and metallurgical labels. Transfer learning could reduce the number of labelled images needed, but calibration should be checked across core trays, moisture conditions, instruments and campaigns. An image model that identifies a mineral texture under controlled laboratory lighting may fail on production imagery without domain adaptation.</w:t>
      </w:r>
    </w:p>
    <w:p w14:paraId="3B7F7F9D" w14:textId="77777777" w:rsidR="000146C6" w:rsidRDefault="00000000">
      <w:pPr>
        <w:ind w:firstLine="288"/>
      </w:pPr>
      <w:r>
        <w:t>Mineral-processing applications provide the most direct evidence for machine-learning recovery prediction. Flotation systems are nonlinear and dynamic, and important variables such as froth stability, bubble size, colour and texture can be extracted from images. Machine-vision reviews describe how image features have been connected to metallurgical performance and control (Aldrich et al., 2010). Neural-network models have predicted batch flotation performance from froth imagery, while long-running industrial case studies have demonstrated machine-vision-based control under operating conditions (</w:t>
      </w:r>
      <w:proofErr w:type="spellStart"/>
      <w:r>
        <w:t>Jahedsaravani</w:t>
      </w:r>
      <w:proofErr w:type="spellEnd"/>
      <w:r>
        <w:t xml:space="preserve"> et al., 2014; Kaartinen et al., 2006). These studies support the concept of soft sensors: models that infer difficult or delayed measurements from readily available signals.</w:t>
      </w:r>
    </w:p>
    <w:p w14:paraId="254F7544" w14:textId="77777777" w:rsidR="000146C6" w:rsidRDefault="00000000">
      <w:pPr>
        <w:ind w:firstLine="288"/>
      </w:pPr>
      <w:r>
        <w:t>Convolutional neural networks have reduced reliance on hand-engineered froth descriptors. Transfer learning has been used to extract relevant image representations, and convolutional models have classified froth states or predicted operating conditions from imagery (Fu &amp; Aldrich, 2018, 2019; Zarie et al., 2020). Their relevance to U.S. critical-mineral operations lies less in direct commodity equivalence than in methodology. Rare-earth, lithium and polymetallic circuits may have different surfaces, reagents and flowsheets, but they share the need to infer hidden process state from noisy multivariate signals. Commodity-specific validation remains essential because visual patterns that correlate with recovery in one circuit may encode different physics in another.</w:t>
      </w:r>
    </w:p>
    <w:p w14:paraId="74527343" w14:textId="77777777" w:rsidR="000146C6" w:rsidRDefault="00000000">
      <w:pPr>
        <w:ind w:firstLine="288"/>
      </w:pPr>
      <w:r>
        <w:t>Plant models can use feed grade, particle-size distribution, density, flow, pressure, pH, reagent dosage, power draw, acoustic signals, images and delayed assays. Static models ignore residence times and recirculating loads; sequence models can incorporate temporal context but are susceptible to leakage if future or downstream variables enter the feature set. Time alignment should follow material transit rather than clock time alone. When feed parcels are mixed, material-tracking uncertainty should be acknowledged. A model that predicts recovery using concentrate measurements available only after the decision point is analytically accurate but operationally unusable.</w:t>
      </w:r>
    </w:p>
    <w:p w14:paraId="1A1CCF12" w14:textId="77777777" w:rsidR="000146C6" w:rsidRDefault="00000000">
      <w:pPr>
        <w:ind w:firstLine="288"/>
      </w:pPr>
      <w:r>
        <w:t>Machine-learning performance also depends on the loss function. Mean squared error emphasises large deviations but can underweight rare low-recovery events if they are few. Classification of acceptable versus unacceptable recovery may support control decisions but discards magnitude and depends on a threshold. Quantile losses, asymmetric costs and probabilistic scoring can better reflect operational consequences. For mine planning, underestimating a low-recovery domain may be more costly than a comparable overestimate. For process control, false alarms may destabilise operation. The objective function should therefore encode the decision rather than default to a generic accuracy metric.</w:t>
      </w:r>
    </w:p>
    <w:p w14:paraId="5E40B796" w14:textId="77777777" w:rsidR="000146C6" w:rsidRDefault="00000000">
      <w:pPr>
        <w:ind w:firstLine="288"/>
      </w:pPr>
      <w:r>
        <w:lastRenderedPageBreak/>
        <w:t>Interpretability is necessary but should be used cautiously. Tree-based explanation methods can decompose individual predictions and summarise feature effects (Lundberg et al., 2020). These tools can identify whether a model relies on expected geological or process variables and can reveal interactions. They do not establish causality, and explanations can be unstable when predictors are strongly correlated. In mineralogical data, several elements or spectral bands may encode the same phase, allowing importance to move among correlated features without changing prediction. Interpretation should be triangulated with partial dependence, perturbation tests, domain knowledge and external validation.</w:t>
      </w:r>
    </w:p>
    <w:p w14:paraId="73CFCB5B" w14:textId="77777777" w:rsidR="000146C6" w:rsidRDefault="00000000">
      <w:pPr>
        <w:ind w:firstLine="288"/>
      </w:pPr>
      <w:r>
        <w:t>The strongest practical sequence begins with transparent baselines. A spatially naive mean, a nearest-neighbour or kriging model, and a regularised linear or tree model reveal how much value more complex methods add. Hyperparameter tuning should be nested inside the training data to avoid selection bias. Feature preprocessing must be fitted within each resampling fold. Spatially blocked or leave-area-out validation is preferable for deposit and regional models, while rolling-origin or campaign-based validation is preferable for operations. When the intended deployment is a new deposit, leave-deposit-out testing is more informative than random samples from the same deposit.</w:t>
      </w:r>
    </w:p>
    <w:p w14:paraId="05B96869" w14:textId="77777777" w:rsidR="000146C6" w:rsidRDefault="00000000">
      <w:pPr>
        <w:ind w:firstLine="288"/>
      </w:pPr>
      <w:r>
        <w:t>Model updating requires similar discipline. Exploration data arrive sequentially, and plant relationships drift as ore sources, equipment and control strategies change. Retraining can improve performance but can also erase rare regimes or propagate changed measurement practices. Versioned datasets, immutable test sets, drift diagnostics and controlled recalibration are therefore part of the scientific method, not merely software maintenance. A model used for resource reporting or investment decisions requires a higher level of documentation and independent review than an exploratory internal model.</w:t>
      </w:r>
    </w:p>
    <w:p w14:paraId="34E72B7C" w14:textId="77777777" w:rsidR="000146C6" w:rsidRDefault="00000000">
      <w:pPr>
        <w:ind w:firstLine="288"/>
      </w:pPr>
      <w:r>
        <w:t>Table 4 compares machine-learning families across regional, block and plant applications. The table highlights that model flexibility increases the burden of validation, uncertainty assessment and monitoring. It also shows why simple models remain valuable baselines: a complex network should not be preferred unless it improves out-of-domain or decision-centred performance.</w:t>
      </w:r>
    </w:p>
    <w:p w14:paraId="237BF563" w14:textId="77777777" w:rsidR="000146C6" w:rsidRDefault="000146C6">
      <w:pPr>
        <w:sectPr w:rsidR="000146C6">
          <w:pgSz w:w="12240" w:h="15840"/>
          <w:pgMar w:top="1037" w:right="1181" w:bottom="1037" w:left="1181" w:header="432" w:footer="432" w:gutter="0"/>
          <w:cols w:space="720"/>
          <w:docGrid w:linePitch="360"/>
        </w:sectPr>
      </w:pPr>
    </w:p>
    <w:p w14:paraId="6581996D" w14:textId="77777777" w:rsidR="000146C6" w:rsidRDefault="00000000">
      <w:pPr>
        <w:keepNext/>
        <w:spacing w:after="120"/>
        <w:jc w:val="left"/>
      </w:pPr>
      <w:r>
        <w:rPr>
          <w:b/>
          <w:color w:val="1F4E79"/>
          <w:sz w:val="20"/>
        </w:rPr>
        <w:lastRenderedPageBreak/>
        <w:t>Table 4. Machine-learning model families and their recovery-prediction roles</w:t>
      </w:r>
    </w:p>
    <w:tbl>
      <w:tblPr>
        <w:tblStyle w:val="TableGrid"/>
        <w:tblW w:w="0" w:type="auto"/>
        <w:jc w:val="center"/>
        <w:tblLayout w:type="fixed"/>
        <w:tblLook w:val="04A0" w:firstRow="1" w:lastRow="0" w:firstColumn="1" w:lastColumn="0" w:noHBand="0" w:noVBand="1"/>
      </w:tblPr>
      <w:tblGrid>
        <w:gridCol w:w="2232"/>
        <w:gridCol w:w="3384"/>
        <w:gridCol w:w="3384"/>
        <w:gridCol w:w="3384"/>
        <w:gridCol w:w="2088"/>
      </w:tblGrid>
      <w:tr w:rsidR="000146C6" w14:paraId="76E087A2" w14:textId="77777777">
        <w:trPr>
          <w:cantSplit/>
          <w:tblHeader/>
          <w:jc w:val="center"/>
        </w:trPr>
        <w:tc>
          <w:tcPr>
            <w:tcW w:w="2232" w:type="dxa"/>
            <w:shd w:val="clear" w:color="auto" w:fill="1F4E79"/>
            <w:tcMar>
              <w:top w:w="95" w:type="dxa"/>
              <w:left w:w="95" w:type="dxa"/>
              <w:bottom w:w="95" w:type="dxa"/>
              <w:right w:w="95" w:type="dxa"/>
            </w:tcMar>
            <w:vAlign w:val="center"/>
          </w:tcPr>
          <w:p w14:paraId="37E7C8DC" w14:textId="77777777" w:rsidR="000146C6" w:rsidRDefault="00000000">
            <w:pPr>
              <w:spacing w:after="0" w:line="240" w:lineRule="auto"/>
              <w:jc w:val="center"/>
            </w:pPr>
            <w:r>
              <w:rPr>
                <w:b/>
                <w:color w:val="FFFFFF"/>
                <w:sz w:val="16"/>
              </w:rPr>
              <w:t>Model family</w:t>
            </w:r>
          </w:p>
        </w:tc>
        <w:tc>
          <w:tcPr>
            <w:tcW w:w="3384" w:type="dxa"/>
            <w:shd w:val="clear" w:color="auto" w:fill="1F4E79"/>
            <w:tcMar>
              <w:top w:w="95" w:type="dxa"/>
              <w:left w:w="95" w:type="dxa"/>
              <w:bottom w:w="95" w:type="dxa"/>
              <w:right w:w="95" w:type="dxa"/>
            </w:tcMar>
            <w:vAlign w:val="center"/>
          </w:tcPr>
          <w:p w14:paraId="521166BA" w14:textId="77777777" w:rsidR="000146C6" w:rsidRDefault="00000000">
            <w:pPr>
              <w:spacing w:after="0" w:line="240" w:lineRule="auto"/>
              <w:jc w:val="center"/>
            </w:pPr>
            <w:r>
              <w:rPr>
                <w:b/>
                <w:color w:val="FFFFFF"/>
                <w:sz w:val="16"/>
              </w:rPr>
              <w:t>Suitable data and task</w:t>
            </w:r>
          </w:p>
        </w:tc>
        <w:tc>
          <w:tcPr>
            <w:tcW w:w="3384" w:type="dxa"/>
            <w:shd w:val="clear" w:color="auto" w:fill="1F4E79"/>
            <w:tcMar>
              <w:top w:w="95" w:type="dxa"/>
              <w:left w:w="95" w:type="dxa"/>
              <w:bottom w:w="95" w:type="dxa"/>
              <w:right w:w="95" w:type="dxa"/>
            </w:tcMar>
            <w:vAlign w:val="center"/>
          </w:tcPr>
          <w:p w14:paraId="009EE05D" w14:textId="77777777" w:rsidR="000146C6" w:rsidRDefault="00000000">
            <w:pPr>
              <w:spacing w:after="0" w:line="240" w:lineRule="auto"/>
              <w:jc w:val="center"/>
            </w:pPr>
            <w:r>
              <w:rPr>
                <w:b/>
                <w:color w:val="FFFFFF"/>
                <w:sz w:val="16"/>
              </w:rPr>
              <w:t>Potential advantage</w:t>
            </w:r>
          </w:p>
        </w:tc>
        <w:tc>
          <w:tcPr>
            <w:tcW w:w="3384" w:type="dxa"/>
            <w:shd w:val="clear" w:color="auto" w:fill="1F4E79"/>
            <w:tcMar>
              <w:top w:w="95" w:type="dxa"/>
              <w:left w:w="95" w:type="dxa"/>
              <w:bottom w:w="95" w:type="dxa"/>
              <w:right w:w="95" w:type="dxa"/>
            </w:tcMar>
            <w:vAlign w:val="center"/>
          </w:tcPr>
          <w:p w14:paraId="6A120DC0" w14:textId="77777777" w:rsidR="000146C6" w:rsidRDefault="00000000">
            <w:pPr>
              <w:spacing w:after="0" w:line="240" w:lineRule="auto"/>
              <w:jc w:val="center"/>
            </w:pPr>
            <w:r>
              <w:rPr>
                <w:b/>
                <w:color w:val="FFFFFF"/>
                <w:sz w:val="16"/>
              </w:rPr>
              <w:t>Characteristic failure mode</w:t>
            </w:r>
          </w:p>
        </w:tc>
        <w:tc>
          <w:tcPr>
            <w:tcW w:w="2088" w:type="dxa"/>
            <w:shd w:val="clear" w:color="auto" w:fill="1F4E79"/>
            <w:tcMar>
              <w:top w:w="95" w:type="dxa"/>
              <w:left w:w="95" w:type="dxa"/>
              <w:bottom w:w="95" w:type="dxa"/>
              <w:right w:w="95" w:type="dxa"/>
            </w:tcMar>
            <w:vAlign w:val="center"/>
          </w:tcPr>
          <w:p w14:paraId="51A660E8" w14:textId="77777777" w:rsidR="000146C6" w:rsidRDefault="00000000">
            <w:pPr>
              <w:spacing w:after="0" w:line="240" w:lineRule="auto"/>
              <w:jc w:val="center"/>
            </w:pPr>
            <w:r>
              <w:rPr>
                <w:b/>
                <w:color w:val="FFFFFF"/>
                <w:sz w:val="16"/>
              </w:rPr>
              <w:t>Supporting references</w:t>
            </w:r>
          </w:p>
        </w:tc>
      </w:tr>
      <w:tr w:rsidR="000146C6" w14:paraId="7E3FB468" w14:textId="77777777">
        <w:trPr>
          <w:cantSplit/>
          <w:jc w:val="center"/>
        </w:trPr>
        <w:tc>
          <w:tcPr>
            <w:tcW w:w="2232" w:type="dxa"/>
            <w:shd w:val="clear" w:color="auto" w:fill="F6F9FC"/>
            <w:tcMar>
              <w:top w:w="85" w:type="dxa"/>
              <w:left w:w="90" w:type="dxa"/>
              <w:bottom w:w="85" w:type="dxa"/>
              <w:right w:w="90" w:type="dxa"/>
            </w:tcMar>
            <w:vAlign w:val="center"/>
          </w:tcPr>
          <w:p w14:paraId="1EC04C83" w14:textId="77777777" w:rsidR="000146C6" w:rsidRDefault="00000000">
            <w:pPr>
              <w:spacing w:after="0" w:line="240" w:lineRule="auto"/>
              <w:jc w:val="left"/>
            </w:pPr>
            <w:r>
              <w:rPr>
                <w:sz w:val="15"/>
              </w:rPr>
              <w:t>Regularised regression and latent-variable models</w:t>
            </w:r>
          </w:p>
        </w:tc>
        <w:tc>
          <w:tcPr>
            <w:tcW w:w="3384" w:type="dxa"/>
            <w:shd w:val="clear" w:color="auto" w:fill="F6F9FC"/>
            <w:tcMar>
              <w:top w:w="85" w:type="dxa"/>
              <w:left w:w="90" w:type="dxa"/>
              <w:bottom w:w="85" w:type="dxa"/>
              <w:right w:w="90" w:type="dxa"/>
            </w:tcMar>
            <w:vAlign w:val="center"/>
          </w:tcPr>
          <w:p w14:paraId="5243FE67" w14:textId="77777777" w:rsidR="000146C6" w:rsidRDefault="00000000">
            <w:pPr>
              <w:spacing w:after="0" w:line="240" w:lineRule="auto"/>
              <w:jc w:val="left"/>
            </w:pPr>
            <w:r>
              <w:rPr>
                <w:sz w:val="15"/>
              </w:rPr>
              <w:t>Tabular assays, mineralogy and process variables with moderate dimensionality</w:t>
            </w:r>
          </w:p>
        </w:tc>
        <w:tc>
          <w:tcPr>
            <w:tcW w:w="3384" w:type="dxa"/>
            <w:shd w:val="clear" w:color="auto" w:fill="F6F9FC"/>
            <w:tcMar>
              <w:top w:w="85" w:type="dxa"/>
              <w:left w:w="90" w:type="dxa"/>
              <w:bottom w:w="85" w:type="dxa"/>
              <w:right w:w="90" w:type="dxa"/>
            </w:tcMar>
            <w:vAlign w:val="center"/>
          </w:tcPr>
          <w:p w14:paraId="158393D5" w14:textId="77777777" w:rsidR="000146C6" w:rsidRDefault="00000000">
            <w:pPr>
              <w:spacing w:after="0" w:line="240" w:lineRule="auto"/>
              <w:jc w:val="left"/>
            </w:pPr>
            <w:r>
              <w:rPr>
                <w:sz w:val="15"/>
              </w:rPr>
              <w:t>Transparent baseline, stable estimation and direct examination of direction and magnitude</w:t>
            </w:r>
          </w:p>
        </w:tc>
        <w:tc>
          <w:tcPr>
            <w:tcW w:w="3384" w:type="dxa"/>
            <w:shd w:val="clear" w:color="auto" w:fill="F6F9FC"/>
            <w:tcMar>
              <w:top w:w="85" w:type="dxa"/>
              <w:left w:w="90" w:type="dxa"/>
              <w:bottom w:w="85" w:type="dxa"/>
              <w:right w:w="90" w:type="dxa"/>
            </w:tcMar>
            <w:vAlign w:val="center"/>
          </w:tcPr>
          <w:p w14:paraId="73CB00C2" w14:textId="77777777" w:rsidR="000146C6" w:rsidRDefault="00000000">
            <w:pPr>
              <w:spacing w:after="0" w:line="240" w:lineRule="auto"/>
              <w:jc w:val="left"/>
            </w:pPr>
            <w:proofErr w:type="gramStart"/>
            <w:r>
              <w:rPr>
                <w:sz w:val="15"/>
              </w:rPr>
              <w:t>Misses</w:t>
            </w:r>
            <w:proofErr w:type="gramEnd"/>
            <w:r>
              <w:rPr>
                <w:sz w:val="15"/>
              </w:rPr>
              <w:t xml:space="preserve"> nonlinear interactions and may be unstable under collinearity without careful transformation</w:t>
            </w:r>
          </w:p>
        </w:tc>
        <w:tc>
          <w:tcPr>
            <w:tcW w:w="2088" w:type="dxa"/>
            <w:shd w:val="clear" w:color="auto" w:fill="F6F9FC"/>
            <w:tcMar>
              <w:top w:w="85" w:type="dxa"/>
              <w:left w:w="90" w:type="dxa"/>
              <w:bottom w:w="85" w:type="dxa"/>
              <w:right w:w="90" w:type="dxa"/>
            </w:tcMar>
            <w:vAlign w:val="center"/>
          </w:tcPr>
          <w:p w14:paraId="4DE8FD06" w14:textId="77777777" w:rsidR="000146C6" w:rsidRDefault="00000000">
            <w:pPr>
              <w:spacing w:after="0" w:line="240" w:lineRule="auto"/>
              <w:jc w:val="left"/>
            </w:pPr>
            <w:r>
              <w:rPr>
                <w:sz w:val="15"/>
              </w:rPr>
              <w:t>(Aldrich et al., 2010; McCoy &amp; Auret, 2019)</w:t>
            </w:r>
          </w:p>
        </w:tc>
      </w:tr>
      <w:tr w:rsidR="000146C6" w14:paraId="29D7B027" w14:textId="77777777">
        <w:trPr>
          <w:cantSplit/>
          <w:jc w:val="center"/>
        </w:trPr>
        <w:tc>
          <w:tcPr>
            <w:tcW w:w="2232" w:type="dxa"/>
            <w:tcMar>
              <w:top w:w="85" w:type="dxa"/>
              <w:left w:w="90" w:type="dxa"/>
              <w:bottom w:w="85" w:type="dxa"/>
              <w:right w:w="90" w:type="dxa"/>
            </w:tcMar>
            <w:vAlign w:val="center"/>
          </w:tcPr>
          <w:p w14:paraId="6CF8E2D4" w14:textId="77777777" w:rsidR="000146C6" w:rsidRDefault="00000000">
            <w:pPr>
              <w:spacing w:after="0" w:line="240" w:lineRule="auto"/>
              <w:jc w:val="left"/>
            </w:pPr>
            <w:r>
              <w:rPr>
                <w:sz w:val="15"/>
              </w:rPr>
              <w:t>Tree ensembles</w:t>
            </w:r>
          </w:p>
        </w:tc>
        <w:tc>
          <w:tcPr>
            <w:tcW w:w="3384" w:type="dxa"/>
            <w:tcMar>
              <w:top w:w="85" w:type="dxa"/>
              <w:left w:w="90" w:type="dxa"/>
              <w:bottom w:w="85" w:type="dxa"/>
              <w:right w:w="90" w:type="dxa"/>
            </w:tcMar>
            <w:vAlign w:val="center"/>
          </w:tcPr>
          <w:p w14:paraId="2322D255" w14:textId="77777777" w:rsidR="000146C6" w:rsidRDefault="00000000">
            <w:pPr>
              <w:spacing w:after="0" w:line="240" w:lineRule="auto"/>
              <w:jc w:val="left"/>
            </w:pPr>
            <w:r>
              <w:rPr>
                <w:sz w:val="15"/>
              </w:rPr>
              <w:t>Prospectivity, grade, mineralogical class or recovery from mixed tabular predictors</w:t>
            </w:r>
          </w:p>
        </w:tc>
        <w:tc>
          <w:tcPr>
            <w:tcW w:w="3384" w:type="dxa"/>
            <w:tcMar>
              <w:top w:w="85" w:type="dxa"/>
              <w:left w:w="90" w:type="dxa"/>
              <w:bottom w:w="85" w:type="dxa"/>
              <w:right w:w="90" w:type="dxa"/>
            </w:tcMar>
            <w:vAlign w:val="center"/>
          </w:tcPr>
          <w:p w14:paraId="09EBCF57" w14:textId="77777777" w:rsidR="000146C6" w:rsidRDefault="00000000">
            <w:pPr>
              <w:spacing w:after="0" w:line="240" w:lineRule="auto"/>
              <w:jc w:val="left"/>
            </w:pPr>
            <w:r>
              <w:rPr>
                <w:sz w:val="15"/>
              </w:rPr>
              <w:t>Captures nonlinearities and interactions, tolerates mixed scales and often performs well with limited data</w:t>
            </w:r>
          </w:p>
        </w:tc>
        <w:tc>
          <w:tcPr>
            <w:tcW w:w="3384" w:type="dxa"/>
            <w:tcMar>
              <w:top w:w="85" w:type="dxa"/>
              <w:left w:w="90" w:type="dxa"/>
              <w:bottom w:w="85" w:type="dxa"/>
              <w:right w:w="90" w:type="dxa"/>
            </w:tcMar>
            <w:vAlign w:val="center"/>
          </w:tcPr>
          <w:p w14:paraId="367DE285" w14:textId="77777777" w:rsidR="000146C6" w:rsidRDefault="00000000">
            <w:pPr>
              <w:spacing w:after="0" w:line="240" w:lineRule="auto"/>
              <w:jc w:val="left"/>
            </w:pPr>
            <w:r>
              <w:rPr>
                <w:sz w:val="15"/>
              </w:rPr>
              <w:t>Piecewise extrapolation, bias under unrepresentative labels and misleading importance among correlated variables</w:t>
            </w:r>
          </w:p>
        </w:tc>
        <w:tc>
          <w:tcPr>
            <w:tcW w:w="2088" w:type="dxa"/>
            <w:tcMar>
              <w:top w:w="85" w:type="dxa"/>
              <w:left w:w="90" w:type="dxa"/>
              <w:bottom w:w="85" w:type="dxa"/>
              <w:right w:w="90" w:type="dxa"/>
            </w:tcMar>
            <w:vAlign w:val="center"/>
          </w:tcPr>
          <w:p w14:paraId="1667DEB6" w14:textId="77777777" w:rsidR="000146C6" w:rsidRDefault="00000000">
            <w:pPr>
              <w:spacing w:after="0" w:line="240" w:lineRule="auto"/>
              <w:jc w:val="left"/>
            </w:pPr>
            <w:r>
              <w:rPr>
                <w:sz w:val="15"/>
              </w:rPr>
              <w:t>(Carranza &amp; Laborte, 2015; Parsa &amp; Cumani, 2025; Sun et al., 2019)</w:t>
            </w:r>
          </w:p>
        </w:tc>
      </w:tr>
      <w:tr w:rsidR="000146C6" w14:paraId="3E6F003A" w14:textId="77777777">
        <w:trPr>
          <w:cantSplit/>
          <w:jc w:val="center"/>
        </w:trPr>
        <w:tc>
          <w:tcPr>
            <w:tcW w:w="2232" w:type="dxa"/>
            <w:shd w:val="clear" w:color="auto" w:fill="F6F9FC"/>
            <w:tcMar>
              <w:top w:w="85" w:type="dxa"/>
              <w:left w:w="90" w:type="dxa"/>
              <w:bottom w:w="85" w:type="dxa"/>
              <w:right w:w="90" w:type="dxa"/>
            </w:tcMar>
            <w:vAlign w:val="center"/>
          </w:tcPr>
          <w:p w14:paraId="528D9F4F" w14:textId="77777777" w:rsidR="000146C6" w:rsidRDefault="00000000">
            <w:pPr>
              <w:spacing w:after="0" w:line="240" w:lineRule="auto"/>
              <w:jc w:val="left"/>
            </w:pPr>
            <w:r>
              <w:rPr>
                <w:sz w:val="15"/>
              </w:rPr>
              <w:t>Support-vector machines</w:t>
            </w:r>
          </w:p>
        </w:tc>
        <w:tc>
          <w:tcPr>
            <w:tcW w:w="3384" w:type="dxa"/>
            <w:shd w:val="clear" w:color="auto" w:fill="F6F9FC"/>
            <w:tcMar>
              <w:top w:w="85" w:type="dxa"/>
              <w:left w:w="90" w:type="dxa"/>
              <w:bottom w:w="85" w:type="dxa"/>
              <w:right w:w="90" w:type="dxa"/>
            </w:tcMar>
            <w:vAlign w:val="center"/>
          </w:tcPr>
          <w:p w14:paraId="1E257D0E" w14:textId="77777777" w:rsidR="000146C6" w:rsidRDefault="00000000">
            <w:pPr>
              <w:spacing w:after="0" w:line="240" w:lineRule="auto"/>
              <w:jc w:val="left"/>
            </w:pPr>
            <w:r>
              <w:rPr>
                <w:sz w:val="15"/>
              </w:rPr>
              <w:t>Small- to medium-sized classification or regression with engineered features</w:t>
            </w:r>
          </w:p>
        </w:tc>
        <w:tc>
          <w:tcPr>
            <w:tcW w:w="3384" w:type="dxa"/>
            <w:shd w:val="clear" w:color="auto" w:fill="F6F9FC"/>
            <w:tcMar>
              <w:top w:w="85" w:type="dxa"/>
              <w:left w:w="90" w:type="dxa"/>
              <w:bottom w:w="85" w:type="dxa"/>
              <w:right w:w="90" w:type="dxa"/>
            </w:tcMar>
            <w:vAlign w:val="center"/>
          </w:tcPr>
          <w:p w14:paraId="1F3B5662" w14:textId="77777777" w:rsidR="000146C6" w:rsidRDefault="00000000">
            <w:pPr>
              <w:spacing w:after="0" w:line="240" w:lineRule="auto"/>
              <w:jc w:val="left"/>
            </w:pPr>
            <w:r>
              <w:rPr>
                <w:sz w:val="15"/>
              </w:rPr>
              <w:t>Flexible kernels and effective margins in high-dimensional settings</w:t>
            </w:r>
          </w:p>
        </w:tc>
        <w:tc>
          <w:tcPr>
            <w:tcW w:w="3384" w:type="dxa"/>
            <w:shd w:val="clear" w:color="auto" w:fill="F6F9FC"/>
            <w:tcMar>
              <w:top w:w="85" w:type="dxa"/>
              <w:left w:w="90" w:type="dxa"/>
              <w:bottom w:w="85" w:type="dxa"/>
              <w:right w:w="90" w:type="dxa"/>
            </w:tcMar>
            <w:vAlign w:val="center"/>
          </w:tcPr>
          <w:p w14:paraId="426DAE57" w14:textId="77777777" w:rsidR="000146C6" w:rsidRDefault="00000000">
            <w:pPr>
              <w:spacing w:after="0" w:line="240" w:lineRule="auto"/>
              <w:jc w:val="left"/>
            </w:pPr>
            <w:r>
              <w:rPr>
                <w:sz w:val="15"/>
              </w:rPr>
              <w:t>Kernel and tuning sensitivity, limited probabilistic interpretation and weak transparency</w:t>
            </w:r>
          </w:p>
        </w:tc>
        <w:tc>
          <w:tcPr>
            <w:tcW w:w="2088" w:type="dxa"/>
            <w:shd w:val="clear" w:color="auto" w:fill="F6F9FC"/>
            <w:tcMar>
              <w:top w:w="85" w:type="dxa"/>
              <w:left w:w="90" w:type="dxa"/>
              <w:bottom w:w="85" w:type="dxa"/>
              <w:right w:w="90" w:type="dxa"/>
            </w:tcMar>
            <w:vAlign w:val="center"/>
          </w:tcPr>
          <w:p w14:paraId="04C6170D" w14:textId="77777777" w:rsidR="000146C6" w:rsidRDefault="00000000">
            <w:pPr>
              <w:spacing w:after="0" w:line="240" w:lineRule="auto"/>
              <w:jc w:val="left"/>
            </w:pPr>
            <w:r>
              <w:rPr>
                <w:sz w:val="15"/>
              </w:rPr>
              <w:t>(Rodríguez-Galiano et al., 2015; Sun et al., 2019)</w:t>
            </w:r>
          </w:p>
        </w:tc>
      </w:tr>
      <w:tr w:rsidR="000146C6" w14:paraId="791A9408" w14:textId="77777777">
        <w:trPr>
          <w:cantSplit/>
          <w:jc w:val="center"/>
        </w:trPr>
        <w:tc>
          <w:tcPr>
            <w:tcW w:w="2232" w:type="dxa"/>
            <w:tcMar>
              <w:top w:w="85" w:type="dxa"/>
              <w:left w:w="90" w:type="dxa"/>
              <w:bottom w:w="85" w:type="dxa"/>
              <w:right w:w="90" w:type="dxa"/>
            </w:tcMar>
            <w:vAlign w:val="center"/>
          </w:tcPr>
          <w:p w14:paraId="436874E1" w14:textId="77777777" w:rsidR="000146C6" w:rsidRDefault="00000000">
            <w:pPr>
              <w:spacing w:after="0" w:line="240" w:lineRule="auto"/>
              <w:jc w:val="left"/>
            </w:pPr>
            <w:r>
              <w:rPr>
                <w:sz w:val="15"/>
              </w:rPr>
              <w:t>Feed-forward neural networks</w:t>
            </w:r>
          </w:p>
        </w:tc>
        <w:tc>
          <w:tcPr>
            <w:tcW w:w="3384" w:type="dxa"/>
            <w:tcMar>
              <w:top w:w="85" w:type="dxa"/>
              <w:left w:w="90" w:type="dxa"/>
              <w:bottom w:w="85" w:type="dxa"/>
              <w:right w:w="90" w:type="dxa"/>
            </w:tcMar>
            <w:vAlign w:val="center"/>
          </w:tcPr>
          <w:p w14:paraId="1958C457" w14:textId="77777777" w:rsidR="000146C6" w:rsidRDefault="00000000">
            <w:pPr>
              <w:spacing w:after="0" w:line="240" w:lineRule="auto"/>
              <w:jc w:val="left"/>
            </w:pPr>
            <w:r>
              <w:rPr>
                <w:sz w:val="15"/>
              </w:rPr>
              <w:t>Nonlinear grade or process-response mapping where paired labels are adequate</w:t>
            </w:r>
          </w:p>
        </w:tc>
        <w:tc>
          <w:tcPr>
            <w:tcW w:w="3384" w:type="dxa"/>
            <w:tcMar>
              <w:top w:w="85" w:type="dxa"/>
              <w:left w:w="90" w:type="dxa"/>
              <w:bottom w:w="85" w:type="dxa"/>
              <w:right w:w="90" w:type="dxa"/>
            </w:tcMar>
            <w:vAlign w:val="center"/>
          </w:tcPr>
          <w:p w14:paraId="7D7106F5" w14:textId="77777777" w:rsidR="000146C6" w:rsidRDefault="00000000">
            <w:pPr>
              <w:spacing w:after="0" w:line="240" w:lineRule="auto"/>
              <w:jc w:val="left"/>
            </w:pPr>
            <w:r>
              <w:rPr>
                <w:sz w:val="15"/>
              </w:rPr>
              <w:t>Flexible approximation of multivariate interactions</w:t>
            </w:r>
          </w:p>
        </w:tc>
        <w:tc>
          <w:tcPr>
            <w:tcW w:w="3384" w:type="dxa"/>
            <w:tcMar>
              <w:top w:w="85" w:type="dxa"/>
              <w:left w:w="90" w:type="dxa"/>
              <w:bottom w:w="85" w:type="dxa"/>
              <w:right w:w="90" w:type="dxa"/>
            </w:tcMar>
            <w:vAlign w:val="center"/>
          </w:tcPr>
          <w:p w14:paraId="7424DE89" w14:textId="77777777" w:rsidR="000146C6" w:rsidRDefault="00000000">
            <w:pPr>
              <w:spacing w:after="0" w:line="240" w:lineRule="auto"/>
              <w:jc w:val="left"/>
            </w:pPr>
            <w:r>
              <w:rPr>
                <w:sz w:val="15"/>
              </w:rPr>
              <w:t>Data hunger, unstable extrapolation and high leakage risk under random splitting</w:t>
            </w:r>
          </w:p>
        </w:tc>
        <w:tc>
          <w:tcPr>
            <w:tcW w:w="2088" w:type="dxa"/>
            <w:tcMar>
              <w:top w:w="85" w:type="dxa"/>
              <w:left w:w="90" w:type="dxa"/>
              <w:bottom w:w="85" w:type="dxa"/>
              <w:right w:w="90" w:type="dxa"/>
            </w:tcMar>
            <w:vAlign w:val="center"/>
          </w:tcPr>
          <w:p w14:paraId="457A1F96" w14:textId="77777777" w:rsidR="000146C6" w:rsidRDefault="00000000">
            <w:pPr>
              <w:spacing w:after="0" w:line="240" w:lineRule="auto"/>
              <w:jc w:val="left"/>
            </w:pPr>
            <w:r>
              <w:rPr>
                <w:sz w:val="15"/>
              </w:rPr>
              <w:t>(</w:t>
            </w:r>
            <w:proofErr w:type="spellStart"/>
            <w:r>
              <w:rPr>
                <w:sz w:val="15"/>
              </w:rPr>
              <w:t>Jahedsaravani</w:t>
            </w:r>
            <w:proofErr w:type="spellEnd"/>
            <w:r>
              <w:rPr>
                <w:sz w:val="15"/>
              </w:rPr>
              <w:t xml:space="preserve"> et al., 2014; McCoy &amp; Auret, 2019)</w:t>
            </w:r>
          </w:p>
        </w:tc>
      </w:tr>
      <w:tr w:rsidR="000146C6" w14:paraId="5B3A877D" w14:textId="77777777">
        <w:trPr>
          <w:cantSplit/>
          <w:jc w:val="center"/>
        </w:trPr>
        <w:tc>
          <w:tcPr>
            <w:tcW w:w="2232" w:type="dxa"/>
            <w:shd w:val="clear" w:color="auto" w:fill="F6F9FC"/>
            <w:tcMar>
              <w:top w:w="85" w:type="dxa"/>
              <w:left w:w="90" w:type="dxa"/>
              <w:bottom w:w="85" w:type="dxa"/>
              <w:right w:w="90" w:type="dxa"/>
            </w:tcMar>
            <w:vAlign w:val="center"/>
          </w:tcPr>
          <w:p w14:paraId="0BADEF3F" w14:textId="77777777" w:rsidR="000146C6" w:rsidRDefault="00000000">
            <w:pPr>
              <w:spacing w:after="0" w:line="240" w:lineRule="auto"/>
              <w:jc w:val="left"/>
            </w:pPr>
            <w:r>
              <w:rPr>
                <w:sz w:val="15"/>
              </w:rPr>
              <w:t>Convolutional and attention-based networks</w:t>
            </w:r>
          </w:p>
        </w:tc>
        <w:tc>
          <w:tcPr>
            <w:tcW w:w="3384" w:type="dxa"/>
            <w:shd w:val="clear" w:color="auto" w:fill="F6F9FC"/>
            <w:tcMar>
              <w:top w:w="85" w:type="dxa"/>
              <w:left w:w="90" w:type="dxa"/>
              <w:bottom w:w="85" w:type="dxa"/>
              <w:right w:w="90" w:type="dxa"/>
            </w:tcMar>
            <w:vAlign w:val="center"/>
          </w:tcPr>
          <w:p w14:paraId="2ABFEC93" w14:textId="77777777" w:rsidR="000146C6" w:rsidRDefault="00000000">
            <w:pPr>
              <w:spacing w:after="0" w:line="240" w:lineRule="auto"/>
              <w:jc w:val="left"/>
            </w:pPr>
            <w:r>
              <w:rPr>
                <w:sz w:val="15"/>
              </w:rPr>
              <w:t>Core imagery, hyperspectral cubes, froth images and stacked spatial grids</w:t>
            </w:r>
          </w:p>
        </w:tc>
        <w:tc>
          <w:tcPr>
            <w:tcW w:w="3384" w:type="dxa"/>
            <w:shd w:val="clear" w:color="auto" w:fill="F6F9FC"/>
            <w:tcMar>
              <w:top w:w="85" w:type="dxa"/>
              <w:left w:w="90" w:type="dxa"/>
              <w:bottom w:w="85" w:type="dxa"/>
              <w:right w:w="90" w:type="dxa"/>
            </w:tcMar>
            <w:vAlign w:val="center"/>
          </w:tcPr>
          <w:p w14:paraId="1FE38F15" w14:textId="77777777" w:rsidR="000146C6" w:rsidRDefault="00000000">
            <w:pPr>
              <w:spacing w:after="0" w:line="240" w:lineRule="auto"/>
              <w:jc w:val="left"/>
            </w:pPr>
            <w:r>
              <w:rPr>
                <w:sz w:val="15"/>
              </w:rPr>
              <w:t>Learns local texture and multi-scale spatial representations with reduced manual feature engineering</w:t>
            </w:r>
          </w:p>
        </w:tc>
        <w:tc>
          <w:tcPr>
            <w:tcW w:w="3384" w:type="dxa"/>
            <w:shd w:val="clear" w:color="auto" w:fill="F6F9FC"/>
            <w:tcMar>
              <w:top w:w="85" w:type="dxa"/>
              <w:left w:w="90" w:type="dxa"/>
              <w:bottom w:w="85" w:type="dxa"/>
              <w:right w:w="90" w:type="dxa"/>
            </w:tcMar>
            <w:vAlign w:val="center"/>
          </w:tcPr>
          <w:p w14:paraId="77F4DDA3" w14:textId="77777777" w:rsidR="000146C6" w:rsidRDefault="00000000">
            <w:pPr>
              <w:spacing w:after="0" w:line="240" w:lineRule="auto"/>
              <w:jc w:val="left"/>
            </w:pPr>
            <w:r>
              <w:rPr>
                <w:sz w:val="15"/>
              </w:rPr>
              <w:t>Learns acquisition artefacts, requires large independent samples and can obscure domain shift</w:t>
            </w:r>
          </w:p>
        </w:tc>
        <w:tc>
          <w:tcPr>
            <w:tcW w:w="2088" w:type="dxa"/>
            <w:shd w:val="clear" w:color="auto" w:fill="F6F9FC"/>
            <w:tcMar>
              <w:top w:w="85" w:type="dxa"/>
              <w:left w:w="90" w:type="dxa"/>
              <w:bottom w:w="85" w:type="dxa"/>
              <w:right w:w="90" w:type="dxa"/>
            </w:tcMar>
            <w:vAlign w:val="center"/>
          </w:tcPr>
          <w:p w14:paraId="07E79B39" w14:textId="77777777" w:rsidR="000146C6" w:rsidRDefault="00000000">
            <w:pPr>
              <w:spacing w:after="0" w:line="240" w:lineRule="auto"/>
              <w:jc w:val="left"/>
            </w:pPr>
            <w:r>
              <w:rPr>
                <w:sz w:val="15"/>
              </w:rPr>
              <w:t>(Fu &amp; Aldrich, 2018, 2019; Li et al., 2023; McMillan et al., 2021; Zarie et al., 2020)</w:t>
            </w:r>
          </w:p>
        </w:tc>
      </w:tr>
      <w:tr w:rsidR="000146C6" w14:paraId="6DCF464C" w14:textId="77777777">
        <w:trPr>
          <w:cantSplit/>
          <w:jc w:val="center"/>
        </w:trPr>
        <w:tc>
          <w:tcPr>
            <w:tcW w:w="2232" w:type="dxa"/>
            <w:tcMar>
              <w:top w:w="85" w:type="dxa"/>
              <w:left w:w="90" w:type="dxa"/>
              <w:bottom w:w="85" w:type="dxa"/>
              <w:right w:w="90" w:type="dxa"/>
            </w:tcMar>
            <w:vAlign w:val="center"/>
          </w:tcPr>
          <w:p w14:paraId="6F6C9F92" w14:textId="77777777" w:rsidR="000146C6" w:rsidRDefault="00000000">
            <w:pPr>
              <w:spacing w:after="0" w:line="240" w:lineRule="auto"/>
              <w:jc w:val="left"/>
            </w:pPr>
            <w:r>
              <w:rPr>
                <w:sz w:val="15"/>
              </w:rPr>
              <w:t>Ensembles and uncertainty-aware deep models</w:t>
            </w:r>
          </w:p>
        </w:tc>
        <w:tc>
          <w:tcPr>
            <w:tcW w:w="3384" w:type="dxa"/>
            <w:tcMar>
              <w:top w:w="85" w:type="dxa"/>
              <w:left w:w="90" w:type="dxa"/>
              <w:bottom w:w="85" w:type="dxa"/>
              <w:right w:w="90" w:type="dxa"/>
            </w:tcMar>
            <w:vAlign w:val="center"/>
          </w:tcPr>
          <w:p w14:paraId="3532AA16" w14:textId="77777777" w:rsidR="000146C6" w:rsidRDefault="00000000">
            <w:pPr>
              <w:spacing w:after="0" w:line="240" w:lineRule="auto"/>
              <w:jc w:val="left"/>
            </w:pPr>
            <w:r>
              <w:rPr>
                <w:sz w:val="15"/>
              </w:rPr>
              <w:t>Data-scarce prospectivity, three-dimensional prediction and probabilistic outputs</w:t>
            </w:r>
          </w:p>
        </w:tc>
        <w:tc>
          <w:tcPr>
            <w:tcW w:w="3384" w:type="dxa"/>
            <w:tcMar>
              <w:top w:w="85" w:type="dxa"/>
              <w:left w:w="90" w:type="dxa"/>
              <w:bottom w:w="85" w:type="dxa"/>
              <w:right w:w="90" w:type="dxa"/>
            </w:tcMar>
            <w:vAlign w:val="center"/>
          </w:tcPr>
          <w:p w14:paraId="73B3E62E" w14:textId="77777777" w:rsidR="000146C6" w:rsidRDefault="00000000">
            <w:pPr>
              <w:spacing w:after="0" w:line="240" w:lineRule="auto"/>
              <w:jc w:val="left"/>
            </w:pPr>
            <w:r>
              <w:rPr>
                <w:sz w:val="15"/>
              </w:rPr>
              <w:t>Can stabilise predictions and represent some model uncertainty</w:t>
            </w:r>
          </w:p>
        </w:tc>
        <w:tc>
          <w:tcPr>
            <w:tcW w:w="3384" w:type="dxa"/>
            <w:tcMar>
              <w:top w:w="85" w:type="dxa"/>
              <w:left w:w="90" w:type="dxa"/>
              <w:bottom w:w="85" w:type="dxa"/>
              <w:right w:w="90" w:type="dxa"/>
            </w:tcMar>
            <w:vAlign w:val="center"/>
          </w:tcPr>
          <w:p w14:paraId="57926AE5" w14:textId="77777777" w:rsidR="000146C6" w:rsidRDefault="00000000">
            <w:pPr>
              <w:spacing w:after="0" w:line="240" w:lineRule="auto"/>
              <w:jc w:val="left"/>
            </w:pPr>
            <w:r>
              <w:rPr>
                <w:sz w:val="15"/>
              </w:rPr>
              <w:t>Ensemble spread may be uncalibrated; correlated members do not provide independent evidence</w:t>
            </w:r>
          </w:p>
        </w:tc>
        <w:tc>
          <w:tcPr>
            <w:tcW w:w="2088" w:type="dxa"/>
            <w:tcMar>
              <w:top w:w="85" w:type="dxa"/>
              <w:left w:w="90" w:type="dxa"/>
              <w:bottom w:w="85" w:type="dxa"/>
              <w:right w:w="90" w:type="dxa"/>
            </w:tcMar>
            <w:vAlign w:val="center"/>
          </w:tcPr>
          <w:p w14:paraId="271BBA85" w14:textId="77777777" w:rsidR="000146C6" w:rsidRDefault="00000000">
            <w:pPr>
              <w:spacing w:after="0" w:line="240" w:lineRule="auto"/>
              <w:jc w:val="left"/>
            </w:pPr>
            <w:r>
              <w:rPr>
                <w:sz w:val="15"/>
              </w:rPr>
              <w:t>(</w:t>
            </w:r>
            <w:proofErr w:type="spellStart"/>
            <w:r>
              <w:rPr>
                <w:sz w:val="15"/>
              </w:rPr>
              <w:t>Amirajlo</w:t>
            </w:r>
            <w:proofErr w:type="spellEnd"/>
            <w:r>
              <w:rPr>
                <w:sz w:val="15"/>
              </w:rPr>
              <w:t xml:space="preserve"> et al., 2026; Zhang, Wang, et al., 2024)</w:t>
            </w:r>
          </w:p>
        </w:tc>
      </w:tr>
    </w:tbl>
    <w:p w14:paraId="43C8C479" w14:textId="77777777" w:rsidR="000146C6" w:rsidRDefault="00000000">
      <w:pPr>
        <w:spacing w:before="100" w:after="0"/>
      </w:pPr>
      <w:r>
        <w:rPr>
          <w:i/>
          <w:color w:val="4A4A4A"/>
          <w:sz w:val="16"/>
        </w:rPr>
        <w:t>Note. CNN = convolutional neural network. Model-family performance depends on label quality, feature support, validation design and deployment domain; the table is not an algorithm ranking.</w:t>
      </w:r>
    </w:p>
    <w:p w14:paraId="08264155" w14:textId="77777777" w:rsidR="000146C6" w:rsidRDefault="000146C6">
      <w:pPr>
        <w:sectPr w:rsidR="000146C6">
          <w:pgSz w:w="15840" w:h="12240" w:orient="landscape"/>
          <w:pgMar w:top="792" w:right="792" w:bottom="792" w:left="792" w:header="432" w:footer="432" w:gutter="0"/>
          <w:cols w:space="720"/>
          <w:docGrid w:linePitch="360"/>
        </w:sectPr>
      </w:pPr>
    </w:p>
    <w:p w14:paraId="3EA51885" w14:textId="77777777" w:rsidR="000146C6" w:rsidRDefault="00000000">
      <w:pPr>
        <w:pStyle w:val="Heading1"/>
      </w:pPr>
      <w:r>
        <w:lastRenderedPageBreak/>
        <w:t>7. Validation, Uncertainty and Model Governance</w:t>
      </w:r>
    </w:p>
    <w:p w14:paraId="5EAA7A76" w14:textId="77777777" w:rsidR="000146C6" w:rsidRDefault="00000000">
      <w:pPr>
        <w:ind w:firstLine="288"/>
      </w:pPr>
      <w:r>
        <w:t>Validation is the main point at which geological plausibility and statistical performance meet. Random cross-validation assumes exchangeable observations, an assumption violated by spatial autocorrelation, repeated drill-hole intervals and time-series process data. When neighbouring samples are split between training and testing, the test set contains information about local conditions already represented in training. The resulting performance estimates may be accurate for interpolation within densely sampled zones but misleading for unsampled areas or new domains. Spatial, temporal and hierarchical blocking should match the intended prediction task (Roberts et al., 2017).</w:t>
      </w:r>
    </w:p>
    <w:p w14:paraId="4D28DA08" w14:textId="77777777" w:rsidR="000146C6" w:rsidRDefault="00000000">
      <w:pPr>
        <w:ind w:firstLine="288"/>
      </w:pPr>
      <w:r>
        <w:t>For regional prospectivity, appropriate partitions can withhold contiguous spatial blocks, geological terranes or mineral belts. For deposit models, whole drill holes, benches or domains can be withheld. For plant models, test periods should occur after training periods and should include changes in ore blend and operating regime. Block size should exceed the effective range of dependence where feasible, although overly large blocks can leave too few folds. There is no universal partition; sensitivity across plausible blocking schemes is more informative than a single score.</w:t>
      </w:r>
    </w:p>
    <w:p w14:paraId="33414497" w14:textId="77777777" w:rsidR="000146C6" w:rsidRDefault="00000000">
      <w:pPr>
        <w:ind w:firstLine="288"/>
      </w:pPr>
      <w:r>
        <w:t xml:space="preserve">Geostatistical learning requires more than replacing random folds with spatial folds. Spatial prediction errors vary with sampling density, domain boundaries and extrapolation distance. </w:t>
      </w:r>
      <w:proofErr w:type="spellStart"/>
      <w:r>
        <w:t>Hoffimann</w:t>
      </w:r>
      <w:proofErr w:type="spellEnd"/>
      <w:r>
        <w:t xml:space="preserve"> et al. (2021) describe geostatistical learning as an intersection of statistical learning and spatial dependence, where algorithms, validation and uncertainty must be spatially coherent. A model should report performance by domain and distance to training data, not just an overall mean. Maps of residuals and calibration can reveal systematic underprediction of high-grade zones or failure near contacts that aggregate metrics conceal.</w:t>
      </w:r>
    </w:p>
    <w:p w14:paraId="69F12CF8" w14:textId="77777777" w:rsidR="000146C6" w:rsidRDefault="00000000">
      <w:pPr>
        <w:ind w:firstLine="288"/>
      </w:pPr>
      <w:r>
        <w:t>Workflow choices can create uncertainty comparable to algorithm choice. Data cleaning, transformation, imputation, evidence-layer selection, class construction, hyperparameter tuning and post-processing all affect the final prospectivity or recovery map. Zhang, Lawley, et al. (2024) showed that data-driven mineral prospectivity results can vary materially across workflow decisions. Burkin et al. (2019) similarly demonstrated the importance of conceptual and interpretation uncertainty. Reporting a single optimised model hides this sensitivity. A defensible assessment should preserve a set of plausible workflows or conduct structured sensitivity analysis, especially where geological interpretations are contested.</w:t>
      </w:r>
    </w:p>
    <w:p w14:paraId="6457174F" w14:textId="77777777" w:rsidR="000146C6" w:rsidRDefault="00000000">
      <w:pPr>
        <w:ind w:firstLine="288"/>
      </w:pPr>
      <w:r>
        <w:t>Uncertainty has several components. Aleatoric uncertainty reflects irreducible variability or measurement noise conditional on available information. Epistemic uncertainty reflects limited knowledge and can potentially be reduced with more data or better models. Spatial geological uncertainty concerns domain geometry and continuity; parameter uncertainty concerns fitted variograms or model weights; scenario uncertainty concerns future operating conditions, cut-offs or flowsheets. Model ensembles may capture part of epistemic uncertainty, but ensemble spread is not automatically calibrated. Probabilistic predictions should be evaluated with coverage, sharpness and proper scoring rules, not only by plotting an interval.</w:t>
      </w:r>
    </w:p>
    <w:p w14:paraId="7C261D25" w14:textId="77777777" w:rsidR="000146C6" w:rsidRDefault="00000000">
      <w:pPr>
        <w:ind w:firstLine="288"/>
      </w:pPr>
      <w:r>
        <w:t>Three-dimensional mineral prospectivity research has begun to integrate uncertainty quantification directly into machine-learning frameworks (Zhang, Wang, et al., 2024). Reviews of geochemical mapping likewise recommend explicit separation and communication of uncertainty sources rather than presenting interpolated surfaces as observed truth (Wang &amp; Zuo, 2024). For recoverable-value prediction, the challenge is propagation. Geological realisations should be combined with uncertain grade, mineralogy, recovery response and operating scenarios. The output is a distribution of recoverable metal, concentrate quality or economic performance. Correlations among variables must be preserved; independently sampling each uncertainty can create impossible combinations.</w:t>
      </w:r>
    </w:p>
    <w:p w14:paraId="5D390069" w14:textId="77777777" w:rsidR="000146C6" w:rsidRDefault="00000000">
      <w:pPr>
        <w:ind w:firstLine="288"/>
      </w:pPr>
      <w:r>
        <w:t xml:space="preserve">Calibration is particularly important. A nominal 90% prediction interval should contain the realised outcome approximately 90% of the time under the deployment distribution. Calibration should be assessed </w:t>
      </w:r>
      <w:r>
        <w:lastRenderedPageBreak/>
        <w:t>globally and within geological or operating subgroups. Wide intervals can be calibrated but unhelpful, while narrow intervals can be sharp but overconfident. The desired model is both calibrated and sufficiently sharp to change decisions. Conformal prediction offers distribution-light interval construction, but spatial and temporal dependence complicates exchangeability. Blocked or weighted variants may be needed, and their assumptions should be stated.</w:t>
      </w:r>
    </w:p>
    <w:p w14:paraId="6ED1B29B" w14:textId="77777777" w:rsidR="000146C6" w:rsidRDefault="00000000">
      <w:pPr>
        <w:ind w:firstLine="288"/>
      </w:pPr>
      <w:r>
        <w:t xml:space="preserve">External validation is the strongest test and the least common. A model trained at one deposit and tested at </w:t>
      </w:r>
      <w:proofErr w:type="gramStart"/>
      <w:r>
        <w:t>another</w:t>
      </w:r>
      <w:proofErr w:type="gramEnd"/>
      <w:r>
        <w:t xml:space="preserve"> encounters differences in mineral system, measurement methods and exploration history. A plant model deployed on a new ore domain encounters covariate shift and possibly changed process mechanisms. Transfer should therefore be conditional. Shared features may support a prior or representation, but local recalibration and uncertainty inflation are needed. Poor transfer does not mean machine learning is useless; it indicates that the target relationship is local and that the model's domain of applicability must be explicit.</w:t>
      </w:r>
    </w:p>
    <w:p w14:paraId="7DBDC4D0" w14:textId="77777777" w:rsidR="000146C6" w:rsidRDefault="00000000">
      <w:pPr>
        <w:ind w:firstLine="288"/>
      </w:pPr>
      <w:r>
        <w:t>Data leakage extends beyond spatial proximity. Target leakage occurs when a predictor is derived from the target or becomes available only after the prediction time. Group leakage occurs when multiple measurements from the same specimen, drill interval or campaign are split across folds. Preprocessing leakage occurs when scaling, feature selection or imputation is fitted on the full dataset. Simulation leakage occurs when multiple realisations derived from the same underlying data are treated as independent observations. Each can produce impressive but invalid performance.</w:t>
      </w:r>
    </w:p>
    <w:p w14:paraId="74345DF7" w14:textId="77777777" w:rsidR="000146C6" w:rsidRDefault="00000000">
      <w:pPr>
        <w:ind w:firstLine="288"/>
      </w:pPr>
      <w:r>
        <w:t>Model governance translates these statistical concerns into operational controls. A model record should identify the intended use, training population, data version, variable definitions, exclusions, validation design, uncertainty method, performance limits and conditions requiring review. Input ranges and missingness should be monitored. Prediction distributions should be compared with training distributions, and material changes in residuals or calibration should trigger investigation. Human oversight should be assigned to named technical roles rather than assumed. Interpretability tools can support review, but governance rests on documentation, traceability and decision rights.</w:t>
      </w:r>
    </w:p>
    <w:p w14:paraId="1805B70E" w14:textId="77777777" w:rsidR="000146C6" w:rsidRDefault="00000000">
      <w:pPr>
        <w:ind w:firstLine="288"/>
      </w:pPr>
      <w:r>
        <w:t>The appropriate performance metric depends on use. Area under the receiver-operating-characteristic curve can be misleading in highly imbalanced prospectivity problems and does not assess spatial targeting efficiency. Precision-recall measures, success-rate curves and prospective discovery outcomes can be more relevant. For continuous grade or recovery, root-mean-square error should be complemented by bias, calibration, conditional error across grade ranges and decision thresholds. For block models, reconciliation against later drilling or production is particularly valuable. For plant control, economic or metallurgical improvement under prospective operation matters more than retrospective fit.</w:t>
      </w:r>
    </w:p>
    <w:p w14:paraId="2E4C6456" w14:textId="77777777" w:rsidR="000146C6" w:rsidRDefault="00000000">
      <w:pPr>
        <w:ind w:firstLine="288"/>
      </w:pPr>
      <w:r>
        <w:t>Uncertainty communication should avoid false precision. Maps can display median prediction with interval width, probability of exceeding a decision threshold and distance from training support. Mine plans can report distributions of recoverable tonnes and downside scenarios rather than one expected value. Plant interfaces can show confidence and applicability warnings. These representations help decision-makers distinguish a low prediction from an uncertain prediction, which may imply different actions: reject material, collect more data, run a test or apply conservative operating conditions.</w:t>
      </w:r>
    </w:p>
    <w:p w14:paraId="43B1FF53" w14:textId="77777777" w:rsidR="000146C6" w:rsidRDefault="00000000">
      <w:pPr>
        <w:ind w:firstLine="288"/>
      </w:pPr>
      <w:r>
        <w:t>Table 5 summarises recurrent failure modes and safeguards. The main lesson is that many failures arise before model fitting or after deployment. Algorithm selection is only one component of a valid prediction system.</w:t>
      </w:r>
    </w:p>
    <w:p w14:paraId="1E9CE2F4" w14:textId="77777777" w:rsidR="000146C6" w:rsidRDefault="000146C6">
      <w:pPr>
        <w:sectPr w:rsidR="000146C6">
          <w:pgSz w:w="12240" w:h="15840"/>
          <w:pgMar w:top="1037" w:right="1181" w:bottom="1037" w:left="1181" w:header="432" w:footer="432" w:gutter="0"/>
          <w:cols w:space="720"/>
          <w:docGrid w:linePitch="360"/>
        </w:sectPr>
      </w:pPr>
    </w:p>
    <w:p w14:paraId="03BB6F47" w14:textId="77777777" w:rsidR="000146C6" w:rsidRDefault="00000000">
      <w:pPr>
        <w:keepNext/>
        <w:spacing w:after="120"/>
        <w:jc w:val="left"/>
      </w:pPr>
      <w:r>
        <w:rPr>
          <w:b/>
          <w:color w:val="1F4E79"/>
          <w:sz w:val="20"/>
        </w:rPr>
        <w:lastRenderedPageBreak/>
        <w:t>Table 5. Validation, uncertainty and governance failure modes in mineral recovery prediction</w:t>
      </w:r>
    </w:p>
    <w:tbl>
      <w:tblPr>
        <w:tblStyle w:val="TableGrid"/>
        <w:tblW w:w="0" w:type="auto"/>
        <w:jc w:val="center"/>
        <w:tblLayout w:type="fixed"/>
        <w:tblLook w:val="04A0" w:firstRow="1" w:lastRow="0" w:firstColumn="1" w:lastColumn="0" w:noHBand="0" w:noVBand="1"/>
      </w:tblPr>
      <w:tblGrid>
        <w:gridCol w:w="2232"/>
        <w:gridCol w:w="3384"/>
        <w:gridCol w:w="3384"/>
        <w:gridCol w:w="3384"/>
        <w:gridCol w:w="2088"/>
      </w:tblGrid>
      <w:tr w:rsidR="000146C6" w14:paraId="2CBD7C8C" w14:textId="77777777">
        <w:trPr>
          <w:cantSplit/>
          <w:tblHeader/>
          <w:jc w:val="center"/>
        </w:trPr>
        <w:tc>
          <w:tcPr>
            <w:tcW w:w="2232" w:type="dxa"/>
            <w:shd w:val="clear" w:color="auto" w:fill="1F4E79"/>
            <w:tcMar>
              <w:top w:w="95" w:type="dxa"/>
              <w:left w:w="95" w:type="dxa"/>
              <w:bottom w:w="95" w:type="dxa"/>
              <w:right w:w="95" w:type="dxa"/>
            </w:tcMar>
            <w:vAlign w:val="center"/>
          </w:tcPr>
          <w:p w14:paraId="48A8B8F4" w14:textId="77777777" w:rsidR="000146C6" w:rsidRDefault="00000000">
            <w:pPr>
              <w:spacing w:after="0" w:line="240" w:lineRule="auto"/>
              <w:jc w:val="center"/>
            </w:pPr>
            <w:r>
              <w:rPr>
                <w:b/>
                <w:color w:val="FFFFFF"/>
                <w:sz w:val="16"/>
              </w:rPr>
              <w:t>Failure mode</w:t>
            </w:r>
          </w:p>
        </w:tc>
        <w:tc>
          <w:tcPr>
            <w:tcW w:w="3384" w:type="dxa"/>
            <w:shd w:val="clear" w:color="auto" w:fill="1F4E79"/>
            <w:tcMar>
              <w:top w:w="95" w:type="dxa"/>
              <w:left w:w="95" w:type="dxa"/>
              <w:bottom w:w="95" w:type="dxa"/>
              <w:right w:w="95" w:type="dxa"/>
            </w:tcMar>
            <w:vAlign w:val="center"/>
          </w:tcPr>
          <w:p w14:paraId="0BCC5165" w14:textId="77777777" w:rsidR="000146C6" w:rsidRDefault="00000000">
            <w:pPr>
              <w:spacing w:after="0" w:line="240" w:lineRule="auto"/>
              <w:jc w:val="center"/>
            </w:pPr>
            <w:r>
              <w:rPr>
                <w:b/>
                <w:color w:val="FFFFFF"/>
                <w:sz w:val="16"/>
              </w:rPr>
              <w:t>How it arises</w:t>
            </w:r>
          </w:p>
        </w:tc>
        <w:tc>
          <w:tcPr>
            <w:tcW w:w="3384" w:type="dxa"/>
            <w:shd w:val="clear" w:color="auto" w:fill="1F4E79"/>
            <w:tcMar>
              <w:top w:w="95" w:type="dxa"/>
              <w:left w:w="95" w:type="dxa"/>
              <w:bottom w:w="95" w:type="dxa"/>
              <w:right w:w="95" w:type="dxa"/>
            </w:tcMar>
            <w:vAlign w:val="center"/>
          </w:tcPr>
          <w:p w14:paraId="385B409F" w14:textId="77777777" w:rsidR="000146C6" w:rsidRDefault="00000000">
            <w:pPr>
              <w:spacing w:after="0" w:line="240" w:lineRule="auto"/>
              <w:jc w:val="center"/>
            </w:pPr>
            <w:r>
              <w:rPr>
                <w:b/>
                <w:color w:val="FFFFFF"/>
                <w:sz w:val="16"/>
              </w:rPr>
              <w:t>Diagnostic evidence</w:t>
            </w:r>
          </w:p>
        </w:tc>
        <w:tc>
          <w:tcPr>
            <w:tcW w:w="3384" w:type="dxa"/>
            <w:shd w:val="clear" w:color="auto" w:fill="1F4E79"/>
            <w:tcMar>
              <w:top w:w="95" w:type="dxa"/>
              <w:left w:w="95" w:type="dxa"/>
              <w:bottom w:w="95" w:type="dxa"/>
              <w:right w:w="95" w:type="dxa"/>
            </w:tcMar>
            <w:vAlign w:val="center"/>
          </w:tcPr>
          <w:p w14:paraId="1FCADEB1" w14:textId="77777777" w:rsidR="000146C6" w:rsidRDefault="00000000">
            <w:pPr>
              <w:spacing w:after="0" w:line="240" w:lineRule="auto"/>
              <w:jc w:val="center"/>
            </w:pPr>
            <w:r>
              <w:rPr>
                <w:b/>
                <w:color w:val="FFFFFF"/>
                <w:sz w:val="16"/>
              </w:rPr>
              <w:t>Preferred safeguard</w:t>
            </w:r>
          </w:p>
        </w:tc>
        <w:tc>
          <w:tcPr>
            <w:tcW w:w="2088" w:type="dxa"/>
            <w:shd w:val="clear" w:color="auto" w:fill="1F4E79"/>
            <w:tcMar>
              <w:top w:w="95" w:type="dxa"/>
              <w:left w:w="95" w:type="dxa"/>
              <w:bottom w:w="95" w:type="dxa"/>
              <w:right w:w="95" w:type="dxa"/>
            </w:tcMar>
            <w:vAlign w:val="center"/>
          </w:tcPr>
          <w:p w14:paraId="44CDF85A" w14:textId="77777777" w:rsidR="000146C6" w:rsidRDefault="00000000">
            <w:pPr>
              <w:spacing w:after="0" w:line="240" w:lineRule="auto"/>
              <w:jc w:val="center"/>
            </w:pPr>
            <w:r>
              <w:rPr>
                <w:b/>
                <w:color w:val="FFFFFF"/>
                <w:sz w:val="16"/>
              </w:rPr>
              <w:t>Supporting references</w:t>
            </w:r>
          </w:p>
        </w:tc>
      </w:tr>
      <w:tr w:rsidR="000146C6" w14:paraId="75778081" w14:textId="77777777">
        <w:trPr>
          <w:cantSplit/>
          <w:jc w:val="center"/>
        </w:trPr>
        <w:tc>
          <w:tcPr>
            <w:tcW w:w="2232" w:type="dxa"/>
            <w:shd w:val="clear" w:color="auto" w:fill="F6F9FC"/>
            <w:tcMar>
              <w:top w:w="85" w:type="dxa"/>
              <w:left w:w="90" w:type="dxa"/>
              <w:bottom w:w="85" w:type="dxa"/>
              <w:right w:w="90" w:type="dxa"/>
            </w:tcMar>
            <w:vAlign w:val="center"/>
          </w:tcPr>
          <w:p w14:paraId="7C5FD741" w14:textId="77777777" w:rsidR="000146C6" w:rsidRDefault="00000000">
            <w:pPr>
              <w:spacing w:after="0" w:line="240" w:lineRule="auto"/>
              <w:jc w:val="left"/>
            </w:pPr>
            <w:r>
              <w:rPr>
                <w:sz w:val="15"/>
              </w:rPr>
              <w:t>Spatial or hierarchical leakage</w:t>
            </w:r>
          </w:p>
        </w:tc>
        <w:tc>
          <w:tcPr>
            <w:tcW w:w="3384" w:type="dxa"/>
            <w:shd w:val="clear" w:color="auto" w:fill="F6F9FC"/>
            <w:tcMar>
              <w:top w:w="85" w:type="dxa"/>
              <w:left w:w="90" w:type="dxa"/>
              <w:bottom w:w="85" w:type="dxa"/>
              <w:right w:w="90" w:type="dxa"/>
            </w:tcMar>
            <w:vAlign w:val="center"/>
          </w:tcPr>
          <w:p w14:paraId="03D1D500" w14:textId="77777777" w:rsidR="000146C6" w:rsidRDefault="00000000">
            <w:pPr>
              <w:spacing w:after="0" w:line="240" w:lineRule="auto"/>
              <w:jc w:val="left"/>
            </w:pPr>
            <w:r>
              <w:rPr>
                <w:sz w:val="15"/>
              </w:rPr>
              <w:t>Neighbouring intervals, cells, drill holes or repeated specimens occur in both training and testing</w:t>
            </w:r>
          </w:p>
        </w:tc>
        <w:tc>
          <w:tcPr>
            <w:tcW w:w="3384" w:type="dxa"/>
            <w:shd w:val="clear" w:color="auto" w:fill="F6F9FC"/>
            <w:tcMar>
              <w:top w:w="85" w:type="dxa"/>
              <w:left w:w="90" w:type="dxa"/>
              <w:bottom w:w="85" w:type="dxa"/>
              <w:right w:w="90" w:type="dxa"/>
            </w:tcMar>
            <w:vAlign w:val="center"/>
          </w:tcPr>
          <w:p w14:paraId="23E50232" w14:textId="77777777" w:rsidR="000146C6" w:rsidRDefault="00000000">
            <w:pPr>
              <w:spacing w:after="0" w:line="240" w:lineRule="auto"/>
              <w:jc w:val="left"/>
            </w:pPr>
            <w:r>
              <w:rPr>
                <w:sz w:val="15"/>
              </w:rPr>
              <w:t>Large loss of performance under blocked, hole-wise or domain-wise validation</w:t>
            </w:r>
          </w:p>
        </w:tc>
        <w:tc>
          <w:tcPr>
            <w:tcW w:w="3384" w:type="dxa"/>
            <w:shd w:val="clear" w:color="auto" w:fill="F6F9FC"/>
            <w:tcMar>
              <w:top w:w="85" w:type="dxa"/>
              <w:left w:w="90" w:type="dxa"/>
              <w:bottom w:w="85" w:type="dxa"/>
              <w:right w:w="90" w:type="dxa"/>
            </w:tcMar>
            <w:vAlign w:val="center"/>
          </w:tcPr>
          <w:p w14:paraId="2391FD8D" w14:textId="77777777" w:rsidR="000146C6" w:rsidRDefault="00000000">
            <w:pPr>
              <w:spacing w:after="0" w:line="240" w:lineRule="auto"/>
              <w:jc w:val="left"/>
            </w:pPr>
            <w:r>
              <w:rPr>
                <w:sz w:val="15"/>
              </w:rPr>
              <w:t>Choose partitions that match deployment and report sensitivity to block scale</w:t>
            </w:r>
          </w:p>
        </w:tc>
        <w:tc>
          <w:tcPr>
            <w:tcW w:w="2088" w:type="dxa"/>
            <w:shd w:val="clear" w:color="auto" w:fill="F6F9FC"/>
            <w:tcMar>
              <w:top w:w="85" w:type="dxa"/>
              <w:left w:w="90" w:type="dxa"/>
              <w:bottom w:w="85" w:type="dxa"/>
              <w:right w:w="90" w:type="dxa"/>
            </w:tcMar>
            <w:vAlign w:val="center"/>
          </w:tcPr>
          <w:p w14:paraId="32B8C558" w14:textId="77777777" w:rsidR="000146C6" w:rsidRDefault="00000000">
            <w:pPr>
              <w:spacing w:after="0" w:line="240" w:lineRule="auto"/>
              <w:jc w:val="left"/>
            </w:pPr>
            <w:r>
              <w:rPr>
                <w:sz w:val="15"/>
              </w:rPr>
              <w:t>(</w:t>
            </w:r>
            <w:proofErr w:type="spellStart"/>
            <w:r>
              <w:rPr>
                <w:sz w:val="15"/>
              </w:rPr>
              <w:t>Hoffimann</w:t>
            </w:r>
            <w:proofErr w:type="spellEnd"/>
            <w:r>
              <w:rPr>
                <w:sz w:val="15"/>
              </w:rPr>
              <w:t xml:space="preserve"> et al., 2021; Roberts et al., 2017)</w:t>
            </w:r>
          </w:p>
        </w:tc>
      </w:tr>
      <w:tr w:rsidR="000146C6" w14:paraId="7901B79D" w14:textId="77777777">
        <w:trPr>
          <w:cantSplit/>
          <w:jc w:val="center"/>
        </w:trPr>
        <w:tc>
          <w:tcPr>
            <w:tcW w:w="2232" w:type="dxa"/>
            <w:tcMar>
              <w:top w:w="85" w:type="dxa"/>
              <w:left w:w="90" w:type="dxa"/>
              <w:bottom w:w="85" w:type="dxa"/>
              <w:right w:w="90" w:type="dxa"/>
            </w:tcMar>
            <w:vAlign w:val="center"/>
          </w:tcPr>
          <w:p w14:paraId="0489D645" w14:textId="77777777" w:rsidR="000146C6" w:rsidRDefault="00000000">
            <w:pPr>
              <w:spacing w:after="0" w:line="240" w:lineRule="auto"/>
              <w:jc w:val="left"/>
            </w:pPr>
            <w:r>
              <w:rPr>
                <w:sz w:val="15"/>
              </w:rPr>
              <w:t>Label and sampling bias</w:t>
            </w:r>
          </w:p>
        </w:tc>
        <w:tc>
          <w:tcPr>
            <w:tcW w:w="3384" w:type="dxa"/>
            <w:tcMar>
              <w:top w:w="85" w:type="dxa"/>
              <w:left w:w="90" w:type="dxa"/>
              <w:bottom w:w="85" w:type="dxa"/>
              <w:right w:w="90" w:type="dxa"/>
            </w:tcMar>
            <w:vAlign w:val="center"/>
          </w:tcPr>
          <w:p w14:paraId="36EDBCDB" w14:textId="77777777" w:rsidR="000146C6" w:rsidRDefault="00000000">
            <w:pPr>
              <w:spacing w:after="0" w:line="240" w:lineRule="auto"/>
              <w:jc w:val="left"/>
            </w:pPr>
            <w:r>
              <w:rPr>
                <w:sz w:val="15"/>
              </w:rPr>
              <w:t>Known deposits, drilled zones or tested composites are not representative of the target population</w:t>
            </w:r>
          </w:p>
        </w:tc>
        <w:tc>
          <w:tcPr>
            <w:tcW w:w="3384" w:type="dxa"/>
            <w:tcMar>
              <w:top w:w="85" w:type="dxa"/>
              <w:left w:w="90" w:type="dxa"/>
              <w:bottom w:w="85" w:type="dxa"/>
              <w:right w:w="90" w:type="dxa"/>
            </w:tcMar>
            <w:vAlign w:val="center"/>
          </w:tcPr>
          <w:p w14:paraId="5972E257" w14:textId="77777777" w:rsidR="000146C6" w:rsidRDefault="00000000">
            <w:pPr>
              <w:spacing w:after="0" w:line="240" w:lineRule="auto"/>
              <w:jc w:val="left"/>
            </w:pPr>
            <w:r>
              <w:rPr>
                <w:sz w:val="15"/>
              </w:rPr>
              <w:t>Prediction follows exploration density or changes materially under alternative background and weighting schemes</w:t>
            </w:r>
          </w:p>
        </w:tc>
        <w:tc>
          <w:tcPr>
            <w:tcW w:w="3384" w:type="dxa"/>
            <w:tcMar>
              <w:top w:w="85" w:type="dxa"/>
              <w:left w:w="90" w:type="dxa"/>
              <w:bottom w:w="85" w:type="dxa"/>
              <w:right w:w="90" w:type="dxa"/>
            </w:tcMar>
            <w:vAlign w:val="center"/>
          </w:tcPr>
          <w:p w14:paraId="27621A12" w14:textId="77777777" w:rsidR="000146C6" w:rsidRDefault="00000000">
            <w:pPr>
              <w:spacing w:after="0" w:line="240" w:lineRule="auto"/>
              <w:jc w:val="left"/>
            </w:pPr>
            <w:r>
              <w:rPr>
                <w:sz w:val="15"/>
              </w:rPr>
              <w:t>Use mineral-system constraints, positive-unlabelled reasoning, designed sampling and sensitivity analysis</w:t>
            </w:r>
          </w:p>
        </w:tc>
        <w:tc>
          <w:tcPr>
            <w:tcW w:w="2088" w:type="dxa"/>
            <w:tcMar>
              <w:top w:w="85" w:type="dxa"/>
              <w:left w:w="90" w:type="dxa"/>
              <w:bottom w:w="85" w:type="dxa"/>
              <w:right w:w="90" w:type="dxa"/>
            </w:tcMar>
            <w:vAlign w:val="center"/>
          </w:tcPr>
          <w:p w14:paraId="798EDEAE" w14:textId="77777777" w:rsidR="000146C6" w:rsidRDefault="00000000">
            <w:pPr>
              <w:spacing w:after="0" w:line="240" w:lineRule="auto"/>
              <w:jc w:val="left"/>
            </w:pPr>
            <w:r>
              <w:rPr>
                <w:sz w:val="15"/>
              </w:rPr>
              <w:t>(Carranza &amp; Laborte, 2015; Parsa &amp; Cumani, 2025)</w:t>
            </w:r>
          </w:p>
        </w:tc>
      </w:tr>
      <w:tr w:rsidR="000146C6" w14:paraId="74CE3A09" w14:textId="77777777">
        <w:trPr>
          <w:cantSplit/>
          <w:jc w:val="center"/>
        </w:trPr>
        <w:tc>
          <w:tcPr>
            <w:tcW w:w="2232" w:type="dxa"/>
            <w:shd w:val="clear" w:color="auto" w:fill="F6F9FC"/>
            <w:tcMar>
              <w:top w:w="85" w:type="dxa"/>
              <w:left w:w="90" w:type="dxa"/>
              <w:bottom w:w="85" w:type="dxa"/>
              <w:right w:w="90" w:type="dxa"/>
            </w:tcMar>
            <w:vAlign w:val="center"/>
          </w:tcPr>
          <w:p w14:paraId="51EDEC5C" w14:textId="77777777" w:rsidR="000146C6" w:rsidRDefault="00000000">
            <w:pPr>
              <w:spacing w:after="0" w:line="240" w:lineRule="auto"/>
              <w:jc w:val="left"/>
            </w:pPr>
            <w:r>
              <w:rPr>
                <w:sz w:val="15"/>
              </w:rPr>
              <w:t>Change-of-support error</w:t>
            </w:r>
          </w:p>
        </w:tc>
        <w:tc>
          <w:tcPr>
            <w:tcW w:w="3384" w:type="dxa"/>
            <w:shd w:val="clear" w:color="auto" w:fill="F6F9FC"/>
            <w:tcMar>
              <w:top w:w="85" w:type="dxa"/>
              <w:left w:w="90" w:type="dxa"/>
              <w:bottom w:w="85" w:type="dxa"/>
              <w:right w:w="90" w:type="dxa"/>
            </w:tcMar>
            <w:vAlign w:val="center"/>
          </w:tcPr>
          <w:p w14:paraId="2F9155AC" w14:textId="77777777" w:rsidR="000146C6" w:rsidRDefault="00000000">
            <w:pPr>
              <w:spacing w:after="0" w:line="240" w:lineRule="auto"/>
              <w:jc w:val="left"/>
            </w:pPr>
            <w:r>
              <w:rPr>
                <w:sz w:val="15"/>
              </w:rPr>
              <w:t>Point, interval, pixel, block and blended-feed variables are combined without modelling aggregation</w:t>
            </w:r>
          </w:p>
        </w:tc>
        <w:tc>
          <w:tcPr>
            <w:tcW w:w="3384" w:type="dxa"/>
            <w:shd w:val="clear" w:color="auto" w:fill="F6F9FC"/>
            <w:tcMar>
              <w:top w:w="85" w:type="dxa"/>
              <w:left w:w="90" w:type="dxa"/>
              <w:bottom w:w="85" w:type="dxa"/>
              <w:right w:w="90" w:type="dxa"/>
            </w:tcMar>
            <w:vAlign w:val="center"/>
          </w:tcPr>
          <w:p w14:paraId="75906F90" w14:textId="77777777" w:rsidR="000146C6" w:rsidRDefault="00000000">
            <w:pPr>
              <w:spacing w:after="0" w:line="240" w:lineRule="auto"/>
              <w:jc w:val="left"/>
            </w:pPr>
            <w:r>
              <w:rPr>
                <w:sz w:val="15"/>
              </w:rPr>
              <w:t>Biased variance, unrealistic local extremes or poor reconciliation after block aggregation</w:t>
            </w:r>
          </w:p>
        </w:tc>
        <w:tc>
          <w:tcPr>
            <w:tcW w:w="3384" w:type="dxa"/>
            <w:shd w:val="clear" w:color="auto" w:fill="F6F9FC"/>
            <w:tcMar>
              <w:top w:w="85" w:type="dxa"/>
              <w:left w:w="90" w:type="dxa"/>
              <w:bottom w:w="85" w:type="dxa"/>
              <w:right w:w="90" w:type="dxa"/>
            </w:tcMar>
            <w:vAlign w:val="center"/>
          </w:tcPr>
          <w:p w14:paraId="4114DD7A" w14:textId="77777777" w:rsidR="000146C6" w:rsidRDefault="00000000">
            <w:pPr>
              <w:spacing w:after="0" w:line="240" w:lineRule="auto"/>
              <w:jc w:val="left"/>
            </w:pPr>
            <w:r>
              <w:rPr>
                <w:sz w:val="15"/>
              </w:rPr>
              <w:t>Simulate at a defensible fine support, aggregate explicitly and validate at the decision support</w:t>
            </w:r>
          </w:p>
        </w:tc>
        <w:tc>
          <w:tcPr>
            <w:tcW w:w="2088" w:type="dxa"/>
            <w:shd w:val="clear" w:color="auto" w:fill="F6F9FC"/>
            <w:tcMar>
              <w:top w:w="85" w:type="dxa"/>
              <w:left w:w="90" w:type="dxa"/>
              <w:bottom w:w="85" w:type="dxa"/>
              <w:right w:w="90" w:type="dxa"/>
            </w:tcMar>
            <w:vAlign w:val="center"/>
          </w:tcPr>
          <w:p w14:paraId="58815607" w14:textId="77777777" w:rsidR="000146C6" w:rsidRDefault="00000000">
            <w:pPr>
              <w:spacing w:after="0" w:line="240" w:lineRule="auto"/>
              <w:jc w:val="left"/>
            </w:pPr>
            <w:r>
              <w:rPr>
                <w:sz w:val="15"/>
              </w:rPr>
              <w:t>(</w:t>
            </w:r>
            <w:proofErr w:type="spellStart"/>
            <w:r>
              <w:rPr>
                <w:sz w:val="15"/>
              </w:rPr>
              <w:t>Nwaila</w:t>
            </w:r>
            <w:proofErr w:type="spellEnd"/>
            <w:r>
              <w:rPr>
                <w:sz w:val="15"/>
              </w:rPr>
              <w:t xml:space="preserve"> et al., 2024; Oliver &amp; Webster, 2014; Yamamoto, 2005)</w:t>
            </w:r>
          </w:p>
        </w:tc>
      </w:tr>
      <w:tr w:rsidR="000146C6" w14:paraId="097ED9B3" w14:textId="77777777">
        <w:trPr>
          <w:cantSplit/>
          <w:jc w:val="center"/>
        </w:trPr>
        <w:tc>
          <w:tcPr>
            <w:tcW w:w="2232" w:type="dxa"/>
            <w:tcMar>
              <w:top w:w="85" w:type="dxa"/>
              <w:left w:w="90" w:type="dxa"/>
              <w:bottom w:w="85" w:type="dxa"/>
              <w:right w:w="90" w:type="dxa"/>
            </w:tcMar>
            <w:vAlign w:val="center"/>
          </w:tcPr>
          <w:p w14:paraId="26954FE6" w14:textId="77777777" w:rsidR="000146C6" w:rsidRDefault="00000000">
            <w:pPr>
              <w:spacing w:after="0" w:line="240" w:lineRule="auto"/>
              <w:jc w:val="left"/>
            </w:pPr>
            <w:r>
              <w:rPr>
                <w:sz w:val="15"/>
              </w:rPr>
              <w:t>Target or temporal leakage</w:t>
            </w:r>
          </w:p>
        </w:tc>
        <w:tc>
          <w:tcPr>
            <w:tcW w:w="3384" w:type="dxa"/>
            <w:tcMar>
              <w:top w:w="85" w:type="dxa"/>
              <w:left w:w="90" w:type="dxa"/>
              <w:bottom w:w="85" w:type="dxa"/>
              <w:right w:w="90" w:type="dxa"/>
            </w:tcMar>
            <w:vAlign w:val="center"/>
          </w:tcPr>
          <w:p w14:paraId="4927024C" w14:textId="77777777" w:rsidR="000146C6" w:rsidRDefault="00000000">
            <w:pPr>
              <w:spacing w:after="0" w:line="240" w:lineRule="auto"/>
              <w:jc w:val="left"/>
            </w:pPr>
            <w:r>
              <w:rPr>
                <w:sz w:val="15"/>
              </w:rPr>
              <w:t>Post-decision variables, delayed assays or future observations enter the predictors or preprocessing</w:t>
            </w:r>
          </w:p>
        </w:tc>
        <w:tc>
          <w:tcPr>
            <w:tcW w:w="3384" w:type="dxa"/>
            <w:tcMar>
              <w:top w:w="85" w:type="dxa"/>
              <w:left w:w="90" w:type="dxa"/>
              <w:bottom w:w="85" w:type="dxa"/>
              <w:right w:w="90" w:type="dxa"/>
            </w:tcMar>
            <w:vAlign w:val="center"/>
          </w:tcPr>
          <w:p w14:paraId="788FEBFB" w14:textId="77777777" w:rsidR="000146C6" w:rsidRDefault="00000000">
            <w:pPr>
              <w:spacing w:after="0" w:line="240" w:lineRule="auto"/>
              <w:jc w:val="left"/>
            </w:pPr>
            <w:r>
              <w:rPr>
                <w:sz w:val="15"/>
              </w:rPr>
              <w:t>Excellent retrospective accuracy but failure in prospective or rolling-origin tests</w:t>
            </w:r>
          </w:p>
        </w:tc>
        <w:tc>
          <w:tcPr>
            <w:tcW w:w="3384" w:type="dxa"/>
            <w:tcMar>
              <w:top w:w="85" w:type="dxa"/>
              <w:left w:w="90" w:type="dxa"/>
              <w:bottom w:w="85" w:type="dxa"/>
              <w:right w:w="90" w:type="dxa"/>
            </w:tcMar>
            <w:vAlign w:val="center"/>
          </w:tcPr>
          <w:p w14:paraId="445CFC3C" w14:textId="77777777" w:rsidR="000146C6" w:rsidRDefault="00000000">
            <w:pPr>
              <w:spacing w:after="0" w:line="240" w:lineRule="auto"/>
              <w:jc w:val="left"/>
            </w:pPr>
            <w:r>
              <w:rPr>
                <w:sz w:val="15"/>
              </w:rPr>
              <w:t>Define prediction time, material lag and feature availability; fit preprocessing within each training fold</w:t>
            </w:r>
          </w:p>
        </w:tc>
        <w:tc>
          <w:tcPr>
            <w:tcW w:w="2088" w:type="dxa"/>
            <w:tcMar>
              <w:top w:w="85" w:type="dxa"/>
              <w:left w:w="90" w:type="dxa"/>
              <w:bottom w:w="85" w:type="dxa"/>
              <w:right w:w="90" w:type="dxa"/>
            </w:tcMar>
            <w:vAlign w:val="center"/>
          </w:tcPr>
          <w:p w14:paraId="3E4573F8" w14:textId="77777777" w:rsidR="000146C6" w:rsidRDefault="00000000">
            <w:pPr>
              <w:spacing w:after="0" w:line="240" w:lineRule="auto"/>
              <w:jc w:val="left"/>
            </w:pPr>
            <w:r>
              <w:rPr>
                <w:sz w:val="15"/>
              </w:rPr>
              <w:t>(Kaartinen et al., 2006; McCoy &amp; Auret, 2019)</w:t>
            </w:r>
          </w:p>
        </w:tc>
      </w:tr>
      <w:tr w:rsidR="000146C6" w14:paraId="3739E804" w14:textId="77777777">
        <w:trPr>
          <w:cantSplit/>
          <w:jc w:val="center"/>
        </w:trPr>
        <w:tc>
          <w:tcPr>
            <w:tcW w:w="2232" w:type="dxa"/>
            <w:shd w:val="clear" w:color="auto" w:fill="F6F9FC"/>
            <w:tcMar>
              <w:top w:w="85" w:type="dxa"/>
              <w:left w:w="90" w:type="dxa"/>
              <w:bottom w:w="85" w:type="dxa"/>
              <w:right w:w="90" w:type="dxa"/>
            </w:tcMar>
            <w:vAlign w:val="center"/>
          </w:tcPr>
          <w:p w14:paraId="62724B04" w14:textId="77777777" w:rsidR="000146C6" w:rsidRDefault="00000000">
            <w:pPr>
              <w:spacing w:after="0" w:line="240" w:lineRule="auto"/>
              <w:jc w:val="left"/>
            </w:pPr>
            <w:r>
              <w:rPr>
                <w:sz w:val="15"/>
              </w:rPr>
              <w:t>Workflow and interpretation uncertainty</w:t>
            </w:r>
          </w:p>
        </w:tc>
        <w:tc>
          <w:tcPr>
            <w:tcW w:w="3384" w:type="dxa"/>
            <w:shd w:val="clear" w:color="auto" w:fill="F6F9FC"/>
            <w:tcMar>
              <w:top w:w="85" w:type="dxa"/>
              <w:left w:w="90" w:type="dxa"/>
              <w:bottom w:w="85" w:type="dxa"/>
              <w:right w:w="90" w:type="dxa"/>
            </w:tcMar>
            <w:vAlign w:val="center"/>
          </w:tcPr>
          <w:p w14:paraId="55B4D1FC" w14:textId="77777777" w:rsidR="000146C6" w:rsidRDefault="00000000">
            <w:pPr>
              <w:spacing w:after="0" w:line="240" w:lineRule="auto"/>
              <w:jc w:val="left"/>
            </w:pPr>
            <w:r>
              <w:rPr>
                <w:sz w:val="15"/>
              </w:rPr>
              <w:t>Plausible choices in domains, evidence layers, labels, transformations or tuning yield different outputs</w:t>
            </w:r>
          </w:p>
        </w:tc>
        <w:tc>
          <w:tcPr>
            <w:tcW w:w="3384" w:type="dxa"/>
            <w:shd w:val="clear" w:color="auto" w:fill="F6F9FC"/>
            <w:tcMar>
              <w:top w:w="85" w:type="dxa"/>
              <w:left w:w="90" w:type="dxa"/>
              <w:bottom w:w="85" w:type="dxa"/>
              <w:right w:w="90" w:type="dxa"/>
            </w:tcMar>
            <w:vAlign w:val="center"/>
          </w:tcPr>
          <w:p w14:paraId="14E8A237" w14:textId="77777777" w:rsidR="000146C6" w:rsidRDefault="00000000">
            <w:pPr>
              <w:spacing w:after="0" w:line="240" w:lineRule="auto"/>
              <w:jc w:val="left"/>
            </w:pPr>
            <w:r>
              <w:rPr>
                <w:sz w:val="15"/>
              </w:rPr>
              <w:t>Map or rank instability across defensible workflows</w:t>
            </w:r>
          </w:p>
        </w:tc>
        <w:tc>
          <w:tcPr>
            <w:tcW w:w="3384" w:type="dxa"/>
            <w:shd w:val="clear" w:color="auto" w:fill="F6F9FC"/>
            <w:tcMar>
              <w:top w:w="85" w:type="dxa"/>
              <w:left w:w="90" w:type="dxa"/>
              <w:bottom w:w="85" w:type="dxa"/>
              <w:right w:w="90" w:type="dxa"/>
            </w:tcMar>
            <w:vAlign w:val="center"/>
          </w:tcPr>
          <w:p w14:paraId="3BA3E083" w14:textId="77777777" w:rsidR="000146C6" w:rsidRDefault="00000000">
            <w:pPr>
              <w:spacing w:after="0" w:line="240" w:lineRule="auto"/>
              <w:jc w:val="left"/>
            </w:pPr>
            <w:r>
              <w:rPr>
                <w:sz w:val="15"/>
              </w:rPr>
              <w:t>Preserve alternative interpretations, conduct structured sensitivity analysis and propagate workflow uncertainty</w:t>
            </w:r>
          </w:p>
        </w:tc>
        <w:tc>
          <w:tcPr>
            <w:tcW w:w="2088" w:type="dxa"/>
            <w:shd w:val="clear" w:color="auto" w:fill="F6F9FC"/>
            <w:tcMar>
              <w:top w:w="85" w:type="dxa"/>
              <w:left w:w="90" w:type="dxa"/>
              <w:bottom w:w="85" w:type="dxa"/>
              <w:right w:w="90" w:type="dxa"/>
            </w:tcMar>
            <w:vAlign w:val="center"/>
          </w:tcPr>
          <w:p w14:paraId="18E8D4D6" w14:textId="77777777" w:rsidR="000146C6" w:rsidRDefault="00000000">
            <w:pPr>
              <w:spacing w:after="0" w:line="240" w:lineRule="auto"/>
              <w:jc w:val="left"/>
            </w:pPr>
            <w:r>
              <w:rPr>
                <w:sz w:val="15"/>
              </w:rPr>
              <w:t>(Burkin et al., 2019; Zhang, Lawley, et al., 2024)</w:t>
            </w:r>
          </w:p>
        </w:tc>
      </w:tr>
      <w:tr w:rsidR="000146C6" w14:paraId="485DAE32" w14:textId="77777777">
        <w:trPr>
          <w:cantSplit/>
          <w:jc w:val="center"/>
        </w:trPr>
        <w:tc>
          <w:tcPr>
            <w:tcW w:w="2232" w:type="dxa"/>
            <w:tcMar>
              <w:top w:w="85" w:type="dxa"/>
              <w:left w:w="90" w:type="dxa"/>
              <w:bottom w:w="85" w:type="dxa"/>
              <w:right w:w="90" w:type="dxa"/>
            </w:tcMar>
            <w:vAlign w:val="center"/>
          </w:tcPr>
          <w:p w14:paraId="4386A5DD" w14:textId="77777777" w:rsidR="000146C6" w:rsidRDefault="00000000">
            <w:pPr>
              <w:spacing w:after="0" w:line="240" w:lineRule="auto"/>
              <w:jc w:val="left"/>
            </w:pPr>
            <w:r>
              <w:rPr>
                <w:sz w:val="15"/>
              </w:rPr>
              <w:t>Uncalibrated predictive uncertainty</w:t>
            </w:r>
          </w:p>
        </w:tc>
        <w:tc>
          <w:tcPr>
            <w:tcW w:w="3384" w:type="dxa"/>
            <w:tcMar>
              <w:top w:w="85" w:type="dxa"/>
              <w:left w:w="90" w:type="dxa"/>
              <w:bottom w:w="85" w:type="dxa"/>
              <w:right w:w="90" w:type="dxa"/>
            </w:tcMar>
            <w:vAlign w:val="center"/>
          </w:tcPr>
          <w:p w14:paraId="1F95E2E8" w14:textId="77777777" w:rsidR="000146C6" w:rsidRDefault="00000000">
            <w:pPr>
              <w:spacing w:after="0" w:line="240" w:lineRule="auto"/>
              <w:jc w:val="left"/>
            </w:pPr>
            <w:r>
              <w:rPr>
                <w:sz w:val="15"/>
              </w:rPr>
              <w:t>Intervals reflect model spread but omit geological, parameter or scenario uncertainty</w:t>
            </w:r>
          </w:p>
        </w:tc>
        <w:tc>
          <w:tcPr>
            <w:tcW w:w="3384" w:type="dxa"/>
            <w:tcMar>
              <w:top w:w="85" w:type="dxa"/>
              <w:left w:w="90" w:type="dxa"/>
              <w:bottom w:w="85" w:type="dxa"/>
              <w:right w:w="90" w:type="dxa"/>
            </w:tcMar>
            <w:vAlign w:val="center"/>
          </w:tcPr>
          <w:p w14:paraId="542EAD08" w14:textId="77777777" w:rsidR="000146C6" w:rsidRDefault="00000000">
            <w:pPr>
              <w:spacing w:after="0" w:line="240" w:lineRule="auto"/>
              <w:jc w:val="left"/>
            </w:pPr>
            <w:r>
              <w:rPr>
                <w:sz w:val="15"/>
              </w:rPr>
              <w:t>Nominal intervals have poor empirical coverage or fail in specific domains</w:t>
            </w:r>
          </w:p>
        </w:tc>
        <w:tc>
          <w:tcPr>
            <w:tcW w:w="3384" w:type="dxa"/>
            <w:tcMar>
              <w:top w:w="85" w:type="dxa"/>
              <w:left w:w="90" w:type="dxa"/>
              <w:bottom w:w="85" w:type="dxa"/>
              <w:right w:w="90" w:type="dxa"/>
            </w:tcMar>
            <w:vAlign w:val="center"/>
          </w:tcPr>
          <w:p w14:paraId="1DB0E214" w14:textId="77777777" w:rsidR="000146C6" w:rsidRDefault="00000000">
            <w:pPr>
              <w:spacing w:after="0" w:line="240" w:lineRule="auto"/>
              <w:jc w:val="left"/>
            </w:pPr>
            <w:r>
              <w:rPr>
                <w:sz w:val="15"/>
              </w:rPr>
              <w:t>Assess coverage and sharpness by domain and propagate dependent uncertainty sources jointly</w:t>
            </w:r>
          </w:p>
        </w:tc>
        <w:tc>
          <w:tcPr>
            <w:tcW w:w="2088" w:type="dxa"/>
            <w:tcMar>
              <w:top w:w="85" w:type="dxa"/>
              <w:left w:w="90" w:type="dxa"/>
              <w:bottom w:w="85" w:type="dxa"/>
              <w:right w:w="90" w:type="dxa"/>
            </w:tcMar>
            <w:vAlign w:val="center"/>
          </w:tcPr>
          <w:p w14:paraId="25DDC866" w14:textId="77777777" w:rsidR="000146C6" w:rsidRDefault="00000000">
            <w:pPr>
              <w:spacing w:after="0" w:line="240" w:lineRule="auto"/>
              <w:jc w:val="left"/>
            </w:pPr>
            <w:r>
              <w:rPr>
                <w:sz w:val="15"/>
              </w:rPr>
              <w:t>(Wang &amp; Zuo, 2024; Zhang, Wang, et al., 2024)</w:t>
            </w:r>
          </w:p>
        </w:tc>
      </w:tr>
      <w:tr w:rsidR="000146C6" w14:paraId="32C36D74" w14:textId="77777777">
        <w:trPr>
          <w:cantSplit/>
          <w:jc w:val="center"/>
        </w:trPr>
        <w:tc>
          <w:tcPr>
            <w:tcW w:w="2232" w:type="dxa"/>
            <w:shd w:val="clear" w:color="auto" w:fill="F6F9FC"/>
            <w:tcMar>
              <w:top w:w="85" w:type="dxa"/>
              <w:left w:w="90" w:type="dxa"/>
              <w:bottom w:w="85" w:type="dxa"/>
              <w:right w:w="90" w:type="dxa"/>
            </w:tcMar>
            <w:vAlign w:val="center"/>
          </w:tcPr>
          <w:p w14:paraId="4CF09665" w14:textId="77777777" w:rsidR="000146C6" w:rsidRDefault="00000000">
            <w:pPr>
              <w:spacing w:after="0" w:line="240" w:lineRule="auto"/>
              <w:jc w:val="left"/>
            </w:pPr>
            <w:r>
              <w:rPr>
                <w:sz w:val="15"/>
              </w:rPr>
              <w:t>Operational drift and weak governance</w:t>
            </w:r>
          </w:p>
        </w:tc>
        <w:tc>
          <w:tcPr>
            <w:tcW w:w="3384" w:type="dxa"/>
            <w:shd w:val="clear" w:color="auto" w:fill="F6F9FC"/>
            <w:tcMar>
              <w:top w:w="85" w:type="dxa"/>
              <w:left w:w="90" w:type="dxa"/>
              <w:bottom w:w="85" w:type="dxa"/>
              <w:right w:w="90" w:type="dxa"/>
            </w:tcMar>
            <w:vAlign w:val="center"/>
          </w:tcPr>
          <w:p w14:paraId="44C67F8D" w14:textId="77777777" w:rsidR="000146C6" w:rsidRDefault="00000000">
            <w:pPr>
              <w:spacing w:after="0" w:line="240" w:lineRule="auto"/>
              <w:jc w:val="left"/>
            </w:pPr>
            <w:proofErr w:type="spellStart"/>
            <w:r>
              <w:rPr>
                <w:sz w:val="15"/>
              </w:rPr>
              <w:t>Ore</w:t>
            </w:r>
            <w:proofErr w:type="spellEnd"/>
            <w:r>
              <w:rPr>
                <w:sz w:val="15"/>
              </w:rPr>
              <w:t xml:space="preserve"> source, equipment, sensors or control policies change after deployment</w:t>
            </w:r>
          </w:p>
        </w:tc>
        <w:tc>
          <w:tcPr>
            <w:tcW w:w="3384" w:type="dxa"/>
            <w:shd w:val="clear" w:color="auto" w:fill="F6F9FC"/>
            <w:tcMar>
              <w:top w:w="85" w:type="dxa"/>
              <w:left w:w="90" w:type="dxa"/>
              <w:bottom w:w="85" w:type="dxa"/>
              <w:right w:w="90" w:type="dxa"/>
            </w:tcMar>
            <w:vAlign w:val="center"/>
          </w:tcPr>
          <w:p w14:paraId="0E181C6B" w14:textId="77777777" w:rsidR="000146C6" w:rsidRDefault="00000000">
            <w:pPr>
              <w:spacing w:after="0" w:line="240" w:lineRule="auto"/>
              <w:jc w:val="left"/>
            </w:pPr>
            <w:r>
              <w:rPr>
                <w:sz w:val="15"/>
              </w:rPr>
              <w:t>Residual, calibration or input-distribution shifts over time</w:t>
            </w:r>
          </w:p>
        </w:tc>
        <w:tc>
          <w:tcPr>
            <w:tcW w:w="3384" w:type="dxa"/>
            <w:shd w:val="clear" w:color="auto" w:fill="F6F9FC"/>
            <w:tcMar>
              <w:top w:w="85" w:type="dxa"/>
              <w:left w:w="90" w:type="dxa"/>
              <w:bottom w:w="85" w:type="dxa"/>
              <w:right w:w="90" w:type="dxa"/>
            </w:tcMar>
            <w:vAlign w:val="center"/>
          </w:tcPr>
          <w:p w14:paraId="4E06E054" w14:textId="77777777" w:rsidR="000146C6" w:rsidRDefault="00000000">
            <w:pPr>
              <w:spacing w:after="0" w:line="240" w:lineRule="auto"/>
              <w:jc w:val="left"/>
            </w:pPr>
            <w:r>
              <w:rPr>
                <w:sz w:val="15"/>
              </w:rPr>
              <w:t>Version data and models, monitor applicability, define review triggers and retain accountable human oversight</w:t>
            </w:r>
          </w:p>
        </w:tc>
        <w:tc>
          <w:tcPr>
            <w:tcW w:w="2088" w:type="dxa"/>
            <w:shd w:val="clear" w:color="auto" w:fill="F6F9FC"/>
            <w:tcMar>
              <w:top w:w="85" w:type="dxa"/>
              <w:left w:w="90" w:type="dxa"/>
              <w:bottom w:w="85" w:type="dxa"/>
              <w:right w:w="90" w:type="dxa"/>
            </w:tcMar>
            <w:vAlign w:val="center"/>
          </w:tcPr>
          <w:p w14:paraId="78D8DDD7" w14:textId="77777777" w:rsidR="000146C6" w:rsidRDefault="00000000">
            <w:pPr>
              <w:spacing w:after="0" w:line="240" w:lineRule="auto"/>
              <w:jc w:val="left"/>
            </w:pPr>
            <w:r>
              <w:rPr>
                <w:sz w:val="15"/>
              </w:rPr>
              <w:t>(Lundberg et al., 2020; McCoy &amp; Auret, 2019)</w:t>
            </w:r>
          </w:p>
        </w:tc>
      </w:tr>
    </w:tbl>
    <w:p w14:paraId="0E4AC7CC" w14:textId="77777777" w:rsidR="000146C6" w:rsidRDefault="00000000">
      <w:pPr>
        <w:spacing w:before="100" w:after="0"/>
      </w:pPr>
      <w:r>
        <w:rPr>
          <w:i/>
          <w:color w:val="4A4A4A"/>
          <w:sz w:val="16"/>
        </w:rPr>
        <w:t>Note. Diagnostics should be evaluated prospectively wherever possible. A safeguard reduces risk but does not prove that a model is transferable or causally valid.</w:t>
      </w:r>
    </w:p>
    <w:p w14:paraId="65DF899D" w14:textId="77777777" w:rsidR="000146C6" w:rsidRDefault="000146C6">
      <w:pPr>
        <w:sectPr w:rsidR="000146C6">
          <w:pgSz w:w="15840" w:h="12240" w:orient="landscape"/>
          <w:pgMar w:top="792" w:right="792" w:bottom="792" w:left="792" w:header="432" w:footer="432" w:gutter="0"/>
          <w:cols w:space="720"/>
          <w:docGrid w:linePitch="360"/>
        </w:sectPr>
      </w:pPr>
    </w:p>
    <w:p w14:paraId="4BAF4831" w14:textId="77777777" w:rsidR="000146C6" w:rsidRDefault="00000000">
      <w:pPr>
        <w:pStyle w:val="Heading1"/>
      </w:pPr>
      <w:r>
        <w:lastRenderedPageBreak/>
        <w:t>8. Integrated Geostatistical-Machine-Learning Framework for U.S. Applications</w:t>
      </w:r>
    </w:p>
    <w:p w14:paraId="1E7158D1" w14:textId="77777777" w:rsidR="000146C6" w:rsidRDefault="00000000">
      <w:pPr>
        <w:ind w:firstLine="288"/>
      </w:pPr>
      <w:r>
        <w:t>An integrated framework should connect, but not collapse, the prediction scales. The first stage is a mineral-system and decision model. Regional geological knowledge identifies plausible deposit processes, relevant evidence layers and the decision to be supported. National focus areas and mineral-system classifications can define broad priors and data-acquisition priorities (Hammarstrom et al., 2023; Hofstra &amp; Kreiner, 2020). Machine learning can combine multivariate evidence to rank targets, while spatial validation and interpretation uncertainty prevent the rank from being mistaken for a discovery probability with universal calibration.</w:t>
      </w:r>
    </w:p>
    <w:p w14:paraId="7D691BAB" w14:textId="77777777" w:rsidR="000146C6" w:rsidRDefault="00000000">
      <w:pPr>
        <w:ind w:firstLine="288"/>
      </w:pPr>
      <w:r>
        <w:t>The second stage is deposit-scale geological modelling. Drilling, mapping, assays, geophysics and mineralogy are quality controlled and reconciled to common coordinates and supports. Domains are proposed from geological and mineralogical evidence, then tested for internal continuity and processing coherence. Variograms and simulations represent grade and domain uncertainty. Machine learning can estimate nonlinear trends or classify domains from multivariate features, but residual spatial structure should be examined. Where residual autocorrelation remains, regression kriging or related hybrid methods can combine the learned trend with geostatistical correction.</w:t>
      </w:r>
    </w:p>
    <w:p w14:paraId="445775D8" w14:textId="77777777" w:rsidR="000146C6" w:rsidRDefault="00000000">
      <w:pPr>
        <w:ind w:firstLine="288"/>
      </w:pPr>
      <w:r>
        <w:t xml:space="preserve">The third stage is </w:t>
      </w:r>
      <w:proofErr w:type="spellStart"/>
      <w:r>
        <w:t>geometallurgical</w:t>
      </w:r>
      <w:proofErr w:type="spellEnd"/>
      <w:r>
        <w:t xml:space="preserve"> response modelling. Metallurgical tests should be designed across grade, mineralogy, texture, hardness and spatial domains rather than chosen solely as average composites. A response model can predict recovery, concentrate grade, throughput or reagent demand from process-relevant attributes. Tree ensembles provide interpretable nonlinear baselines, while neural models may be justified for spectra or imagery. The model should preserve test-condition variables and should not merge results from incompatible procedures without calibration. Spatial simulations of geological predictors can be passed through the response model, producing alternative three-dimensional recovery fields.</w:t>
      </w:r>
    </w:p>
    <w:p w14:paraId="6A50A9B8" w14:textId="77777777" w:rsidR="000146C6" w:rsidRDefault="00000000">
      <w:pPr>
        <w:ind w:firstLine="288"/>
      </w:pPr>
      <w:r>
        <w:t>The fourth stage is change of support and mine-plan propagation. Fine-scale simulated properties are aggregated to selective mining units and scheduling blocks while preserving nonlinear response as far as practical. If recovery depends on local mixtures, the response should be evaluated on simulated sub-block compositions rather than only block means. Multiple geological and response-model realisations can then be processed through mine schedules, stockpile rules and blends. This creates distributions of recoverable metal and plant feed characteristics that are more useful than a deterministic grade model with a constant recovery factor.</w:t>
      </w:r>
    </w:p>
    <w:p w14:paraId="338BF846" w14:textId="77777777" w:rsidR="000146C6" w:rsidRDefault="00000000">
      <w:pPr>
        <w:ind w:firstLine="288"/>
      </w:pPr>
      <w:r>
        <w:t>The fifth stage is operational adaptation. As material is mined, reconciliation links predicted block properties to measured feed and product. Sensors and machine vision support real-time soft sensors, while laboratory assays provide delayed reference labels. The operational model should be trained and validated temporally, with explicit material lag and control actions. Its outputs can update short-term blending and control, but they should not automatically overwrite long-term geological models without review. Reconciliation residuals may indicate model error, sampling error, material-tracking error or process change; diagnosis should precede retraining.</w:t>
      </w:r>
    </w:p>
    <w:p w14:paraId="1BC055A5" w14:textId="77777777" w:rsidR="000146C6" w:rsidRDefault="00000000">
      <w:pPr>
        <w:ind w:firstLine="288"/>
      </w:pPr>
      <w:r>
        <w:t xml:space="preserve">Several hybrid architectures are possible. In residual kriging, machine learning estimates the nonlinear mean and </w:t>
      </w:r>
      <w:proofErr w:type="spellStart"/>
      <w:r>
        <w:t>geostatistics</w:t>
      </w:r>
      <w:proofErr w:type="spellEnd"/>
      <w:r>
        <w:t xml:space="preserve"> models spatially correlated residuals. In feature-level integration, kriged variables, simulation summaries, spatial coordinates and geological probabilities enter a machine-learning response model. In simulation-to-surrogate integration, geological realisations are processed through a trained recovery model to quantify output uncertainty efficiently. In ensemble integration, predictions from geostatistical and machine-learning models are combined using weights estimated under spatial validation. None of these architectures is automatically superior. The choice depends on whether nonlinearity, spatial continuity, support or computational cost is dominant.</w:t>
      </w:r>
    </w:p>
    <w:p w14:paraId="3CA267F8" w14:textId="77777777" w:rsidR="000146C6" w:rsidRDefault="00000000">
      <w:pPr>
        <w:ind w:firstLine="288"/>
      </w:pPr>
      <w:r>
        <w:lastRenderedPageBreak/>
        <w:t xml:space="preserve">A key design principle is nested uncertainty. The uncertainty in a recovery model fitted to sparse tests should not be evaluated only at observed test locations. It should be combined with uncertainty in unsampled geology and mineralogy. One practical approach is to sample from geological realisations, response-model posterior or ensemble predictions, and operating scenarios in a structured sequence. Correlations should be preserved through shared inputs. The resulting distribution can be summarised by expected recoverable output, downside quantiles and probability of missing product specifications. This framework aligns technical uncertainty with decisions about drilling, </w:t>
      </w:r>
      <w:proofErr w:type="spellStart"/>
      <w:r>
        <w:t>testwork</w:t>
      </w:r>
      <w:proofErr w:type="spellEnd"/>
      <w:r>
        <w:t>, stockpiling and plant flexibility.</w:t>
      </w:r>
    </w:p>
    <w:p w14:paraId="3D7B6471" w14:textId="77777777" w:rsidR="000146C6" w:rsidRDefault="00000000">
      <w:pPr>
        <w:ind w:firstLine="288"/>
      </w:pPr>
      <w:r>
        <w:t>U.S. deposit examples imply different implementations. At Mountain Pass, spectral and image features may improve spatial mineralogical models, but recovery prediction should distinguish rare-earth mineral species and gangue effects rather than rely on total grade or bastnäsite index alone (Gadea et al., 2024; Watts &amp; Andersen, 2026). In the McDermitt system, stratigraphic and alteration domains should structure both validation and leach-response modelling (Benson et al., 2017; Castor &amp; Henry, 2020). At Round Top, permeability, porosity and leach kinetics should be modelled with grade because heap-leach performance is spatially mediated by fluid flow (Negron et al., 2016). In the Idaho Cobalt Belt, multistage mineralisation argues for domain-specific or hierarchical models that preserve structural and mineralogical discontinuities (Slack, 2012).</w:t>
      </w:r>
    </w:p>
    <w:p w14:paraId="41C92A9A" w14:textId="77777777" w:rsidR="000146C6" w:rsidRDefault="00000000">
      <w:pPr>
        <w:ind w:firstLine="288"/>
      </w:pPr>
      <w:r>
        <w:t xml:space="preserve">National programmes can support this framework by standardising data schemas and benchmark tasks. Public geophysical and geological layers are increasingly available, but paired mineralogical and metallurgical data remain limited. A useful benchmark would include coordinates or spatial groups, raw and processed features, domain labels, uncertainty metadata and a hidden spatial test set. Separate tasks could evaluate prospectivity, grade, mineralogy and recovery without merging their </w:t>
      </w:r>
      <w:proofErr w:type="spellStart"/>
      <w:r>
        <w:t>estimands</w:t>
      </w:r>
      <w:proofErr w:type="spellEnd"/>
      <w:r>
        <w:t>. Benchmark governance should prevent test-set leakage and require uncertainty and calibration reporting, not only point accuracy.</w:t>
      </w:r>
    </w:p>
    <w:p w14:paraId="5D7430D5" w14:textId="77777777" w:rsidR="000146C6" w:rsidRDefault="00000000">
      <w:pPr>
        <w:ind w:firstLine="288"/>
      </w:pPr>
      <w:r>
        <w:t>The framework also changes how model value is assessed. A more accurate recovery prediction is valuable only if it improves a decision. In exploration, value may arise from reducing the area or drilling needed to discover representative material. In project evaluation, value may arise from avoiding overstatement of recoverable tonnes or designing flexible processing. In operation, value may arise from stabilising concentrate quality, improving reagent efficiency or identifying low-recovery feed before it reaches the plant. Decision analysis can compare the expected value of additional sampling, model refinement and process flexibility.</w:t>
      </w:r>
    </w:p>
    <w:p w14:paraId="4D8241E1" w14:textId="77777777" w:rsidR="000146C6" w:rsidRDefault="00000000">
      <w:pPr>
        <w:ind w:firstLine="288"/>
      </w:pPr>
      <w:r>
        <w:t xml:space="preserve">Finally, integration requires organisational alignment. Geologists, </w:t>
      </w:r>
      <w:proofErr w:type="spellStart"/>
      <w:r>
        <w:t>geostatisticians</w:t>
      </w:r>
      <w:proofErr w:type="spellEnd"/>
      <w:r>
        <w:t>, mineralogists, metallurgists, data scientists and planners often work with different units, databases and validation traditions. A shared definition of the target and support is the minimum requirement. Joint review of domains, features, uncertainty and reconciliation can prevent a technically sophisticated model from being detached from the process it is intended to support. The most credible system is not the model with the most parameters, but the workflow in which each prediction can be traced from measurement through transformation to decision.</w:t>
      </w:r>
    </w:p>
    <w:p w14:paraId="1926412A" w14:textId="77777777" w:rsidR="000146C6" w:rsidRDefault="00000000">
      <w:pPr>
        <w:pStyle w:val="Heading1"/>
      </w:pPr>
      <w:r>
        <w:t>9. Future Directions</w:t>
      </w:r>
    </w:p>
    <w:p w14:paraId="6B9E955D" w14:textId="77777777" w:rsidR="000146C6" w:rsidRDefault="00000000">
      <w:pPr>
        <w:ind w:firstLine="288"/>
      </w:pPr>
      <w:r>
        <w:t xml:space="preserve">The immediate priority is the creation of paired, spatially referenced geological-mineralogical-metallurgical datasets for U.S. critical-mineral deposits. Existing public resources are strongest in regional geology and geophysics, whereas recovery labels are commonly proprietary, sparse or generated under inconsistent test conditions. New programmes should sample across geological domains, grade ranges, alteration states and expected processing regimes. Test protocols, preparation methods, particle sizes, reagent conditions and analytical uncertainty should be recorded so that differences in response can be </w:t>
      </w:r>
      <w:r>
        <w:lastRenderedPageBreak/>
        <w:t>separated from differences in procedure. The most useful datasets would reserve spatially coherent blind areas for external evaluation and would include negative or poor-recovery material rather than only favourable samples.</w:t>
      </w:r>
    </w:p>
    <w:p w14:paraId="3DD4F7F6" w14:textId="77777777" w:rsidR="000146C6" w:rsidRDefault="00000000">
      <w:pPr>
        <w:ind w:firstLine="288"/>
      </w:pPr>
      <w:r>
        <w:t xml:space="preserve">A second priority is designed </w:t>
      </w:r>
      <w:proofErr w:type="spellStart"/>
      <w:r>
        <w:t>geometallurgical</w:t>
      </w:r>
      <w:proofErr w:type="spellEnd"/>
      <w:r>
        <w:t xml:space="preserve"> sampling. Current practice often selects a small number of composites intended to represent average ore. This is insufficient for learning nonlinear recovery functions or identifying rare adverse domains. Sampling should combine geological stratification, space-filling design and uncertainty reduction. Active-learning methods can propose new tests where competing models disagree or where predicted decision value is most sensitive. Their recommendations must be constrained by geological accessibility and sample availability. Prospective comparison with expert-designed campaigns would establish whether active learning reduces </w:t>
      </w:r>
      <w:proofErr w:type="spellStart"/>
      <w:r>
        <w:t>testwork</w:t>
      </w:r>
      <w:proofErr w:type="spellEnd"/>
      <w:r>
        <w:t xml:space="preserve"> while improving recovery-domain definition.</w:t>
      </w:r>
    </w:p>
    <w:p w14:paraId="2E3976DA" w14:textId="77777777" w:rsidR="000146C6" w:rsidRDefault="00000000">
      <w:pPr>
        <w:ind w:firstLine="288"/>
      </w:pPr>
      <w:r>
        <w:t>A third priority is validation that mirrors deployment. Regional models should be tested by withheld terranes or mineral belts; deposit models by whole drill holes, benches or domains; and plant models by future campaigns and changed ore blends. Studies should report performance as a function of distance from training data and domain membership. Leave-deposit-out validation is needed before claims of cross-deposit transfer are made. The field should adopt benchmark splits that preserve spatial and temporal independence, building on the broader evidence that structured cross-validation is necessary for dependent data (Roberts et al., 2017).</w:t>
      </w:r>
    </w:p>
    <w:p w14:paraId="6D9164E8" w14:textId="77777777" w:rsidR="000146C6" w:rsidRDefault="00000000">
      <w:pPr>
        <w:ind w:firstLine="288"/>
      </w:pPr>
      <w:r>
        <w:t>Uncertainty quantification should move from optional visualisation to a required model output. Research should compare geostatistical simulation, Bayesian or ensemble machine learning, quantile models and conformal methods under realistic spatial dependence. Evaluation should include interval coverage, sharpness, threshold probabilities and calibration by geological domain. Workflow uncertainty should be propagated alongside parameter uncertainty because preprocessing and label construction can materially change prospectivity results (Burkin et al., 2019; Zhang, Lawley, et al., 2024). For mine planning, uncertainty methods should be tested by their effect on scheduling, stockpiling and downside risk rather than by statistical scores alone.</w:t>
      </w:r>
    </w:p>
    <w:p w14:paraId="7DD8FEB4" w14:textId="77777777" w:rsidR="000146C6" w:rsidRDefault="00000000">
      <w:pPr>
        <w:ind w:firstLine="288"/>
      </w:pPr>
      <w:r>
        <w:t>Physics- and process-informed machine learning is a longer-term priority. Mass balance, mineral liberation, reaction stoichiometry, residence time and transport constraints can regularise models and reduce impossible predictions. Hybrid models could combine mechanistic simulators with learned residuals or use differentiable process components where data are sufficient. The research challenge is to retain transparent physical constraints without claiming mechanistic validity for relationships inferred only from observational plant data. Prospective intervention studies, in which control settings are deliberately varied within safe bounds, would provide stronger evidence than passive historical data.</w:t>
      </w:r>
    </w:p>
    <w:p w14:paraId="08B04B49" w14:textId="77777777" w:rsidR="000146C6" w:rsidRDefault="00000000">
      <w:pPr>
        <w:ind w:firstLine="288"/>
      </w:pPr>
      <w:r>
        <w:t>Multi-task and transfer learning may be useful where individual critical-mineral deposits have limited labelled data. Shared representations could be learned for spectra, core imagery or process signals, followed by local calibration for each deposit and flowsheet. Transfer should be evaluated against simple local models and should include uncertainty inflation under domain shift. Foundation-style geoscience models are likely to be most valuable for feature extraction, not as substitutes for deposit-specific recovery testing. The geological and metallurgical meaning of learned representations should be examined through perturbation, independent mineralogy and out-of-region tests.</w:t>
      </w:r>
    </w:p>
    <w:p w14:paraId="6E44E7CA" w14:textId="77777777" w:rsidR="000146C6" w:rsidRDefault="00000000">
      <w:pPr>
        <w:ind w:firstLine="288"/>
      </w:pPr>
      <w:r>
        <w:t xml:space="preserve">Digital-twin research should connect geological uncertainty to plant dynamics. Many proposed digital twins begin at the plant boundary and treat feed properties as observed inputs. A recovery-centred twin should ingest distributions of ore properties from the short-term model, represent blending and transit, and update predictions using reconciliation. This would permit evaluation of flexible operating policies under uncertain feed. Field trials should compare decisions made with deterministic feed forecasts against </w:t>
      </w:r>
      <w:r>
        <w:lastRenderedPageBreak/>
        <w:t>decisions using uncertainty-aware forecasts, with outcomes including recovery, concentrate specification, energy, reagent use and stability.</w:t>
      </w:r>
    </w:p>
    <w:p w14:paraId="647D1A08" w14:textId="77777777" w:rsidR="000146C6" w:rsidRDefault="00000000">
      <w:pPr>
        <w:ind w:firstLine="288"/>
      </w:pPr>
      <w:r>
        <w:t>National data standards and governance are also needed. Earth Mapping Resources Initiative products provide a foundation for regional interoperability, but deposit and process datasets require common identifiers, units, supports, coordinate references and provenance. Public-private consortia could release de-identified benchmark datasets while protecting commercially sensitive resource estimates. Model documentation should include intended use, spatial and temporal domain, training data lineage, validation partition, uncertainty method and monitoring thresholds. Such standards would make results auditable and reduce repeated data-engineering work.</w:t>
      </w:r>
    </w:p>
    <w:p w14:paraId="2E5C833E" w14:textId="77777777" w:rsidR="000146C6" w:rsidRDefault="00000000">
      <w:pPr>
        <w:ind w:firstLine="288"/>
      </w:pPr>
      <w:r>
        <w:t>Research should finally evaluate environmental and strategic consequences alongside technical recovery. A model that increases metal recovery but substantially increases energy, water, reagent use or waste risk may not improve total project value. Multi-objective models can represent these trade-offs, but objectives and weights should be explicit. For critical minerals, resilient supply may justify different operating choices from short-term margin optimisation. Decision models should therefore report technical recovery together with product quality, resource efficiency, uncertainty and constraints relevant to permitting and community acceptance.</w:t>
      </w:r>
    </w:p>
    <w:p w14:paraId="2E23AF4D" w14:textId="77777777" w:rsidR="000146C6" w:rsidRDefault="00000000">
      <w:pPr>
        <w:pStyle w:val="Heading1"/>
      </w:pPr>
      <w:r>
        <w:t>10. Conclusions</w:t>
      </w:r>
    </w:p>
    <w:p w14:paraId="2A08E548" w14:textId="77777777" w:rsidR="000146C6" w:rsidRDefault="00000000">
      <w:pPr>
        <w:ind w:firstLine="288"/>
      </w:pPr>
      <w:r>
        <w:t xml:space="preserve">Prediction of recoverable value in U.S. critical-mineral deposits is a linked spatial, mineralogical and operational problem. Regional prospectivity, in situ grade, </w:t>
      </w:r>
      <w:proofErr w:type="spellStart"/>
      <w:r>
        <w:t>geometallurgical</w:t>
      </w:r>
      <w:proofErr w:type="spellEnd"/>
      <w:r>
        <w:t xml:space="preserve"> response and plant recovery are distinct </w:t>
      </w:r>
      <w:proofErr w:type="spellStart"/>
      <w:r>
        <w:t>estimands</w:t>
      </w:r>
      <w:proofErr w:type="spellEnd"/>
      <w:r>
        <w:t xml:space="preserve"> that require different data, supports and validation. </w:t>
      </w:r>
      <w:proofErr w:type="spellStart"/>
      <w:r>
        <w:t>Geostatistics</w:t>
      </w:r>
      <w:proofErr w:type="spellEnd"/>
      <w:r>
        <w:t xml:space="preserve"> remains the most defensible framework for spatial continuity, change of support and conditional realisations, but conventional kriging can smooth extremes and does not by itself capture nonlinear recovery controls. Machine learning can integrate geochemistry, geophysics, spectra, images and process time series, yet its flexibility creates substantial risks of spatial leakage, label bias, extrapolation and overconfidence.</w:t>
      </w:r>
    </w:p>
    <w:p w14:paraId="3250B97F" w14:textId="77777777" w:rsidR="000146C6" w:rsidRDefault="00000000">
      <w:pPr>
        <w:ind w:firstLine="288"/>
      </w:pPr>
      <w:r>
        <w:t>The most defensible methodology is hybrid. Geological and process domains should be specified and tested; supports should be harmonised; geostatistical realisations should represent plausible orebody variability; machine learning should model nonlinear mineralogical or metallurgical response; and uncertainty should be propagated to recoverable metal, concentrate quality and operating decisions. Validation must withhold the spatial areas, drill holes, deposits or future periods that resemble deployment. Models should be judged by calibration and decision value as well as point accuracy.</w:t>
      </w:r>
    </w:p>
    <w:p w14:paraId="5DE91BC5" w14:textId="77777777" w:rsidR="000146C6" w:rsidRDefault="00000000">
      <w:pPr>
        <w:ind w:firstLine="288"/>
      </w:pPr>
      <w:r>
        <w:t xml:space="preserve">Representative U.S. deposits show that recovery predictors cannot be transferred without regard to mineral system and flowsheet. Carbonatite rare-earth ores, lithium-bearing caldera sediments, peralkaline rhyolites and multistage cobalt systems require different features and domain structures. Public national geoscience programmes provide a strong upstream foundation, but progress towards reliable recovery prediction is limited by sparse paired metallurgical data, inconsistent testing and limited external benchmarks. The field will advance most rapidly through coordinated </w:t>
      </w:r>
      <w:proofErr w:type="spellStart"/>
      <w:r>
        <w:t>geometallurgical</w:t>
      </w:r>
      <w:proofErr w:type="spellEnd"/>
      <w:r>
        <w:t xml:space="preserve"> sampling, transparent uncertainty, prospective validation and traceable model governance.</w:t>
      </w:r>
    </w:p>
    <w:p w14:paraId="52DB3E37" w14:textId="77777777" w:rsidR="000146C6" w:rsidRDefault="00000000">
      <w:pPr>
        <w:pStyle w:val="Heading1"/>
      </w:pPr>
      <w:r>
        <w:t>11. Limitations</w:t>
      </w:r>
    </w:p>
    <w:p w14:paraId="3FEEA22A" w14:textId="77777777" w:rsidR="000146C6" w:rsidRDefault="00000000">
      <w:pPr>
        <w:ind w:firstLine="288"/>
      </w:pPr>
      <w:r>
        <w:t xml:space="preserve">As a critical narrative review, this synthesis is intrinsically subject to selection and interpretive bias despite transparent searching, explicit eligibility criteria and bibliographic verification. Direct access to several subscription bibliographic databases was unavailable, and the review was restricted principally to English-language evidence discoverable through accessible scholarly and official sources. The literature spans </w:t>
      </w:r>
      <w:r>
        <w:lastRenderedPageBreak/>
        <w:t>heterogeneous targets, commodities, deposit types, data supports and performance metrics, which precluded quantitative synthesis or a universal ranking of algorithms.</w:t>
      </w:r>
    </w:p>
    <w:p w14:paraId="40D00B76" w14:textId="77777777" w:rsidR="000146C6" w:rsidRDefault="00000000">
      <w:pPr>
        <w:ind w:firstLine="288"/>
      </w:pPr>
      <w:r>
        <w:t xml:space="preserve">Publicly documented U.S. applications are uneven. Regional mineral-potential and deposit-characterisation studies are more accessible than proprietary </w:t>
      </w:r>
      <w:proofErr w:type="spellStart"/>
      <w:r>
        <w:t>geometallurgical</w:t>
      </w:r>
      <w:proofErr w:type="spellEnd"/>
      <w:r>
        <w:t xml:space="preserve"> </w:t>
      </w:r>
      <w:proofErr w:type="spellStart"/>
      <w:r>
        <w:t>testwork</w:t>
      </w:r>
      <w:proofErr w:type="spellEnd"/>
      <w:r>
        <w:t xml:space="preserve"> and plant-recovery models, so methodological evidence from non-U.S. mineral-processing applications was used where transferable. Rapid development in machine learning and critical-mineral programmes means that newer methods and datasets may emerge after the search end date. Finally, many proposed hybrid workflows have stronger conceptual than prospective operational validation; their decision benefits should therefore be tested under real exploration, mine-planning and processing conditions.</w:t>
      </w:r>
    </w:p>
    <w:p w14:paraId="08547E6B" w14:textId="77777777" w:rsidR="00FE4FCA" w:rsidRPr="000839CE" w:rsidRDefault="00FE4FCA" w:rsidP="00FE4FCA">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2C828C77" w14:textId="77777777" w:rsidR="00FE4FCA" w:rsidRPr="000839CE" w:rsidRDefault="00FE4FCA" w:rsidP="00FE4FCA">
      <w:pPr>
        <w:spacing w:after="0" w:line="240" w:lineRule="auto"/>
        <w:rPr>
          <w:rFonts w:ascii="Times New Roman" w:hAnsi="Times New Roman" w:cs="Times New Roman"/>
        </w:rPr>
      </w:pPr>
    </w:p>
    <w:p w14:paraId="2753708C" w14:textId="77777777" w:rsidR="00FE4FCA" w:rsidRPr="000839CE" w:rsidRDefault="00FE4FCA" w:rsidP="00FE4FCA">
      <w:pPr>
        <w:spacing w:after="0" w:line="240" w:lineRule="auto"/>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71170FE" w14:textId="77777777" w:rsidR="00FE4FCA" w:rsidRDefault="00FE4FCA">
      <w:pPr>
        <w:ind w:firstLine="288"/>
      </w:pPr>
    </w:p>
    <w:p w14:paraId="03289AB7" w14:textId="77777777" w:rsidR="000146C6" w:rsidRDefault="00000000">
      <w:pPr>
        <w:pStyle w:val="Heading1"/>
        <w:pageBreakBefore/>
      </w:pPr>
      <w:r>
        <w:lastRenderedPageBreak/>
        <w:t>References</w:t>
      </w:r>
    </w:p>
    <w:p w14:paraId="2DA9C899" w14:textId="77777777" w:rsidR="00EE2F6D" w:rsidRDefault="00EE2F6D" w:rsidP="00EE2F6D">
      <w:pPr>
        <w:pStyle w:val="isselectedend"/>
      </w:pPr>
      <w:r>
        <w:t xml:space="preserve">Aldrich, C., Marais, C., Shean, B. J., &amp; Cilliers, J. J. (2010). Online monitoring and control of froth flotation systems with machine vision: A review. </w:t>
      </w:r>
      <w:r>
        <w:rPr>
          <w:rStyle w:val="Emphasis"/>
        </w:rPr>
        <w:t>International Journal of Mineral Processing, 96</w:t>
      </w:r>
      <w:r>
        <w:t xml:space="preserve">(1–4), 1–13. </w:t>
      </w:r>
      <w:hyperlink r:id="rId14" w:history="1">
        <w:r>
          <w:rPr>
            <w:rStyle w:val="Hyperlink"/>
          </w:rPr>
          <w:t>https://doi.org/10.1016/j.minpro.2010.04.005</w:t>
        </w:r>
      </w:hyperlink>
    </w:p>
    <w:p w14:paraId="65816168" w14:textId="77777777" w:rsidR="00EE2F6D" w:rsidRDefault="00EE2F6D" w:rsidP="00EE2F6D">
      <w:pPr>
        <w:pStyle w:val="isselectedend"/>
      </w:pPr>
      <w:proofErr w:type="spellStart"/>
      <w:r>
        <w:t>Amirajlo</w:t>
      </w:r>
      <w:proofErr w:type="spellEnd"/>
      <w:r>
        <w:t xml:space="preserve">, P., Hassani, H., Pour, A. B., &amp; </w:t>
      </w:r>
      <w:proofErr w:type="spellStart"/>
      <w:r>
        <w:t>Habibkhah</w:t>
      </w:r>
      <w:proofErr w:type="spellEnd"/>
      <w:r>
        <w:t xml:space="preserve">, N. (2026). Ensemble machine learning strategies for mineral prospectivity mapping under data scarcity. </w:t>
      </w:r>
      <w:r>
        <w:rPr>
          <w:rStyle w:val="Emphasis"/>
        </w:rPr>
        <w:t>Scientific Reports, 16</w:t>
      </w:r>
      <w:r>
        <w:t xml:space="preserve">, Article 9171. </w:t>
      </w:r>
      <w:hyperlink r:id="rId15" w:history="1">
        <w:r>
          <w:rPr>
            <w:rStyle w:val="Hyperlink"/>
          </w:rPr>
          <w:t>https://doi.org/10.1038/s41598-026-40125-1</w:t>
        </w:r>
      </w:hyperlink>
    </w:p>
    <w:p w14:paraId="2F82CC17" w14:textId="77777777" w:rsidR="00EE2F6D" w:rsidRDefault="00EE2F6D" w:rsidP="00EE2F6D">
      <w:pPr>
        <w:pStyle w:val="isselectedend"/>
      </w:pPr>
      <w:r>
        <w:t xml:space="preserve">Anderson, E. D., </w:t>
      </w:r>
      <w:proofErr w:type="spellStart"/>
      <w:r>
        <w:t>Monecke</w:t>
      </w:r>
      <w:proofErr w:type="spellEnd"/>
      <w:r>
        <w:t xml:space="preserve">, T., Hitzman, M. W., Zhou, W., &amp; Bedrosian, P. A. (2017). Mineral potential mapping in an accreted island-arc setting using aeromagnetic data: An example from southwest Alaska. </w:t>
      </w:r>
      <w:r>
        <w:rPr>
          <w:rStyle w:val="Emphasis"/>
        </w:rPr>
        <w:t>Economic Geology, 112</w:t>
      </w:r>
      <w:r>
        <w:t xml:space="preserve">(2), 375–396. </w:t>
      </w:r>
      <w:hyperlink r:id="rId16" w:history="1">
        <w:r>
          <w:rPr>
            <w:rStyle w:val="Hyperlink"/>
          </w:rPr>
          <w:t>https://doi.org/10.2113/econgeo.112.2.375</w:t>
        </w:r>
      </w:hyperlink>
    </w:p>
    <w:p w14:paraId="47DC6B1E" w14:textId="77777777" w:rsidR="00EE2F6D" w:rsidRDefault="00EE2F6D" w:rsidP="00EE2F6D">
      <w:pPr>
        <w:pStyle w:val="isselectedend"/>
      </w:pPr>
      <w:r>
        <w:t xml:space="preserve">Benson, T. R., Coble, M. A., Rytuba, J. J., &amp; Mahood, G. A. (2017). Lithium enrichment in intracontinental rhyolite magmas leads to Li deposits in caldera basins. </w:t>
      </w:r>
      <w:r>
        <w:rPr>
          <w:rStyle w:val="Emphasis"/>
        </w:rPr>
        <w:t>Nature Communications, 8</w:t>
      </w:r>
      <w:r>
        <w:t xml:space="preserve">, Article 270. </w:t>
      </w:r>
      <w:hyperlink r:id="rId17" w:history="1">
        <w:r>
          <w:rPr>
            <w:rStyle w:val="Hyperlink"/>
          </w:rPr>
          <w:t>https://doi.org/10.1038/s41467-017-00234-y</w:t>
        </w:r>
      </w:hyperlink>
    </w:p>
    <w:p w14:paraId="6E0632CA" w14:textId="77777777" w:rsidR="00EE2F6D" w:rsidRDefault="00EE2F6D" w:rsidP="00EE2F6D">
      <w:pPr>
        <w:pStyle w:val="isselectedend"/>
      </w:pPr>
      <w:r>
        <w:t xml:space="preserve">Burkin, J. N., Lindsay, M. D., Occhipinti, S. A., &amp; Holden, E. J. (2019). Incorporating conceptual and interpretation uncertainty to mineral prospectivity modelling. </w:t>
      </w:r>
      <w:r>
        <w:rPr>
          <w:rStyle w:val="Emphasis"/>
        </w:rPr>
        <w:t>Geoscience Frontiers, 10</w:t>
      </w:r>
      <w:r>
        <w:t xml:space="preserve">(4), 1383–1396. </w:t>
      </w:r>
      <w:hyperlink r:id="rId18" w:history="1">
        <w:r>
          <w:rPr>
            <w:rStyle w:val="Hyperlink"/>
          </w:rPr>
          <w:t>https://doi.org/10.1016/j.gsf.2019.01.009</w:t>
        </w:r>
      </w:hyperlink>
    </w:p>
    <w:p w14:paraId="7ED767DD" w14:textId="77777777" w:rsidR="00EE2F6D" w:rsidRDefault="00EE2F6D" w:rsidP="00EE2F6D">
      <w:pPr>
        <w:pStyle w:val="isselectedend"/>
      </w:pPr>
      <w:r>
        <w:t xml:space="preserve">Carranza, E. J. M., &amp; Laborte, A. G. (2015). Random forest predictive modeling of mineral prospectivity with small number of prospects and data with missing values in Abra (Philippines). </w:t>
      </w:r>
      <w:r>
        <w:rPr>
          <w:rStyle w:val="Emphasis"/>
        </w:rPr>
        <w:t>Computers &amp; Geosciences, 74</w:t>
      </w:r>
      <w:r>
        <w:t xml:space="preserve">, 60–70. </w:t>
      </w:r>
      <w:hyperlink r:id="rId19" w:history="1">
        <w:r>
          <w:rPr>
            <w:rStyle w:val="Hyperlink"/>
          </w:rPr>
          <w:t>https://doi.org/10.1016/j.cageo.2014.10.004</w:t>
        </w:r>
      </w:hyperlink>
    </w:p>
    <w:p w14:paraId="28B88C7D" w14:textId="77777777" w:rsidR="00EE2F6D" w:rsidRDefault="00EE2F6D" w:rsidP="00EE2F6D">
      <w:pPr>
        <w:pStyle w:val="isselectedend"/>
      </w:pPr>
      <w:r>
        <w:t xml:space="preserve">Castor, S. B. (2008). The Mountain Pass rare-earth carbonatite and associated ultrapotassic rocks, California. </w:t>
      </w:r>
      <w:r>
        <w:rPr>
          <w:rStyle w:val="Emphasis"/>
        </w:rPr>
        <w:t>The Canadian Mineralogist, 46</w:t>
      </w:r>
      <w:r>
        <w:t xml:space="preserve">(4), 779–806. </w:t>
      </w:r>
      <w:hyperlink r:id="rId20" w:history="1">
        <w:r>
          <w:rPr>
            <w:rStyle w:val="Hyperlink"/>
          </w:rPr>
          <w:t>https://doi.org/10.3749/canmin.46.4.779</w:t>
        </w:r>
      </w:hyperlink>
    </w:p>
    <w:p w14:paraId="4AF24CFC" w14:textId="77777777" w:rsidR="00EE2F6D" w:rsidRDefault="00EE2F6D" w:rsidP="00EE2F6D">
      <w:pPr>
        <w:pStyle w:val="isselectedend"/>
      </w:pPr>
      <w:r>
        <w:t xml:space="preserve">Castor, S. B., &amp; Henry, C. D. (2020). Lithium-rich claystone in the McDermitt Caldera, Nevada, USA: Geologic, mineralogical, and geochemical characteristics and possible origin. </w:t>
      </w:r>
      <w:r>
        <w:rPr>
          <w:rStyle w:val="Emphasis"/>
        </w:rPr>
        <w:t>Minerals, 10</w:t>
      </w:r>
      <w:r>
        <w:t xml:space="preserve">(1), Article 68. </w:t>
      </w:r>
      <w:hyperlink r:id="rId21" w:history="1">
        <w:r>
          <w:rPr>
            <w:rStyle w:val="Hyperlink"/>
          </w:rPr>
          <w:t>https://doi.org/10.3390/min10010068</w:t>
        </w:r>
      </w:hyperlink>
    </w:p>
    <w:p w14:paraId="4C803484" w14:textId="77777777" w:rsidR="00EE2F6D" w:rsidRDefault="00EE2F6D" w:rsidP="00EE2F6D">
      <w:pPr>
        <w:pStyle w:val="isselectedend"/>
      </w:pPr>
      <w:r>
        <w:t xml:space="preserve">Cracknell, M. J., &amp; Reading, A. M. (2014). Geological mapping using remote sensing data: A comparison of five machine learning algorithms, their response to variations in the spatial distribution of training data and the use of explicit spatial information. </w:t>
      </w:r>
      <w:r>
        <w:rPr>
          <w:rStyle w:val="Emphasis"/>
        </w:rPr>
        <w:t>Computers &amp; Geosciences, 63</w:t>
      </w:r>
      <w:r>
        <w:t xml:space="preserve">, 22–33. </w:t>
      </w:r>
      <w:hyperlink r:id="rId22" w:history="1">
        <w:r>
          <w:rPr>
            <w:rStyle w:val="Hyperlink"/>
          </w:rPr>
          <w:t>https://doi.org/10.1016/j.cageo.2013.10.008</w:t>
        </w:r>
      </w:hyperlink>
    </w:p>
    <w:p w14:paraId="6D6B850A" w14:textId="77777777" w:rsidR="00EE2F6D" w:rsidRDefault="00EE2F6D" w:rsidP="00EE2F6D">
      <w:pPr>
        <w:pStyle w:val="isselectedend"/>
      </w:pPr>
      <w:r>
        <w:t xml:space="preserve">Day, W. C. (2019). </w:t>
      </w:r>
      <w:r>
        <w:rPr>
          <w:rStyle w:val="Emphasis"/>
        </w:rPr>
        <w:t>The Earth Mapping Resources Initiative (Earth MRI): Mapping the nation’s critical mineral resources</w:t>
      </w:r>
      <w:r>
        <w:t xml:space="preserve"> (Fact Sheet 2019–3007, Version 1.2). U.S. Geological Survey. </w:t>
      </w:r>
      <w:hyperlink r:id="rId23" w:history="1">
        <w:r>
          <w:rPr>
            <w:rStyle w:val="Hyperlink"/>
          </w:rPr>
          <w:t>https://doi.org/10.3133/fs20193007</w:t>
        </w:r>
      </w:hyperlink>
    </w:p>
    <w:p w14:paraId="50DBCFB6" w14:textId="77777777" w:rsidR="00EE2F6D" w:rsidRDefault="00EE2F6D" w:rsidP="00EE2F6D">
      <w:pPr>
        <w:pStyle w:val="isselectedend"/>
      </w:pPr>
      <w:r>
        <w:t xml:space="preserve">Dominy, S. C., O’Connor, L., </w:t>
      </w:r>
      <w:proofErr w:type="spellStart"/>
      <w:r>
        <w:t>Parbhakar</w:t>
      </w:r>
      <w:proofErr w:type="spellEnd"/>
      <w:r>
        <w:t xml:space="preserve">-Fox, A., Glass, H. J., &amp; </w:t>
      </w:r>
      <w:proofErr w:type="spellStart"/>
      <w:r>
        <w:t>Purevgerel</w:t>
      </w:r>
      <w:proofErr w:type="spellEnd"/>
      <w:r>
        <w:t xml:space="preserve">, S. (2018). </w:t>
      </w:r>
      <w:proofErr w:type="spellStart"/>
      <w:r>
        <w:t>Geometallurgy</w:t>
      </w:r>
      <w:proofErr w:type="spellEnd"/>
      <w:r>
        <w:t xml:space="preserve">—A route to more resilient </w:t>
      </w:r>
      <w:proofErr w:type="gramStart"/>
      <w:r>
        <w:t>mine</w:t>
      </w:r>
      <w:proofErr w:type="gramEnd"/>
      <w:r>
        <w:t xml:space="preserve"> operations. </w:t>
      </w:r>
      <w:r>
        <w:rPr>
          <w:rStyle w:val="Emphasis"/>
        </w:rPr>
        <w:t>Minerals, 8</w:t>
      </w:r>
      <w:r>
        <w:t xml:space="preserve">(12), Article 560. </w:t>
      </w:r>
      <w:hyperlink r:id="rId24" w:history="1">
        <w:r>
          <w:rPr>
            <w:rStyle w:val="Hyperlink"/>
          </w:rPr>
          <w:t>https://doi.org/10.3390/min8120560</w:t>
        </w:r>
      </w:hyperlink>
    </w:p>
    <w:p w14:paraId="1BBC555B" w14:textId="77777777" w:rsidR="00EE2F6D" w:rsidRDefault="00EE2F6D" w:rsidP="00EE2F6D">
      <w:pPr>
        <w:pStyle w:val="isselectedend"/>
      </w:pPr>
      <w:proofErr w:type="spellStart"/>
      <w:r>
        <w:t>Farahnakian</w:t>
      </w:r>
      <w:proofErr w:type="spellEnd"/>
      <w:r>
        <w:t xml:space="preserve">, F., Sheikh, J., </w:t>
      </w:r>
      <w:proofErr w:type="spellStart"/>
      <w:r>
        <w:t>Zelioli</w:t>
      </w:r>
      <w:proofErr w:type="spellEnd"/>
      <w:r>
        <w:t xml:space="preserve">, L., Nidhi, D., Seppä, I., Ilo, R., Nevalainen, P., &amp; Heikkonen, J. (2024). Addressing imbalanced data for machine learning based mineral prospectivity mapping. </w:t>
      </w:r>
      <w:r>
        <w:rPr>
          <w:rStyle w:val="Emphasis"/>
        </w:rPr>
        <w:t>Ore Geology Reviews, 174</w:t>
      </w:r>
      <w:r>
        <w:t xml:space="preserve">, Article 106270. </w:t>
      </w:r>
      <w:hyperlink r:id="rId25" w:history="1">
        <w:r>
          <w:rPr>
            <w:rStyle w:val="Hyperlink"/>
          </w:rPr>
          <w:t>https://doi.org/10.1016/j.oregeorev.2024.106270</w:t>
        </w:r>
      </w:hyperlink>
    </w:p>
    <w:p w14:paraId="23234E8A" w14:textId="77777777" w:rsidR="00EE2F6D" w:rsidRDefault="00EE2F6D" w:rsidP="00EE2F6D">
      <w:pPr>
        <w:pStyle w:val="isselectedend"/>
      </w:pPr>
      <w:r>
        <w:lastRenderedPageBreak/>
        <w:t xml:space="preserve">Fu, Y., &amp; Aldrich, C. (2018). Froth image analysis by use of transfer learning and convolutional neural networks. </w:t>
      </w:r>
      <w:r>
        <w:rPr>
          <w:rStyle w:val="Emphasis"/>
        </w:rPr>
        <w:t>Minerals Engineering, 115</w:t>
      </w:r>
      <w:r>
        <w:t xml:space="preserve">, 68–78. </w:t>
      </w:r>
      <w:hyperlink r:id="rId26" w:history="1">
        <w:r>
          <w:rPr>
            <w:rStyle w:val="Hyperlink"/>
          </w:rPr>
          <w:t>https://doi.org/10.1016/j.mineng.2017.10.005</w:t>
        </w:r>
      </w:hyperlink>
    </w:p>
    <w:p w14:paraId="1C88CCBE" w14:textId="77777777" w:rsidR="00EE2F6D" w:rsidRDefault="00EE2F6D" w:rsidP="00EE2F6D">
      <w:pPr>
        <w:pStyle w:val="isselectedend"/>
      </w:pPr>
      <w:r>
        <w:t xml:space="preserve">Fu, Y., &amp; Aldrich, C. (2019). Flotation froth image recognition with convolutional neural networks. </w:t>
      </w:r>
      <w:r>
        <w:rPr>
          <w:rStyle w:val="Emphasis"/>
        </w:rPr>
        <w:t>Minerals Engineering, 132</w:t>
      </w:r>
      <w:r>
        <w:t xml:space="preserve">, 183–190. </w:t>
      </w:r>
      <w:hyperlink r:id="rId27" w:history="1">
        <w:r>
          <w:rPr>
            <w:rStyle w:val="Hyperlink"/>
          </w:rPr>
          <w:t>https://doi.org/10.1016/j.mineng.2018.12.011</w:t>
        </w:r>
      </w:hyperlink>
    </w:p>
    <w:p w14:paraId="472348E0" w14:textId="77777777" w:rsidR="00EE2F6D" w:rsidRDefault="00EE2F6D" w:rsidP="00EE2F6D">
      <w:pPr>
        <w:pStyle w:val="isselectedend"/>
      </w:pPr>
      <w:r>
        <w:t xml:space="preserve">Gadea, O. C. A., Khan, S. D., &amp; Sisson, V. B. (2024). Estimating rare earth elements at various scales with bastnäsite indices for Mountain Pass. </w:t>
      </w:r>
      <w:r>
        <w:rPr>
          <w:rStyle w:val="Emphasis"/>
        </w:rPr>
        <w:t>Ore Geology Reviews, 173</w:t>
      </w:r>
      <w:r>
        <w:t xml:space="preserve">, Article 106254. </w:t>
      </w:r>
      <w:hyperlink r:id="rId28" w:history="1">
        <w:r>
          <w:rPr>
            <w:rStyle w:val="Hyperlink"/>
          </w:rPr>
          <w:t>https://doi.org/10.1016/j.oregeorev.2024.106254</w:t>
        </w:r>
      </w:hyperlink>
    </w:p>
    <w:p w14:paraId="2FAF8787" w14:textId="77777777" w:rsidR="00EE2F6D" w:rsidRDefault="00EE2F6D" w:rsidP="00EE2F6D">
      <w:pPr>
        <w:pStyle w:val="isselectedend"/>
      </w:pPr>
      <w:r>
        <w:t xml:space="preserve">Glanzman, R. K., McCarthy, J. H., Jr., &amp; Rytuba, J. J. (1978). Lithium in the McDermitt caldera, Nevada and Oregon. </w:t>
      </w:r>
      <w:r>
        <w:rPr>
          <w:rStyle w:val="Emphasis"/>
        </w:rPr>
        <w:t>Energy, 3</w:t>
      </w:r>
      <w:r>
        <w:t xml:space="preserve">(3), 347–353. </w:t>
      </w:r>
      <w:hyperlink r:id="rId29" w:history="1">
        <w:r>
          <w:rPr>
            <w:rStyle w:val="Hyperlink"/>
          </w:rPr>
          <w:t>https://doi.org/10.1016/0360-5442(78)90031-2</w:t>
        </w:r>
      </w:hyperlink>
    </w:p>
    <w:p w14:paraId="7BEF0AD3" w14:textId="77777777" w:rsidR="00EE2F6D" w:rsidRDefault="00EE2F6D" w:rsidP="00EE2F6D">
      <w:pPr>
        <w:pStyle w:val="isselectedend"/>
      </w:pPr>
      <w:r>
        <w:t xml:space="preserve">Green, B. N., Johnson, C. D., &amp; Adams, A. (2006). Writing narrative literature reviews for peer-reviewed journals: Secrets of the trade. </w:t>
      </w:r>
      <w:r>
        <w:rPr>
          <w:rStyle w:val="Emphasis"/>
        </w:rPr>
        <w:t>Journal of Chiropractic Medicine, 5</w:t>
      </w:r>
      <w:r>
        <w:t xml:space="preserve">(3), 101–117. </w:t>
      </w:r>
      <w:hyperlink r:id="rId30" w:history="1">
        <w:r>
          <w:rPr>
            <w:rStyle w:val="Hyperlink"/>
          </w:rPr>
          <w:t>https://doi.org/10.1016/S0899-3467(07)60142-6</w:t>
        </w:r>
      </w:hyperlink>
    </w:p>
    <w:p w14:paraId="1C7F371E" w14:textId="77777777" w:rsidR="00EE2F6D" w:rsidRDefault="00EE2F6D" w:rsidP="00EE2F6D">
      <w:pPr>
        <w:pStyle w:val="isselectedend"/>
      </w:pPr>
      <w:r>
        <w:t xml:space="preserve">Hammarstrom, J. M., Kreiner, D. C., Dicken, C. L., &amp; Woodruff, L. G. (2023). </w:t>
      </w:r>
      <w:r>
        <w:rPr>
          <w:rStyle w:val="Emphasis"/>
        </w:rPr>
        <w:t>National map of focus areas for potential critical mineral resources in the United States</w:t>
      </w:r>
      <w:r>
        <w:t xml:space="preserve"> (Fact Sheet 2023–3007). U.S. Geological Survey. </w:t>
      </w:r>
      <w:hyperlink r:id="rId31" w:history="1">
        <w:r>
          <w:rPr>
            <w:rStyle w:val="Hyperlink"/>
          </w:rPr>
          <w:t>https://doi.org/10.3133/fs20233007</w:t>
        </w:r>
      </w:hyperlink>
    </w:p>
    <w:p w14:paraId="5772341E" w14:textId="77777777" w:rsidR="00EE2F6D" w:rsidRDefault="00EE2F6D" w:rsidP="00EE2F6D">
      <w:pPr>
        <w:pStyle w:val="isselectedend"/>
      </w:pPr>
      <w:r>
        <w:t xml:space="preserve">He, H., Zhu, H., Yang, X., Zhang, W., &amp; Wang, J. (2024). Mineral prospectivity prediction based on convolutional neural network and ensemble learning. </w:t>
      </w:r>
      <w:r>
        <w:rPr>
          <w:rStyle w:val="Emphasis"/>
        </w:rPr>
        <w:t>Scientific Reports, 14</w:t>
      </w:r>
      <w:r>
        <w:t xml:space="preserve">, Article 22654. </w:t>
      </w:r>
      <w:hyperlink r:id="rId32" w:history="1">
        <w:r>
          <w:rPr>
            <w:rStyle w:val="Hyperlink"/>
          </w:rPr>
          <w:t>https://doi.org/10.1038/s41598-024-73357-0</w:t>
        </w:r>
      </w:hyperlink>
    </w:p>
    <w:p w14:paraId="534641E8" w14:textId="77777777" w:rsidR="00EE2F6D" w:rsidRDefault="00EE2F6D" w:rsidP="00EE2F6D">
      <w:pPr>
        <w:pStyle w:val="isselectedend"/>
      </w:pPr>
      <w:r>
        <w:t xml:space="preserve">Hoffimann, J., </w:t>
      </w:r>
      <w:proofErr w:type="spellStart"/>
      <w:r>
        <w:t>Zortea</w:t>
      </w:r>
      <w:proofErr w:type="spellEnd"/>
      <w:r>
        <w:t xml:space="preserve">, M., de Carvalho, B., &amp; Zadrozny, B. (2021). Geostatistical learning: Challenges and opportunities. </w:t>
      </w:r>
      <w:r>
        <w:rPr>
          <w:rStyle w:val="Emphasis"/>
        </w:rPr>
        <w:t>Frontiers in Applied Mathematics and Statistics, 7</w:t>
      </w:r>
      <w:r>
        <w:t xml:space="preserve">, Article 689393. </w:t>
      </w:r>
      <w:hyperlink r:id="rId33" w:history="1">
        <w:r>
          <w:rPr>
            <w:rStyle w:val="Hyperlink"/>
          </w:rPr>
          <w:t>https://doi.org/10.3389/fams.2021.689393</w:t>
        </w:r>
      </w:hyperlink>
    </w:p>
    <w:p w14:paraId="495B4769" w14:textId="77777777" w:rsidR="00EE2F6D" w:rsidRDefault="00EE2F6D" w:rsidP="00EE2F6D">
      <w:pPr>
        <w:pStyle w:val="isselectedend"/>
      </w:pPr>
      <w:r>
        <w:t xml:space="preserve">Hofstra, A. H., &amp; Kreiner, D. C. (2020). </w:t>
      </w:r>
      <w:r>
        <w:rPr>
          <w:rStyle w:val="Emphasis"/>
        </w:rPr>
        <w:t>Systems-deposits-commodities-critical minerals table for the Earth Mapping Resources Initiative</w:t>
      </w:r>
      <w:r>
        <w:t xml:space="preserve"> (Open-File Report 2020–1042, Version 1.1). U.S. Geological Survey. </w:t>
      </w:r>
      <w:hyperlink r:id="rId34" w:history="1">
        <w:r>
          <w:rPr>
            <w:rStyle w:val="Hyperlink"/>
          </w:rPr>
          <w:t>https://doi.org/10.3133/ofr20201042</w:t>
        </w:r>
      </w:hyperlink>
    </w:p>
    <w:p w14:paraId="4DCF50B9" w14:textId="77777777" w:rsidR="00EE2F6D" w:rsidRDefault="00EE2F6D" w:rsidP="00EE2F6D">
      <w:pPr>
        <w:pStyle w:val="isselectedend"/>
      </w:pPr>
      <w:r>
        <w:t xml:space="preserve">Hu, L. Y., &amp; Chugunova, T. (2008). Multiple-point </w:t>
      </w:r>
      <w:proofErr w:type="spellStart"/>
      <w:r>
        <w:t>geostatistics</w:t>
      </w:r>
      <w:proofErr w:type="spellEnd"/>
      <w:r>
        <w:t xml:space="preserve"> for modeling subsurface heterogeneity: A comprehensive review. </w:t>
      </w:r>
      <w:r>
        <w:rPr>
          <w:rStyle w:val="Emphasis"/>
        </w:rPr>
        <w:t>Water Resources Research, 44</w:t>
      </w:r>
      <w:r>
        <w:t xml:space="preserve">(11), Article W11413. </w:t>
      </w:r>
      <w:hyperlink r:id="rId35" w:history="1">
        <w:r>
          <w:rPr>
            <w:rStyle w:val="Hyperlink"/>
          </w:rPr>
          <w:t>https://doi.org/10.1029/2008WR006993</w:t>
        </w:r>
      </w:hyperlink>
    </w:p>
    <w:p w14:paraId="2558B149" w14:textId="77777777" w:rsidR="00EE2F6D" w:rsidRDefault="00EE2F6D" w:rsidP="00EE2F6D">
      <w:pPr>
        <w:pStyle w:val="isselectedend"/>
      </w:pPr>
      <w:proofErr w:type="spellStart"/>
      <w:r>
        <w:t>Jahedsaravani</w:t>
      </w:r>
      <w:proofErr w:type="spellEnd"/>
      <w:r>
        <w:t xml:space="preserve">, A., </w:t>
      </w:r>
      <w:proofErr w:type="spellStart"/>
      <w:r>
        <w:t>Marhaban</w:t>
      </w:r>
      <w:proofErr w:type="spellEnd"/>
      <w:r>
        <w:t xml:space="preserve">, M. H., &amp; </w:t>
      </w:r>
      <w:proofErr w:type="spellStart"/>
      <w:r>
        <w:t>Massinaei</w:t>
      </w:r>
      <w:proofErr w:type="spellEnd"/>
      <w:r>
        <w:t xml:space="preserve">, M. (2014). Prediction of the metallurgical performances of a batch flotation system by image analysis and neural networks. </w:t>
      </w:r>
      <w:r>
        <w:rPr>
          <w:rStyle w:val="Emphasis"/>
        </w:rPr>
        <w:t>Minerals Engineering, 69</w:t>
      </w:r>
      <w:r>
        <w:t xml:space="preserve">, 137–145. </w:t>
      </w:r>
      <w:hyperlink r:id="rId36" w:history="1">
        <w:r>
          <w:rPr>
            <w:rStyle w:val="Hyperlink"/>
          </w:rPr>
          <w:t>https://doi.org/10.1016/j.mineng.2014.08.003</w:t>
        </w:r>
      </w:hyperlink>
    </w:p>
    <w:p w14:paraId="5695FC75" w14:textId="77777777" w:rsidR="00EE2F6D" w:rsidRDefault="00EE2F6D" w:rsidP="00EE2F6D">
      <w:pPr>
        <w:pStyle w:val="isselectedend"/>
      </w:pPr>
      <w:r>
        <w:t xml:space="preserve">Kaartinen, J., </w:t>
      </w:r>
      <w:proofErr w:type="spellStart"/>
      <w:r>
        <w:t>Hätönen</w:t>
      </w:r>
      <w:proofErr w:type="spellEnd"/>
      <w:r>
        <w:t xml:space="preserve">, J., </w:t>
      </w:r>
      <w:proofErr w:type="spellStart"/>
      <w:r>
        <w:t>Hyötyniemi</w:t>
      </w:r>
      <w:proofErr w:type="spellEnd"/>
      <w:r>
        <w:t xml:space="preserve">, H., &amp; Miettunen, J. (2006). Machine-vision-based control of zinc flotation—A case study. </w:t>
      </w:r>
      <w:r>
        <w:rPr>
          <w:rStyle w:val="Emphasis"/>
        </w:rPr>
        <w:t>Control Engineering Practice, 14</w:t>
      </w:r>
      <w:r>
        <w:t xml:space="preserve">(12), 1455–1466. </w:t>
      </w:r>
      <w:hyperlink r:id="rId37" w:history="1">
        <w:r>
          <w:rPr>
            <w:rStyle w:val="Hyperlink"/>
          </w:rPr>
          <w:t>https://doi.org/10.1016/j.conengprac.2005.12.004</w:t>
        </w:r>
      </w:hyperlink>
    </w:p>
    <w:p w14:paraId="53030485" w14:textId="77777777" w:rsidR="00EE2F6D" w:rsidRDefault="00EE2F6D" w:rsidP="00EE2F6D">
      <w:pPr>
        <w:pStyle w:val="isselectedend"/>
      </w:pPr>
      <w:r>
        <w:t xml:space="preserve">Li, Q., Chen, G., &amp; Luo, L. (2023). Mineral prospectivity mapping using attention-based convolutional neural network. </w:t>
      </w:r>
      <w:r>
        <w:rPr>
          <w:rStyle w:val="Emphasis"/>
        </w:rPr>
        <w:t>Ore Geology Reviews, 156</w:t>
      </w:r>
      <w:r>
        <w:t xml:space="preserve">, Article 105381. </w:t>
      </w:r>
      <w:hyperlink r:id="rId38" w:history="1">
        <w:r>
          <w:rPr>
            <w:rStyle w:val="Hyperlink"/>
          </w:rPr>
          <w:t>https://doi.org/10.1016/j.oregeorev.2023.105381</w:t>
        </w:r>
      </w:hyperlink>
    </w:p>
    <w:p w14:paraId="35D1515C" w14:textId="77777777" w:rsidR="00EE2F6D" w:rsidRDefault="00EE2F6D" w:rsidP="00EE2F6D">
      <w:pPr>
        <w:pStyle w:val="isselectedend"/>
      </w:pPr>
      <w:r>
        <w:lastRenderedPageBreak/>
        <w:t xml:space="preserve">Lishchuk, V., Koch, P.-H., Ghorbani, Y., &amp; Butcher, A. R. (2020). Towards integrated </w:t>
      </w:r>
      <w:proofErr w:type="spellStart"/>
      <w:r>
        <w:t>geometallurgical</w:t>
      </w:r>
      <w:proofErr w:type="spellEnd"/>
      <w:r>
        <w:t xml:space="preserve"> approach: Critical review of current practices and future trends. </w:t>
      </w:r>
      <w:r>
        <w:rPr>
          <w:rStyle w:val="Emphasis"/>
        </w:rPr>
        <w:t>Minerals Engineering, 145</w:t>
      </w:r>
      <w:r>
        <w:t xml:space="preserve">, Article 106072. </w:t>
      </w:r>
      <w:hyperlink r:id="rId39" w:history="1">
        <w:r>
          <w:rPr>
            <w:rStyle w:val="Hyperlink"/>
          </w:rPr>
          <w:t>https://doi.org/10.1016/j.mineng.2019.106072</w:t>
        </w:r>
      </w:hyperlink>
    </w:p>
    <w:p w14:paraId="3A2B179B" w14:textId="77777777" w:rsidR="00EE2F6D" w:rsidRDefault="00EE2F6D" w:rsidP="00EE2F6D">
      <w:pPr>
        <w:pStyle w:val="isselectedend"/>
      </w:pPr>
      <w:r>
        <w:t xml:space="preserve">Lundberg, S. M., Erion, G., Chen, H., DeGrave, A., </w:t>
      </w:r>
      <w:proofErr w:type="spellStart"/>
      <w:r>
        <w:t>Prutkin</w:t>
      </w:r>
      <w:proofErr w:type="spellEnd"/>
      <w:r>
        <w:t xml:space="preserve">, J. M., Nair, B., Katz, R., Himmelfarb, J., Bansal, N., &amp; Lee, S.-I. (2020). From local explanations to global understanding with explainable AI for trees. </w:t>
      </w:r>
      <w:r>
        <w:rPr>
          <w:rStyle w:val="Emphasis"/>
        </w:rPr>
        <w:t>Nature Machine Intelligence, 2</w:t>
      </w:r>
      <w:r>
        <w:t xml:space="preserve">(1), 56–67. </w:t>
      </w:r>
      <w:hyperlink r:id="rId40" w:history="1">
        <w:r>
          <w:rPr>
            <w:rStyle w:val="Hyperlink"/>
          </w:rPr>
          <w:t>https://doi.org/10.1038/s42256-019-0138-9</w:t>
        </w:r>
      </w:hyperlink>
    </w:p>
    <w:p w14:paraId="22355F57" w14:textId="77777777" w:rsidR="00EE2F6D" w:rsidRDefault="00EE2F6D" w:rsidP="00EE2F6D">
      <w:pPr>
        <w:pStyle w:val="isselectedend"/>
      </w:pPr>
      <w:proofErr w:type="spellStart"/>
      <w:r>
        <w:t>Mariethoz</w:t>
      </w:r>
      <w:proofErr w:type="spellEnd"/>
      <w:r>
        <w:t xml:space="preserve">, G., Renard, P., &amp; Straubhaar, J. (2010). The Direct Sampling method to perform multiple-point geostatistical simulations. </w:t>
      </w:r>
      <w:r>
        <w:rPr>
          <w:rStyle w:val="Emphasis"/>
        </w:rPr>
        <w:t>Water Resources Research, 46</w:t>
      </w:r>
      <w:r>
        <w:t xml:space="preserve">(11), Article W11536. </w:t>
      </w:r>
      <w:hyperlink r:id="rId41" w:history="1">
        <w:r>
          <w:rPr>
            <w:rStyle w:val="Hyperlink"/>
          </w:rPr>
          <w:t>https://doi.org/10.1029/2008WR007621</w:t>
        </w:r>
      </w:hyperlink>
    </w:p>
    <w:p w14:paraId="749751C3" w14:textId="77777777" w:rsidR="00EE2F6D" w:rsidRDefault="00EE2F6D" w:rsidP="00EE2F6D">
      <w:pPr>
        <w:pStyle w:val="isselectedend"/>
      </w:pPr>
      <w:r>
        <w:t xml:space="preserve">McCoy, J. T., &amp; </w:t>
      </w:r>
      <w:proofErr w:type="spellStart"/>
      <w:r>
        <w:t>Auret</w:t>
      </w:r>
      <w:proofErr w:type="spellEnd"/>
      <w:r>
        <w:t xml:space="preserve">, L. (2019). Machine learning applications in minerals processing: A review. </w:t>
      </w:r>
      <w:r>
        <w:rPr>
          <w:rStyle w:val="Emphasis"/>
        </w:rPr>
        <w:t>Minerals Engineering, 132</w:t>
      </w:r>
      <w:r>
        <w:t xml:space="preserve">, 95–109. </w:t>
      </w:r>
      <w:hyperlink r:id="rId42" w:history="1">
        <w:r>
          <w:rPr>
            <w:rStyle w:val="Hyperlink"/>
          </w:rPr>
          <w:t>https://doi.org/10.1016/j.mineng.2018.12.004</w:t>
        </w:r>
      </w:hyperlink>
    </w:p>
    <w:p w14:paraId="6C2898C7" w14:textId="77777777" w:rsidR="00EE2F6D" w:rsidRDefault="00EE2F6D" w:rsidP="00EE2F6D">
      <w:pPr>
        <w:pStyle w:val="isselectedend"/>
      </w:pPr>
      <w:r>
        <w:t xml:space="preserve">McCullough, E. A., &amp; Nassar, N. T. (2017). Assessment of critical minerals: Updated application of an early-warning screening methodology. </w:t>
      </w:r>
      <w:r>
        <w:rPr>
          <w:rStyle w:val="Emphasis"/>
        </w:rPr>
        <w:t>Mineral Economics, 30</w:t>
      </w:r>
      <w:r>
        <w:t xml:space="preserve">(3), 257–272. </w:t>
      </w:r>
      <w:hyperlink r:id="rId43" w:history="1">
        <w:r>
          <w:rPr>
            <w:rStyle w:val="Hyperlink"/>
          </w:rPr>
          <w:t>https://doi.org/10.1007/s13563-017-0119-6</w:t>
        </w:r>
      </w:hyperlink>
    </w:p>
    <w:p w14:paraId="6C79FCB5" w14:textId="77777777" w:rsidR="00EE2F6D" w:rsidRDefault="00EE2F6D" w:rsidP="00EE2F6D">
      <w:pPr>
        <w:pStyle w:val="isselectedend"/>
      </w:pPr>
      <w:r>
        <w:t xml:space="preserve">McMillan, M., Haber, E., Peters, B., &amp; </w:t>
      </w:r>
      <w:proofErr w:type="spellStart"/>
      <w:r>
        <w:t>Fohring</w:t>
      </w:r>
      <w:proofErr w:type="spellEnd"/>
      <w:r>
        <w:t xml:space="preserve">, J. (2021). Mineral prospectivity mapping using a </w:t>
      </w:r>
      <w:proofErr w:type="spellStart"/>
      <w:r>
        <w:t>VNet</w:t>
      </w:r>
      <w:proofErr w:type="spellEnd"/>
      <w:r>
        <w:t xml:space="preserve"> convolutional neural network. </w:t>
      </w:r>
      <w:r>
        <w:rPr>
          <w:rStyle w:val="Emphasis"/>
        </w:rPr>
        <w:t>The Leading Edge, 40</w:t>
      </w:r>
      <w:r>
        <w:t xml:space="preserve">(2), 99–105. </w:t>
      </w:r>
      <w:hyperlink r:id="rId44" w:history="1">
        <w:r>
          <w:rPr>
            <w:rStyle w:val="Hyperlink"/>
          </w:rPr>
          <w:t>https://doi.org/10.1190/tle40020099.1</w:t>
        </w:r>
      </w:hyperlink>
    </w:p>
    <w:p w14:paraId="1EE093AF" w14:textId="77777777" w:rsidR="00EE2F6D" w:rsidRDefault="00EE2F6D" w:rsidP="00EE2F6D">
      <w:pPr>
        <w:pStyle w:val="isselectedend"/>
      </w:pPr>
      <w:r>
        <w:t xml:space="preserve">Nassar, N. T., Brainard, J., Gulley, A. L., Manley, R., Matos, G. R., Lederer, G. W., Bird, L. R., Pineault, D. G., Alonso, E., </w:t>
      </w:r>
      <w:proofErr w:type="spellStart"/>
      <w:r>
        <w:t>Gambogi</w:t>
      </w:r>
      <w:proofErr w:type="spellEnd"/>
      <w:r>
        <w:t xml:space="preserve">, J., &amp; Fortier, S. M. (2020). Evaluating the mineral commodity supply risk of the U.S. manufacturing sector. </w:t>
      </w:r>
      <w:r>
        <w:rPr>
          <w:rStyle w:val="Emphasis"/>
        </w:rPr>
        <w:t>Science Advances, 6</w:t>
      </w:r>
      <w:r>
        <w:t xml:space="preserve">(8), Article eaay8647. </w:t>
      </w:r>
      <w:hyperlink r:id="rId45" w:history="1">
        <w:r>
          <w:rPr>
            <w:rStyle w:val="Hyperlink"/>
          </w:rPr>
          <w:t>https://doi.org/10.1126/sciadv.aay8647</w:t>
        </w:r>
      </w:hyperlink>
    </w:p>
    <w:p w14:paraId="288E51A7" w14:textId="77777777" w:rsidR="00EE2F6D" w:rsidRDefault="00EE2F6D" w:rsidP="00EE2F6D">
      <w:pPr>
        <w:pStyle w:val="isselectedend"/>
      </w:pPr>
      <w:r>
        <w:t xml:space="preserve">Negron, L., Pingitore, N. E., Jr., &amp; Gorski, D. (2016). Porosity and permeability of Round Top Mountain rhyolite (Texas, USA) favor coarse crush size for rare earth element heap leach. </w:t>
      </w:r>
      <w:r>
        <w:rPr>
          <w:rStyle w:val="Emphasis"/>
        </w:rPr>
        <w:t>Minerals, 6</w:t>
      </w:r>
      <w:r>
        <w:t xml:space="preserve">(1), Article 16. </w:t>
      </w:r>
      <w:hyperlink r:id="rId46" w:history="1">
        <w:r>
          <w:rPr>
            <w:rStyle w:val="Hyperlink"/>
          </w:rPr>
          <w:t>https://doi.org/10.3390/min6010016</w:t>
        </w:r>
      </w:hyperlink>
    </w:p>
    <w:p w14:paraId="76DF4C88" w14:textId="77777777" w:rsidR="00EE2F6D" w:rsidRDefault="00EE2F6D" w:rsidP="00EE2F6D">
      <w:pPr>
        <w:pStyle w:val="isselectedend"/>
      </w:pPr>
      <w:proofErr w:type="spellStart"/>
      <w:r>
        <w:t>Nwaila</w:t>
      </w:r>
      <w:proofErr w:type="spellEnd"/>
      <w:r>
        <w:t xml:space="preserve">, G. T., Zhang, S. E., Bourdeau, J. E., Frimmel, H. E., &amp; Ghorbani, Y. (2024). Spatial interpolation using machine learning: From patterns and regularities to block models. </w:t>
      </w:r>
      <w:r>
        <w:rPr>
          <w:rStyle w:val="Emphasis"/>
        </w:rPr>
        <w:t>Natural Resources Research, 33</w:t>
      </w:r>
      <w:r>
        <w:t xml:space="preserve">(1), 129–161. </w:t>
      </w:r>
      <w:hyperlink r:id="rId47" w:history="1">
        <w:r>
          <w:rPr>
            <w:rStyle w:val="Hyperlink"/>
          </w:rPr>
          <w:t>https://doi.org/10.1007/s11053-023-10280-7</w:t>
        </w:r>
      </w:hyperlink>
    </w:p>
    <w:p w14:paraId="6F87E794" w14:textId="77777777" w:rsidR="00EE2F6D" w:rsidRDefault="00EE2F6D" w:rsidP="00EE2F6D">
      <w:pPr>
        <w:pStyle w:val="isselectedend"/>
      </w:pPr>
      <w:r>
        <w:t xml:space="preserve">Oliver, M. A., &amp; Webster, R. (2014). A tutorial guide to </w:t>
      </w:r>
      <w:proofErr w:type="spellStart"/>
      <w:r>
        <w:t>geostatistics</w:t>
      </w:r>
      <w:proofErr w:type="spellEnd"/>
      <w:r>
        <w:t xml:space="preserve">: Computing and modelling variograms and kriging. </w:t>
      </w:r>
      <w:r>
        <w:rPr>
          <w:rStyle w:val="Emphasis"/>
        </w:rPr>
        <w:t>Catena, 113</w:t>
      </w:r>
      <w:r>
        <w:t xml:space="preserve">, 56–69. </w:t>
      </w:r>
      <w:hyperlink r:id="rId48" w:history="1">
        <w:r>
          <w:rPr>
            <w:rStyle w:val="Hyperlink"/>
          </w:rPr>
          <w:t>https://doi.org/10.1016/j.catena.2013.09.006</w:t>
        </w:r>
      </w:hyperlink>
    </w:p>
    <w:p w14:paraId="4BCC0171" w14:textId="77777777" w:rsidR="00EE2F6D" w:rsidRDefault="00EE2F6D" w:rsidP="00EE2F6D">
      <w:pPr>
        <w:pStyle w:val="isselectedend"/>
      </w:pPr>
      <w:r>
        <w:t xml:space="preserve">Parsa, M., &amp; Cumani, R. (2025). Class label representativeness in machine learning-based mineral prospectivity mapping. </w:t>
      </w:r>
      <w:r>
        <w:rPr>
          <w:rStyle w:val="Emphasis"/>
        </w:rPr>
        <w:t>Natural Resources Research, 34</w:t>
      </w:r>
      <w:r>
        <w:t xml:space="preserve">(4), 1901–1925. </w:t>
      </w:r>
      <w:hyperlink r:id="rId49" w:history="1">
        <w:r>
          <w:rPr>
            <w:rStyle w:val="Hyperlink"/>
          </w:rPr>
          <w:t>https://doi.org/10.1007/s11053-025-10468-z</w:t>
        </w:r>
      </w:hyperlink>
    </w:p>
    <w:p w14:paraId="6C601C72" w14:textId="77777777" w:rsidR="00EE2F6D" w:rsidRDefault="00EE2F6D" w:rsidP="00EE2F6D">
      <w:pPr>
        <w:pStyle w:val="isselectedend"/>
      </w:pPr>
      <w:r>
        <w:t xml:space="preserve">Peacock, J. R., Denton, K., &amp; Ponce, D. A. (2021). Three-dimensional electrical resistivity characterization of Mountain Pass, California and surrounding region. </w:t>
      </w:r>
      <w:r>
        <w:rPr>
          <w:rStyle w:val="Emphasis"/>
        </w:rPr>
        <w:t>Geochemistry, Geophysics, Geosystems, 22</w:t>
      </w:r>
      <w:r>
        <w:t xml:space="preserve">(11), Article e2021GC010029. </w:t>
      </w:r>
      <w:hyperlink r:id="rId50" w:history="1">
        <w:r>
          <w:rPr>
            <w:rStyle w:val="Hyperlink"/>
          </w:rPr>
          <w:t>https://doi.org/10.1029/2021GC010029</w:t>
        </w:r>
      </w:hyperlink>
    </w:p>
    <w:p w14:paraId="3E303DCC" w14:textId="77777777" w:rsidR="00EE2F6D" w:rsidRDefault="00EE2F6D" w:rsidP="00EE2F6D">
      <w:pPr>
        <w:pStyle w:val="isselectedend"/>
      </w:pPr>
      <w:r>
        <w:lastRenderedPageBreak/>
        <w:t xml:space="preserve">Pingitore, N. E., Jr., Clague, J. W., &amp; Gorski, D. (2014). Round Top Mountain rhyolite (Texas, USA), a massive, unique Y-bearing-fluorite-hosted heavy rare earth element (HREE) deposit. </w:t>
      </w:r>
      <w:r>
        <w:rPr>
          <w:rStyle w:val="Emphasis"/>
        </w:rPr>
        <w:t>Journal of Rare Earths, 32</w:t>
      </w:r>
      <w:r>
        <w:t xml:space="preserve">(1), 90–96. </w:t>
      </w:r>
      <w:hyperlink r:id="rId51" w:history="1">
        <w:r>
          <w:rPr>
            <w:rStyle w:val="Hyperlink"/>
          </w:rPr>
          <w:t>https://doi.org/10.1016/S1002-0721(14)60037-5</w:t>
        </w:r>
      </w:hyperlink>
    </w:p>
    <w:p w14:paraId="5BBF82AA" w14:textId="77777777" w:rsidR="00EE2F6D" w:rsidRDefault="00EE2F6D" w:rsidP="00EE2F6D">
      <w:pPr>
        <w:pStyle w:val="isselectedend"/>
      </w:pPr>
      <w:r>
        <w:t xml:space="preserve">Roberts, D. R., Bahn, V., </w:t>
      </w:r>
      <w:proofErr w:type="spellStart"/>
      <w:r>
        <w:t>Ciuti</w:t>
      </w:r>
      <w:proofErr w:type="spellEnd"/>
      <w:r>
        <w:t xml:space="preserve">, S., Boyce, M. S., Elith, J., </w:t>
      </w:r>
      <w:proofErr w:type="spellStart"/>
      <w:r>
        <w:t>Guillera-Arroita</w:t>
      </w:r>
      <w:proofErr w:type="spellEnd"/>
      <w:r>
        <w:t xml:space="preserve">, G., Hauenstein, S., Lahoz-Monfort, J. J., Schröder, B., </w:t>
      </w:r>
      <w:proofErr w:type="spellStart"/>
      <w:r>
        <w:t>Thuiller</w:t>
      </w:r>
      <w:proofErr w:type="spellEnd"/>
      <w:r>
        <w:t xml:space="preserve">, W., Warton, D. I., Wintle, B. A., Hartig, F., &amp; Dormann, C. F. (2017). Cross-validation strategies for data with temporal, spatial, hierarchical, or phylogenetic structure. </w:t>
      </w:r>
      <w:proofErr w:type="spellStart"/>
      <w:r>
        <w:rPr>
          <w:rStyle w:val="Emphasis"/>
        </w:rPr>
        <w:t>Ecography</w:t>
      </w:r>
      <w:proofErr w:type="spellEnd"/>
      <w:r>
        <w:rPr>
          <w:rStyle w:val="Emphasis"/>
        </w:rPr>
        <w:t>, 40</w:t>
      </w:r>
      <w:r>
        <w:t xml:space="preserve">(8), 913–929. </w:t>
      </w:r>
      <w:hyperlink r:id="rId52" w:history="1">
        <w:r>
          <w:rPr>
            <w:rStyle w:val="Hyperlink"/>
          </w:rPr>
          <w:t>https://doi.org/10.1111/ecog.02881</w:t>
        </w:r>
      </w:hyperlink>
    </w:p>
    <w:p w14:paraId="5D049F81" w14:textId="77777777" w:rsidR="00EE2F6D" w:rsidRDefault="00EE2F6D" w:rsidP="00EE2F6D">
      <w:pPr>
        <w:pStyle w:val="isselectedend"/>
      </w:pPr>
      <w:r>
        <w:t xml:space="preserve">Rodríguez-Galiano, V. F., Sánchez-Castillo, M., Chica-Olmo, M., &amp; Chica-Rivas, M. (2015). Machine learning predictive models for mineral prospectivity: An evaluation of neural networks, random forest, regression trees and support vector machines. </w:t>
      </w:r>
      <w:r>
        <w:rPr>
          <w:rStyle w:val="Emphasis"/>
        </w:rPr>
        <w:t>Ore Geology Reviews, 71</w:t>
      </w:r>
      <w:r>
        <w:t xml:space="preserve">, 804–818. </w:t>
      </w:r>
      <w:hyperlink r:id="rId53" w:history="1">
        <w:r>
          <w:rPr>
            <w:rStyle w:val="Hyperlink"/>
          </w:rPr>
          <w:t>https://doi.org/10.1016/j.oregeorev.2015.01.001</w:t>
        </w:r>
      </w:hyperlink>
    </w:p>
    <w:p w14:paraId="1567F959" w14:textId="77777777" w:rsidR="00EE2F6D" w:rsidRDefault="00EE2F6D" w:rsidP="00EE2F6D">
      <w:pPr>
        <w:pStyle w:val="isselectedend"/>
      </w:pPr>
      <w:r>
        <w:t xml:space="preserve">Rowan, L. C., &amp; Mars, J. C. (2003). Lithologic mapping in the Mountain Pass, California area using Advanced Spaceborne Thermal Emission and Reflection Radiometer (ASTER) data. </w:t>
      </w:r>
      <w:r>
        <w:rPr>
          <w:rStyle w:val="Emphasis"/>
        </w:rPr>
        <w:t>Remote Sensing of Environment, 84</w:t>
      </w:r>
      <w:r>
        <w:t xml:space="preserve">(3), 350–366. </w:t>
      </w:r>
      <w:hyperlink r:id="rId54" w:history="1">
        <w:r>
          <w:rPr>
            <w:rStyle w:val="Hyperlink"/>
          </w:rPr>
          <w:t>https://doi.org/10.1016/S0034-4257(02)00127-X</w:t>
        </w:r>
      </w:hyperlink>
    </w:p>
    <w:p w14:paraId="50D58ADF" w14:textId="77777777" w:rsidR="00EE2F6D" w:rsidRDefault="00EE2F6D" w:rsidP="00EE2F6D">
      <w:pPr>
        <w:pStyle w:val="isselectedend"/>
      </w:pPr>
      <w:r>
        <w:t xml:space="preserve">Schulz, K. J., DeYoung, J. H., Jr., Seal, R. R., II, &amp; Bradley, D. C. (Eds.). (2017). </w:t>
      </w:r>
      <w:r>
        <w:rPr>
          <w:rStyle w:val="Emphasis"/>
        </w:rPr>
        <w:t>Critical mineral resources of the United States—Economic and environmental geology and prospects for future supply</w:t>
      </w:r>
      <w:r>
        <w:t xml:space="preserve"> (Professional Paper 1802). U.S. Geological Survey. </w:t>
      </w:r>
      <w:hyperlink r:id="rId55" w:history="1">
        <w:r>
          <w:rPr>
            <w:rStyle w:val="Hyperlink"/>
          </w:rPr>
          <w:t>https://doi.org/10.3133/pp1802</w:t>
        </w:r>
      </w:hyperlink>
    </w:p>
    <w:p w14:paraId="2B3D680D" w14:textId="77777777" w:rsidR="00EE2F6D" w:rsidRDefault="00EE2F6D" w:rsidP="00EE2F6D">
      <w:pPr>
        <w:pStyle w:val="isselectedend"/>
      </w:pPr>
      <w:r>
        <w:t xml:space="preserve">Shuai, Z., Zhu, Y., Gao, P., &amp; Han, Y. (2024). Rare earth elements resources and beneficiation: A review. </w:t>
      </w:r>
      <w:r>
        <w:rPr>
          <w:rStyle w:val="Emphasis"/>
        </w:rPr>
        <w:t>Minerals Engineering, 218</w:t>
      </w:r>
      <w:r>
        <w:t xml:space="preserve">, Article 109011. </w:t>
      </w:r>
      <w:hyperlink r:id="rId56" w:history="1">
        <w:r>
          <w:rPr>
            <w:rStyle w:val="Hyperlink"/>
          </w:rPr>
          <w:t>https://doi.org/10.1016/j.mineng.2024.109011</w:t>
        </w:r>
      </w:hyperlink>
    </w:p>
    <w:p w14:paraId="6DCD88CC" w14:textId="77777777" w:rsidR="00EE2F6D" w:rsidRDefault="00EE2F6D" w:rsidP="00EE2F6D">
      <w:pPr>
        <w:pStyle w:val="isselectedend"/>
      </w:pPr>
      <w:r>
        <w:t xml:space="preserve">Slack, J. F. (2012). Strata-bound Fe-Co-Cu-Au-Bi-Y-REE deposits of the Idaho Cobalt Belt: Multistage hydrothermal mineralization in a magmatic-related iron oxide copper-gold system. </w:t>
      </w:r>
      <w:r>
        <w:rPr>
          <w:rStyle w:val="Emphasis"/>
        </w:rPr>
        <w:t>Economic Geology, 107</w:t>
      </w:r>
      <w:r>
        <w:t xml:space="preserve">(6), 1089–1113. </w:t>
      </w:r>
      <w:hyperlink r:id="rId57" w:history="1">
        <w:r>
          <w:rPr>
            <w:rStyle w:val="Hyperlink"/>
          </w:rPr>
          <w:t>https://doi.org/10.2113/econgeo.107.6.1089</w:t>
        </w:r>
      </w:hyperlink>
    </w:p>
    <w:p w14:paraId="0105DE4B" w14:textId="77777777" w:rsidR="00EE2F6D" w:rsidRDefault="00EE2F6D" w:rsidP="00EE2F6D">
      <w:pPr>
        <w:pStyle w:val="isselectedend"/>
      </w:pPr>
      <w:r>
        <w:t xml:space="preserve">Sun, K., Chen, Y., Geng, G., Lu, Z., Zhang, W., Song, Z., Guan, J., Zhao, Y., &amp; Zhang, Z. (2024). A review of mineral prospectivity mapping using deep learning. </w:t>
      </w:r>
      <w:r>
        <w:rPr>
          <w:rStyle w:val="Emphasis"/>
        </w:rPr>
        <w:t>Minerals, 14</w:t>
      </w:r>
      <w:r>
        <w:t xml:space="preserve">(10), Article 1021. </w:t>
      </w:r>
      <w:hyperlink r:id="rId58" w:history="1">
        <w:r>
          <w:rPr>
            <w:rStyle w:val="Hyperlink"/>
          </w:rPr>
          <w:t>https://doi.org/10.3390/min14101021</w:t>
        </w:r>
      </w:hyperlink>
    </w:p>
    <w:p w14:paraId="592D912D" w14:textId="77777777" w:rsidR="00EE2F6D" w:rsidRDefault="00EE2F6D" w:rsidP="00EE2F6D">
      <w:pPr>
        <w:pStyle w:val="isselectedend"/>
      </w:pPr>
      <w:r>
        <w:t xml:space="preserve">Sun, T., Chen, F., Zhong, L., Liu, W., &amp; Wang, Y. (2019). GIS-based mineral prospectivity mapping using machine learning methods: A case study from </w:t>
      </w:r>
      <w:proofErr w:type="spellStart"/>
      <w:r>
        <w:t>Tongling</w:t>
      </w:r>
      <w:proofErr w:type="spellEnd"/>
      <w:r>
        <w:t xml:space="preserve"> ore district, eastern China. </w:t>
      </w:r>
      <w:r>
        <w:rPr>
          <w:rStyle w:val="Emphasis"/>
        </w:rPr>
        <w:t>Ore Geology Reviews, 109</w:t>
      </w:r>
      <w:r>
        <w:t xml:space="preserve">, 26–49. </w:t>
      </w:r>
      <w:hyperlink r:id="rId59" w:history="1">
        <w:r>
          <w:rPr>
            <w:rStyle w:val="Hyperlink"/>
          </w:rPr>
          <w:t>https://doi.org/10.1016/j.oregeorev.2019.04.003</w:t>
        </w:r>
      </w:hyperlink>
    </w:p>
    <w:p w14:paraId="44275273" w14:textId="77777777" w:rsidR="00EE2F6D" w:rsidRDefault="00EE2F6D" w:rsidP="00EE2F6D">
      <w:pPr>
        <w:pStyle w:val="isselectedend"/>
      </w:pPr>
      <w:r>
        <w:t xml:space="preserve">U.S. Geological Survey. (2026). </w:t>
      </w:r>
      <w:r>
        <w:rPr>
          <w:rStyle w:val="Emphasis"/>
        </w:rPr>
        <w:t>Mineral commodity summaries 2026</w:t>
      </w:r>
      <w:r>
        <w:t xml:space="preserve"> (Version 1.3, May 2026). </w:t>
      </w:r>
      <w:hyperlink r:id="rId60" w:history="1">
        <w:r>
          <w:rPr>
            <w:rStyle w:val="Hyperlink"/>
          </w:rPr>
          <w:t>https://doi.org/10.3133/mcs2026</w:t>
        </w:r>
      </w:hyperlink>
    </w:p>
    <w:p w14:paraId="3392E8AF" w14:textId="77777777" w:rsidR="00EE2F6D" w:rsidRDefault="00EE2F6D" w:rsidP="00EE2F6D">
      <w:pPr>
        <w:pStyle w:val="isselectedend"/>
      </w:pPr>
      <w:r>
        <w:t xml:space="preserve">Wang, J., &amp; Zuo, R. (2024). Uncertainty quantification in geochemical mapping: A review and recommendations. </w:t>
      </w:r>
      <w:r>
        <w:rPr>
          <w:rStyle w:val="Emphasis"/>
        </w:rPr>
        <w:t>Geochemistry, Geophysics, Geosystems, 25</w:t>
      </w:r>
      <w:r>
        <w:t xml:space="preserve">(3), Article e2023GC011301. </w:t>
      </w:r>
      <w:hyperlink r:id="rId61" w:history="1">
        <w:r>
          <w:rPr>
            <w:rStyle w:val="Hyperlink"/>
          </w:rPr>
          <w:t>https://doi.org/10.1029/2023GC011301</w:t>
        </w:r>
      </w:hyperlink>
    </w:p>
    <w:p w14:paraId="25F5526C" w14:textId="77777777" w:rsidR="00EE2F6D" w:rsidRDefault="00EE2F6D" w:rsidP="00EE2F6D">
      <w:pPr>
        <w:pStyle w:val="isselectedend"/>
      </w:pPr>
      <w:r>
        <w:t xml:space="preserve">Watts, K. E., &amp; Andersen, A. K. (2026). Complex carbonate ore mineralogy in the Mountain Pass carbonatite rare earth element deposit, U.S.A. </w:t>
      </w:r>
      <w:r>
        <w:rPr>
          <w:rStyle w:val="Emphasis"/>
        </w:rPr>
        <w:t>American Mineralogist, 111</w:t>
      </w:r>
      <w:r>
        <w:t xml:space="preserve">(1), 11–28. </w:t>
      </w:r>
      <w:hyperlink r:id="rId62" w:history="1">
        <w:r>
          <w:rPr>
            <w:rStyle w:val="Hyperlink"/>
          </w:rPr>
          <w:t>https://doi.org/10.2138/am-2025-9822</w:t>
        </w:r>
      </w:hyperlink>
    </w:p>
    <w:p w14:paraId="4F67D2B3" w14:textId="77777777" w:rsidR="00EE2F6D" w:rsidRDefault="00EE2F6D" w:rsidP="00EE2F6D">
      <w:pPr>
        <w:pStyle w:val="isselectedend"/>
      </w:pPr>
      <w:r>
        <w:lastRenderedPageBreak/>
        <w:t xml:space="preserve">Yamamoto, J. K. (2005). Correcting the smoothing effect of ordinary kriging estimates. </w:t>
      </w:r>
      <w:r>
        <w:rPr>
          <w:rStyle w:val="Emphasis"/>
        </w:rPr>
        <w:t>Mathematical Geology, 37</w:t>
      </w:r>
      <w:r>
        <w:t xml:space="preserve">(1), 69–94. </w:t>
      </w:r>
      <w:hyperlink r:id="rId63" w:history="1">
        <w:r>
          <w:rPr>
            <w:rStyle w:val="Hyperlink"/>
          </w:rPr>
          <w:t>https://doi.org/10.1007/s11004-005-8748-7</w:t>
        </w:r>
      </w:hyperlink>
    </w:p>
    <w:p w14:paraId="5D0AF238" w14:textId="77777777" w:rsidR="00EE2F6D" w:rsidRDefault="00EE2F6D" w:rsidP="00EE2F6D">
      <w:pPr>
        <w:pStyle w:val="isselectedend"/>
      </w:pPr>
      <w:r>
        <w:t xml:space="preserve">Zarie, M., </w:t>
      </w:r>
      <w:proofErr w:type="spellStart"/>
      <w:r>
        <w:t>Jahedsaravani</w:t>
      </w:r>
      <w:proofErr w:type="spellEnd"/>
      <w:r>
        <w:t xml:space="preserve">, A., &amp; </w:t>
      </w:r>
      <w:proofErr w:type="spellStart"/>
      <w:r>
        <w:t>Massinaei</w:t>
      </w:r>
      <w:proofErr w:type="spellEnd"/>
      <w:r>
        <w:t xml:space="preserve">, M. (2020). Flotation froth image classification using convolutional neural networks. </w:t>
      </w:r>
      <w:r>
        <w:rPr>
          <w:rStyle w:val="Emphasis"/>
        </w:rPr>
        <w:t>Minerals Engineering, 155</w:t>
      </w:r>
      <w:r>
        <w:t xml:space="preserve">, Article 106443. </w:t>
      </w:r>
      <w:hyperlink r:id="rId64" w:history="1">
        <w:r>
          <w:rPr>
            <w:rStyle w:val="Hyperlink"/>
          </w:rPr>
          <w:t>https://doi.org/10.1016/j.mineng.2020.106443</w:t>
        </w:r>
      </w:hyperlink>
    </w:p>
    <w:p w14:paraId="07FB3C58" w14:textId="77777777" w:rsidR="00EE2F6D" w:rsidRDefault="00EE2F6D" w:rsidP="00EE2F6D">
      <w:pPr>
        <w:pStyle w:val="isselectedend"/>
      </w:pPr>
      <w:r>
        <w:t xml:space="preserve">Zhang, S. E., Lawley, C. J. M., Bourdeau, J. E., </w:t>
      </w:r>
      <w:proofErr w:type="spellStart"/>
      <w:r>
        <w:t>Nwaila</w:t>
      </w:r>
      <w:proofErr w:type="spellEnd"/>
      <w:r>
        <w:t xml:space="preserve">, G. T., &amp; Ghorbani, Y. (2024). Workflow-induced uncertainty in data-driven mineral prospectivity mapping. </w:t>
      </w:r>
      <w:r>
        <w:rPr>
          <w:rStyle w:val="Emphasis"/>
        </w:rPr>
        <w:t>Natural Resources Research, 33</w:t>
      </w:r>
      <w:r>
        <w:t xml:space="preserve">(3), 995–1023. </w:t>
      </w:r>
      <w:hyperlink r:id="rId65" w:history="1">
        <w:r>
          <w:rPr>
            <w:rStyle w:val="Hyperlink"/>
          </w:rPr>
          <w:t>https://doi.org/10.1007/s11053-024-10322-8</w:t>
        </w:r>
      </w:hyperlink>
    </w:p>
    <w:p w14:paraId="4C46A1F5" w14:textId="77777777" w:rsidR="00EE2F6D" w:rsidRDefault="00EE2F6D" w:rsidP="00EE2F6D">
      <w:pPr>
        <w:pStyle w:val="NormalWeb"/>
      </w:pPr>
      <w:r>
        <w:t xml:space="preserve">Zhang, Z., Wang, G., Carranza, E. J. M., Du, J., Li, Y., Liu, X., &amp; Su, Y. (2024). An uncertainty-quantification machine learning framework for data-driven three-dimensional mineral prospectivity mapping. </w:t>
      </w:r>
      <w:r>
        <w:rPr>
          <w:rStyle w:val="Emphasis"/>
        </w:rPr>
        <w:t>Natural Resources Research, 33</w:t>
      </w:r>
      <w:r>
        <w:t xml:space="preserve">(4), 1393–1411. </w:t>
      </w:r>
      <w:hyperlink r:id="rId66" w:history="1">
        <w:r>
          <w:rPr>
            <w:rStyle w:val="Hyperlink"/>
          </w:rPr>
          <w:t>https://doi.org/10.1007/s11053-024-10349-x</w:t>
        </w:r>
      </w:hyperlink>
    </w:p>
    <w:p w14:paraId="07FDAB1D" w14:textId="77777777" w:rsidR="00EE2F6D" w:rsidRPr="00EE2F6D" w:rsidRDefault="00EE2F6D" w:rsidP="00EE2F6D"/>
    <w:sectPr w:rsidR="00EE2F6D" w:rsidRPr="00EE2F6D" w:rsidSect="00034616">
      <w:pgSz w:w="12240" w:h="15840"/>
      <w:pgMar w:top="1037" w:right="1181" w:bottom="1037" w:left="1181"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F6538" w14:textId="77777777" w:rsidR="00784A5C" w:rsidRDefault="00784A5C">
      <w:pPr>
        <w:spacing w:after="0" w:line="240" w:lineRule="auto"/>
      </w:pPr>
      <w:r>
        <w:separator/>
      </w:r>
    </w:p>
  </w:endnote>
  <w:endnote w:type="continuationSeparator" w:id="0">
    <w:p w14:paraId="6E244800" w14:textId="77777777" w:rsidR="00784A5C" w:rsidRDefault="00784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56581" w14:textId="77777777" w:rsidR="0037025B" w:rsidRDefault="003702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89DA5" w14:textId="77777777" w:rsidR="000146C6" w:rsidRDefault="00000000">
    <w:pPr>
      <w:pStyle w:val="Footer"/>
      <w:jc w:val="center"/>
    </w:pPr>
    <w:r>
      <w:rPr>
        <w:color w:val="666666"/>
        <w:sz w:val="16"/>
      </w:rPr>
      <w:fldChar w:fldCharType="begin"/>
    </w:r>
    <w:r>
      <w:rPr>
        <w:color w:val="666666"/>
        <w:sz w:val="16"/>
      </w:rPr>
      <w:instrText xml:space="preserve"> PAGE </w:instrText>
    </w:r>
    <w:r>
      <w:rPr>
        <w:color w:val="666666"/>
        <w:sz w:val="16"/>
      </w:rPr>
      <w:fldChar w:fldCharType="separate"/>
    </w:r>
    <w:r w:rsidR="00797E0E">
      <w:rPr>
        <w:noProof/>
        <w:color w:val="666666"/>
        <w:sz w:val="16"/>
      </w:rPr>
      <w:t>1</w:t>
    </w:r>
    <w:r>
      <w:rPr>
        <w:color w:val="666666"/>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D104D" w14:textId="77777777" w:rsidR="0037025B" w:rsidRDefault="003702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BE3F1" w14:textId="77777777" w:rsidR="00784A5C" w:rsidRDefault="00784A5C">
      <w:pPr>
        <w:spacing w:after="0" w:line="240" w:lineRule="auto"/>
      </w:pPr>
      <w:r>
        <w:separator/>
      </w:r>
    </w:p>
  </w:footnote>
  <w:footnote w:type="continuationSeparator" w:id="0">
    <w:p w14:paraId="60AEA845" w14:textId="77777777" w:rsidR="00784A5C" w:rsidRDefault="00784A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94DB" w14:textId="77777777" w:rsidR="0037025B" w:rsidRDefault="00000000">
    <w:pPr>
      <w:pStyle w:val="Header"/>
    </w:pPr>
    <w:r>
      <w:rPr>
        <w:noProof/>
      </w:rPr>
      <w:pict w14:anchorId="6C1DA6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8921079" o:spid="_x0000_s1026" type="#_x0000_t136" style="position:absolute;left:0;text-align:left;margin-left:0;margin-top:0;width:586.4pt;height:109.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CD78E" w14:textId="77777777" w:rsidR="0037025B" w:rsidRDefault="00000000">
    <w:pPr>
      <w:pStyle w:val="Header"/>
    </w:pPr>
    <w:r>
      <w:rPr>
        <w:noProof/>
      </w:rPr>
      <w:pict w14:anchorId="77568A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8921080" o:spid="_x0000_s1027" type="#_x0000_t136" style="position:absolute;left:0;text-align:left;margin-left:0;margin-top:0;width:586.4pt;height:109.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81C17" w14:textId="77777777" w:rsidR="0037025B" w:rsidRDefault="00000000">
    <w:pPr>
      <w:pStyle w:val="Header"/>
    </w:pPr>
    <w:r>
      <w:rPr>
        <w:noProof/>
      </w:rPr>
      <w:pict w14:anchorId="082BEB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8921078" o:spid="_x0000_s1025" type="#_x0000_t136" style="position:absolute;left:0;text-align:left;margin-left:0;margin-top:0;width:586.4pt;height:109.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23772626">
    <w:abstractNumId w:val="8"/>
  </w:num>
  <w:num w:numId="2" w16cid:durableId="1793480248">
    <w:abstractNumId w:val="6"/>
  </w:num>
  <w:num w:numId="3" w16cid:durableId="1568108058">
    <w:abstractNumId w:val="5"/>
  </w:num>
  <w:num w:numId="4" w16cid:durableId="35198645">
    <w:abstractNumId w:val="4"/>
  </w:num>
  <w:num w:numId="5" w16cid:durableId="1253664598">
    <w:abstractNumId w:val="7"/>
  </w:num>
  <w:num w:numId="6" w16cid:durableId="1598177962">
    <w:abstractNumId w:val="3"/>
  </w:num>
  <w:num w:numId="7" w16cid:durableId="384833899">
    <w:abstractNumId w:val="2"/>
  </w:num>
  <w:num w:numId="8" w16cid:durableId="1236892075">
    <w:abstractNumId w:val="1"/>
  </w:num>
  <w:num w:numId="9" w16cid:durableId="584532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AyNjazMLUwMDM1NTVS0lEKTi0uzszPAykwrAUAhdDVziwAAAA="/>
  </w:docVars>
  <w:rsids>
    <w:rsidRoot w:val="00B47730"/>
    <w:rsid w:val="000146C6"/>
    <w:rsid w:val="00034616"/>
    <w:rsid w:val="0006063C"/>
    <w:rsid w:val="00061C7F"/>
    <w:rsid w:val="000D4744"/>
    <w:rsid w:val="0015074B"/>
    <w:rsid w:val="00191784"/>
    <w:rsid w:val="00291C91"/>
    <w:rsid w:val="0029639D"/>
    <w:rsid w:val="00326F90"/>
    <w:rsid w:val="0037025B"/>
    <w:rsid w:val="004103A7"/>
    <w:rsid w:val="00505120"/>
    <w:rsid w:val="00784A5C"/>
    <w:rsid w:val="00797E0E"/>
    <w:rsid w:val="00A30172"/>
    <w:rsid w:val="00A72570"/>
    <w:rsid w:val="00AA1D8D"/>
    <w:rsid w:val="00B006CC"/>
    <w:rsid w:val="00B17933"/>
    <w:rsid w:val="00B47730"/>
    <w:rsid w:val="00CB0664"/>
    <w:rsid w:val="00D81CAF"/>
    <w:rsid w:val="00E936CC"/>
    <w:rsid w:val="00EE2F6D"/>
    <w:rsid w:val="00FC693F"/>
    <w:rsid w:val="00FE4F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918445"/>
  <w14:defaultImageDpi w14:val="300"/>
  <w15:docId w15:val="{F1AD93E1-FFB1-4415-8993-BF1DEB69A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10" w:line="269" w:lineRule="auto"/>
      <w:jc w:val="both"/>
    </w:pPr>
    <w:rPr>
      <w:rFonts w:ascii="Aptos" w:eastAsia="Aptos" w:hAnsi="Aptos"/>
      <w:color w:val="1A1A1A"/>
      <w:sz w:val="21"/>
      <w:lang w:val="en-GB"/>
    </w:rPr>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color w:val="1F4E79"/>
      <w:sz w:val="27"/>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1F4E79"/>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ferences">
    <w:name w:val="References"/>
    <w:rPr>
      <w:rFonts w:ascii="Aptos" w:eastAsia="Aptos" w:hAnsi="Aptos"/>
      <w:sz w:val="18"/>
      <w:lang w:val="en-GB"/>
    </w:rPr>
  </w:style>
  <w:style w:type="paragraph" w:customStyle="1" w:styleId="isselectedend">
    <w:name w:val="isselectedend"/>
    <w:basedOn w:val="Normal"/>
    <w:rsid w:val="00EE2F6D"/>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styleId="Hyperlink">
    <w:name w:val="Hyperlink"/>
    <w:basedOn w:val="DefaultParagraphFont"/>
    <w:uiPriority w:val="99"/>
    <w:semiHidden/>
    <w:unhideWhenUsed/>
    <w:rsid w:val="00EE2F6D"/>
    <w:rPr>
      <w:color w:val="0000FF"/>
      <w:u w:val="single"/>
    </w:rPr>
  </w:style>
  <w:style w:type="paragraph" w:styleId="NormalWeb">
    <w:name w:val="Normal (Web)"/>
    <w:basedOn w:val="Normal"/>
    <w:uiPriority w:val="99"/>
    <w:semiHidden/>
    <w:unhideWhenUsed/>
    <w:rsid w:val="00EE2F6D"/>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mineng.2017.10.005" TargetMode="External"/><Relationship Id="rId21" Type="http://schemas.openxmlformats.org/officeDocument/2006/relationships/hyperlink" Target="https://doi.org/10.3390/min10010068" TargetMode="External"/><Relationship Id="rId34" Type="http://schemas.openxmlformats.org/officeDocument/2006/relationships/hyperlink" Target="https://doi.org/10.3133/ofr20201042" TargetMode="External"/><Relationship Id="rId42" Type="http://schemas.openxmlformats.org/officeDocument/2006/relationships/hyperlink" Target="https://doi.org/10.1016/j.mineng.2018.12.004" TargetMode="External"/><Relationship Id="rId47" Type="http://schemas.openxmlformats.org/officeDocument/2006/relationships/hyperlink" Target="https://doi.org/10.1007/s11053-023-10280-7" TargetMode="External"/><Relationship Id="rId50" Type="http://schemas.openxmlformats.org/officeDocument/2006/relationships/hyperlink" Target="https://doi.org/10.1029/2021GC010029" TargetMode="External"/><Relationship Id="rId55" Type="http://schemas.openxmlformats.org/officeDocument/2006/relationships/hyperlink" Target="https://doi.org/10.3133/pp1802" TargetMode="External"/><Relationship Id="rId63" Type="http://schemas.openxmlformats.org/officeDocument/2006/relationships/hyperlink" Target="https://doi.org/10.1007/s11004-005-8748-7"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2113/econgeo.112.2.375" TargetMode="External"/><Relationship Id="rId29" Type="http://schemas.openxmlformats.org/officeDocument/2006/relationships/hyperlink" Target="https://doi.org/10.1016/0360-5442(78)90031-2" TargetMode="External"/><Relationship Id="rId11" Type="http://schemas.openxmlformats.org/officeDocument/2006/relationships/footer" Target="footer2.xml"/><Relationship Id="rId24" Type="http://schemas.openxmlformats.org/officeDocument/2006/relationships/hyperlink" Target="https://doi.org/10.3390/min8120560" TargetMode="External"/><Relationship Id="rId32" Type="http://schemas.openxmlformats.org/officeDocument/2006/relationships/hyperlink" Target="https://doi.org/10.1038/s41598-024-73357-0" TargetMode="External"/><Relationship Id="rId37" Type="http://schemas.openxmlformats.org/officeDocument/2006/relationships/hyperlink" Target="https://doi.org/10.1016/j.conengprac.2005.12.004" TargetMode="External"/><Relationship Id="rId40" Type="http://schemas.openxmlformats.org/officeDocument/2006/relationships/hyperlink" Target="https://doi.org/10.1038/s42256-019-0138-9" TargetMode="External"/><Relationship Id="rId45" Type="http://schemas.openxmlformats.org/officeDocument/2006/relationships/hyperlink" Target="https://doi.org/10.1126/sciadv.aay8647" TargetMode="External"/><Relationship Id="rId53" Type="http://schemas.openxmlformats.org/officeDocument/2006/relationships/hyperlink" Target="https://doi.org/10.1016/j.oregeorev.2015.01.001" TargetMode="External"/><Relationship Id="rId58" Type="http://schemas.openxmlformats.org/officeDocument/2006/relationships/hyperlink" Target="https://doi.org/10.3390/min14101021" TargetMode="External"/><Relationship Id="rId66" Type="http://schemas.openxmlformats.org/officeDocument/2006/relationships/hyperlink" Target="https://doi.org/10.1007/s11053-024-10349-x" TargetMode="External"/><Relationship Id="rId5" Type="http://schemas.openxmlformats.org/officeDocument/2006/relationships/webSettings" Target="webSettings.xml"/><Relationship Id="rId61" Type="http://schemas.openxmlformats.org/officeDocument/2006/relationships/hyperlink" Target="https://doi.org/10.1029/2023GC011301" TargetMode="External"/><Relationship Id="rId19" Type="http://schemas.openxmlformats.org/officeDocument/2006/relationships/hyperlink" Target="https://doi.org/10.1016/j.cageo.2014.10.004" TargetMode="External"/><Relationship Id="rId14" Type="http://schemas.openxmlformats.org/officeDocument/2006/relationships/hyperlink" Target="https://doi.org/10.1016/j.minpro.2010.04.005" TargetMode="External"/><Relationship Id="rId22" Type="http://schemas.openxmlformats.org/officeDocument/2006/relationships/hyperlink" Target="https://doi.org/10.1016/j.cageo.2013.10.008" TargetMode="External"/><Relationship Id="rId27" Type="http://schemas.openxmlformats.org/officeDocument/2006/relationships/hyperlink" Target="https://doi.org/10.1016/j.mineng.2018.12.011" TargetMode="External"/><Relationship Id="rId30" Type="http://schemas.openxmlformats.org/officeDocument/2006/relationships/hyperlink" Target="https://doi.org/10.1016/S0899-3467(07)60142-6" TargetMode="External"/><Relationship Id="rId35" Type="http://schemas.openxmlformats.org/officeDocument/2006/relationships/hyperlink" Target="https://doi.org/10.1029/2008WR006993" TargetMode="External"/><Relationship Id="rId43" Type="http://schemas.openxmlformats.org/officeDocument/2006/relationships/hyperlink" Target="https://doi.org/10.1007/s13563-017-0119-6" TargetMode="External"/><Relationship Id="rId48" Type="http://schemas.openxmlformats.org/officeDocument/2006/relationships/hyperlink" Target="https://doi.org/10.1016/j.catena.2013.09.006" TargetMode="External"/><Relationship Id="rId56" Type="http://schemas.openxmlformats.org/officeDocument/2006/relationships/hyperlink" Target="https://doi.org/10.1016/j.mineng.2024.109011" TargetMode="External"/><Relationship Id="rId64" Type="http://schemas.openxmlformats.org/officeDocument/2006/relationships/hyperlink" Target="https://doi.org/10.1016/j.mineng.2020.106443" TargetMode="External"/><Relationship Id="rId8" Type="http://schemas.openxmlformats.org/officeDocument/2006/relationships/header" Target="header1.xml"/><Relationship Id="rId51" Type="http://schemas.openxmlformats.org/officeDocument/2006/relationships/hyperlink" Target="https://doi.org/10.1016/S1002-0721(14)60037-5"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doi.org/10.1038/s41467-017-00234-y" TargetMode="External"/><Relationship Id="rId25" Type="http://schemas.openxmlformats.org/officeDocument/2006/relationships/hyperlink" Target="https://doi.org/10.1016/j.oregeorev.2024.106270" TargetMode="External"/><Relationship Id="rId33" Type="http://schemas.openxmlformats.org/officeDocument/2006/relationships/hyperlink" Target="https://doi.org/10.3389/fams.2021.689393" TargetMode="External"/><Relationship Id="rId38" Type="http://schemas.openxmlformats.org/officeDocument/2006/relationships/hyperlink" Target="https://doi.org/10.1016/j.oregeorev.2023.105381" TargetMode="External"/><Relationship Id="rId46" Type="http://schemas.openxmlformats.org/officeDocument/2006/relationships/hyperlink" Target="https://doi.org/10.3390/min6010016" TargetMode="External"/><Relationship Id="rId59" Type="http://schemas.openxmlformats.org/officeDocument/2006/relationships/hyperlink" Target="https://doi.org/10.1016/j.oregeorev.2019.04.003" TargetMode="External"/><Relationship Id="rId67" Type="http://schemas.openxmlformats.org/officeDocument/2006/relationships/fontTable" Target="fontTable.xml"/><Relationship Id="rId20" Type="http://schemas.openxmlformats.org/officeDocument/2006/relationships/hyperlink" Target="https://doi.org/10.3749/canmin.46.4.779" TargetMode="External"/><Relationship Id="rId41" Type="http://schemas.openxmlformats.org/officeDocument/2006/relationships/hyperlink" Target="https://doi.org/10.1029/2008WR007621" TargetMode="External"/><Relationship Id="rId54" Type="http://schemas.openxmlformats.org/officeDocument/2006/relationships/hyperlink" Target="https://doi.org/10.1016/S0034-4257(02)00127-X" TargetMode="External"/><Relationship Id="rId62" Type="http://schemas.openxmlformats.org/officeDocument/2006/relationships/hyperlink" Target="https://doi.org/10.2138/am-2025-982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38/s41598-026-40125-1" TargetMode="External"/><Relationship Id="rId23" Type="http://schemas.openxmlformats.org/officeDocument/2006/relationships/hyperlink" Target="https://doi.org/10.3133/fs20193007" TargetMode="External"/><Relationship Id="rId28" Type="http://schemas.openxmlformats.org/officeDocument/2006/relationships/hyperlink" Target="https://doi.org/10.1016/j.oregeorev.2024.106254" TargetMode="External"/><Relationship Id="rId36" Type="http://schemas.openxmlformats.org/officeDocument/2006/relationships/hyperlink" Target="https://doi.org/10.1016/j.mineng.2014.08.003" TargetMode="External"/><Relationship Id="rId49" Type="http://schemas.openxmlformats.org/officeDocument/2006/relationships/hyperlink" Target="https://doi.org/10.1007/s11053-025-10468-z" TargetMode="External"/><Relationship Id="rId57" Type="http://schemas.openxmlformats.org/officeDocument/2006/relationships/hyperlink" Target="https://doi.org/10.2113/econgeo.107.6.1089" TargetMode="External"/><Relationship Id="rId10" Type="http://schemas.openxmlformats.org/officeDocument/2006/relationships/footer" Target="footer1.xml"/><Relationship Id="rId31" Type="http://schemas.openxmlformats.org/officeDocument/2006/relationships/hyperlink" Target="https://doi.org/10.3133/fs20233007" TargetMode="External"/><Relationship Id="rId44" Type="http://schemas.openxmlformats.org/officeDocument/2006/relationships/hyperlink" Target="https://doi.org/10.1190/tle40020099.1" TargetMode="External"/><Relationship Id="rId52" Type="http://schemas.openxmlformats.org/officeDocument/2006/relationships/hyperlink" Target="https://doi.org/10.1111/ecog.02881" TargetMode="External"/><Relationship Id="rId60" Type="http://schemas.openxmlformats.org/officeDocument/2006/relationships/hyperlink" Target="https://doi.org/10.3133/mcs2026" TargetMode="External"/><Relationship Id="rId65" Type="http://schemas.openxmlformats.org/officeDocument/2006/relationships/hyperlink" Target="https://doi.org/10.1007/s11053-024-10322-8"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doi.org/10.1016/j.gsf.2019.01.009" TargetMode="External"/><Relationship Id="rId39" Type="http://schemas.openxmlformats.org/officeDocument/2006/relationships/hyperlink" Target="https://doi.org/10.1016/j.mineng.2019.1060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32</Pages>
  <Words>16264</Words>
  <Characters>92710</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108757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Geostatistical and Machine-Learning Methodologies for Predicting Recoverable Mineral Value in U.S. Critical-Mineral Deposits</dc:title>
  <dc:subject>Critical narrative review</dc:subject>
  <dc:creator/>
  <cp:keywords>critical minerals; geostatistics; machine learning; geometallurgy; recovery prediction; United States</cp:keywords>
  <dc:description>generated by python-docx</dc:description>
  <cp:lastModifiedBy>SDI 1087</cp:lastModifiedBy>
  <cp:revision>8</cp:revision>
  <dcterms:created xsi:type="dcterms:W3CDTF">2013-12-23T23:15:00Z</dcterms:created>
  <dcterms:modified xsi:type="dcterms:W3CDTF">2026-08-04T11:41:00Z</dcterms:modified>
  <cp:category/>
</cp:coreProperties>
</file>