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F8AC4" w14:textId="77777777" w:rsidR="004C04AE" w:rsidRPr="000B65DC" w:rsidRDefault="004C04AE" w:rsidP="004C04AE">
      <w:pPr>
        <w:jc w:val="both"/>
        <w:rPr>
          <w:rFonts w:ascii="Arial" w:hAnsi="Arial" w:cs="Arial"/>
          <w:b/>
          <w:bCs/>
          <w:sz w:val="22"/>
          <w:szCs w:val="22"/>
          <w:lang w:val="en-GB"/>
        </w:rPr>
      </w:pPr>
      <w:r w:rsidRPr="000B65DC">
        <w:rPr>
          <w:rFonts w:ascii="Arial" w:hAnsi="Arial" w:cs="Arial"/>
          <w:b/>
          <w:bCs/>
          <w:sz w:val="22"/>
          <w:szCs w:val="22"/>
          <w:lang w:val="en-GB"/>
        </w:rPr>
        <w:t>RESPONSE OF SULPHUR AND ZINC NUTRITION ON NUTRIENT UPTAKE AND SOIL PROPERTIES OF SESAME</w:t>
      </w:r>
      <w:r w:rsidRPr="000B65DC">
        <w:rPr>
          <w:rFonts w:ascii="Arial" w:hAnsi="Arial" w:cs="Arial"/>
          <w:b/>
          <w:bCs/>
          <w:i/>
          <w:iCs/>
          <w:sz w:val="22"/>
          <w:szCs w:val="22"/>
          <w:lang w:val="en-GB"/>
        </w:rPr>
        <w:t xml:space="preserve"> (Sesamum indicum</w:t>
      </w:r>
      <w:r w:rsidRPr="000B65DC">
        <w:rPr>
          <w:rFonts w:ascii="Arial" w:hAnsi="Arial" w:cs="Arial"/>
          <w:b/>
          <w:bCs/>
          <w:sz w:val="22"/>
          <w:szCs w:val="22"/>
          <w:lang w:val="en-GB"/>
        </w:rPr>
        <w:t xml:space="preserve"> L.) UNDER RAINFED CONDITION</w:t>
      </w:r>
    </w:p>
    <w:p w14:paraId="159B4D1C" w14:textId="77777777" w:rsidR="004C04AE" w:rsidRPr="000B65DC" w:rsidRDefault="004C04AE" w:rsidP="004C04AE">
      <w:pPr>
        <w:jc w:val="both"/>
        <w:rPr>
          <w:rFonts w:ascii="Arial" w:hAnsi="Arial" w:cs="Arial"/>
          <w:b/>
          <w:bCs/>
          <w:sz w:val="20"/>
          <w:szCs w:val="20"/>
          <w:lang w:val="en-GB"/>
        </w:rPr>
      </w:pPr>
      <w:r w:rsidRPr="000B65DC">
        <w:rPr>
          <w:rFonts w:ascii="Arial" w:hAnsi="Arial" w:cs="Arial"/>
          <w:b/>
          <w:bCs/>
          <w:sz w:val="20"/>
          <w:szCs w:val="20"/>
          <w:lang w:val="en-GB"/>
        </w:rPr>
        <w:t>ABSTRACT</w:t>
      </w:r>
    </w:p>
    <w:p w14:paraId="01E9DEBA"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A field experiment was conducted during the late kharif season (August–November 2025) at the College Farm, College of Agriculture, Navsari Agricultural University, Bharuch, Gujarat, using a factorial randomised block design with four replications to evaluate the effects of sulphur and zinc nutrition on nutrient uptake and post-harvest soil properties of rainfed sesame (</w:t>
      </w:r>
      <w:r w:rsidRPr="000B65DC">
        <w:rPr>
          <w:rFonts w:ascii="Arial" w:hAnsi="Arial" w:cs="Arial"/>
          <w:i/>
          <w:sz w:val="20"/>
          <w:szCs w:val="20"/>
          <w:lang w:val="en-GB"/>
        </w:rPr>
        <w:t>Sesamum indicum</w:t>
      </w:r>
      <w:r w:rsidRPr="000B65DC">
        <w:rPr>
          <w:rFonts w:ascii="Arial" w:hAnsi="Arial" w:cs="Arial"/>
          <w:sz w:val="20"/>
          <w:szCs w:val="20"/>
          <w:lang w:val="en-GB"/>
        </w:rPr>
        <w:t xml:space="preserve"> L.). Nine treatment combinations comprising three sulphur levels (0, 20, and 40 kg S ha⁻¹ as bentonite sulphur) and three zinc levels (0, 2.5, and 5.0 kg Zn ha⁻¹ as zinc-EDTA) were imposed on the sesame cultivar Gujarat Til-4 with a common basal dose of 30:25:00 kg N:P₂O₅:K₂O ha⁻¹. Sulphur and zinc concentrations and uptake in seed and stover, together with post-harvest soil physicochemical and biological properties, were assessed. The application of 40 kg S ha⁻¹ produced the highest total S uptake (8.66 kg ha⁻¹) and total Zn uptake (95.47 g ha⁻¹), whereas 5.0 kg Zn ha⁻¹ produced total uptake values of 7.20 kg S ha⁻¹ and 88.60 g Zn ha⁻¹. At 40 kg S ha⁻¹, post-harvest available N, P₂O₅, K₂O, S, Fe, Zn, and organic carbon reached 266.66 kg ha⁻¹, 53.07 kg ha⁻¹, 389.21 kg ha⁻¹, 18.04 mg kg⁻¹, 2.00 mg kg⁻¹, 1.65 mg kg⁻¹, and 7.2 g kg⁻¹, respectively. The application of 5.0 kg Zn ha⁻¹ significantly improved available P₂O₅, S, Fe, Zn, and soil microbial populations. Soil pH and physical properties were unaffected. The S × Zn interaction was non-significant for all measured variables.</w:t>
      </w:r>
    </w:p>
    <w:p w14:paraId="041237DA" w14:textId="77777777" w:rsidR="0024718F" w:rsidRDefault="00D65DD7" w:rsidP="004C04AE">
      <w:pPr>
        <w:jc w:val="both"/>
        <w:rPr>
          <w:rFonts w:ascii="Arial" w:hAnsi="Arial" w:cs="Arial"/>
          <w:sz w:val="20"/>
          <w:szCs w:val="20"/>
          <w:lang w:val="en-GB"/>
        </w:rPr>
      </w:pPr>
      <w:r w:rsidRPr="000B65DC">
        <w:rPr>
          <w:rFonts w:ascii="Arial" w:hAnsi="Arial" w:cs="Arial"/>
          <w:b/>
          <w:bCs/>
          <w:sz w:val="20"/>
          <w:szCs w:val="20"/>
          <w:lang w:val="en-GB"/>
        </w:rPr>
        <w:t>Keywords:</w:t>
      </w:r>
      <w:r w:rsidRPr="000B65DC">
        <w:rPr>
          <w:rFonts w:ascii="Arial" w:hAnsi="Arial" w:cs="Arial"/>
          <w:sz w:val="20"/>
          <w:szCs w:val="20"/>
          <w:lang w:val="en-GB"/>
        </w:rPr>
        <w:t xml:space="preserve"> </w:t>
      </w:r>
      <w:r w:rsidR="0024718F" w:rsidRPr="008A11BF">
        <w:rPr>
          <w:i/>
          <w:iCs/>
        </w:rPr>
        <w:t>Sesamum indicum</w:t>
      </w:r>
      <w:r w:rsidR="0024718F">
        <w:t xml:space="preserve"> L.; </w:t>
      </w:r>
      <w:proofErr w:type="spellStart"/>
      <w:r w:rsidR="0024718F">
        <w:t>sulphur</w:t>
      </w:r>
      <w:proofErr w:type="spellEnd"/>
      <w:r w:rsidR="0024718F">
        <w:t xml:space="preserve"> </w:t>
      </w:r>
      <w:proofErr w:type="spellStart"/>
      <w:r w:rsidR="0024718F">
        <w:t>fertilisation</w:t>
      </w:r>
      <w:proofErr w:type="spellEnd"/>
      <w:r w:rsidR="0024718F">
        <w:t xml:space="preserve">; zinc nutrition; nutrient uptake; post-harvest soil fertility; soil microbial population; bentonite </w:t>
      </w:r>
      <w:proofErr w:type="spellStart"/>
      <w:r w:rsidR="0024718F">
        <w:t>sulphur</w:t>
      </w:r>
      <w:proofErr w:type="spellEnd"/>
      <w:r w:rsidR="0024718F">
        <w:t xml:space="preserve">; zinc-EDTA; rainfed agriculture; medium-black </w:t>
      </w:r>
      <w:proofErr w:type="spellStart"/>
      <w:r w:rsidR="0024718F">
        <w:t>Vertisol</w:t>
      </w:r>
      <w:proofErr w:type="spellEnd"/>
    </w:p>
    <w:p w14:paraId="49F5551A" w14:textId="77777777" w:rsidR="0024718F" w:rsidRPr="000B65DC" w:rsidRDefault="0024718F" w:rsidP="004C04AE">
      <w:pPr>
        <w:jc w:val="both"/>
        <w:rPr>
          <w:rFonts w:ascii="Arial" w:hAnsi="Arial" w:cs="Arial"/>
          <w:sz w:val="20"/>
          <w:szCs w:val="20"/>
          <w:lang w:val="en-GB"/>
        </w:rPr>
      </w:pPr>
    </w:p>
    <w:p w14:paraId="63CEAC09" w14:textId="77777777" w:rsidR="00B46191" w:rsidRPr="000B65DC" w:rsidRDefault="00B46191" w:rsidP="00B46191">
      <w:pPr>
        <w:jc w:val="both"/>
        <w:rPr>
          <w:rFonts w:ascii="Arial" w:hAnsi="Arial" w:cs="Arial"/>
          <w:b/>
          <w:bCs/>
          <w:sz w:val="20"/>
          <w:szCs w:val="20"/>
          <w:lang w:val="en-GB"/>
        </w:rPr>
      </w:pPr>
      <w:r w:rsidRPr="000B65DC">
        <w:rPr>
          <w:rFonts w:ascii="Arial" w:hAnsi="Arial" w:cs="Arial"/>
          <w:b/>
          <w:bCs/>
          <w:sz w:val="20"/>
          <w:szCs w:val="20"/>
          <w:lang w:val="en-GB"/>
        </w:rPr>
        <w:t>1. INTRODUCTION</w:t>
      </w:r>
    </w:p>
    <w:p w14:paraId="0AAAD1E1"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Sesame (</w:t>
      </w:r>
      <w:r w:rsidRPr="000B65DC">
        <w:rPr>
          <w:rFonts w:ascii="Arial" w:hAnsi="Arial" w:cs="Arial"/>
          <w:i/>
          <w:sz w:val="20"/>
          <w:szCs w:val="20"/>
          <w:lang w:val="en-GB"/>
        </w:rPr>
        <w:t>Sesamum indicum</w:t>
      </w:r>
      <w:r w:rsidRPr="000B65DC">
        <w:rPr>
          <w:rFonts w:ascii="Arial" w:hAnsi="Arial" w:cs="Arial"/>
          <w:sz w:val="20"/>
          <w:szCs w:val="20"/>
          <w:lang w:val="en-GB"/>
        </w:rPr>
        <w:t xml:space="preserve"> L.), a member of the family Pedaliaceae, is one of the oldest and most valuable oilseed crops. During the 2024–2025 agricultural year, approximately 15.33 lakh hectares in India were cultivated with sesame, producing about 8.29 lakh tonnes at an average productivity of 540.7 kg ha⁻¹ (Directorate of Economics and Statistics, 2025). In Gujarat, sesame occupied 166.67 thousand hectares and produced 123.07 thousand tonnes, with an average productivity of 738.41 kg ha⁻¹ (Gujarat Directorate of Economics and Statistics, 2025). Despite its importance, sesame is grown predominantly under rainfed conditions on marginal and submarginal land with inherently low fertility; together with imbalanced nutrient management, these conditions constrain crop productivity.</w:t>
      </w:r>
    </w:p>
    <w:p w14:paraId="56425AD6"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 xml:space="preserve">Among plant nutrients, sulphur and zinc are increasingly recognised as essential but widely deficient elements in Indian soils. Globally, more than 30% of cultivated soils are zinc-deficient, and this deficiency is projected to affect nearly 63% of Indian soils (Murthy, 2011); sulphur deficiency is also widespread under intensive rainfed cultivation without adequate replenishment. Sulphur regulates vital physiological processes and enzymatic activity and also influences the soil chemical environment. Its application to alkaline soils may cause localised rhizosphere acidification, thereby solubilising fixed phosphorus and improving micronutrient availability (A. K. Singh et al., 2013). Sulphur also serves as a substrate for soil microflora and may enhance microbial biomass and enzymatic activity (Ram </w:t>
      </w:r>
      <w:r w:rsidRPr="000B65DC">
        <w:rPr>
          <w:rFonts w:ascii="Arial" w:hAnsi="Arial" w:cs="Arial"/>
          <w:i/>
          <w:sz w:val="20"/>
          <w:szCs w:val="20"/>
          <w:lang w:val="en-GB"/>
        </w:rPr>
        <w:t>et al.</w:t>
      </w:r>
      <w:r w:rsidRPr="000B65DC">
        <w:rPr>
          <w:rFonts w:ascii="Arial" w:hAnsi="Arial" w:cs="Arial"/>
          <w:sz w:val="20"/>
          <w:szCs w:val="20"/>
          <w:lang w:val="en-GB"/>
        </w:rPr>
        <w:t xml:space="preserve">, 2017). Zinc is an essential cofactor for numerous microbial and plant enzymes and is closely associated with nutrient metabolism and soil biological health (Kumar </w:t>
      </w:r>
      <w:r w:rsidRPr="000B65DC">
        <w:rPr>
          <w:rFonts w:ascii="Arial" w:hAnsi="Arial" w:cs="Arial"/>
          <w:i/>
          <w:sz w:val="20"/>
          <w:szCs w:val="20"/>
          <w:lang w:val="en-GB"/>
        </w:rPr>
        <w:t>et al.</w:t>
      </w:r>
      <w:r w:rsidRPr="000B65DC">
        <w:rPr>
          <w:rFonts w:ascii="Arial" w:hAnsi="Arial" w:cs="Arial"/>
          <w:sz w:val="20"/>
          <w:szCs w:val="20"/>
          <w:lang w:val="en-GB"/>
        </w:rPr>
        <w:t xml:space="preserve">, 2023). It is also involved in key metabolic processes and antioxidant defence mechanisms during pathogen attack (Sharma </w:t>
      </w:r>
      <w:r w:rsidRPr="000B65DC">
        <w:rPr>
          <w:rFonts w:ascii="Arial" w:hAnsi="Arial" w:cs="Arial"/>
          <w:i/>
          <w:sz w:val="20"/>
          <w:szCs w:val="20"/>
          <w:lang w:val="en-GB"/>
        </w:rPr>
        <w:t>et al.</w:t>
      </w:r>
      <w:r w:rsidRPr="000B65DC">
        <w:rPr>
          <w:rFonts w:ascii="Arial" w:hAnsi="Arial" w:cs="Arial"/>
          <w:sz w:val="20"/>
          <w:szCs w:val="20"/>
          <w:lang w:val="en-GB"/>
        </w:rPr>
        <w:t xml:space="preserve">, 2026). </w:t>
      </w:r>
      <w:r w:rsidRPr="000B65DC">
        <w:rPr>
          <w:rFonts w:ascii="Arial" w:hAnsi="Arial" w:cs="Arial"/>
          <w:b/>
          <w:sz w:val="20"/>
          <w:szCs w:val="20"/>
          <w:lang w:val="en-GB"/>
        </w:rPr>
        <w:t xml:space="preserve">Recent field studies indicate that optimised sulphur supply can improve nutrient uptake, biomass allocation, residual soil fertility, and seed yield in sesame and other seed crops, whereas combined sulphur and zinc management can improve sesame growth and yield (Mehmood </w:t>
      </w:r>
      <w:r w:rsidRPr="000B65DC">
        <w:rPr>
          <w:rFonts w:ascii="Arial" w:hAnsi="Arial" w:cs="Arial"/>
          <w:b/>
          <w:i/>
          <w:sz w:val="20"/>
          <w:szCs w:val="20"/>
          <w:lang w:val="en-GB"/>
        </w:rPr>
        <w:t>et al.</w:t>
      </w:r>
      <w:r w:rsidRPr="000B65DC">
        <w:rPr>
          <w:rFonts w:ascii="Arial" w:hAnsi="Arial" w:cs="Arial"/>
          <w:b/>
          <w:sz w:val="20"/>
          <w:szCs w:val="20"/>
          <w:lang w:val="en-GB"/>
        </w:rPr>
        <w:t xml:space="preserve">, 2021; Girase </w:t>
      </w:r>
      <w:r w:rsidRPr="000B65DC">
        <w:rPr>
          <w:rFonts w:ascii="Arial" w:hAnsi="Arial" w:cs="Arial"/>
          <w:b/>
          <w:i/>
          <w:sz w:val="20"/>
          <w:szCs w:val="20"/>
          <w:lang w:val="en-GB"/>
        </w:rPr>
        <w:t>et al.</w:t>
      </w:r>
      <w:r w:rsidRPr="000B65DC">
        <w:rPr>
          <w:rFonts w:ascii="Arial" w:hAnsi="Arial" w:cs="Arial"/>
          <w:b/>
          <w:sz w:val="20"/>
          <w:szCs w:val="20"/>
          <w:lang w:val="en-GB"/>
        </w:rPr>
        <w:t xml:space="preserve">, 2025; Niharika </w:t>
      </w:r>
      <w:r w:rsidRPr="000B65DC">
        <w:rPr>
          <w:rFonts w:ascii="Arial" w:hAnsi="Arial" w:cs="Arial"/>
          <w:b/>
          <w:i/>
          <w:sz w:val="20"/>
          <w:szCs w:val="20"/>
          <w:lang w:val="en-GB"/>
        </w:rPr>
        <w:t>et al.</w:t>
      </w:r>
      <w:r w:rsidRPr="000B65DC">
        <w:rPr>
          <w:rFonts w:ascii="Arial" w:hAnsi="Arial" w:cs="Arial"/>
          <w:b/>
          <w:sz w:val="20"/>
          <w:szCs w:val="20"/>
          <w:lang w:val="en-GB"/>
        </w:rPr>
        <w:t xml:space="preserve">, 2025; Prusty </w:t>
      </w:r>
      <w:r w:rsidRPr="000B65DC">
        <w:rPr>
          <w:rFonts w:ascii="Arial" w:hAnsi="Arial" w:cs="Arial"/>
          <w:b/>
          <w:i/>
          <w:sz w:val="20"/>
          <w:szCs w:val="20"/>
          <w:lang w:val="en-GB"/>
        </w:rPr>
        <w:t>et al.</w:t>
      </w:r>
      <w:r w:rsidRPr="000B65DC">
        <w:rPr>
          <w:rFonts w:ascii="Arial" w:hAnsi="Arial" w:cs="Arial"/>
          <w:b/>
          <w:sz w:val="20"/>
          <w:szCs w:val="20"/>
          <w:lang w:val="en-GB"/>
        </w:rPr>
        <w:t xml:space="preserve">, 2024; Singh </w:t>
      </w:r>
      <w:r w:rsidRPr="000B65DC">
        <w:rPr>
          <w:rFonts w:ascii="Arial" w:hAnsi="Arial" w:cs="Arial"/>
          <w:b/>
          <w:i/>
          <w:sz w:val="20"/>
          <w:szCs w:val="20"/>
          <w:lang w:val="en-GB"/>
        </w:rPr>
        <w:t>et al.</w:t>
      </w:r>
      <w:r w:rsidRPr="000B65DC">
        <w:rPr>
          <w:rFonts w:ascii="Arial" w:hAnsi="Arial" w:cs="Arial"/>
          <w:b/>
          <w:sz w:val="20"/>
          <w:szCs w:val="20"/>
          <w:lang w:val="en-GB"/>
        </w:rPr>
        <w:t xml:space="preserve">, 2026). Zinc supplementation has also been associated with improved sesame productivity </w:t>
      </w:r>
      <w:r w:rsidRPr="000B65DC">
        <w:rPr>
          <w:rFonts w:ascii="Arial" w:hAnsi="Arial" w:cs="Arial"/>
          <w:b/>
          <w:sz w:val="20"/>
          <w:szCs w:val="20"/>
          <w:lang w:val="en-GB"/>
        </w:rPr>
        <w:lastRenderedPageBreak/>
        <w:t xml:space="preserve">(Airangy </w:t>
      </w:r>
      <w:r w:rsidRPr="000B65DC">
        <w:rPr>
          <w:rFonts w:ascii="Arial" w:hAnsi="Arial" w:cs="Arial"/>
          <w:b/>
          <w:i/>
          <w:sz w:val="20"/>
          <w:szCs w:val="20"/>
          <w:lang w:val="en-GB"/>
        </w:rPr>
        <w:t>et al.</w:t>
      </w:r>
      <w:r w:rsidRPr="000B65DC">
        <w:rPr>
          <w:rFonts w:ascii="Arial" w:hAnsi="Arial" w:cs="Arial"/>
          <w:b/>
          <w:sz w:val="20"/>
          <w:szCs w:val="20"/>
          <w:lang w:val="en-GB"/>
        </w:rPr>
        <w:t xml:space="preserve">, 2025). Because nutrient and water acquisition under rainfed conditions is strongly mediated by root–rhizosphere processes and soil moisture, these responses require validation under specific soil and production environments (Holz </w:t>
      </w:r>
      <w:r w:rsidRPr="000B65DC">
        <w:rPr>
          <w:rFonts w:ascii="Arial" w:hAnsi="Arial" w:cs="Arial"/>
          <w:b/>
          <w:i/>
          <w:sz w:val="20"/>
          <w:szCs w:val="20"/>
          <w:lang w:val="en-GB"/>
        </w:rPr>
        <w:t>et al.</w:t>
      </w:r>
      <w:r w:rsidRPr="000B65DC">
        <w:rPr>
          <w:rFonts w:ascii="Arial" w:hAnsi="Arial" w:cs="Arial"/>
          <w:b/>
          <w:sz w:val="20"/>
          <w:szCs w:val="20"/>
          <w:lang w:val="en-GB"/>
        </w:rPr>
        <w:t>, 2024).</w:t>
      </w:r>
    </w:p>
    <w:p w14:paraId="4AA3A320" w14:textId="77777777" w:rsidR="00B46191" w:rsidRPr="000B65DC" w:rsidRDefault="00D65DD7" w:rsidP="00B46191">
      <w:pPr>
        <w:jc w:val="both"/>
        <w:rPr>
          <w:rFonts w:ascii="Arial" w:hAnsi="Arial" w:cs="Arial"/>
          <w:sz w:val="20"/>
          <w:szCs w:val="20"/>
          <w:lang w:val="en-GB"/>
        </w:rPr>
      </w:pPr>
      <w:r w:rsidRPr="000B65DC">
        <w:rPr>
          <w:rFonts w:ascii="Arial" w:hAnsi="Arial" w:cs="Arial"/>
          <w:sz w:val="20"/>
          <w:szCs w:val="20"/>
          <w:lang w:val="en-GB"/>
        </w:rPr>
        <w:t>Although the individual roles of sulphur and zinc are well established, evidence on their combined responses under the rainfed medium-black-soil conditions of South Gujarat remains limited. Site-specific information is required to identify suitable application levels and determine whether sulphur and zinc interact in influencing crop performance, nutrient uptake, and post-harvest soil properties. Accordingly, the present investigation was undertaken with the following objectives: (1) to determine the effects of sulphur and zinc application on the growth, yield, and quality of sesame; (2) to assess their effects on crop nutrient content and uptake; and (3) to evaluate the associated changes in post-harvest soil biophysical and chemical properties.</w:t>
      </w:r>
    </w:p>
    <w:p w14:paraId="02B5E53C" w14:textId="77777777" w:rsidR="00B46191" w:rsidRPr="000B65DC" w:rsidRDefault="00B46191" w:rsidP="00B46191">
      <w:pPr>
        <w:jc w:val="both"/>
        <w:rPr>
          <w:rFonts w:ascii="Arial" w:hAnsi="Arial" w:cs="Arial"/>
          <w:b/>
          <w:bCs/>
          <w:sz w:val="20"/>
          <w:szCs w:val="20"/>
          <w:lang w:val="en-GB"/>
        </w:rPr>
      </w:pPr>
      <w:r w:rsidRPr="000B65DC">
        <w:rPr>
          <w:rFonts w:ascii="Arial" w:hAnsi="Arial" w:cs="Arial"/>
          <w:b/>
          <w:bCs/>
          <w:sz w:val="20"/>
          <w:szCs w:val="20"/>
          <w:lang w:val="en-GB"/>
        </w:rPr>
        <w:t>2. MATERIALS AND METHODS</w:t>
      </w:r>
    </w:p>
    <w:p w14:paraId="1727E3C6" w14:textId="77777777" w:rsidR="00D65DD7" w:rsidRPr="000B65DC" w:rsidRDefault="00D65DD7" w:rsidP="00D65DD7">
      <w:pPr>
        <w:jc w:val="both"/>
        <w:rPr>
          <w:rFonts w:ascii="Arial" w:hAnsi="Arial" w:cs="Arial"/>
          <w:sz w:val="20"/>
          <w:szCs w:val="20"/>
        </w:rPr>
      </w:pPr>
      <w:r w:rsidRPr="000B65DC">
        <w:rPr>
          <w:rFonts w:ascii="Arial" w:hAnsi="Arial" w:cs="Arial"/>
          <w:b/>
          <w:bCs/>
          <w:sz w:val="20"/>
          <w:szCs w:val="20"/>
        </w:rPr>
        <w:t>2.1 Experimental Site and Soil Characteristics</w:t>
      </w:r>
      <w:r w:rsidRPr="000B65DC">
        <w:rPr>
          <w:rFonts w:ascii="Arial" w:hAnsi="Arial" w:cs="Arial"/>
          <w:sz w:val="20"/>
          <w:szCs w:val="20"/>
        </w:rPr>
        <w:t xml:space="preserve"> </w:t>
      </w:r>
    </w:p>
    <w:p w14:paraId="7059E684" w14:textId="77777777" w:rsidR="00B46191" w:rsidRPr="000B65DC" w:rsidRDefault="00D65DD7" w:rsidP="00B46191">
      <w:pPr>
        <w:jc w:val="both"/>
        <w:rPr>
          <w:rFonts w:ascii="Arial" w:hAnsi="Arial" w:cs="Arial"/>
          <w:sz w:val="20"/>
          <w:szCs w:val="20"/>
        </w:rPr>
      </w:pPr>
      <w:r w:rsidRPr="000B65DC">
        <w:rPr>
          <w:rFonts w:ascii="Arial" w:hAnsi="Arial" w:cs="Arial"/>
          <w:sz w:val="20"/>
          <w:szCs w:val="20"/>
        </w:rPr>
        <w:t xml:space="preserve">A field experiment was conducted during the late </w:t>
      </w:r>
      <w:r w:rsidRPr="000B65DC">
        <w:rPr>
          <w:rFonts w:ascii="Arial" w:hAnsi="Arial" w:cs="Arial"/>
          <w:i/>
          <w:sz w:val="20"/>
          <w:szCs w:val="20"/>
        </w:rPr>
        <w:t>kharif</w:t>
      </w:r>
      <w:r w:rsidRPr="000B65DC">
        <w:rPr>
          <w:rFonts w:ascii="Arial" w:hAnsi="Arial" w:cs="Arial"/>
          <w:sz w:val="20"/>
          <w:szCs w:val="20"/>
        </w:rPr>
        <w:t xml:space="preserve"> season of 2025 at the College Farm, College of Agriculture, Navsari Agricultural University (NAU), Bharuch, Gujarat, India. The experimental site is located at 22° N latitude and 72.5° E longitude, at an altitude of 16.5 m above mean sea level and approximately 2.5 km from the historic Golden Bridge. The region falls within the South Gujarat medium-rainfall agroclimatic zone II and has a tropical monsoon climate. The experimental soil was a clayey Vertisol, locally termed “medium black soil”, with fair drainage and good water-holding capacity. The initial 0–15 cm soil layer was slightly alkaline (pH 7.61), non-saline (EC 0.68 dS m⁻¹), low in organic carbon (5.6 g kg⁻¹) and available nitrogen (222.41 kg ha⁻¹), medium in available phosphorus (35.40 kg ha⁻¹), sulphur (9.10 mg kg⁻¹), and zinc (0.95 mg kg⁻¹), high in available potassium (333.91 kg ha⁻¹), and low in available iron (0.94 mg kg⁻¹). The initial physicochemical properties and the corresponding analytical methods are presented in Table 1.</w:t>
      </w:r>
    </w:p>
    <w:p w14:paraId="43ED40A7" w14:textId="77777777" w:rsidR="00B46191" w:rsidRPr="000B65DC" w:rsidRDefault="00B46191" w:rsidP="007112AA">
      <w:pPr>
        <w:spacing w:after="0"/>
        <w:jc w:val="both"/>
        <w:rPr>
          <w:rFonts w:ascii="Arial" w:hAnsi="Arial" w:cs="Arial"/>
          <w:b/>
          <w:bCs/>
          <w:sz w:val="20"/>
          <w:szCs w:val="20"/>
          <w:lang w:val="en-GB"/>
        </w:rPr>
      </w:pPr>
      <w:r w:rsidRPr="000B65DC">
        <w:rPr>
          <w:rFonts w:ascii="Arial" w:hAnsi="Arial" w:cs="Arial"/>
          <w:b/>
          <w:bCs/>
          <w:sz w:val="20"/>
          <w:szCs w:val="20"/>
          <w:lang w:val="en-GB"/>
        </w:rPr>
        <w:t xml:space="preserve">Table 1. Initial </w:t>
      </w:r>
      <w:proofErr w:type="spellStart"/>
      <w:r w:rsidRPr="000B65DC">
        <w:rPr>
          <w:rFonts w:ascii="Arial" w:hAnsi="Arial" w:cs="Arial"/>
          <w:b/>
          <w:bCs/>
          <w:sz w:val="20"/>
          <w:szCs w:val="20"/>
          <w:lang w:val="en-GB"/>
        </w:rPr>
        <w:t>physico</w:t>
      </w:r>
      <w:proofErr w:type="spellEnd"/>
      <w:r w:rsidRPr="000B65DC">
        <w:rPr>
          <w:rFonts w:ascii="Arial" w:hAnsi="Arial" w:cs="Arial"/>
          <w:b/>
          <w:bCs/>
          <w:sz w:val="20"/>
          <w:szCs w:val="20"/>
          <w:lang w:val="en-GB"/>
        </w:rPr>
        <w:t>-chemical properties of the experimental soil (0–15 cm)</w:t>
      </w:r>
    </w:p>
    <w:p w14:paraId="7FD61351" w14:textId="77777777" w:rsidR="007112AA" w:rsidRPr="000B65DC" w:rsidRDefault="007112AA" w:rsidP="007112AA">
      <w:pPr>
        <w:spacing w:after="0"/>
        <w:jc w:val="both"/>
        <w:rPr>
          <w:rFonts w:ascii="Arial" w:hAnsi="Arial" w:cs="Arial"/>
          <w:sz w:val="2"/>
          <w:szCs w:val="2"/>
          <w:lang w:val="en-GB"/>
        </w:rPr>
      </w:pPr>
    </w:p>
    <w:tbl>
      <w:tblPr>
        <w:tblStyle w:val="TableGrid"/>
        <w:tblW w:w="0" w:type="auto"/>
        <w:tblLook w:val="04A0" w:firstRow="1" w:lastRow="0" w:firstColumn="1" w:lastColumn="0" w:noHBand="0" w:noVBand="1"/>
      </w:tblPr>
      <w:tblGrid>
        <w:gridCol w:w="2421"/>
        <w:gridCol w:w="828"/>
        <w:gridCol w:w="4600"/>
      </w:tblGrid>
      <w:tr w:rsidR="00D65DD7" w:rsidRPr="000B65DC" w14:paraId="7471E9AA" w14:textId="77777777" w:rsidTr="00D64871">
        <w:tc>
          <w:tcPr>
            <w:tcW w:w="0" w:type="auto"/>
            <w:hideMark/>
          </w:tcPr>
          <w:p w14:paraId="52B003A9" w14:textId="77777777" w:rsidR="00D65DD7" w:rsidRPr="000B65DC" w:rsidRDefault="00D65DD7" w:rsidP="00D65DD7">
            <w:pPr>
              <w:jc w:val="both"/>
              <w:rPr>
                <w:rFonts w:ascii="Arial" w:hAnsi="Arial" w:cs="Arial"/>
                <w:sz w:val="20"/>
                <w:szCs w:val="20"/>
                <w:lang w:val="en-GB"/>
              </w:rPr>
            </w:pPr>
            <w:r w:rsidRPr="000B65DC">
              <w:rPr>
                <w:rFonts w:ascii="Arial" w:hAnsi="Arial" w:cs="Arial"/>
                <w:b/>
                <w:bCs/>
                <w:sz w:val="20"/>
                <w:szCs w:val="20"/>
                <w:lang w:val="en-GB"/>
              </w:rPr>
              <w:t>Particulars</w:t>
            </w:r>
          </w:p>
        </w:tc>
        <w:tc>
          <w:tcPr>
            <w:tcW w:w="0" w:type="auto"/>
            <w:hideMark/>
          </w:tcPr>
          <w:p w14:paraId="45894056" w14:textId="77777777" w:rsidR="00D65DD7" w:rsidRPr="000B65DC" w:rsidRDefault="00D65DD7" w:rsidP="00D65DD7">
            <w:pPr>
              <w:jc w:val="both"/>
              <w:rPr>
                <w:rFonts w:ascii="Arial" w:hAnsi="Arial" w:cs="Arial"/>
                <w:sz w:val="20"/>
                <w:szCs w:val="20"/>
                <w:lang w:val="en-GB"/>
              </w:rPr>
            </w:pPr>
            <w:r w:rsidRPr="000B65DC">
              <w:rPr>
                <w:rFonts w:ascii="Arial" w:hAnsi="Arial" w:cs="Arial"/>
                <w:b/>
                <w:bCs/>
                <w:sz w:val="20"/>
                <w:szCs w:val="20"/>
                <w:lang w:val="en-GB"/>
              </w:rPr>
              <w:t>Value</w:t>
            </w:r>
          </w:p>
        </w:tc>
        <w:tc>
          <w:tcPr>
            <w:tcW w:w="0" w:type="auto"/>
            <w:hideMark/>
          </w:tcPr>
          <w:p w14:paraId="3D760A32" w14:textId="77777777" w:rsidR="00D65DD7" w:rsidRPr="000B65DC" w:rsidRDefault="00D65DD7" w:rsidP="00D65DD7">
            <w:pPr>
              <w:jc w:val="both"/>
              <w:rPr>
                <w:rFonts w:ascii="Arial" w:hAnsi="Arial" w:cs="Arial"/>
                <w:sz w:val="20"/>
                <w:szCs w:val="20"/>
                <w:lang w:val="en-GB"/>
              </w:rPr>
            </w:pPr>
            <w:r w:rsidRPr="000B65DC">
              <w:rPr>
                <w:rFonts w:ascii="Arial" w:hAnsi="Arial" w:cs="Arial"/>
                <w:b/>
                <w:bCs/>
                <w:sz w:val="20"/>
                <w:szCs w:val="20"/>
                <w:lang w:val="en-GB"/>
              </w:rPr>
              <w:t>Method</w:t>
            </w:r>
          </w:p>
        </w:tc>
      </w:tr>
      <w:tr w:rsidR="00D65DD7" w:rsidRPr="000B65DC" w14:paraId="40A06A13" w14:textId="77777777" w:rsidTr="00D64871">
        <w:tc>
          <w:tcPr>
            <w:tcW w:w="0" w:type="auto"/>
            <w:hideMark/>
          </w:tcPr>
          <w:p w14:paraId="511E263A"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Textural class</w:t>
            </w:r>
          </w:p>
        </w:tc>
        <w:tc>
          <w:tcPr>
            <w:tcW w:w="0" w:type="auto"/>
            <w:hideMark/>
          </w:tcPr>
          <w:p w14:paraId="0CAD687F"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Clay</w:t>
            </w:r>
          </w:p>
        </w:tc>
        <w:tc>
          <w:tcPr>
            <w:tcW w:w="0" w:type="auto"/>
            <w:hideMark/>
          </w:tcPr>
          <w:p w14:paraId="738E996A"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International pipette method (Piper, 1966)</w:t>
            </w:r>
          </w:p>
        </w:tc>
      </w:tr>
      <w:tr w:rsidR="00D65DD7" w:rsidRPr="000B65DC" w14:paraId="22337755" w14:textId="77777777" w:rsidTr="00D64871">
        <w:tc>
          <w:tcPr>
            <w:tcW w:w="0" w:type="auto"/>
            <w:hideMark/>
          </w:tcPr>
          <w:p w14:paraId="65122A66"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Bulk density (g cm</w:t>
            </w:r>
            <w:r w:rsidRPr="000B65DC">
              <w:rPr>
                <w:rFonts w:ascii="Cambria Math" w:hAnsi="Cambria Math" w:cs="Cambria Math"/>
                <w:sz w:val="20"/>
                <w:szCs w:val="20"/>
                <w:lang w:val="en-GB"/>
              </w:rPr>
              <w:t>⁻</w:t>
            </w:r>
            <w:r w:rsidRPr="000B65DC">
              <w:rPr>
                <w:rFonts w:ascii="Arial" w:hAnsi="Arial" w:cs="Arial"/>
                <w:sz w:val="20"/>
                <w:szCs w:val="20"/>
                <w:lang w:val="en-GB"/>
              </w:rPr>
              <w:t>³)</w:t>
            </w:r>
          </w:p>
        </w:tc>
        <w:tc>
          <w:tcPr>
            <w:tcW w:w="0" w:type="auto"/>
            <w:hideMark/>
          </w:tcPr>
          <w:p w14:paraId="04F1808C"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1.46</w:t>
            </w:r>
          </w:p>
        </w:tc>
        <w:tc>
          <w:tcPr>
            <w:tcW w:w="0" w:type="auto"/>
            <w:hideMark/>
          </w:tcPr>
          <w:p w14:paraId="3FDD2724"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Core method (Blake &amp; Hartge, 1986a)</w:t>
            </w:r>
          </w:p>
        </w:tc>
      </w:tr>
      <w:tr w:rsidR="00D65DD7" w:rsidRPr="000B65DC" w14:paraId="1941EB9B" w14:textId="77777777" w:rsidTr="00D64871">
        <w:tc>
          <w:tcPr>
            <w:tcW w:w="0" w:type="auto"/>
            <w:hideMark/>
          </w:tcPr>
          <w:p w14:paraId="2B75B6E5"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Particle density (g cm</w:t>
            </w:r>
            <w:r w:rsidRPr="000B65DC">
              <w:rPr>
                <w:rFonts w:ascii="Cambria Math" w:hAnsi="Cambria Math" w:cs="Cambria Math"/>
                <w:sz w:val="20"/>
                <w:szCs w:val="20"/>
                <w:lang w:val="en-GB"/>
              </w:rPr>
              <w:t>⁻</w:t>
            </w:r>
            <w:r w:rsidRPr="000B65DC">
              <w:rPr>
                <w:rFonts w:ascii="Arial" w:hAnsi="Arial" w:cs="Arial"/>
                <w:sz w:val="20"/>
                <w:szCs w:val="20"/>
                <w:lang w:val="en-GB"/>
              </w:rPr>
              <w:t>³)</w:t>
            </w:r>
          </w:p>
        </w:tc>
        <w:tc>
          <w:tcPr>
            <w:tcW w:w="0" w:type="auto"/>
            <w:hideMark/>
          </w:tcPr>
          <w:p w14:paraId="5DF63FD0"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2.62</w:t>
            </w:r>
          </w:p>
        </w:tc>
        <w:tc>
          <w:tcPr>
            <w:tcW w:w="0" w:type="auto"/>
            <w:hideMark/>
          </w:tcPr>
          <w:p w14:paraId="4AFAF97C"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Pycnometer method (Blake &amp; Hartge, 1986b)</w:t>
            </w:r>
          </w:p>
        </w:tc>
      </w:tr>
      <w:tr w:rsidR="00D65DD7" w:rsidRPr="000B65DC" w14:paraId="22665708" w14:textId="77777777" w:rsidTr="00D64871">
        <w:tc>
          <w:tcPr>
            <w:tcW w:w="0" w:type="auto"/>
            <w:hideMark/>
          </w:tcPr>
          <w:p w14:paraId="10F85FD2"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Porosity (%)</w:t>
            </w:r>
          </w:p>
        </w:tc>
        <w:tc>
          <w:tcPr>
            <w:tcW w:w="0" w:type="auto"/>
            <w:hideMark/>
          </w:tcPr>
          <w:p w14:paraId="2380ABD8"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42.70</w:t>
            </w:r>
          </w:p>
        </w:tc>
        <w:tc>
          <w:tcPr>
            <w:tcW w:w="0" w:type="auto"/>
            <w:hideMark/>
          </w:tcPr>
          <w:p w14:paraId="1A4D4BEC"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Calculated</w:t>
            </w:r>
          </w:p>
        </w:tc>
      </w:tr>
      <w:tr w:rsidR="00D65DD7" w:rsidRPr="000B65DC" w14:paraId="6D0E136F" w14:textId="77777777" w:rsidTr="00D64871">
        <w:tc>
          <w:tcPr>
            <w:tcW w:w="0" w:type="auto"/>
            <w:hideMark/>
          </w:tcPr>
          <w:p w14:paraId="4B258D85"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pH (1:2.5)</w:t>
            </w:r>
          </w:p>
        </w:tc>
        <w:tc>
          <w:tcPr>
            <w:tcW w:w="0" w:type="auto"/>
            <w:hideMark/>
          </w:tcPr>
          <w:p w14:paraId="7AB30952"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7.61</w:t>
            </w:r>
          </w:p>
        </w:tc>
        <w:tc>
          <w:tcPr>
            <w:tcW w:w="0" w:type="auto"/>
            <w:hideMark/>
          </w:tcPr>
          <w:p w14:paraId="41797F1B"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Potentiometric (Jackson, 1973)</w:t>
            </w:r>
          </w:p>
        </w:tc>
      </w:tr>
      <w:tr w:rsidR="00D65DD7" w:rsidRPr="000B65DC" w14:paraId="5D0A2123" w14:textId="77777777" w:rsidTr="00D64871">
        <w:tc>
          <w:tcPr>
            <w:tcW w:w="0" w:type="auto"/>
            <w:hideMark/>
          </w:tcPr>
          <w:p w14:paraId="500C875A"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EC (1:2.5) (</w:t>
            </w:r>
            <w:proofErr w:type="spellStart"/>
            <w:r w:rsidRPr="000B65DC">
              <w:rPr>
                <w:rFonts w:ascii="Arial" w:hAnsi="Arial" w:cs="Arial"/>
                <w:sz w:val="20"/>
                <w:szCs w:val="20"/>
                <w:lang w:val="en-GB"/>
              </w:rPr>
              <w:t>dS</w:t>
            </w:r>
            <w:proofErr w:type="spellEnd"/>
            <w:r w:rsidRPr="000B65DC">
              <w:rPr>
                <w:rFonts w:ascii="Arial" w:hAnsi="Arial" w:cs="Arial"/>
                <w:sz w:val="20"/>
                <w:szCs w:val="20"/>
                <w:lang w:val="en-GB"/>
              </w:rPr>
              <w:t xml:space="preserve"> m</w:t>
            </w:r>
            <w:r w:rsidRPr="000B65DC">
              <w:rPr>
                <w:rFonts w:ascii="Cambria Math" w:hAnsi="Cambria Math" w:cs="Cambria Math"/>
                <w:sz w:val="20"/>
                <w:szCs w:val="20"/>
                <w:lang w:val="en-GB"/>
              </w:rPr>
              <w:t>⁻</w:t>
            </w:r>
            <w:r w:rsidRPr="000B65DC">
              <w:rPr>
                <w:rFonts w:ascii="Arial" w:hAnsi="Arial" w:cs="Arial"/>
                <w:sz w:val="20"/>
                <w:szCs w:val="20"/>
                <w:lang w:val="en-GB"/>
              </w:rPr>
              <w:t>¹)</w:t>
            </w:r>
          </w:p>
        </w:tc>
        <w:tc>
          <w:tcPr>
            <w:tcW w:w="0" w:type="auto"/>
            <w:hideMark/>
          </w:tcPr>
          <w:p w14:paraId="0BB1759E"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0.68</w:t>
            </w:r>
          </w:p>
        </w:tc>
        <w:tc>
          <w:tcPr>
            <w:tcW w:w="0" w:type="auto"/>
            <w:hideMark/>
          </w:tcPr>
          <w:p w14:paraId="31F9F3C9"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Conductometric (Jackson, 1973)</w:t>
            </w:r>
          </w:p>
        </w:tc>
      </w:tr>
      <w:tr w:rsidR="00D65DD7" w:rsidRPr="000B65DC" w14:paraId="214B0805" w14:textId="77777777" w:rsidTr="00D64871">
        <w:tc>
          <w:tcPr>
            <w:tcW w:w="0" w:type="auto"/>
            <w:hideMark/>
          </w:tcPr>
          <w:p w14:paraId="68A6219D"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Organic carbon (g kg</w:t>
            </w:r>
            <w:r w:rsidRPr="000B65DC">
              <w:rPr>
                <w:rFonts w:ascii="Cambria Math" w:hAnsi="Cambria Math" w:cs="Cambria Math"/>
                <w:sz w:val="20"/>
                <w:szCs w:val="20"/>
                <w:lang w:val="en-GB"/>
              </w:rPr>
              <w:t>⁻</w:t>
            </w:r>
            <w:r w:rsidRPr="000B65DC">
              <w:rPr>
                <w:rFonts w:ascii="Arial" w:hAnsi="Arial" w:cs="Arial"/>
                <w:sz w:val="20"/>
                <w:szCs w:val="20"/>
                <w:lang w:val="en-GB"/>
              </w:rPr>
              <w:t>¹)</w:t>
            </w:r>
          </w:p>
        </w:tc>
        <w:tc>
          <w:tcPr>
            <w:tcW w:w="0" w:type="auto"/>
            <w:hideMark/>
          </w:tcPr>
          <w:p w14:paraId="48648570"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5.6</w:t>
            </w:r>
          </w:p>
        </w:tc>
        <w:tc>
          <w:tcPr>
            <w:tcW w:w="0" w:type="auto"/>
            <w:hideMark/>
          </w:tcPr>
          <w:p w14:paraId="535FE7C3"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Rapid titration method (Walkley &amp; Black, 1934)</w:t>
            </w:r>
          </w:p>
        </w:tc>
      </w:tr>
      <w:tr w:rsidR="00D65DD7" w:rsidRPr="000B65DC" w14:paraId="6A1284D2" w14:textId="77777777" w:rsidTr="00D64871">
        <w:tc>
          <w:tcPr>
            <w:tcW w:w="0" w:type="auto"/>
            <w:hideMark/>
          </w:tcPr>
          <w:p w14:paraId="567F7C09"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Inorganic carbon (g kg</w:t>
            </w:r>
            <w:r w:rsidRPr="000B65DC">
              <w:rPr>
                <w:rFonts w:ascii="Cambria Math" w:hAnsi="Cambria Math" w:cs="Cambria Math"/>
                <w:sz w:val="20"/>
                <w:szCs w:val="20"/>
                <w:lang w:val="en-GB"/>
              </w:rPr>
              <w:t>⁻</w:t>
            </w:r>
            <w:r w:rsidRPr="000B65DC">
              <w:rPr>
                <w:rFonts w:ascii="Arial" w:hAnsi="Arial" w:cs="Arial"/>
                <w:sz w:val="20"/>
                <w:szCs w:val="20"/>
                <w:lang w:val="en-GB"/>
              </w:rPr>
              <w:t>¹)</w:t>
            </w:r>
          </w:p>
        </w:tc>
        <w:tc>
          <w:tcPr>
            <w:tcW w:w="0" w:type="auto"/>
            <w:hideMark/>
          </w:tcPr>
          <w:p w14:paraId="73C64566"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5.88</w:t>
            </w:r>
          </w:p>
        </w:tc>
        <w:tc>
          <w:tcPr>
            <w:tcW w:w="0" w:type="auto"/>
            <w:hideMark/>
          </w:tcPr>
          <w:p w14:paraId="18615BFC"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Rapid titration (Piper, 1966)</w:t>
            </w:r>
          </w:p>
        </w:tc>
      </w:tr>
      <w:tr w:rsidR="00D65DD7" w:rsidRPr="000B65DC" w14:paraId="1712ADB2" w14:textId="77777777" w:rsidTr="00D64871">
        <w:tc>
          <w:tcPr>
            <w:tcW w:w="0" w:type="auto"/>
            <w:hideMark/>
          </w:tcPr>
          <w:p w14:paraId="637E67EB"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Available N (kg ha</w:t>
            </w:r>
            <w:r w:rsidRPr="000B65DC">
              <w:rPr>
                <w:rFonts w:ascii="Cambria Math" w:hAnsi="Cambria Math" w:cs="Cambria Math"/>
                <w:sz w:val="20"/>
                <w:szCs w:val="20"/>
                <w:lang w:val="en-GB"/>
              </w:rPr>
              <w:t>⁻</w:t>
            </w:r>
            <w:r w:rsidRPr="000B65DC">
              <w:rPr>
                <w:rFonts w:ascii="Arial" w:hAnsi="Arial" w:cs="Arial"/>
                <w:sz w:val="20"/>
                <w:szCs w:val="20"/>
                <w:lang w:val="en-GB"/>
              </w:rPr>
              <w:t>¹)</w:t>
            </w:r>
          </w:p>
        </w:tc>
        <w:tc>
          <w:tcPr>
            <w:tcW w:w="0" w:type="auto"/>
            <w:hideMark/>
          </w:tcPr>
          <w:p w14:paraId="03659757"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222.41</w:t>
            </w:r>
          </w:p>
        </w:tc>
        <w:tc>
          <w:tcPr>
            <w:tcW w:w="0" w:type="auto"/>
            <w:hideMark/>
          </w:tcPr>
          <w:p w14:paraId="6B6B8679"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 xml:space="preserve">Alkaline </w:t>
            </w:r>
            <w:proofErr w:type="spellStart"/>
            <w:r w:rsidRPr="000B65DC">
              <w:rPr>
                <w:rFonts w:ascii="Arial" w:hAnsi="Arial" w:cs="Arial"/>
                <w:sz w:val="20"/>
                <w:szCs w:val="20"/>
                <w:lang w:val="en-GB"/>
              </w:rPr>
              <w:t>KMnO</w:t>
            </w:r>
            <w:proofErr w:type="spellEnd"/>
            <w:r w:rsidRPr="000B65DC">
              <w:rPr>
                <w:rFonts w:ascii="Cambria Math" w:hAnsi="Cambria Math" w:cs="Cambria Math"/>
                <w:sz w:val="20"/>
                <w:szCs w:val="20"/>
                <w:lang w:val="en-GB"/>
              </w:rPr>
              <w:t>₄</w:t>
            </w:r>
            <w:r w:rsidRPr="000B65DC">
              <w:rPr>
                <w:rFonts w:ascii="Arial" w:hAnsi="Arial" w:cs="Arial"/>
                <w:sz w:val="20"/>
                <w:szCs w:val="20"/>
                <w:lang w:val="en-GB"/>
              </w:rPr>
              <w:t xml:space="preserve"> method (Subbiah &amp; Asija, 1956)</w:t>
            </w:r>
          </w:p>
        </w:tc>
      </w:tr>
      <w:tr w:rsidR="00D65DD7" w:rsidRPr="000B65DC" w14:paraId="145A11A3" w14:textId="77777777" w:rsidTr="00D64871">
        <w:tc>
          <w:tcPr>
            <w:tcW w:w="0" w:type="auto"/>
            <w:hideMark/>
          </w:tcPr>
          <w:p w14:paraId="429E4222"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Available P</w:t>
            </w:r>
            <w:r w:rsidRPr="000B65DC">
              <w:rPr>
                <w:rFonts w:ascii="Cambria Math" w:hAnsi="Cambria Math" w:cs="Cambria Math"/>
                <w:sz w:val="20"/>
                <w:szCs w:val="20"/>
                <w:lang w:val="en-GB"/>
              </w:rPr>
              <w:t>₂</w:t>
            </w:r>
            <w:r w:rsidRPr="000B65DC">
              <w:rPr>
                <w:rFonts w:ascii="Arial" w:hAnsi="Arial" w:cs="Arial"/>
                <w:sz w:val="20"/>
                <w:szCs w:val="20"/>
                <w:lang w:val="en-GB"/>
              </w:rPr>
              <w:t>O</w:t>
            </w:r>
            <w:r w:rsidRPr="000B65DC">
              <w:rPr>
                <w:rFonts w:ascii="Cambria Math" w:hAnsi="Cambria Math" w:cs="Cambria Math"/>
                <w:sz w:val="20"/>
                <w:szCs w:val="20"/>
                <w:lang w:val="en-GB"/>
              </w:rPr>
              <w:t>₅</w:t>
            </w:r>
            <w:r w:rsidRPr="000B65DC">
              <w:rPr>
                <w:rFonts w:ascii="Arial" w:hAnsi="Arial" w:cs="Arial"/>
                <w:sz w:val="20"/>
                <w:szCs w:val="20"/>
                <w:lang w:val="en-GB"/>
              </w:rPr>
              <w:t xml:space="preserve"> (kg ha</w:t>
            </w:r>
            <w:r w:rsidRPr="000B65DC">
              <w:rPr>
                <w:rFonts w:ascii="Cambria Math" w:hAnsi="Cambria Math" w:cs="Cambria Math"/>
                <w:sz w:val="20"/>
                <w:szCs w:val="20"/>
                <w:lang w:val="en-GB"/>
              </w:rPr>
              <w:t>⁻</w:t>
            </w:r>
            <w:r w:rsidRPr="000B65DC">
              <w:rPr>
                <w:rFonts w:ascii="Arial" w:hAnsi="Arial" w:cs="Arial"/>
                <w:sz w:val="20"/>
                <w:szCs w:val="20"/>
                <w:lang w:val="en-GB"/>
              </w:rPr>
              <w:t>¹)</w:t>
            </w:r>
          </w:p>
        </w:tc>
        <w:tc>
          <w:tcPr>
            <w:tcW w:w="0" w:type="auto"/>
            <w:hideMark/>
          </w:tcPr>
          <w:p w14:paraId="4C5BDC3B"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35.40</w:t>
            </w:r>
          </w:p>
        </w:tc>
        <w:tc>
          <w:tcPr>
            <w:tcW w:w="0" w:type="auto"/>
            <w:hideMark/>
          </w:tcPr>
          <w:p w14:paraId="7B1CA104"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 xml:space="preserve">Spectrophotometric method (Olsen </w:t>
            </w:r>
            <w:r w:rsidRPr="000B65DC">
              <w:rPr>
                <w:rFonts w:ascii="Arial" w:hAnsi="Arial" w:cs="Arial"/>
                <w:i/>
                <w:iCs/>
                <w:sz w:val="20"/>
                <w:szCs w:val="20"/>
                <w:lang w:val="en-GB"/>
              </w:rPr>
              <w:t>et al.</w:t>
            </w:r>
            <w:r w:rsidRPr="000B65DC">
              <w:rPr>
                <w:rFonts w:ascii="Arial" w:hAnsi="Arial" w:cs="Arial"/>
                <w:sz w:val="20"/>
                <w:szCs w:val="20"/>
                <w:lang w:val="en-GB"/>
              </w:rPr>
              <w:t>, 1954)</w:t>
            </w:r>
          </w:p>
        </w:tc>
      </w:tr>
      <w:tr w:rsidR="00D65DD7" w:rsidRPr="000B65DC" w14:paraId="29E60822" w14:textId="77777777" w:rsidTr="00D64871">
        <w:tc>
          <w:tcPr>
            <w:tcW w:w="0" w:type="auto"/>
            <w:hideMark/>
          </w:tcPr>
          <w:p w14:paraId="5E63655E"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Available K</w:t>
            </w:r>
            <w:r w:rsidRPr="000B65DC">
              <w:rPr>
                <w:rFonts w:ascii="Cambria Math" w:hAnsi="Cambria Math" w:cs="Cambria Math"/>
                <w:sz w:val="20"/>
                <w:szCs w:val="20"/>
                <w:lang w:val="en-GB"/>
              </w:rPr>
              <w:t>₂</w:t>
            </w:r>
            <w:r w:rsidRPr="000B65DC">
              <w:rPr>
                <w:rFonts w:ascii="Arial" w:hAnsi="Arial" w:cs="Arial"/>
                <w:sz w:val="20"/>
                <w:szCs w:val="20"/>
                <w:lang w:val="en-GB"/>
              </w:rPr>
              <w:t>O (kg ha</w:t>
            </w:r>
            <w:r w:rsidRPr="000B65DC">
              <w:rPr>
                <w:rFonts w:ascii="Cambria Math" w:hAnsi="Cambria Math" w:cs="Cambria Math"/>
                <w:sz w:val="20"/>
                <w:szCs w:val="20"/>
                <w:lang w:val="en-GB"/>
              </w:rPr>
              <w:t>⁻</w:t>
            </w:r>
            <w:r w:rsidRPr="000B65DC">
              <w:rPr>
                <w:rFonts w:ascii="Arial" w:hAnsi="Arial" w:cs="Arial"/>
                <w:sz w:val="20"/>
                <w:szCs w:val="20"/>
                <w:lang w:val="en-GB"/>
              </w:rPr>
              <w:t>¹)</w:t>
            </w:r>
          </w:p>
        </w:tc>
        <w:tc>
          <w:tcPr>
            <w:tcW w:w="0" w:type="auto"/>
            <w:hideMark/>
          </w:tcPr>
          <w:p w14:paraId="2634A81C"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333.91</w:t>
            </w:r>
          </w:p>
        </w:tc>
        <w:tc>
          <w:tcPr>
            <w:tcW w:w="0" w:type="auto"/>
            <w:hideMark/>
          </w:tcPr>
          <w:p w14:paraId="4D21EF4C"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Flame photometric (Jackson, 1973)</w:t>
            </w:r>
          </w:p>
        </w:tc>
      </w:tr>
      <w:tr w:rsidR="00D65DD7" w:rsidRPr="000B65DC" w14:paraId="15EE5F5F" w14:textId="77777777" w:rsidTr="00D64871">
        <w:tc>
          <w:tcPr>
            <w:tcW w:w="0" w:type="auto"/>
            <w:hideMark/>
          </w:tcPr>
          <w:p w14:paraId="78D2CBCD"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Available S (mg kg</w:t>
            </w:r>
            <w:r w:rsidRPr="000B65DC">
              <w:rPr>
                <w:rFonts w:ascii="Cambria Math" w:hAnsi="Cambria Math" w:cs="Cambria Math"/>
                <w:sz w:val="20"/>
                <w:szCs w:val="20"/>
                <w:lang w:val="en-GB"/>
              </w:rPr>
              <w:t>⁻</w:t>
            </w:r>
            <w:r w:rsidRPr="000B65DC">
              <w:rPr>
                <w:rFonts w:ascii="Arial" w:hAnsi="Arial" w:cs="Arial"/>
                <w:sz w:val="20"/>
                <w:szCs w:val="20"/>
                <w:lang w:val="en-GB"/>
              </w:rPr>
              <w:t>¹)</w:t>
            </w:r>
          </w:p>
        </w:tc>
        <w:tc>
          <w:tcPr>
            <w:tcW w:w="0" w:type="auto"/>
            <w:hideMark/>
          </w:tcPr>
          <w:p w14:paraId="49E1744E"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9.10</w:t>
            </w:r>
          </w:p>
        </w:tc>
        <w:tc>
          <w:tcPr>
            <w:tcW w:w="0" w:type="auto"/>
            <w:hideMark/>
          </w:tcPr>
          <w:p w14:paraId="69379F7D"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 xml:space="preserve">0.15% </w:t>
            </w:r>
            <w:proofErr w:type="spellStart"/>
            <w:r w:rsidRPr="000B65DC">
              <w:rPr>
                <w:rFonts w:ascii="Arial" w:hAnsi="Arial" w:cs="Arial"/>
                <w:sz w:val="20"/>
                <w:szCs w:val="20"/>
                <w:lang w:val="en-GB"/>
              </w:rPr>
              <w:t>CaCl</w:t>
            </w:r>
            <w:proofErr w:type="spellEnd"/>
            <w:r w:rsidRPr="000B65DC">
              <w:rPr>
                <w:rFonts w:ascii="Cambria Math" w:hAnsi="Cambria Math" w:cs="Cambria Math"/>
                <w:sz w:val="20"/>
                <w:szCs w:val="20"/>
                <w:lang w:val="en-GB"/>
              </w:rPr>
              <w:t>₂</w:t>
            </w:r>
            <w:r w:rsidRPr="000B65DC">
              <w:rPr>
                <w:rFonts w:ascii="Arial" w:hAnsi="Arial" w:cs="Arial"/>
                <w:sz w:val="20"/>
                <w:szCs w:val="20"/>
                <w:lang w:val="en-GB"/>
              </w:rPr>
              <w:t xml:space="preserve"> extraction (Chopra &amp; Kanwar, 1976)</w:t>
            </w:r>
          </w:p>
        </w:tc>
      </w:tr>
      <w:tr w:rsidR="00D65DD7" w:rsidRPr="000B65DC" w14:paraId="0B1C0702" w14:textId="77777777" w:rsidTr="00D64871">
        <w:tc>
          <w:tcPr>
            <w:tcW w:w="0" w:type="auto"/>
            <w:hideMark/>
          </w:tcPr>
          <w:p w14:paraId="74CD74A2"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Available Zn (mg kg</w:t>
            </w:r>
            <w:r w:rsidRPr="000B65DC">
              <w:rPr>
                <w:rFonts w:ascii="Cambria Math" w:hAnsi="Cambria Math" w:cs="Cambria Math"/>
                <w:sz w:val="20"/>
                <w:szCs w:val="20"/>
                <w:lang w:val="en-GB"/>
              </w:rPr>
              <w:t>⁻</w:t>
            </w:r>
            <w:r w:rsidRPr="000B65DC">
              <w:rPr>
                <w:rFonts w:ascii="Arial" w:hAnsi="Arial" w:cs="Arial"/>
                <w:sz w:val="20"/>
                <w:szCs w:val="20"/>
                <w:lang w:val="en-GB"/>
              </w:rPr>
              <w:t>¹)</w:t>
            </w:r>
          </w:p>
        </w:tc>
        <w:tc>
          <w:tcPr>
            <w:tcW w:w="0" w:type="auto"/>
            <w:hideMark/>
          </w:tcPr>
          <w:p w14:paraId="090062BE"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0.95</w:t>
            </w:r>
          </w:p>
        </w:tc>
        <w:tc>
          <w:tcPr>
            <w:tcW w:w="0" w:type="auto"/>
            <w:hideMark/>
          </w:tcPr>
          <w:p w14:paraId="6ED8B81C"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DTPA extraction–AAS (Lindsay &amp; Norvell, 1978)</w:t>
            </w:r>
          </w:p>
        </w:tc>
      </w:tr>
      <w:tr w:rsidR="00D65DD7" w:rsidRPr="000B65DC" w14:paraId="52B82BF3" w14:textId="77777777" w:rsidTr="00D64871">
        <w:tc>
          <w:tcPr>
            <w:tcW w:w="0" w:type="auto"/>
            <w:hideMark/>
          </w:tcPr>
          <w:p w14:paraId="4D457C84"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Available Fe (mg kg</w:t>
            </w:r>
            <w:r w:rsidRPr="000B65DC">
              <w:rPr>
                <w:rFonts w:ascii="Cambria Math" w:hAnsi="Cambria Math" w:cs="Cambria Math"/>
                <w:sz w:val="20"/>
                <w:szCs w:val="20"/>
                <w:lang w:val="en-GB"/>
              </w:rPr>
              <w:t>⁻</w:t>
            </w:r>
            <w:r w:rsidRPr="000B65DC">
              <w:rPr>
                <w:rFonts w:ascii="Arial" w:hAnsi="Arial" w:cs="Arial"/>
                <w:sz w:val="20"/>
                <w:szCs w:val="20"/>
                <w:lang w:val="en-GB"/>
              </w:rPr>
              <w:t>¹)</w:t>
            </w:r>
          </w:p>
        </w:tc>
        <w:tc>
          <w:tcPr>
            <w:tcW w:w="0" w:type="auto"/>
            <w:hideMark/>
          </w:tcPr>
          <w:p w14:paraId="7DC6B4E8"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0.94</w:t>
            </w:r>
          </w:p>
        </w:tc>
        <w:tc>
          <w:tcPr>
            <w:tcW w:w="0" w:type="auto"/>
            <w:hideMark/>
          </w:tcPr>
          <w:p w14:paraId="4B172A22"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DTPA extraction–AAS (Lindsay &amp; Norvell, 1978)</w:t>
            </w:r>
          </w:p>
        </w:tc>
      </w:tr>
    </w:tbl>
    <w:p w14:paraId="7E7ADBB2" w14:textId="77777777" w:rsidR="00D65DD7" w:rsidRPr="000B65DC" w:rsidRDefault="00D65DD7" w:rsidP="00D65DD7">
      <w:pPr>
        <w:spacing w:before="240"/>
        <w:jc w:val="both"/>
        <w:rPr>
          <w:rFonts w:ascii="Arial" w:hAnsi="Arial" w:cs="Arial"/>
          <w:sz w:val="20"/>
          <w:szCs w:val="20"/>
          <w:lang w:val="en-GB"/>
        </w:rPr>
      </w:pPr>
      <w:r w:rsidRPr="000B65DC">
        <w:rPr>
          <w:rFonts w:ascii="Arial" w:hAnsi="Arial" w:cs="Arial"/>
          <w:b/>
          <w:bCs/>
          <w:sz w:val="20"/>
          <w:szCs w:val="20"/>
          <w:lang w:val="en-GB"/>
        </w:rPr>
        <w:t>2.2 Experimental Design and Treatments</w:t>
      </w:r>
      <w:r w:rsidRPr="000B65DC">
        <w:rPr>
          <w:rFonts w:ascii="Arial" w:hAnsi="Arial" w:cs="Arial"/>
          <w:sz w:val="20"/>
          <w:szCs w:val="20"/>
          <w:lang w:val="en-GB"/>
        </w:rPr>
        <w:t xml:space="preserve"> </w:t>
      </w:r>
    </w:p>
    <w:p w14:paraId="4A4B3460"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The experiment was laid out in a factorial randomised block design (FRBD) with four replications and comprised nine treatment combinations of three sulphur levels (0, 20, and 40 kg S ha⁻¹ applied as bentonite sulphur) and three zinc levels (0, 2.5, and 5.0 kg Zn ha⁻¹ applied as zinc-EDTA). The treatments were evaluated using the sesame cultivar ‘Gujarat Til-4’ with a common basal recommended dose of fertiliser (RDF) of 30:25:00 kg N:P₂O₅:K₂O ha⁻¹, supplied through urea and single superphosphate. The crop was sown on 4 August 2025 at a seed rate of 5 kg ha⁻¹ and a spacing of 45 cm × 10 cm. The gross and net plot sizes were 3.6 m × 3.0 m and 2.7 m × 2.0 m, respectively. The crop was harvested at physiological maturity on 4 November 2025.</w:t>
      </w:r>
    </w:p>
    <w:p w14:paraId="42251254" w14:textId="77777777" w:rsidR="00D65DD7" w:rsidRPr="000B65DC" w:rsidRDefault="00D65DD7" w:rsidP="00D65DD7">
      <w:pPr>
        <w:jc w:val="both"/>
        <w:rPr>
          <w:rFonts w:ascii="Arial" w:hAnsi="Arial" w:cs="Arial"/>
          <w:sz w:val="20"/>
          <w:szCs w:val="20"/>
          <w:lang w:val="en-GB"/>
        </w:rPr>
      </w:pPr>
      <w:r w:rsidRPr="000B65DC">
        <w:rPr>
          <w:rFonts w:ascii="Arial" w:hAnsi="Arial" w:cs="Arial"/>
          <w:b/>
          <w:bCs/>
          <w:sz w:val="20"/>
          <w:szCs w:val="20"/>
          <w:lang w:val="en-GB"/>
        </w:rPr>
        <w:lastRenderedPageBreak/>
        <w:t>2.3 Crop Husbandry and Observations</w:t>
      </w:r>
      <w:r w:rsidRPr="000B65DC">
        <w:rPr>
          <w:rFonts w:ascii="Arial" w:hAnsi="Arial" w:cs="Arial"/>
          <w:sz w:val="20"/>
          <w:szCs w:val="20"/>
          <w:lang w:val="en-GB"/>
        </w:rPr>
        <w:t xml:space="preserve"> </w:t>
      </w:r>
    </w:p>
    <w:p w14:paraId="233CF6FC"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Nitrogen and basal phosphorus, together with the respective treatment doses of sulphur and zinc, were incorporated uniformly into the soil at sowing. Seed and stover yields were recorded plot-wise from the net harvested area and expressed as kg ha⁻¹. Sulphur and zinc concentrations in seed and stover were determined from a diacid digest (HNO</w:t>
      </w:r>
      <w:proofErr w:type="gramStart"/>
      <w:r w:rsidRPr="000B65DC">
        <w:rPr>
          <w:rFonts w:ascii="Arial" w:hAnsi="Arial" w:cs="Arial"/>
          <w:sz w:val="20"/>
          <w:szCs w:val="20"/>
          <w:lang w:val="en-GB"/>
        </w:rPr>
        <w:t>₃:HClO</w:t>
      </w:r>
      <w:proofErr w:type="gramEnd"/>
      <w:r w:rsidRPr="000B65DC">
        <w:rPr>
          <w:rFonts w:ascii="Arial" w:hAnsi="Arial" w:cs="Arial"/>
          <w:sz w:val="20"/>
          <w:szCs w:val="20"/>
          <w:lang w:val="en-GB"/>
        </w:rPr>
        <w:t>₄, 5:2) using the turbidimetric method (</w:t>
      </w:r>
      <w:proofErr w:type="spellStart"/>
      <w:r w:rsidRPr="000B65DC">
        <w:rPr>
          <w:rFonts w:ascii="Arial" w:hAnsi="Arial" w:cs="Arial"/>
          <w:sz w:val="20"/>
          <w:szCs w:val="20"/>
          <w:lang w:val="en-GB"/>
        </w:rPr>
        <w:t>Chesnin</w:t>
      </w:r>
      <w:proofErr w:type="spellEnd"/>
      <w:r w:rsidRPr="000B65DC">
        <w:rPr>
          <w:rFonts w:ascii="Arial" w:hAnsi="Arial" w:cs="Arial"/>
          <w:sz w:val="20"/>
          <w:szCs w:val="20"/>
          <w:lang w:val="en-GB"/>
        </w:rPr>
        <w:t xml:space="preserve"> &amp; Yien, 195</w:t>
      </w:r>
      <w:r w:rsidR="00E10334">
        <w:rPr>
          <w:rFonts w:ascii="Arial" w:hAnsi="Arial" w:cs="Arial"/>
          <w:sz w:val="20"/>
          <w:szCs w:val="20"/>
          <w:lang w:val="en-GB"/>
        </w:rPr>
        <w:t>1</w:t>
      </w:r>
      <w:r w:rsidRPr="000B65DC">
        <w:rPr>
          <w:rFonts w:ascii="Arial" w:hAnsi="Arial" w:cs="Arial"/>
          <w:sz w:val="20"/>
          <w:szCs w:val="20"/>
          <w:lang w:val="en-GB"/>
        </w:rPr>
        <w:t>) and atomic absorption spectrophotometry (Lindsay &amp; Norvell, 1978), respectively. Nutrient uptake was calculated by multiplying the nutrient concentration by the seed or stover yield.</w:t>
      </w:r>
    </w:p>
    <w:p w14:paraId="74DBEC8C"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 xml:space="preserve">Soil samples (0–15 cm) collected before sowing and after harvest were analysed for pH and EC (Jackson, 1973), organic carbon using the rapid titration method (Walkley &amp; Black, 1934), inorganic carbon by rapid titration (Piper, 1966), available N (Subbiah &amp; Asija, 1956), available P₂O₅ (Olsen </w:t>
      </w:r>
      <w:r w:rsidRPr="000B65DC">
        <w:rPr>
          <w:rFonts w:ascii="Arial" w:hAnsi="Arial" w:cs="Arial"/>
          <w:i/>
          <w:sz w:val="20"/>
          <w:szCs w:val="20"/>
          <w:lang w:val="en-GB"/>
        </w:rPr>
        <w:t>et al.</w:t>
      </w:r>
      <w:r w:rsidRPr="000B65DC">
        <w:rPr>
          <w:rFonts w:ascii="Arial" w:hAnsi="Arial" w:cs="Arial"/>
          <w:sz w:val="20"/>
          <w:szCs w:val="20"/>
          <w:lang w:val="en-GB"/>
        </w:rPr>
        <w:t>, 1954), available K₂O (Jackson, 1973), available S (Chopra &amp; Kanwar, 1976), and available Zn and Fe (Lindsay &amp; Norvell, 1978). Soil physical properties, specifically bulk density and particle density, were determined using the core and pycnometer methods, respectively, and porosity was calculated from these measurements (Blake &amp; Hartge, 1986a, 1986b).</w:t>
      </w:r>
    </w:p>
    <w:p w14:paraId="340EB03F"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In addition, bacterial, fungal, and actinomycete populations in the post-harvest soil samples were enumerated using the standard serial dilution–agar plate method. One gram of soil was serially diluted in sterile distilled water to 10⁻⁶, and suitable dilutions were plated on agar media. The plates were incubated at room temperature for 5 days, after which colonies were counted and expressed as colony-forming units (CFU) g⁻¹ of dry soil.</w:t>
      </w:r>
    </w:p>
    <w:p w14:paraId="328C1E41" w14:textId="77777777" w:rsidR="00D65DD7" w:rsidRPr="000B65DC" w:rsidRDefault="00D65DD7" w:rsidP="00D65DD7">
      <w:pPr>
        <w:jc w:val="both"/>
        <w:rPr>
          <w:rFonts w:ascii="Arial" w:hAnsi="Arial" w:cs="Arial"/>
          <w:sz w:val="20"/>
          <w:szCs w:val="20"/>
          <w:lang w:val="en-GB"/>
        </w:rPr>
      </w:pPr>
      <w:r w:rsidRPr="000B65DC">
        <w:rPr>
          <w:rFonts w:ascii="Arial" w:hAnsi="Arial" w:cs="Arial"/>
          <w:b/>
          <w:bCs/>
          <w:sz w:val="20"/>
          <w:szCs w:val="20"/>
          <w:lang w:val="en-GB"/>
        </w:rPr>
        <w:t>2.4 Statistical Analysis</w:t>
      </w:r>
      <w:r w:rsidRPr="000B65DC">
        <w:rPr>
          <w:rFonts w:ascii="Arial" w:hAnsi="Arial" w:cs="Arial"/>
          <w:sz w:val="20"/>
          <w:szCs w:val="20"/>
          <w:lang w:val="en-GB"/>
        </w:rPr>
        <w:t xml:space="preserve"> </w:t>
      </w:r>
    </w:p>
    <w:p w14:paraId="44717463"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The recorded experimental data were subjected to analysis of variance (ANOVA) for a factorial randomised block design (FRBD) with four replications. Treatment means were compared using the critical difference (CD) at the 5% level of probability.</w:t>
      </w:r>
    </w:p>
    <w:p w14:paraId="4F8ACC76" w14:textId="77777777" w:rsidR="00B46191" w:rsidRPr="000B65DC" w:rsidRDefault="00B46191" w:rsidP="00B46191">
      <w:pPr>
        <w:jc w:val="both"/>
        <w:rPr>
          <w:rFonts w:ascii="Arial" w:hAnsi="Arial" w:cs="Arial"/>
          <w:b/>
          <w:bCs/>
          <w:sz w:val="20"/>
          <w:szCs w:val="20"/>
          <w:lang w:val="en-GB"/>
        </w:rPr>
      </w:pPr>
      <w:r w:rsidRPr="000B65DC">
        <w:rPr>
          <w:rFonts w:ascii="Arial" w:hAnsi="Arial" w:cs="Arial"/>
          <w:b/>
          <w:bCs/>
          <w:sz w:val="20"/>
          <w:szCs w:val="20"/>
          <w:lang w:val="en-GB"/>
        </w:rPr>
        <w:t>3. RESULTS AND DISCUSSION</w:t>
      </w:r>
    </w:p>
    <w:p w14:paraId="1AD2A42F" w14:textId="77777777" w:rsidR="00C82A0C" w:rsidRPr="000B65DC" w:rsidRDefault="00C82A0C" w:rsidP="00C82A0C">
      <w:pPr>
        <w:jc w:val="both"/>
        <w:rPr>
          <w:rFonts w:ascii="Arial" w:hAnsi="Arial" w:cs="Arial"/>
          <w:sz w:val="20"/>
          <w:szCs w:val="20"/>
          <w:lang w:val="en-GB"/>
        </w:rPr>
      </w:pPr>
      <w:r w:rsidRPr="000B65DC">
        <w:rPr>
          <w:rFonts w:ascii="Arial" w:hAnsi="Arial" w:cs="Arial"/>
          <w:b/>
          <w:bCs/>
          <w:sz w:val="20"/>
          <w:szCs w:val="20"/>
          <w:lang w:val="en-GB"/>
        </w:rPr>
        <w:t>3.1 Seed and Stover Yield</w:t>
      </w:r>
    </w:p>
    <w:p w14:paraId="1DF16655"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 xml:space="preserve">Sesame seed and stover yields responded significantly and independently to both nutrients (Table 2). With sulphur application, the highest seed yield, 828.53 kg ha⁻¹, was recorded at 40 kg S ha⁻¹ (S₃), which was significantly higher than the 688.13 kg ha⁻¹ recorded in the control (S₁). Similarly, zinc application produced the highest seed yield, 798.79 kg ha⁻¹, at 5.0 kg Zn ha⁻¹ (Zn₃), compared with 725.38 kg ha⁻¹ in the control (Zn₁), consistent with previous findings on zinc supplementation in sesame (Airangy </w:t>
      </w:r>
      <w:r w:rsidRPr="000B65DC">
        <w:rPr>
          <w:rFonts w:ascii="Arial" w:hAnsi="Arial" w:cs="Arial"/>
          <w:i/>
          <w:sz w:val="20"/>
          <w:szCs w:val="20"/>
          <w:lang w:val="en-GB"/>
        </w:rPr>
        <w:t>et al.</w:t>
      </w:r>
      <w:r w:rsidRPr="000B65DC">
        <w:rPr>
          <w:rFonts w:ascii="Arial" w:hAnsi="Arial" w:cs="Arial"/>
          <w:sz w:val="20"/>
          <w:szCs w:val="20"/>
          <w:lang w:val="en-GB"/>
        </w:rPr>
        <w:t xml:space="preserve">, 2025). These increases are consistent with the roles of sulphur in chlorophyll and methionine/cysteine synthesis and floral primordia formation, and of zinc in IAA biosynthesis, electron transport, and photosynthate partitioning towards developing capsules (Thentu </w:t>
      </w:r>
      <w:r w:rsidRPr="000B65DC">
        <w:rPr>
          <w:rFonts w:ascii="Arial" w:hAnsi="Arial" w:cs="Arial"/>
          <w:i/>
          <w:sz w:val="20"/>
          <w:szCs w:val="20"/>
          <w:lang w:val="en-GB"/>
        </w:rPr>
        <w:t>et al.</w:t>
      </w:r>
      <w:r w:rsidRPr="000B65DC">
        <w:rPr>
          <w:rFonts w:ascii="Arial" w:hAnsi="Arial" w:cs="Arial"/>
          <w:sz w:val="20"/>
          <w:szCs w:val="20"/>
          <w:lang w:val="en-GB"/>
        </w:rPr>
        <w:t xml:space="preserve">, 2014; Murmu </w:t>
      </w:r>
      <w:r w:rsidRPr="000B65DC">
        <w:rPr>
          <w:rFonts w:ascii="Arial" w:hAnsi="Arial" w:cs="Arial"/>
          <w:i/>
          <w:sz w:val="20"/>
          <w:szCs w:val="20"/>
          <w:lang w:val="en-GB"/>
        </w:rPr>
        <w:t>et al.</w:t>
      </w:r>
      <w:r w:rsidRPr="000B65DC">
        <w:rPr>
          <w:rFonts w:ascii="Arial" w:hAnsi="Arial" w:cs="Arial"/>
          <w:sz w:val="20"/>
          <w:szCs w:val="20"/>
          <w:lang w:val="en-GB"/>
        </w:rPr>
        <w:t xml:space="preserve">, 2015; Jahan </w:t>
      </w:r>
      <w:r w:rsidRPr="000B65DC">
        <w:rPr>
          <w:rFonts w:ascii="Arial" w:hAnsi="Arial" w:cs="Arial"/>
          <w:i/>
          <w:sz w:val="20"/>
          <w:szCs w:val="20"/>
          <w:lang w:val="en-GB"/>
        </w:rPr>
        <w:t>et al.</w:t>
      </w:r>
      <w:r w:rsidRPr="000B65DC">
        <w:rPr>
          <w:rFonts w:ascii="Arial" w:hAnsi="Arial" w:cs="Arial"/>
          <w:sz w:val="20"/>
          <w:szCs w:val="20"/>
          <w:lang w:val="en-GB"/>
        </w:rPr>
        <w:t xml:space="preserve">, 2019; Yadav </w:t>
      </w:r>
      <w:r w:rsidRPr="000B65DC">
        <w:rPr>
          <w:rFonts w:ascii="Arial" w:hAnsi="Arial" w:cs="Arial"/>
          <w:i/>
          <w:sz w:val="20"/>
          <w:szCs w:val="20"/>
          <w:lang w:val="en-GB"/>
        </w:rPr>
        <w:t>et al.</w:t>
      </w:r>
      <w:r w:rsidRPr="000B65DC">
        <w:rPr>
          <w:rFonts w:ascii="Arial" w:hAnsi="Arial" w:cs="Arial"/>
          <w:sz w:val="20"/>
          <w:szCs w:val="20"/>
          <w:lang w:val="en-GB"/>
        </w:rPr>
        <w:t xml:space="preserve">, 2020; Khan </w:t>
      </w:r>
      <w:r w:rsidRPr="000B65DC">
        <w:rPr>
          <w:rFonts w:ascii="Arial" w:hAnsi="Arial" w:cs="Arial"/>
          <w:i/>
          <w:sz w:val="20"/>
          <w:szCs w:val="20"/>
          <w:lang w:val="en-GB"/>
        </w:rPr>
        <w:t>et al.</w:t>
      </w:r>
      <w:r w:rsidRPr="000B65DC">
        <w:rPr>
          <w:rFonts w:ascii="Arial" w:hAnsi="Arial" w:cs="Arial"/>
          <w:sz w:val="20"/>
          <w:szCs w:val="20"/>
          <w:lang w:val="en-GB"/>
        </w:rPr>
        <w:t>, 2021).</w:t>
      </w:r>
    </w:p>
    <w:p w14:paraId="50EF9AC0" w14:textId="77777777" w:rsidR="00C82A0C" w:rsidRPr="000B65DC" w:rsidRDefault="00D65DD7" w:rsidP="00B46191">
      <w:pPr>
        <w:jc w:val="both"/>
        <w:rPr>
          <w:rFonts w:ascii="Arial" w:hAnsi="Arial" w:cs="Arial"/>
          <w:sz w:val="20"/>
          <w:szCs w:val="20"/>
          <w:lang w:val="en-GB"/>
        </w:rPr>
      </w:pPr>
      <w:r w:rsidRPr="000B65DC">
        <w:rPr>
          <w:rFonts w:ascii="Arial" w:hAnsi="Arial" w:cs="Arial"/>
          <w:sz w:val="20"/>
          <w:szCs w:val="20"/>
          <w:lang w:val="en-GB"/>
        </w:rPr>
        <w:t xml:space="preserve">Stover yield followed the same pattern, reaching 1744.36 kg ha⁻¹ with S₃, compared with 1444.20 kg ha⁻¹ at S₁, and 1659.58 kg ha⁻¹ with Zn₃, compared with 1552.99 kg ha⁻¹ at Zn₁. This vegetative response may reflect greater root proliferation, cell elongation, and photosynthetic leaf area under improved and balanced nutrition (Mamatha </w:t>
      </w:r>
      <w:r w:rsidRPr="000B65DC">
        <w:rPr>
          <w:rFonts w:ascii="Arial" w:hAnsi="Arial" w:cs="Arial"/>
          <w:i/>
          <w:sz w:val="20"/>
          <w:szCs w:val="20"/>
          <w:lang w:val="en-GB"/>
        </w:rPr>
        <w:t>et al.</w:t>
      </w:r>
      <w:r w:rsidRPr="000B65DC">
        <w:rPr>
          <w:rFonts w:ascii="Arial" w:hAnsi="Arial" w:cs="Arial"/>
          <w:sz w:val="20"/>
          <w:szCs w:val="20"/>
          <w:lang w:val="en-GB"/>
        </w:rPr>
        <w:t xml:space="preserve">, 2017; Paul </w:t>
      </w:r>
      <w:r w:rsidRPr="000B65DC">
        <w:rPr>
          <w:rFonts w:ascii="Arial" w:hAnsi="Arial" w:cs="Arial"/>
          <w:i/>
          <w:sz w:val="20"/>
          <w:szCs w:val="20"/>
          <w:lang w:val="en-GB"/>
        </w:rPr>
        <w:t>et al.</w:t>
      </w:r>
      <w:r w:rsidRPr="000B65DC">
        <w:rPr>
          <w:rFonts w:ascii="Arial" w:hAnsi="Arial" w:cs="Arial"/>
          <w:sz w:val="20"/>
          <w:szCs w:val="20"/>
          <w:lang w:val="en-GB"/>
        </w:rPr>
        <w:t>, 2019; Pravalika &amp; Dawson, 2023). The S × Zn interaction was non-significant for both seed and stover yields, indicating that the two nutrients acted independently on biomass production.</w:t>
      </w:r>
    </w:p>
    <w:p w14:paraId="1310A9B8" w14:textId="77777777" w:rsidR="00C82A0C" w:rsidRPr="000B65DC" w:rsidRDefault="00C82A0C" w:rsidP="00B46191">
      <w:pPr>
        <w:jc w:val="both"/>
        <w:rPr>
          <w:rFonts w:ascii="Arial" w:hAnsi="Arial" w:cs="Arial"/>
          <w:b/>
          <w:bCs/>
          <w:sz w:val="20"/>
          <w:szCs w:val="20"/>
        </w:rPr>
      </w:pPr>
      <w:r w:rsidRPr="000B65DC">
        <w:rPr>
          <w:rFonts w:ascii="Arial" w:hAnsi="Arial" w:cs="Arial"/>
          <w:b/>
          <w:bCs/>
          <w:sz w:val="20"/>
          <w:szCs w:val="20"/>
        </w:rPr>
        <w:t xml:space="preserve">Table </w:t>
      </w:r>
      <w:r w:rsidR="007F7018" w:rsidRPr="000B65DC">
        <w:rPr>
          <w:rFonts w:ascii="Arial" w:hAnsi="Arial" w:cs="Arial"/>
          <w:b/>
          <w:bCs/>
          <w:sz w:val="20"/>
          <w:szCs w:val="20"/>
        </w:rPr>
        <w:t>2</w:t>
      </w:r>
      <w:r w:rsidRPr="000B65DC">
        <w:rPr>
          <w:rFonts w:ascii="Arial" w:hAnsi="Arial" w:cs="Arial"/>
          <w:b/>
          <w:bCs/>
          <w:sz w:val="20"/>
          <w:szCs w:val="20"/>
        </w:rPr>
        <w:t>. Seed and Stover Yield of Sesame as Influenced by Sulphur and Zinc Levels</w:t>
      </w:r>
    </w:p>
    <w:tbl>
      <w:tblPr>
        <w:tblStyle w:val="TableGrid"/>
        <w:tblW w:w="5000" w:type="pct"/>
        <w:tblLook w:val="04A0" w:firstRow="1" w:lastRow="0" w:firstColumn="1" w:lastColumn="0" w:noHBand="0" w:noVBand="1"/>
      </w:tblPr>
      <w:tblGrid>
        <w:gridCol w:w="2779"/>
        <w:gridCol w:w="3004"/>
        <w:gridCol w:w="3233"/>
      </w:tblGrid>
      <w:tr w:rsidR="00C82A0C" w:rsidRPr="000B65DC" w14:paraId="581DDC41" w14:textId="77777777" w:rsidTr="00C82A0C">
        <w:tc>
          <w:tcPr>
            <w:tcW w:w="1541" w:type="pct"/>
            <w:hideMark/>
          </w:tcPr>
          <w:p w14:paraId="014BB5E3" w14:textId="77777777" w:rsidR="00C82A0C" w:rsidRPr="000B65DC" w:rsidRDefault="00C82A0C" w:rsidP="00C82A0C">
            <w:pPr>
              <w:jc w:val="both"/>
              <w:rPr>
                <w:rFonts w:ascii="Arial" w:hAnsi="Arial" w:cs="Arial"/>
                <w:b/>
                <w:bCs/>
                <w:sz w:val="20"/>
                <w:szCs w:val="20"/>
                <w:lang w:val="en-GB"/>
              </w:rPr>
            </w:pPr>
            <w:r w:rsidRPr="000B65DC">
              <w:rPr>
                <w:rFonts w:ascii="Arial" w:hAnsi="Arial" w:cs="Arial"/>
                <w:b/>
                <w:bCs/>
                <w:sz w:val="20"/>
                <w:szCs w:val="20"/>
                <w:lang w:val="en-GB"/>
              </w:rPr>
              <w:t>Treatments</w:t>
            </w:r>
          </w:p>
        </w:tc>
        <w:tc>
          <w:tcPr>
            <w:tcW w:w="1666" w:type="pct"/>
            <w:vAlign w:val="center"/>
            <w:hideMark/>
          </w:tcPr>
          <w:p w14:paraId="508D883A" w14:textId="77777777" w:rsidR="00C82A0C" w:rsidRPr="000B65DC" w:rsidRDefault="00C82A0C" w:rsidP="00C82A0C">
            <w:pPr>
              <w:jc w:val="center"/>
              <w:rPr>
                <w:rFonts w:ascii="Arial" w:hAnsi="Arial" w:cs="Arial"/>
                <w:b/>
                <w:bCs/>
                <w:sz w:val="20"/>
                <w:szCs w:val="20"/>
                <w:lang w:val="en-GB"/>
              </w:rPr>
            </w:pPr>
            <w:r w:rsidRPr="000B65DC">
              <w:rPr>
                <w:rFonts w:ascii="Arial" w:hAnsi="Arial" w:cs="Arial"/>
                <w:b/>
                <w:bCs/>
                <w:sz w:val="20"/>
                <w:szCs w:val="20"/>
                <w:lang w:val="en-GB"/>
              </w:rPr>
              <w:t>Seed Yield (kg ha</w:t>
            </w:r>
            <w:r w:rsidR="000E099E" w:rsidRPr="000B65DC">
              <w:rPr>
                <w:rFonts w:ascii="Cambria Math" w:hAnsi="Cambria Math" w:cs="Cambria Math"/>
                <w:b/>
                <w:bCs/>
                <w:sz w:val="20"/>
                <w:szCs w:val="20"/>
                <w:vertAlign w:val="superscript"/>
                <w:lang w:val="en-GB"/>
              </w:rPr>
              <w:t>-1</w:t>
            </w:r>
            <w:r w:rsidRPr="000B65DC">
              <w:rPr>
                <w:rFonts w:ascii="Arial" w:hAnsi="Arial" w:cs="Arial"/>
                <w:b/>
                <w:bCs/>
                <w:sz w:val="20"/>
                <w:szCs w:val="20"/>
                <w:lang w:val="en-GB"/>
              </w:rPr>
              <w:t>)</w:t>
            </w:r>
          </w:p>
        </w:tc>
        <w:tc>
          <w:tcPr>
            <w:tcW w:w="1793" w:type="pct"/>
            <w:vAlign w:val="center"/>
            <w:hideMark/>
          </w:tcPr>
          <w:p w14:paraId="60AFECD7" w14:textId="77777777" w:rsidR="00C82A0C" w:rsidRPr="000B65DC" w:rsidRDefault="00C82A0C" w:rsidP="00C82A0C">
            <w:pPr>
              <w:jc w:val="center"/>
              <w:rPr>
                <w:rFonts w:ascii="Arial" w:hAnsi="Arial" w:cs="Arial"/>
                <w:b/>
                <w:bCs/>
                <w:sz w:val="20"/>
                <w:szCs w:val="20"/>
                <w:lang w:val="en-GB"/>
              </w:rPr>
            </w:pPr>
            <w:r w:rsidRPr="000B65DC">
              <w:rPr>
                <w:rFonts w:ascii="Arial" w:hAnsi="Arial" w:cs="Arial"/>
                <w:b/>
                <w:bCs/>
                <w:sz w:val="20"/>
                <w:szCs w:val="20"/>
                <w:lang w:val="en-GB"/>
              </w:rPr>
              <w:t>Stover Yield (kg ha</w:t>
            </w:r>
            <w:r w:rsidR="000E099E" w:rsidRPr="000B65DC">
              <w:rPr>
                <w:rFonts w:ascii="Cambria Math" w:hAnsi="Cambria Math" w:cs="Cambria Math"/>
                <w:b/>
                <w:bCs/>
                <w:sz w:val="20"/>
                <w:szCs w:val="20"/>
                <w:vertAlign w:val="superscript"/>
                <w:lang w:val="en-GB"/>
              </w:rPr>
              <w:t>-1</w:t>
            </w:r>
            <w:r w:rsidRPr="000B65DC">
              <w:rPr>
                <w:rFonts w:ascii="Arial" w:hAnsi="Arial" w:cs="Arial"/>
                <w:b/>
                <w:bCs/>
                <w:sz w:val="20"/>
                <w:szCs w:val="20"/>
                <w:lang w:val="en-GB"/>
              </w:rPr>
              <w:t>)</w:t>
            </w:r>
          </w:p>
        </w:tc>
      </w:tr>
      <w:tr w:rsidR="00C82A0C" w:rsidRPr="000B65DC" w14:paraId="67C67EBF" w14:textId="77777777" w:rsidTr="00C82A0C">
        <w:tc>
          <w:tcPr>
            <w:tcW w:w="1541" w:type="pct"/>
            <w:hideMark/>
          </w:tcPr>
          <w:p w14:paraId="0C9795E3" w14:textId="77777777" w:rsidR="00C82A0C" w:rsidRPr="000B65DC" w:rsidRDefault="00C82A0C" w:rsidP="00C82A0C">
            <w:pPr>
              <w:jc w:val="both"/>
              <w:rPr>
                <w:rFonts w:ascii="Arial" w:hAnsi="Arial" w:cs="Arial"/>
                <w:sz w:val="20"/>
                <w:szCs w:val="20"/>
                <w:lang w:val="en-GB"/>
              </w:rPr>
            </w:pPr>
            <w:r w:rsidRPr="000B65DC">
              <w:rPr>
                <w:rFonts w:ascii="Arial" w:hAnsi="Arial" w:cs="Arial"/>
                <w:b/>
                <w:bCs/>
                <w:sz w:val="20"/>
                <w:szCs w:val="20"/>
                <w:lang w:val="en-GB"/>
              </w:rPr>
              <w:t>(A) Sulphur levels</w:t>
            </w:r>
          </w:p>
        </w:tc>
        <w:tc>
          <w:tcPr>
            <w:tcW w:w="1666" w:type="pct"/>
            <w:vAlign w:val="center"/>
            <w:hideMark/>
          </w:tcPr>
          <w:p w14:paraId="2E5DEB00" w14:textId="77777777" w:rsidR="00C82A0C" w:rsidRPr="000B65DC" w:rsidRDefault="00C82A0C" w:rsidP="00C82A0C">
            <w:pPr>
              <w:jc w:val="center"/>
              <w:rPr>
                <w:rFonts w:ascii="Arial" w:hAnsi="Arial" w:cs="Arial"/>
                <w:sz w:val="20"/>
                <w:szCs w:val="20"/>
                <w:lang w:val="en-GB"/>
              </w:rPr>
            </w:pPr>
          </w:p>
        </w:tc>
        <w:tc>
          <w:tcPr>
            <w:tcW w:w="1793" w:type="pct"/>
            <w:vAlign w:val="center"/>
            <w:hideMark/>
          </w:tcPr>
          <w:p w14:paraId="640D280E" w14:textId="77777777" w:rsidR="00C82A0C" w:rsidRPr="000B65DC" w:rsidRDefault="00C82A0C" w:rsidP="00C82A0C">
            <w:pPr>
              <w:jc w:val="center"/>
              <w:rPr>
                <w:rFonts w:ascii="Arial" w:hAnsi="Arial" w:cs="Arial"/>
                <w:sz w:val="20"/>
                <w:szCs w:val="20"/>
                <w:lang w:val="en-GB"/>
              </w:rPr>
            </w:pPr>
          </w:p>
        </w:tc>
      </w:tr>
      <w:tr w:rsidR="00C82A0C" w:rsidRPr="000B65DC" w14:paraId="12FEED02" w14:textId="77777777" w:rsidTr="00C82A0C">
        <w:tc>
          <w:tcPr>
            <w:tcW w:w="1541" w:type="pct"/>
            <w:hideMark/>
          </w:tcPr>
          <w:p w14:paraId="44F9412D" w14:textId="77777777" w:rsidR="00C82A0C" w:rsidRPr="000B65DC" w:rsidRDefault="00C82A0C" w:rsidP="00C82A0C">
            <w:pPr>
              <w:jc w:val="both"/>
              <w:rPr>
                <w:rFonts w:ascii="Arial" w:hAnsi="Arial" w:cs="Arial"/>
                <w:sz w:val="20"/>
                <w:szCs w:val="20"/>
                <w:lang w:val="en-GB"/>
              </w:rPr>
            </w:pPr>
            <w:r w:rsidRPr="000B65DC">
              <w:rPr>
                <w:rFonts w:ascii="Arial" w:hAnsi="Arial" w:cs="Arial"/>
                <w:sz w:val="20"/>
                <w:szCs w:val="20"/>
                <w:lang w:val="en-GB"/>
              </w:rPr>
              <w:t>S</w:t>
            </w:r>
            <w:r w:rsidRPr="000B65DC">
              <w:rPr>
                <w:rFonts w:ascii="Cambria Math" w:hAnsi="Cambria Math" w:cs="Cambria Math"/>
                <w:sz w:val="20"/>
                <w:szCs w:val="20"/>
                <w:lang w:val="en-GB"/>
              </w:rPr>
              <w:t>₁</w:t>
            </w:r>
            <w:r w:rsidRPr="000B65DC">
              <w:rPr>
                <w:rFonts w:ascii="Arial" w:hAnsi="Arial" w:cs="Arial"/>
                <w:sz w:val="20"/>
                <w:szCs w:val="20"/>
                <w:lang w:val="en-GB"/>
              </w:rPr>
              <w:t xml:space="preserve"> (0 kg ha</w:t>
            </w:r>
            <w:r w:rsidR="000E099E" w:rsidRPr="000B65DC">
              <w:rPr>
                <w:rFonts w:ascii="Cambria Math" w:hAnsi="Cambria Math" w:cs="Cambria Math"/>
                <w:sz w:val="20"/>
                <w:szCs w:val="20"/>
                <w:vertAlign w:val="superscript"/>
                <w:lang w:val="en-GB"/>
              </w:rPr>
              <w:t>-1</w:t>
            </w:r>
            <w:r w:rsidRPr="000B65DC">
              <w:rPr>
                <w:rFonts w:ascii="Arial" w:hAnsi="Arial" w:cs="Arial"/>
                <w:sz w:val="20"/>
                <w:szCs w:val="20"/>
                <w:lang w:val="en-GB"/>
              </w:rPr>
              <w:t>)</w:t>
            </w:r>
          </w:p>
        </w:tc>
        <w:tc>
          <w:tcPr>
            <w:tcW w:w="1666" w:type="pct"/>
            <w:vAlign w:val="center"/>
            <w:hideMark/>
          </w:tcPr>
          <w:p w14:paraId="29462262" w14:textId="77777777" w:rsidR="00C82A0C" w:rsidRPr="000B65DC" w:rsidRDefault="00C82A0C" w:rsidP="00C82A0C">
            <w:pPr>
              <w:jc w:val="center"/>
              <w:rPr>
                <w:rFonts w:ascii="Arial" w:hAnsi="Arial" w:cs="Arial"/>
                <w:sz w:val="20"/>
                <w:szCs w:val="20"/>
                <w:lang w:val="en-GB"/>
              </w:rPr>
            </w:pPr>
            <w:r w:rsidRPr="000B65DC">
              <w:rPr>
                <w:rFonts w:ascii="Arial" w:hAnsi="Arial" w:cs="Arial"/>
                <w:sz w:val="20"/>
                <w:szCs w:val="20"/>
                <w:lang w:val="en-GB"/>
              </w:rPr>
              <w:t>688.13</w:t>
            </w:r>
          </w:p>
        </w:tc>
        <w:tc>
          <w:tcPr>
            <w:tcW w:w="1793" w:type="pct"/>
            <w:vAlign w:val="center"/>
            <w:hideMark/>
          </w:tcPr>
          <w:p w14:paraId="02A1C493" w14:textId="77777777" w:rsidR="00C82A0C" w:rsidRPr="000B65DC" w:rsidRDefault="00C82A0C" w:rsidP="00C82A0C">
            <w:pPr>
              <w:jc w:val="center"/>
              <w:rPr>
                <w:rFonts w:ascii="Arial" w:hAnsi="Arial" w:cs="Arial"/>
                <w:sz w:val="20"/>
                <w:szCs w:val="20"/>
                <w:lang w:val="en-GB"/>
              </w:rPr>
            </w:pPr>
            <w:r w:rsidRPr="000B65DC">
              <w:rPr>
                <w:rFonts w:ascii="Arial" w:hAnsi="Arial" w:cs="Arial"/>
                <w:sz w:val="20"/>
                <w:szCs w:val="20"/>
                <w:lang w:val="en-GB"/>
              </w:rPr>
              <w:t>1444.20</w:t>
            </w:r>
          </w:p>
        </w:tc>
      </w:tr>
      <w:tr w:rsidR="00C82A0C" w:rsidRPr="000B65DC" w14:paraId="31EDCF99" w14:textId="77777777" w:rsidTr="00C82A0C">
        <w:tc>
          <w:tcPr>
            <w:tcW w:w="1541" w:type="pct"/>
            <w:hideMark/>
          </w:tcPr>
          <w:p w14:paraId="58D722A5" w14:textId="77777777" w:rsidR="00C82A0C" w:rsidRPr="000B65DC" w:rsidRDefault="00C82A0C" w:rsidP="00C82A0C">
            <w:pPr>
              <w:jc w:val="both"/>
              <w:rPr>
                <w:rFonts w:ascii="Arial" w:hAnsi="Arial" w:cs="Arial"/>
                <w:sz w:val="20"/>
                <w:szCs w:val="20"/>
                <w:lang w:val="en-GB"/>
              </w:rPr>
            </w:pPr>
            <w:r w:rsidRPr="000B65DC">
              <w:rPr>
                <w:rFonts w:ascii="Arial" w:hAnsi="Arial" w:cs="Arial"/>
                <w:sz w:val="20"/>
                <w:szCs w:val="20"/>
                <w:lang w:val="en-GB"/>
              </w:rPr>
              <w:t>S</w:t>
            </w:r>
            <w:r w:rsidRPr="000B65DC">
              <w:rPr>
                <w:rFonts w:ascii="Cambria Math" w:hAnsi="Cambria Math" w:cs="Cambria Math"/>
                <w:sz w:val="20"/>
                <w:szCs w:val="20"/>
                <w:lang w:val="en-GB"/>
              </w:rPr>
              <w:t>₂</w:t>
            </w:r>
            <w:r w:rsidRPr="000B65DC">
              <w:rPr>
                <w:rFonts w:ascii="Arial" w:hAnsi="Arial" w:cs="Arial"/>
                <w:sz w:val="20"/>
                <w:szCs w:val="20"/>
                <w:lang w:val="en-GB"/>
              </w:rPr>
              <w:t xml:space="preserve"> (20 kg ha</w:t>
            </w:r>
            <w:r w:rsidR="000E099E" w:rsidRPr="000B65DC">
              <w:rPr>
                <w:rFonts w:ascii="Cambria Math" w:hAnsi="Cambria Math" w:cs="Cambria Math"/>
                <w:sz w:val="20"/>
                <w:szCs w:val="20"/>
                <w:vertAlign w:val="superscript"/>
                <w:lang w:val="en-GB"/>
              </w:rPr>
              <w:t>-1</w:t>
            </w:r>
            <w:r w:rsidRPr="000B65DC">
              <w:rPr>
                <w:rFonts w:ascii="Arial" w:hAnsi="Arial" w:cs="Arial"/>
                <w:sz w:val="20"/>
                <w:szCs w:val="20"/>
                <w:lang w:val="en-GB"/>
              </w:rPr>
              <w:t>)</w:t>
            </w:r>
          </w:p>
        </w:tc>
        <w:tc>
          <w:tcPr>
            <w:tcW w:w="1666" w:type="pct"/>
            <w:vAlign w:val="center"/>
            <w:hideMark/>
          </w:tcPr>
          <w:p w14:paraId="5058F845" w14:textId="77777777" w:rsidR="00C82A0C" w:rsidRPr="000B65DC" w:rsidRDefault="00C82A0C" w:rsidP="00C82A0C">
            <w:pPr>
              <w:jc w:val="center"/>
              <w:rPr>
                <w:rFonts w:ascii="Arial" w:hAnsi="Arial" w:cs="Arial"/>
                <w:sz w:val="20"/>
                <w:szCs w:val="20"/>
                <w:lang w:val="en-GB"/>
              </w:rPr>
            </w:pPr>
            <w:r w:rsidRPr="000B65DC">
              <w:rPr>
                <w:rFonts w:ascii="Arial" w:hAnsi="Arial" w:cs="Arial"/>
                <w:sz w:val="20"/>
                <w:szCs w:val="20"/>
                <w:lang w:val="en-GB"/>
              </w:rPr>
              <w:t>755.90</w:t>
            </w:r>
          </w:p>
        </w:tc>
        <w:tc>
          <w:tcPr>
            <w:tcW w:w="1793" w:type="pct"/>
            <w:vAlign w:val="center"/>
            <w:hideMark/>
          </w:tcPr>
          <w:p w14:paraId="0039513A" w14:textId="77777777" w:rsidR="00C82A0C" w:rsidRPr="000B65DC" w:rsidRDefault="00C82A0C" w:rsidP="00C82A0C">
            <w:pPr>
              <w:jc w:val="center"/>
              <w:rPr>
                <w:rFonts w:ascii="Arial" w:hAnsi="Arial" w:cs="Arial"/>
                <w:sz w:val="20"/>
                <w:szCs w:val="20"/>
                <w:lang w:val="en-GB"/>
              </w:rPr>
            </w:pPr>
            <w:r w:rsidRPr="000B65DC">
              <w:rPr>
                <w:rFonts w:ascii="Arial" w:hAnsi="Arial" w:cs="Arial"/>
                <w:sz w:val="20"/>
                <w:szCs w:val="20"/>
                <w:lang w:val="en-GB"/>
              </w:rPr>
              <w:t>1598.80</w:t>
            </w:r>
          </w:p>
        </w:tc>
      </w:tr>
      <w:tr w:rsidR="00C82A0C" w:rsidRPr="000B65DC" w14:paraId="32C5418F" w14:textId="77777777" w:rsidTr="00C82A0C">
        <w:tc>
          <w:tcPr>
            <w:tcW w:w="1541" w:type="pct"/>
            <w:hideMark/>
          </w:tcPr>
          <w:p w14:paraId="0B41FCE6" w14:textId="77777777" w:rsidR="00C82A0C" w:rsidRPr="000B65DC" w:rsidRDefault="00C82A0C" w:rsidP="00C82A0C">
            <w:pPr>
              <w:jc w:val="both"/>
              <w:rPr>
                <w:rFonts w:ascii="Arial" w:hAnsi="Arial" w:cs="Arial"/>
                <w:sz w:val="20"/>
                <w:szCs w:val="20"/>
                <w:lang w:val="en-GB"/>
              </w:rPr>
            </w:pPr>
            <w:r w:rsidRPr="000B65DC">
              <w:rPr>
                <w:rFonts w:ascii="Arial" w:hAnsi="Arial" w:cs="Arial"/>
                <w:sz w:val="20"/>
                <w:szCs w:val="20"/>
                <w:lang w:val="en-GB"/>
              </w:rPr>
              <w:lastRenderedPageBreak/>
              <w:t>S</w:t>
            </w:r>
            <w:r w:rsidRPr="000B65DC">
              <w:rPr>
                <w:rFonts w:ascii="Cambria Math" w:hAnsi="Cambria Math" w:cs="Cambria Math"/>
                <w:sz w:val="20"/>
                <w:szCs w:val="20"/>
                <w:lang w:val="en-GB"/>
              </w:rPr>
              <w:t>₃</w:t>
            </w:r>
            <w:r w:rsidRPr="000B65DC">
              <w:rPr>
                <w:rFonts w:ascii="Arial" w:hAnsi="Arial" w:cs="Arial"/>
                <w:sz w:val="20"/>
                <w:szCs w:val="20"/>
                <w:lang w:val="en-GB"/>
              </w:rPr>
              <w:t xml:space="preserve"> (40 kg ha</w:t>
            </w:r>
            <w:r w:rsidR="000E099E" w:rsidRPr="000B65DC">
              <w:rPr>
                <w:rFonts w:ascii="Cambria Math" w:hAnsi="Cambria Math" w:cs="Cambria Math"/>
                <w:sz w:val="20"/>
                <w:szCs w:val="20"/>
                <w:vertAlign w:val="superscript"/>
                <w:lang w:val="en-GB"/>
              </w:rPr>
              <w:t>-1</w:t>
            </w:r>
            <w:r w:rsidRPr="000B65DC">
              <w:rPr>
                <w:rFonts w:ascii="Arial" w:hAnsi="Arial" w:cs="Arial"/>
                <w:sz w:val="20"/>
                <w:szCs w:val="20"/>
                <w:lang w:val="en-GB"/>
              </w:rPr>
              <w:t>)</w:t>
            </w:r>
          </w:p>
        </w:tc>
        <w:tc>
          <w:tcPr>
            <w:tcW w:w="1666" w:type="pct"/>
            <w:vAlign w:val="center"/>
            <w:hideMark/>
          </w:tcPr>
          <w:p w14:paraId="7D8FBD05" w14:textId="77777777" w:rsidR="00C82A0C" w:rsidRPr="000B65DC" w:rsidRDefault="00C82A0C" w:rsidP="00C82A0C">
            <w:pPr>
              <w:jc w:val="center"/>
              <w:rPr>
                <w:rFonts w:ascii="Arial" w:hAnsi="Arial" w:cs="Arial"/>
                <w:sz w:val="20"/>
                <w:szCs w:val="20"/>
                <w:lang w:val="en-GB"/>
              </w:rPr>
            </w:pPr>
            <w:r w:rsidRPr="000B65DC">
              <w:rPr>
                <w:rFonts w:ascii="Arial" w:hAnsi="Arial" w:cs="Arial"/>
                <w:sz w:val="20"/>
                <w:szCs w:val="20"/>
                <w:lang w:val="en-GB"/>
              </w:rPr>
              <w:t>828.53</w:t>
            </w:r>
          </w:p>
        </w:tc>
        <w:tc>
          <w:tcPr>
            <w:tcW w:w="1793" w:type="pct"/>
            <w:vAlign w:val="center"/>
            <w:hideMark/>
          </w:tcPr>
          <w:p w14:paraId="0E53753C" w14:textId="77777777" w:rsidR="00C82A0C" w:rsidRPr="000B65DC" w:rsidRDefault="00C82A0C" w:rsidP="00C82A0C">
            <w:pPr>
              <w:jc w:val="center"/>
              <w:rPr>
                <w:rFonts w:ascii="Arial" w:hAnsi="Arial" w:cs="Arial"/>
                <w:sz w:val="20"/>
                <w:szCs w:val="20"/>
                <w:lang w:val="en-GB"/>
              </w:rPr>
            </w:pPr>
            <w:r w:rsidRPr="000B65DC">
              <w:rPr>
                <w:rFonts w:ascii="Arial" w:hAnsi="Arial" w:cs="Arial"/>
                <w:sz w:val="20"/>
                <w:szCs w:val="20"/>
                <w:lang w:val="en-GB"/>
              </w:rPr>
              <w:t>1744.36</w:t>
            </w:r>
          </w:p>
        </w:tc>
      </w:tr>
      <w:tr w:rsidR="00C82A0C" w:rsidRPr="000B65DC" w14:paraId="2E78231F" w14:textId="77777777" w:rsidTr="00C82A0C">
        <w:tc>
          <w:tcPr>
            <w:tcW w:w="1541" w:type="pct"/>
            <w:hideMark/>
          </w:tcPr>
          <w:p w14:paraId="5470DEB8" w14:textId="77777777" w:rsidR="00C82A0C" w:rsidRPr="000B65DC" w:rsidRDefault="00C82A0C" w:rsidP="00C82A0C">
            <w:pPr>
              <w:jc w:val="right"/>
              <w:rPr>
                <w:rFonts w:ascii="Arial" w:hAnsi="Arial" w:cs="Arial"/>
                <w:b/>
                <w:bCs/>
                <w:sz w:val="20"/>
                <w:szCs w:val="20"/>
                <w:lang w:val="en-GB"/>
              </w:rPr>
            </w:pPr>
            <w:proofErr w:type="spellStart"/>
            <w:r w:rsidRPr="000B65DC">
              <w:rPr>
                <w:rFonts w:ascii="Arial" w:hAnsi="Arial" w:cs="Arial"/>
                <w:b/>
                <w:bCs/>
                <w:sz w:val="20"/>
                <w:szCs w:val="20"/>
                <w:lang w:val="en-GB"/>
              </w:rPr>
              <w:t>S.Em</w:t>
            </w:r>
            <w:proofErr w:type="spellEnd"/>
            <w:r w:rsidRPr="000B65DC">
              <w:rPr>
                <w:rFonts w:ascii="Arial" w:hAnsi="Arial" w:cs="Arial"/>
                <w:b/>
                <w:bCs/>
                <w:sz w:val="20"/>
                <w:szCs w:val="20"/>
                <w:lang w:val="en-GB"/>
              </w:rPr>
              <w:t>. ±</w:t>
            </w:r>
          </w:p>
        </w:tc>
        <w:tc>
          <w:tcPr>
            <w:tcW w:w="1666" w:type="pct"/>
            <w:vAlign w:val="center"/>
            <w:hideMark/>
          </w:tcPr>
          <w:p w14:paraId="091D1589" w14:textId="77777777" w:rsidR="00C82A0C" w:rsidRPr="000B65DC" w:rsidRDefault="00C82A0C" w:rsidP="00C82A0C">
            <w:pPr>
              <w:jc w:val="center"/>
              <w:rPr>
                <w:rFonts w:ascii="Arial" w:hAnsi="Arial" w:cs="Arial"/>
                <w:b/>
                <w:bCs/>
                <w:sz w:val="20"/>
                <w:szCs w:val="20"/>
                <w:lang w:val="en-GB"/>
              </w:rPr>
            </w:pPr>
            <w:r w:rsidRPr="000B65DC">
              <w:rPr>
                <w:rFonts w:ascii="Arial" w:hAnsi="Arial" w:cs="Arial"/>
                <w:b/>
                <w:bCs/>
                <w:sz w:val="20"/>
                <w:szCs w:val="20"/>
                <w:lang w:val="en-GB"/>
              </w:rPr>
              <w:t>16.39</w:t>
            </w:r>
          </w:p>
        </w:tc>
        <w:tc>
          <w:tcPr>
            <w:tcW w:w="1793" w:type="pct"/>
            <w:vAlign w:val="center"/>
            <w:hideMark/>
          </w:tcPr>
          <w:p w14:paraId="3BCFD055" w14:textId="77777777" w:rsidR="00C82A0C" w:rsidRPr="000B65DC" w:rsidRDefault="00C82A0C" w:rsidP="00C82A0C">
            <w:pPr>
              <w:jc w:val="center"/>
              <w:rPr>
                <w:rFonts w:ascii="Arial" w:hAnsi="Arial" w:cs="Arial"/>
                <w:b/>
                <w:bCs/>
                <w:sz w:val="20"/>
                <w:szCs w:val="20"/>
                <w:lang w:val="en-GB"/>
              </w:rPr>
            </w:pPr>
            <w:r w:rsidRPr="000B65DC">
              <w:rPr>
                <w:rFonts w:ascii="Arial" w:hAnsi="Arial" w:cs="Arial"/>
                <w:b/>
                <w:bCs/>
                <w:sz w:val="20"/>
                <w:szCs w:val="20"/>
                <w:lang w:val="en-GB"/>
              </w:rPr>
              <w:t>17.44</w:t>
            </w:r>
          </w:p>
        </w:tc>
      </w:tr>
      <w:tr w:rsidR="00C82A0C" w:rsidRPr="000B65DC" w14:paraId="1CD79135" w14:textId="77777777" w:rsidTr="00C82A0C">
        <w:tc>
          <w:tcPr>
            <w:tcW w:w="1541" w:type="pct"/>
            <w:hideMark/>
          </w:tcPr>
          <w:p w14:paraId="51E838B9" w14:textId="77777777" w:rsidR="00C82A0C" w:rsidRPr="000B65DC" w:rsidRDefault="00C82A0C" w:rsidP="00C82A0C">
            <w:pPr>
              <w:jc w:val="right"/>
              <w:rPr>
                <w:rFonts w:ascii="Arial" w:hAnsi="Arial" w:cs="Arial"/>
                <w:b/>
                <w:bCs/>
                <w:sz w:val="20"/>
                <w:szCs w:val="20"/>
                <w:lang w:val="en-GB"/>
              </w:rPr>
            </w:pPr>
            <w:r w:rsidRPr="000B65DC">
              <w:rPr>
                <w:rFonts w:ascii="Arial" w:hAnsi="Arial" w:cs="Arial"/>
                <w:b/>
                <w:bCs/>
                <w:sz w:val="20"/>
                <w:szCs w:val="20"/>
                <w:lang w:val="en-GB"/>
              </w:rPr>
              <w:t>CD at 5%</w:t>
            </w:r>
          </w:p>
        </w:tc>
        <w:tc>
          <w:tcPr>
            <w:tcW w:w="1666" w:type="pct"/>
            <w:vAlign w:val="center"/>
            <w:hideMark/>
          </w:tcPr>
          <w:p w14:paraId="54D4F097" w14:textId="77777777" w:rsidR="00C82A0C" w:rsidRPr="000B65DC" w:rsidRDefault="00C82A0C" w:rsidP="00C82A0C">
            <w:pPr>
              <w:jc w:val="center"/>
              <w:rPr>
                <w:rFonts w:ascii="Arial" w:hAnsi="Arial" w:cs="Arial"/>
                <w:b/>
                <w:bCs/>
                <w:sz w:val="20"/>
                <w:szCs w:val="20"/>
                <w:lang w:val="en-GB"/>
              </w:rPr>
            </w:pPr>
            <w:r w:rsidRPr="000B65DC">
              <w:rPr>
                <w:rFonts w:ascii="Arial" w:hAnsi="Arial" w:cs="Arial"/>
                <w:b/>
                <w:bCs/>
                <w:sz w:val="20"/>
                <w:szCs w:val="20"/>
                <w:lang w:val="en-GB"/>
              </w:rPr>
              <w:t>47.83</w:t>
            </w:r>
          </w:p>
        </w:tc>
        <w:tc>
          <w:tcPr>
            <w:tcW w:w="1793" w:type="pct"/>
            <w:vAlign w:val="center"/>
            <w:hideMark/>
          </w:tcPr>
          <w:p w14:paraId="081EB377" w14:textId="77777777" w:rsidR="00C82A0C" w:rsidRPr="000B65DC" w:rsidRDefault="00C82A0C" w:rsidP="00C82A0C">
            <w:pPr>
              <w:jc w:val="center"/>
              <w:rPr>
                <w:rFonts w:ascii="Arial" w:hAnsi="Arial" w:cs="Arial"/>
                <w:b/>
                <w:bCs/>
                <w:sz w:val="20"/>
                <w:szCs w:val="20"/>
                <w:lang w:val="en-GB"/>
              </w:rPr>
            </w:pPr>
            <w:r w:rsidRPr="000B65DC">
              <w:rPr>
                <w:rFonts w:ascii="Arial" w:hAnsi="Arial" w:cs="Arial"/>
                <w:b/>
                <w:bCs/>
                <w:sz w:val="20"/>
                <w:szCs w:val="20"/>
                <w:lang w:val="en-GB"/>
              </w:rPr>
              <w:t>50.90</w:t>
            </w:r>
          </w:p>
        </w:tc>
      </w:tr>
      <w:tr w:rsidR="00C82A0C" w:rsidRPr="000B65DC" w14:paraId="34D347D9" w14:textId="77777777" w:rsidTr="00C82A0C">
        <w:tc>
          <w:tcPr>
            <w:tcW w:w="1541" w:type="pct"/>
            <w:hideMark/>
          </w:tcPr>
          <w:p w14:paraId="14EA61D8" w14:textId="77777777" w:rsidR="00C82A0C" w:rsidRPr="000B65DC" w:rsidRDefault="00C82A0C" w:rsidP="00C82A0C">
            <w:pPr>
              <w:jc w:val="both"/>
              <w:rPr>
                <w:rFonts w:ascii="Arial" w:hAnsi="Arial" w:cs="Arial"/>
                <w:sz w:val="20"/>
                <w:szCs w:val="20"/>
                <w:lang w:val="en-GB"/>
              </w:rPr>
            </w:pPr>
            <w:r w:rsidRPr="000B65DC">
              <w:rPr>
                <w:rFonts w:ascii="Arial" w:hAnsi="Arial" w:cs="Arial"/>
                <w:b/>
                <w:bCs/>
                <w:sz w:val="20"/>
                <w:szCs w:val="20"/>
                <w:lang w:val="en-GB"/>
              </w:rPr>
              <w:t>(B) Zinc levels</w:t>
            </w:r>
          </w:p>
        </w:tc>
        <w:tc>
          <w:tcPr>
            <w:tcW w:w="1666" w:type="pct"/>
            <w:vAlign w:val="center"/>
            <w:hideMark/>
          </w:tcPr>
          <w:p w14:paraId="7EB848CC" w14:textId="77777777" w:rsidR="00C82A0C" w:rsidRPr="000B65DC" w:rsidRDefault="00C82A0C" w:rsidP="00C82A0C">
            <w:pPr>
              <w:jc w:val="center"/>
              <w:rPr>
                <w:rFonts w:ascii="Arial" w:hAnsi="Arial" w:cs="Arial"/>
                <w:sz w:val="20"/>
                <w:szCs w:val="20"/>
                <w:lang w:val="en-GB"/>
              </w:rPr>
            </w:pPr>
          </w:p>
        </w:tc>
        <w:tc>
          <w:tcPr>
            <w:tcW w:w="1793" w:type="pct"/>
            <w:vAlign w:val="center"/>
            <w:hideMark/>
          </w:tcPr>
          <w:p w14:paraId="7ECDB630" w14:textId="77777777" w:rsidR="00C82A0C" w:rsidRPr="000B65DC" w:rsidRDefault="00C82A0C" w:rsidP="00C82A0C">
            <w:pPr>
              <w:jc w:val="center"/>
              <w:rPr>
                <w:rFonts w:ascii="Arial" w:hAnsi="Arial" w:cs="Arial"/>
                <w:sz w:val="20"/>
                <w:szCs w:val="20"/>
                <w:lang w:val="en-GB"/>
              </w:rPr>
            </w:pPr>
          </w:p>
        </w:tc>
      </w:tr>
      <w:tr w:rsidR="00C82A0C" w:rsidRPr="000B65DC" w14:paraId="3E58216B" w14:textId="77777777" w:rsidTr="00C82A0C">
        <w:tc>
          <w:tcPr>
            <w:tcW w:w="1541" w:type="pct"/>
            <w:hideMark/>
          </w:tcPr>
          <w:p w14:paraId="287825C7" w14:textId="77777777" w:rsidR="00C82A0C" w:rsidRPr="000B65DC" w:rsidRDefault="00C82A0C" w:rsidP="00C82A0C">
            <w:pPr>
              <w:jc w:val="both"/>
              <w:rPr>
                <w:rFonts w:ascii="Arial" w:hAnsi="Arial" w:cs="Arial"/>
                <w:sz w:val="20"/>
                <w:szCs w:val="20"/>
                <w:lang w:val="en-GB"/>
              </w:rPr>
            </w:pPr>
            <w:r w:rsidRPr="000B65DC">
              <w:rPr>
                <w:rFonts w:ascii="Arial" w:hAnsi="Arial" w:cs="Arial"/>
                <w:sz w:val="20"/>
                <w:szCs w:val="20"/>
                <w:lang w:val="en-GB"/>
              </w:rPr>
              <w:t>Zn</w:t>
            </w:r>
            <w:r w:rsidRPr="000B65DC">
              <w:rPr>
                <w:rFonts w:ascii="Cambria Math" w:hAnsi="Cambria Math" w:cs="Cambria Math"/>
                <w:sz w:val="20"/>
                <w:szCs w:val="20"/>
                <w:lang w:val="en-GB"/>
              </w:rPr>
              <w:t>₁</w:t>
            </w:r>
            <w:r w:rsidRPr="000B65DC">
              <w:rPr>
                <w:rFonts w:ascii="Arial" w:hAnsi="Arial" w:cs="Arial"/>
                <w:sz w:val="20"/>
                <w:szCs w:val="20"/>
                <w:lang w:val="en-GB"/>
              </w:rPr>
              <w:t xml:space="preserve"> (0 kg ha</w:t>
            </w:r>
            <w:r w:rsidR="000E099E" w:rsidRPr="000B65DC">
              <w:rPr>
                <w:rFonts w:ascii="Cambria Math" w:hAnsi="Cambria Math" w:cs="Cambria Math"/>
                <w:sz w:val="20"/>
                <w:szCs w:val="20"/>
                <w:vertAlign w:val="superscript"/>
                <w:lang w:val="en-GB"/>
              </w:rPr>
              <w:t>-1</w:t>
            </w:r>
            <w:r w:rsidRPr="000B65DC">
              <w:rPr>
                <w:rFonts w:ascii="Arial" w:hAnsi="Arial" w:cs="Arial"/>
                <w:sz w:val="20"/>
                <w:szCs w:val="20"/>
                <w:lang w:val="en-GB"/>
              </w:rPr>
              <w:t>)</w:t>
            </w:r>
          </w:p>
        </w:tc>
        <w:tc>
          <w:tcPr>
            <w:tcW w:w="1666" w:type="pct"/>
            <w:vAlign w:val="center"/>
            <w:hideMark/>
          </w:tcPr>
          <w:p w14:paraId="244E03E2" w14:textId="77777777" w:rsidR="00C82A0C" w:rsidRPr="000B65DC" w:rsidRDefault="00C82A0C" w:rsidP="00C82A0C">
            <w:pPr>
              <w:jc w:val="center"/>
              <w:rPr>
                <w:rFonts w:ascii="Arial" w:hAnsi="Arial" w:cs="Arial"/>
                <w:sz w:val="20"/>
                <w:szCs w:val="20"/>
                <w:lang w:val="en-GB"/>
              </w:rPr>
            </w:pPr>
            <w:r w:rsidRPr="000B65DC">
              <w:rPr>
                <w:rFonts w:ascii="Arial" w:hAnsi="Arial" w:cs="Arial"/>
                <w:sz w:val="20"/>
                <w:szCs w:val="20"/>
                <w:lang w:val="en-GB"/>
              </w:rPr>
              <w:t>725.38</w:t>
            </w:r>
          </w:p>
        </w:tc>
        <w:tc>
          <w:tcPr>
            <w:tcW w:w="1793" w:type="pct"/>
            <w:vAlign w:val="center"/>
            <w:hideMark/>
          </w:tcPr>
          <w:p w14:paraId="5FF7BE9B" w14:textId="77777777" w:rsidR="00C82A0C" w:rsidRPr="000B65DC" w:rsidRDefault="00C82A0C" w:rsidP="00C82A0C">
            <w:pPr>
              <w:jc w:val="center"/>
              <w:rPr>
                <w:rFonts w:ascii="Arial" w:hAnsi="Arial" w:cs="Arial"/>
                <w:sz w:val="20"/>
                <w:szCs w:val="20"/>
                <w:lang w:val="en-GB"/>
              </w:rPr>
            </w:pPr>
            <w:r w:rsidRPr="000B65DC">
              <w:rPr>
                <w:rFonts w:ascii="Arial" w:hAnsi="Arial" w:cs="Arial"/>
                <w:sz w:val="20"/>
                <w:szCs w:val="20"/>
                <w:lang w:val="en-GB"/>
              </w:rPr>
              <w:t>1552.99</w:t>
            </w:r>
          </w:p>
        </w:tc>
      </w:tr>
      <w:tr w:rsidR="00C82A0C" w:rsidRPr="000B65DC" w14:paraId="63788C83" w14:textId="77777777" w:rsidTr="00C82A0C">
        <w:tc>
          <w:tcPr>
            <w:tcW w:w="1541" w:type="pct"/>
            <w:hideMark/>
          </w:tcPr>
          <w:p w14:paraId="5606C8EE" w14:textId="77777777" w:rsidR="00C82A0C" w:rsidRPr="000B65DC" w:rsidRDefault="00C82A0C" w:rsidP="00C82A0C">
            <w:pPr>
              <w:jc w:val="both"/>
              <w:rPr>
                <w:rFonts w:ascii="Arial" w:hAnsi="Arial" w:cs="Arial"/>
                <w:sz w:val="20"/>
                <w:szCs w:val="20"/>
                <w:lang w:val="en-GB"/>
              </w:rPr>
            </w:pPr>
            <w:r w:rsidRPr="000B65DC">
              <w:rPr>
                <w:rFonts w:ascii="Arial" w:hAnsi="Arial" w:cs="Arial"/>
                <w:sz w:val="20"/>
                <w:szCs w:val="20"/>
                <w:lang w:val="en-GB"/>
              </w:rPr>
              <w:t>Zn</w:t>
            </w:r>
            <w:r w:rsidRPr="000B65DC">
              <w:rPr>
                <w:rFonts w:ascii="Cambria Math" w:hAnsi="Cambria Math" w:cs="Cambria Math"/>
                <w:sz w:val="20"/>
                <w:szCs w:val="20"/>
                <w:lang w:val="en-GB"/>
              </w:rPr>
              <w:t>₂</w:t>
            </w:r>
            <w:r w:rsidRPr="000B65DC">
              <w:rPr>
                <w:rFonts w:ascii="Arial" w:hAnsi="Arial" w:cs="Arial"/>
                <w:sz w:val="20"/>
                <w:szCs w:val="20"/>
                <w:lang w:val="en-GB"/>
              </w:rPr>
              <w:t xml:space="preserve"> (2.5 kg ha</w:t>
            </w:r>
            <w:r w:rsidR="000E099E" w:rsidRPr="000B65DC">
              <w:rPr>
                <w:rFonts w:ascii="Cambria Math" w:hAnsi="Cambria Math" w:cs="Cambria Math"/>
                <w:sz w:val="20"/>
                <w:szCs w:val="20"/>
                <w:vertAlign w:val="superscript"/>
                <w:lang w:val="en-GB"/>
              </w:rPr>
              <w:t>-1</w:t>
            </w:r>
            <w:r w:rsidRPr="000B65DC">
              <w:rPr>
                <w:rFonts w:ascii="Arial" w:hAnsi="Arial" w:cs="Arial"/>
                <w:sz w:val="20"/>
                <w:szCs w:val="20"/>
                <w:lang w:val="en-GB"/>
              </w:rPr>
              <w:t>)</w:t>
            </w:r>
          </w:p>
        </w:tc>
        <w:tc>
          <w:tcPr>
            <w:tcW w:w="1666" w:type="pct"/>
            <w:vAlign w:val="center"/>
            <w:hideMark/>
          </w:tcPr>
          <w:p w14:paraId="5D57421A" w14:textId="77777777" w:rsidR="00C82A0C" w:rsidRPr="000B65DC" w:rsidRDefault="00C82A0C" w:rsidP="00C82A0C">
            <w:pPr>
              <w:jc w:val="center"/>
              <w:rPr>
                <w:rFonts w:ascii="Arial" w:hAnsi="Arial" w:cs="Arial"/>
                <w:sz w:val="20"/>
                <w:szCs w:val="20"/>
                <w:lang w:val="en-GB"/>
              </w:rPr>
            </w:pPr>
            <w:r w:rsidRPr="000B65DC">
              <w:rPr>
                <w:rFonts w:ascii="Arial" w:hAnsi="Arial" w:cs="Arial"/>
                <w:sz w:val="20"/>
                <w:szCs w:val="20"/>
                <w:lang w:val="en-GB"/>
              </w:rPr>
              <w:t>748.39</w:t>
            </w:r>
          </w:p>
        </w:tc>
        <w:tc>
          <w:tcPr>
            <w:tcW w:w="1793" w:type="pct"/>
            <w:vAlign w:val="center"/>
            <w:hideMark/>
          </w:tcPr>
          <w:p w14:paraId="778FD202" w14:textId="77777777" w:rsidR="00C82A0C" w:rsidRPr="000B65DC" w:rsidRDefault="00C82A0C" w:rsidP="00C82A0C">
            <w:pPr>
              <w:jc w:val="center"/>
              <w:rPr>
                <w:rFonts w:ascii="Arial" w:hAnsi="Arial" w:cs="Arial"/>
                <w:sz w:val="20"/>
                <w:szCs w:val="20"/>
                <w:lang w:val="en-GB"/>
              </w:rPr>
            </w:pPr>
            <w:r w:rsidRPr="000B65DC">
              <w:rPr>
                <w:rFonts w:ascii="Arial" w:hAnsi="Arial" w:cs="Arial"/>
                <w:sz w:val="20"/>
                <w:szCs w:val="20"/>
                <w:lang w:val="en-GB"/>
              </w:rPr>
              <w:t>1574.78</w:t>
            </w:r>
          </w:p>
        </w:tc>
      </w:tr>
      <w:tr w:rsidR="00C82A0C" w:rsidRPr="000B65DC" w14:paraId="65EC58B6" w14:textId="77777777" w:rsidTr="00C82A0C">
        <w:tc>
          <w:tcPr>
            <w:tcW w:w="1541" w:type="pct"/>
            <w:hideMark/>
          </w:tcPr>
          <w:p w14:paraId="22B36C1C" w14:textId="77777777" w:rsidR="00C82A0C" w:rsidRPr="000B65DC" w:rsidRDefault="00C82A0C" w:rsidP="00C82A0C">
            <w:pPr>
              <w:jc w:val="both"/>
              <w:rPr>
                <w:rFonts w:ascii="Arial" w:hAnsi="Arial" w:cs="Arial"/>
                <w:sz w:val="20"/>
                <w:szCs w:val="20"/>
                <w:lang w:val="en-GB"/>
              </w:rPr>
            </w:pPr>
            <w:r w:rsidRPr="000B65DC">
              <w:rPr>
                <w:rFonts w:ascii="Arial" w:hAnsi="Arial" w:cs="Arial"/>
                <w:sz w:val="20"/>
                <w:szCs w:val="20"/>
                <w:lang w:val="en-GB"/>
              </w:rPr>
              <w:t>Zn</w:t>
            </w:r>
            <w:r w:rsidRPr="000B65DC">
              <w:rPr>
                <w:rFonts w:ascii="Cambria Math" w:hAnsi="Cambria Math" w:cs="Cambria Math"/>
                <w:sz w:val="20"/>
                <w:szCs w:val="20"/>
                <w:lang w:val="en-GB"/>
              </w:rPr>
              <w:t>₃</w:t>
            </w:r>
            <w:r w:rsidRPr="000B65DC">
              <w:rPr>
                <w:rFonts w:ascii="Arial" w:hAnsi="Arial" w:cs="Arial"/>
                <w:sz w:val="20"/>
                <w:szCs w:val="20"/>
                <w:lang w:val="en-GB"/>
              </w:rPr>
              <w:t xml:space="preserve"> (5.0 kg ha</w:t>
            </w:r>
            <w:r w:rsidR="000E099E" w:rsidRPr="000B65DC">
              <w:rPr>
                <w:rFonts w:ascii="Cambria Math" w:hAnsi="Cambria Math" w:cs="Cambria Math"/>
                <w:sz w:val="20"/>
                <w:szCs w:val="20"/>
                <w:vertAlign w:val="superscript"/>
                <w:lang w:val="en-GB"/>
              </w:rPr>
              <w:t>-1</w:t>
            </w:r>
            <w:r w:rsidRPr="000B65DC">
              <w:rPr>
                <w:rFonts w:ascii="Arial" w:hAnsi="Arial" w:cs="Arial"/>
                <w:sz w:val="20"/>
                <w:szCs w:val="20"/>
                <w:lang w:val="en-GB"/>
              </w:rPr>
              <w:t>)</w:t>
            </w:r>
          </w:p>
        </w:tc>
        <w:tc>
          <w:tcPr>
            <w:tcW w:w="1666" w:type="pct"/>
            <w:vAlign w:val="center"/>
            <w:hideMark/>
          </w:tcPr>
          <w:p w14:paraId="584744F0" w14:textId="77777777" w:rsidR="00C82A0C" w:rsidRPr="000B65DC" w:rsidRDefault="00C82A0C" w:rsidP="00C82A0C">
            <w:pPr>
              <w:jc w:val="center"/>
              <w:rPr>
                <w:rFonts w:ascii="Arial" w:hAnsi="Arial" w:cs="Arial"/>
                <w:sz w:val="20"/>
                <w:szCs w:val="20"/>
                <w:lang w:val="en-GB"/>
              </w:rPr>
            </w:pPr>
            <w:r w:rsidRPr="000B65DC">
              <w:rPr>
                <w:rFonts w:ascii="Arial" w:hAnsi="Arial" w:cs="Arial"/>
                <w:sz w:val="20"/>
                <w:szCs w:val="20"/>
                <w:lang w:val="en-GB"/>
              </w:rPr>
              <w:t>798.79</w:t>
            </w:r>
          </w:p>
        </w:tc>
        <w:tc>
          <w:tcPr>
            <w:tcW w:w="1793" w:type="pct"/>
            <w:vAlign w:val="center"/>
            <w:hideMark/>
          </w:tcPr>
          <w:p w14:paraId="412C9210" w14:textId="77777777" w:rsidR="00C82A0C" w:rsidRPr="000B65DC" w:rsidRDefault="00C82A0C" w:rsidP="00C82A0C">
            <w:pPr>
              <w:jc w:val="center"/>
              <w:rPr>
                <w:rFonts w:ascii="Arial" w:hAnsi="Arial" w:cs="Arial"/>
                <w:sz w:val="20"/>
                <w:szCs w:val="20"/>
                <w:lang w:val="en-GB"/>
              </w:rPr>
            </w:pPr>
            <w:r w:rsidRPr="000B65DC">
              <w:rPr>
                <w:rFonts w:ascii="Arial" w:hAnsi="Arial" w:cs="Arial"/>
                <w:sz w:val="20"/>
                <w:szCs w:val="20"/>
                <w:lang w:val="en-GB"/>
              </w:rPr>
              <w:t>1659.58</w:t>
            </w:r>
          </w:p>
        </w:tc>
      </w:tr>
      <w:tr w:rsidR="00C82A0C" w:rsidRPr="000B65DC" w14:paraId="4C87BA35" w14:textId="77777777" w:rsidTr="00C82A0C">
        <w:tc>
          <w:tcPr>
            <w:tcW w:w="1541" w:type="pct"/>
            <w:hideMark/>
          </w:tcPr>
          <w:p w14:paraId="37142359" w14:textId="77777777" w:rsidR="00C82A0C" w:rsidRPr="000B65DC" w:rsidRDefault="00C82A0C" w:rsidP="00C82A0C">
            <w:pPr>
              <w:jc w:val="right"/>
              <w:rPr>
                <w:rFonts w:ascii="Arial" w:hAnsi="Arial" w:cs="Arial"/>
                <w:b/>
                <w:bCs/>
                <w:sz w:val="20"/>
                <w:szCs w:val="20"/>
                <w:lang w:val="en-GB"/>
              </w:rPr>
            </w:pPr>
            <w:proofErr w:type="spellStart"/>
            <w:r w:rsidRPr="000B65DC">
              <w:rPr>
                <w:rFonts w:ascii="Arial" w:hAnsi="Arial" w:cs="Arial"/>
                <w:b/>
                <w:bCs/>
                <w:sz w:val="20"/>
                <w:szCs w:val="20"/>
                <w:lang w:val="en-GB"/>
              </w:rPr>
              <w:t>S.Em</w:t>
            </w:r>
            <w:proofErr w:type="spellEnd"/>
            <w:r w:rsidRPr="000B65DC">
              <w:rPr>
                <w:rFonts w:ascii="Arial" w:hAnsi="Arial" w:cs="Arial"/>
                <w:b/>
                <w:bCs/>
                <w:sz w:val="20"/>
                <w:szCs w:val="20"/>
                <w:lang w:val="en-GB"/>
              </w:rPr>
              <w:t>. ±</w:t>
            </w:r>
          </w:p>
        </w:tc>
        <w:tc>
          <w:tcPr>
            <w:tcW w:w="1666" w:type="pct"/>
            <w:vAlign w:val="center"/>
            <w:hideMark/>
          </w:tcPr>
          <w:p w14:paraId="1A9CD005" w14:textId="77777777" w:rsidR="00C82A0C" w:rsidRPr="000B65DC" w:rsidRDefault="00C82A0C" w:rsidP="00C82A0C">
            <w:pPr>
              <w:jc w:val="center"/>
              <w:rPr>
                <w:rFonts w:ascii="Arial" w:hAnsi="Arial" w:cs="Arial"/>
                <w:b/>
                <w:bCs/>
                <w:sz w:val="20"/>
                <w:szCs w:val="20"/>
                <w:lang w:val="en-GB"/>
              </w:rPr>
            </w:pPr>
            <w:r w:rsidRPr="000B65DC">
              <w:rPr>
                <w:rFonts w:ascii="Arial" w:hAnsi="Arial" w:cs="Arial"/>
                <w:b/>
                <w:bCs/>
                <w:sz w:val="20"/>
                <w:szCs w:val="20"/>
                <w:lang w:val="en-GB"/>
              </w:rPr>
              <w:t>16.39</w:t>
            </w:r>
          </w:p>
        </w:tc>
        <w:tc>
          <w:tcPr>
            <w:tcW w:w="1793" w:type="pct"/>
            <w:vAlign w:val="center"/>
            <w:hideMark/>
          </w:tcPr>
          <w:p w14:paraId="0CE51C9F" w14:textId="77777777" w:rsidR="00C82A0C" w:rsidRPr="000B65DC" w:rsidRDefault="00C82A0C" w:rsidP="00C82A0C">
            <w:pPr>
              <w:jc w:val="center"/>
              <w:rPr>
                <w:rFonts w:ascii="Arial" w:hAnsi="Arial" w:cs="Arial"/>
                <w:b/>
                <w:bCs/>
                <w:sz w:val="20"/>
                <w:szCs w:val="20"/>
                <w:lang w:val="en-GB"/>
              </w:rPr>
            </w:pPr>
            <w:r w:rsidRPr="000B65DC">
              <w:rPr>
                <w:rFonts w:ascii="Arial" w:hAnsi="Arial" w:cs="Arial"/>
                <w:b/>
                <w:bCs/>
                <w:sz w:val="20"/>
                <w:szCs w:val="20"/>
                <w:lang w:val="en-GB"/>
              </w:rPr>
              <w:t>17.44</w:t>
            </w:r>
          </w:p>
        </w:tc>
      </w:tr>
      <w:tr w:rsidR="00C82A0C" w:rsidRPr="000B65DC" w14:paraId="5AC96BD0" w14:textId="77777777" w:rsidTr="00C82A0C">
        <w:tc>
          <w:tcPr>
            <w:tcW w:w="1541" w:type="pct"/>
            <w:hideMark/>
          </w:tcPr>
          <w:p w14:paraId="0DFF50CF" w14:textId="77777777" w:rsidR="00C82A0C" w:rsidRPr="000B65DC" w:rsidRDefault="00C82A0C" w:rsidP="00C82A0C">
            <w:pPr>
              <w:jc w:val="right"/>
              <w:rPr>
                <w:rFonts w:ascii="Arial" w:hAnsi="Arial" w:cs="Arial"/>
                <w:b/>
                <w:bCs/>
                <w:sz w:val="20"/>
                <w:szCs w:val="20"/>
                <w:lang w:val="en-GB"/>
              </w:rPr>
            </w:pPr>
            <w:r w:rsidRPr="000B65DC">
              <w:rPr>
                <w:rFonts w:ascii="Arial" w:hAnsi="Arial" w:cs="Arial"/>
                <w:b/>
                <w:bCs/>
                <w:sz w:val="20"/>
                <w:szCs w:val="20"/>
                <w:lang w:val="en-GB"/>
              </w:rPr>
              <w:t>CD at 5%</w:t>
            </w:r>
          </w:p>
        </w:tc>
        <w:tc>
          <w:tcPr>
            <w:tcW w:w="1666" w:type="pct"/>
            <w:vAlign w:val="center"/>
            <w:hideMark/>
          </w:tcPr>
          <w:p w14:paraId="16CBC89A" w14:textId="77777777" w:rsidR="00C82A0C" w:rsidRPr="000B65DC" w:rsidRDefault="00C82A0C" w:rsidP="00C82A0C">
            <w:pPr>
              <w:jc w:val="center"/>
              <w:rPr>
                <w:rFonts w:ascii="Arial" w:hAnsi="Arial" w:cs="Arial"/>
                <w:b/>
                <w:bCs/>
                <w:sz w:val="20"/>
                <w:szCs w:val="20"/>
                <w:lang w:val="en-GB"/>
              </w:rPr>
            </w:pPr>
            <w:r w:rsidRPr="000B65DC">
              <w:rPr>
                <w:rFonts w:ascii="Arial" w:hAnsi="Arial" w:cs="Arial"/>
                <w:b/>
                <w:bCs/>
                <w:sz w:val="20"/>
                <w:szCs w:val="20"/>
                <w:lang w:val="en-GB"/>
              </w:rPr>
              <w:t>47.83</w:t>
            </w:r>
          </w:p>
        </w:tc>
        <w:tc>
          <w:tcPr>
            <w:tcW w:w="1793" w:type="pct"/>
            <w:vAlign w:val="center"/>
            <w:hideMark/>
          </w:tcPr>
          <w:p w14:paraId="22DB86A7" w14:textId="77777777" w:rsidR="00C82A0C" w:rsidRPr="000B65DC" w:rsidRDefault="00C82A0C" w:rsidP="00C82A0C">
            <w:pPr>
              <w:jc w:val="center"/>
              <w:rPr>
                <w:rFonts w:ascii="Arial" w:hAnsi="Arial" w:cs="Arial"/>
                <w:b/>
                <w:bCs/>
                <w:sz w:val="20"/>
                <w:szCs w:val="20"/>
                <w:lang w:val="en-GB"/>
              </w:rPr>
            </w:pPr>
            <w:r w:rsidRPr="000B65DC">
              <w:rPr>
                <w:rFonts w:ascii="Arial" w:hAnsi="Arial" w:cs="Arial"/>
                <w:b/>
                <w:bCs/>
                <w:sz w:val="20"/>
                <w:szCs w:val="20"/>
                <w:lang w:val="en-GB"/>
              </w:rPr>
              <w:t>50.90</w:t>
            </w:r>
          </w:p>
        </w:tc>
      </w:tr>
      <w:tr w:rsidR="00C82A0C" w:rsidRPr="000B65DC" w14:paraId="1B9830BB" w14:textId="77777777" w:rsidTr="00C82A0C">
        <w:tc>
          <w:tcPr>
            <w:tcW w:w="1541" w:type="pct"/>
            <w:hideMark/>
          </w:tcPr>
          <w:p w14:paraId="7C39FEC6" w14:textId="77777777" w:rsidR="00C82A0C" w:rsidRPr="000B65DC" w:rsidRDefault="00C82A0C" w:rsidP="00C82A0C">
            <w:pPr>
              <w:jc w:val="both"/>
              <w:rPr>
                <w:rFonts w:ascii="Arial" w:hAnsi="Arial" w:cs="Arial"/>
                <w:b/>
                <w:bCs/>
                <w:sz w:val="20"/>
                <w:szCs w:val="20"/>
                <w:lang w:val="en-GB"/>
              </w:rPr>
            </w:pPr>
            <w:r w:rsidRPr="000B65DC">
              <w:rPr>
                <w:rFonts w:ascii="Arial" w:hAnsi="Arial" w:cs="Arial"/>
                <w:b/>
                <w:bCs/>
                <w:sz w:val="20"/>
                <w:szCs w:val="20"/>
                <w:lang w:val="en-GB"/>
              </w:rPr>
              <w:t>Interaction (S × Zn)</w:t>
            </w:r>
          </w:p>
        </w:tc>
        <w:tc>
          <w:tcPr>
            <w:tcW w:w="1666" w:type="pct"/>
            <w:vAlign w:val="center"/>
            <w:hideMark/>
          </w:tcPr>
          <w:p w14:paraId="57EFE791" w14:textId="77777777" w:rsidR="00C82A0C" w:rsidRPr="000B65DC" w:rsidRDefault="00C82A0C" w:rsidP="00C82A0C">
            <w:pPr>
              <w:jc w:val="center"/>
              <w:rPr>
                <w:rFonts w:ascii="Arial" w:hAnsi="Arial" w:cs="Arial"/>
                <w:sz w:val="20"/>
                <w:szCs w:val="20"/>
                <w:lang w:val="en-GB"/>
              </w:rPr>
            </w:pPr>
            <w:r w:rsidRPr="000B65DC">
              <w:rPr>
                <w:rFonts w:ascii="Arial" w:hAnsi="Arial" w:cs="Arial"/>
                <w:sz w:val="20"/>
                <w:szCs w:val="20"/>
                <w:lang w:val="en-GB"/>
              </w:rPr>
              <w:t>NS</w:t>
            </w:r>
          </w:p>
        </w:tc>
        <w:tc>
          <w:tcPr>
            <w:tcW w:w="1793" w:type="pct"/>
            <w:vAlign w:val="center"/>
            <w:hideMark/>
          </w:tcPr>
          <w:p w14:paraId="29938669" w14:textId="77777777" w:rsidR="00C82A0C" w:rsidRPr="000B65DC" w:rsidRDefault="00C82A0C" w:rsidP="00C82A0C">
            <w:pPr>
              <w:jc w:val="center"/>
              <w:rPr>
                <w:rFonts w:ascii="Arial" w:hAnsi="Arial" w:cs="Arial"/>
                <w:sz w:val="20"/>
                <w:szCs w:val="20"/>
                <w:lang w:val="en-GB"/>
              </w:rPr>
            </w:pPr>
            <w:r w:rsidRPr="000B65DC">
              <w:rPr>
                <w:rFonts w:ascii="Arial" w:hAnsi="Arial" w:cs="Arial"/>
                <w:sz w:val="20"/>
                <w:szCs w:val="20"/>
                <w:lang w:val="en-GB"/>
              </w:rPr>
              <w:t>NS</w:t>
            </w:r>
          </w:p>
        </w:tc>
      </w:tr>
      <w:tr w:rsidR="00C82A0C" w:rsidRPr="000B65DC" w14:paraId="6105FD99" w14:textId="77777777" w:rsidTr="00C82A0C">
        <w:tc>
          <w:tcPr>
            <w:tcW w:w="1541" w:type="pct"/>
            <w:hideMark/>
          </w:tcPr>
          <w:p w14:paraId="38922D75" w14:textId="77777777" w:rsidR="00C82A0C" w:rsidRPr="000B65DC" w:rsidRDefault="00C82A0C" w:rsidP="00C82A0C">
            <w:pPr>
              <w:jc w:val="right"/>
              <w:rPr>
                <w:rFonts w:ascii="Arial" w:hAnsi="Arial" w:cs="Arial"/>
                <w:b/>
                <w:bCs/>
                <w:sz w:val="20"/>
                <w:szCs w:val="20"/>
                <w:lang w:val="en-GB"/>
              </w:rPr>
            </w:pPr>
            <w:proofErr w:type="spellStart"/>
            <w:r w:rsidRPr="000B65DC">
              <w:rPr>
                <w:rFonts w:ascii="Arial" w:hAnsi="Arial" w:cs="Arial"/>
                <w:b/>
                <w:bCs/>
                <w:sz w:val="20"/>
                <w:szCs w:val="20"/>
                <w:lang w:val="en-GB"/>
              </w:rPr>
              <w:t>S.Em</w:t>
            </w:r>
            <w:proofErr w:type="spellEnd"/>
            <w:r w:rsidRPr="000B65DC">
              <w:rPr>
                <w:rFonts w:ascii="Arial" w:hAnsi="Arial" w:cs="Arial"/>
                <w:b/>
                <w:bCs/>
                <w:sz w:val="20"/>
                <w:szCs w:val="20"/>
                <w:lang w:val="en-GB"/>
              </w:rPr>
              <w:t>. ±</w:t>
            </w:r>
          </w:p>
        </w:tc>
        <w:tc>
          <w:tcPr>
            <w:tcW w:w="1666" w:type="pct"/>
            <w:vAlign w:val="center"/>
            <w:hideMark/>
          </w:tcPr>
          <w:p w14:paraId="5AE6ABD5" w14:textId="77777777" w:rsidR="00C82A0C" w:rsidRPr="000B65DC" w:rsidRDefault="00C82A0C" w:rsidP="00C82A0C">
            <w:pPr>
              <w:jc w:val="center"/>
              <w:rPr>
                <w:rFonts w:ascii="Arial" w:hAnsi="Arial" w:cs="Arial"/>
                <w:b/>
                <w:bCs/>
                <w:sz w:val="20"/>
                <w:szCs w:val="20"/>
                <w:lang w:val="en-GB"/>
              </w:rPr>
            </w:pPr>
            <w:r w:rsidRPr="000B65DC">
              <w:rPr>
                <w:rFonts w:ascii="Arial" w:hAnsi="Arial" w:cs="Arial"/>
                <w:b/>
                <w:bCs/>
                <w:sz w:val="20"/>
                <w:szCs w:val="20"/>
                <w:lang w:val="en-GB"/>
              </w:rPr>
              <w:t>28.38</w:t>
            </w:r>
          </w:p>
        </w:tc>
        <w:tc>
          <w:tcPr>
            <w:tcW w:w="1793" w:type="pct"/>
            <w:vAlign w:val="center"/>
            <w:hideMark/>
          </w:tcPr>
          <w:p w14:paraId="5E5AEB69" w14:textId="77777777" w:rsidR="00C82A0C" w:rsidRPr="000B65DC" w:rsidRDefault="00C82A0C" w:rsidP="00C82A0C">
            <w:pPr>
              <w:jc w:val="center"/>
              <w:rPr>
                <w:rFonts w:ascii="Arial" w:hAnsi="Arial" w:cs="Arial"/>
                <w:b/>
                <w:bCs/>
                <w:sz w:val="20"/>
                <w:szCs w:val="20"/>
                <w:lang w:val="en-GB"/>
              </w:rPr>
            </w:pPr>
            <w:r w:rsidRPr="000B65DC">
              <w:rPr>
                <w:rFonts w:ascii="Arial" w:hAnsi="Arial" w:cs="Arial"/>
                <w:b/>
                <w:bCs/>
                <w:sz w:val="20"/>
                <w:szCs w:val="20"/>
                <w:lang w:val="en-GB"/>
              </w:rPr>
              <w:t>30.21</w:t>
            </w:r>
          </w:p>
        </w:tc>
      </w:tr>
      <w:tr w:rsidR="00C82A0C" w:rsidRPr="000B65DC" w14:paraId="738373DD" w14:textId="77777777" w:rsidTr="00C82A0C">
        <w:tc>
          <w:tcPr>
            <w:tcW w:w="1541" w:type="pct"/>
            <w:hideMark/>
          </w:tcPr>
          <w:p w14:paraId="3DDECA59" w14:textId="77777777" w:rsidR="00C82A0C" w:rsidRPr="000B65DC" w:rsidRDefault="00C82A0C" w:rsidP="00C82A0C">
            <w:pPr>
              <w:jc w:val="right"/>
              <w:rPr>
                <w:rFonts w:ascii="Arial" w:hAnsi="Arial" w:cs="Arial"/>
                <w:b/>
                <w:bCs/>
                <w:sz w:val="20"/>
                <w:szCs w:val="20"/>
                <w:lang w:val="en-GB"/>
              </w:rPr>
            </w:pPr>
            <w:r w:rsidRPr="000B65DC">
              <w:rPr>
                <w:rFonts w:ascii="Arial" w:hAnsi="Arial" w:cs="Arial"/>
                <w:b/>
                <w:bCs/>
                <w:sz w:val="20"/>
                <w:szCs w:val="20"/>
                <w:lang w:val="en-GB"/>
              </w:rPr>
              <w:t>CV (%)</w:t>
            </w:r>
          </w:p>
        </w:tc>
        <w:tc>
          <w:tcPr>
            <w:tcW w:w="1666" w:type="pct"/>
            <w:vAlign w:val="center"/>
            <w:hideMark/>
          </w:tcPr>
          <w:p w14:paraId="27058429" w14:textId="77777777" w:rsidR="00C82A0C" w:rsidRPr="000B65DC" w:rsidRDefault="00C82A0C" w:rsidP="00C82A0C">
            <w:pPr>
              <w:jc w:val="center"/>
              <w:rPr>
                <w:rFonts w:ascii="Arial" w:hAnsi="Arial" w:cs="Arial"/>
                <w:b/>
                <w:bCs/>
                <w:sz w:val="20"/>
                <w:szCs w:val="20"/>
                <w:lang w:val="en-GB"/>
              </w:rPr>
            </w:pPr>
            <w:r w:rsidRPr="000B65DC">
              <w:rPr>
                <w:rFonts w:ascii="Arial" w:hAnsi="Arial" w:cs="Arial"/>
                <w:b/>
                <w:bCs/>
                <w:sz w:val="20"/>
                <w:szCs w:val="20"/>
                <w:lang w:val="en-GB"/>
              </w:rPr>
              <w:t>7.49</w:t>
            </w:r>
          </w:p>
        </w:tc>
        <w:tc>
          <w:tcPr>
            <w:tcW w:w="1793" w:type="pct"/>
            <w:vAlign w:val="center"/>
            <w:hideMark/>
          </w:tcPr>
          <w:p w14:paraId="19ABEBD8" w14:textId="77777777" w:rsidR="00C82A0C" w:rsidRPr="000B65DC" w:rsidRDefault="00C82A0C" w:rsidP="00C82A0C">
            <w:pPr>
              <w:jc w:val="center"/>
              <w:rPr>
                <w:rFonts w:ascii="Arial" w:hAnsi="Arial" w:cs="Arial"/>
                <w:b/>
                <w:bCs/>
                <w:sz w:val="20"/>
                <w:szCs w:val="20"/>
                <w:lang w:val="en-GB"/>
              </w:rPr>
            </w:pPr>
            <w:r w:rsidRPr="000B65DC">
              <w:rPr>
                <w:rFonts w:ascii="Arial" w:hAnsi="Arial" w:cs="Arial"/>
                <w:b/>
                <w:bCs/>
                <w:sz w:val="20"/>
                <w:szCs w:val="20"/>
                <w:lang w:val="en-GB"/>
              </w:rPr>
              <w:t>3.79</w:t>
            </w:r>
          </w:p>
        </w:tc>
      </w:tr>
    </w:tbl>
    <w:p w14:paraId="1500E08C" w14:textId="77777777" w:rsidR="00C82A0C" w:rsidRPr="000B65DC" w:rsidRDefault="00C82A0C" w:rsidP="00C82A0C">
      <w:pPr>
        <w:spacing w:before="240"/>
        <w:jc w:val="both"/>
        <w:rPr>
          <w:rFonts w:ascii="Arial" w:hAnsi="Arial" w:cs="Arial"/>
          <w:b/>
          <w:bCs/>
          <w:sz w:val="20"/>
          <w:szCs w:val="20"/>
          <w:lang w:val="en-GB"/>
        </w:rPr>
      </w:pPr>
      <w:r w:rsidRPr="000B65DC">
        <w:rPr>
          <w:rFonts w:ascii="Arial" w:hAnsi="Arial" w:cs="Arial"/>
          <w:b/>
          <w:bCs/>
          <w:sz w:val="20"/>
          <w:szCs w:val="20"/>
        </w:rPr>
        <w:t>3.2 Nutrient Content and Uptake</w:t>
      </w:r>
    </w:p>
    <w:p w14:paraId="5DB306B1" w14:textId="77777777" w:rsidR="00B46191" w:rsidRPr="000B65DC" w:rsidRDefault="00B46191" w:rsidP="00C82A0C">
      <w:pPr>
        <w:spacing w:before="240"/>
        <w:jc w:val="both"/>
        <w:rPr>
          <w:rFonts w:ascii="Arial" w:hAnsi="Arial" w:cs="Arial"/>
          <w:b/>
          <w:bCs/>
          <w:sz w:val="20"/>
          <w:szCs w:val="20"/>
          <w:lang w:val="en-GB"/>
        </w:rPr>
      </w:pPr>
      <w:r w:rsidRPr="000B65DC">
        <w:rPr>
          <w:rFonts w:ascii="Arial" w:hAnsi="Arial" w:cs="Arial"/>
          <w:b/>
          <w:bCs/>
          <w:sz w:val="20"/>
          <w:szCs w:val="20"/>
          <w:lang w:val="en-GB"/>
        </w:rPr>
        <w:t>3.</w:t>
      </w:r>
      <w:r w:rsidR="00C82A0C" w:rsidRPr="000B65DC">
        <w:rPr>
          <w:rFonts w:ascii="Arial" w:hAnsi="Arial" w:cs="Arial"/>
          <w:b/>
          <w:bCs/>
          <w:sz w:val="20"/>
          <w:szCs w:val="20"/>
          <w:lang w:val="en-GB"/>
        </w:rPr>
        <w:t>2</w:t>
      </w:r>
      <w:r w:rsidRPr="000B65DC">
        <w:rPr>
          <w:rFonts w:ascii="Arial" w:hAnsi="Arial" w:cs="Arial"/>
          <w:b/>
          <w:bCs/>
          <w:sz w:val="20"/>
          <w:szCs w:val="20"/>
          <w:lang w:val="en-GB"/>
        </w:rPr>
        <w:t>.1 Sulphur and Zinc Content in Seed and Stover</w:t>
      </w:r>
    </w:p>
    <w:p w14:paraId="3814981B"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 xml:space="preserve">Sulphur concentrations in seed and stover increased consistently with sulphur application and reached 0.41% and 0.30%, respectively, at 40 kg S ha⁻¹, compared with 0.25% and 0.16% in the control (S₁). This response may reflect greater sulphate availability and efficient translocation to reproductive tissues (Choudhary </w:t>
      </w:r>
      <w:r w:rsidRPr="000B65DC">
        <w:rPr>
          <w:rFonts w:ascii="Arial" w:hAnsi="Arial" w:cs="Arial"/>
          <w:i/>
          <w:sz w:val="20"/>
          <w:szCs w:val="20"/>
          <w:lang w:val="en-GB"/>
        </w:rPr>
        <w:t>et al.</w:t>
      </w:r>
      <w:r w:rsidRPr="000B65DC">
        <w:rPr>
          <w:rFonts w:ascii="Arial" w:hAnsi="Arial" w:cs="Arial"/>
          <w:sz w:val="20"/>
          <w:szCs w:val="20"/>
          <w:lang w:val="en-GB"/>
        </w:rPr>
        <w:t xml:space="preserve">, 2016; Jat &amp; Mehra, 2007; Prusty </w:t>
      </w:r>
      <w:r w:rsidRPr="000B65DC">
        <w:rPr>
          <w:rFonts w:ascii="Arial" w:hAnsi="Arial" w:cs="Arial"/>
          <w:i/>
          <w:sz w:val="20"/>
          <w:szCs w:val="20"/>
          <w:lang w:val="en-GB"/>
        </w:rPr>
        <w:t>et al.</w:t>
      </w:r>
      <w:r w:rsidRPr="000B65DC">
        <w:rPr>
          <w:rFonts w:ascii="Arial" w:hAnsi="Arial" w:cs="Arial"/>
          <w:sz w:val="20"/>
          <w:szCs w:val="20"/>
          <w:lang w:val="en-GB"/>
        </w:rPr>
        <w:t xml:space="preserve">, 2024; Vaishnav </w:t>
      </w:r>
      <w:r w:rsidRPr="000B65DC">
        <w:rPr>
          <w:rFonts w:ascii="Arial" w:hAnsi="Arial" w:cs="Arial"/>
          <w:i/>
          <w:sz w:val="20"/>
          <w:szCs w:val="20"/>
          <w:lang w:val="en-GB"/>
        </w:rPr>
        <w:t>et al.</w:t>
      </w:r>
      <w:r w:rsidRPr="000B65DC">
        <w:rPr>
          <w:rFonts w:ascii="Arial" w:hAnsi="Arial" w:cs="Arial"/>
          <w:sz w:val="20"/>
          <w:szCs w:val="20"/>
          <w:lang w:val="en-GB"/>
        </w:rPr>
        <w:t xml:space="preserve">, 2024; Zinzala </w:t>
      </w:r>
      <w:r w:rsidRPr="000B65DC">
        <w:rPr>
          <w:rFonts w:ascii="Arial" w:hAnsi="Arial" w:cs="Arial"/>
          <w:i/>
          <w:sz w:val="20"/>
          <w:szCs w:val="20"/>
          <w:lang w:val="en-GB"/>
        </w:rPr>
        <w:t>et al.</w:t>
      </w:r>
      <w:r w:rsidRPr="000B65DC">
        <w:rPr>
          <w:rFonts w:ascii="Arial" w:hAnsi="Arial" w:cs="Arial"/>
          <w:sz w:val="20"/>
          <w:szCs w:val="20"/>
          <w:lang w:val="en-GB"/>
        </w:rPr>
        <w:t>, 2008). Sulphur concentration also increased significantly with zinc application, reaching 0.36% in seed and 0.25% in stover at 5.0 kg Zn ha⁻¹, compared with 0.30% and 0.21%, respectively, at Zn₁. This pattern suggests a supportive role of zinc in nutrient metabolism and enzymatic functions (Upadhyay, 2012) (Table 3).</w:t>
      </w:r>
    </w:p>
    <w:p w14:paraId="091C1B8E" w14:textId="77777777" w:rsidR="00B46191"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 xml:space="preserve">Zinc concentrations in seed and stover also increased significantly with sulphur application, reaching 50.00 mg kg⁻¹ and 31.07 mg kg⁻¹, respectively, at S₃. These values were significantly higher than the corresponding control values of 38.33 mg kg⁻¹ and 21.65 mg kg⁻¹. Improved sulphur nutrition may increase root proliferation and the physiological capacity of plants to acquire zinc from the soil profile (A. K. Singh et al., 2013; Upadhyay, 2012; Zinzala </w:t>
      </w:r>
      <w:r w:rsidRPr="000B65DC">
        <w:rPr>
          <w:rFonts w:ascii="Arial" w:hAnsi="Arial" w:cs="Arial"/>
          <w:i/>
          <w:sz w:val="20"/>
          <w:szCs w:val="20"/>
          <w:lang w:val="en-GB"/>
        </w:rPr>
        <w:t>et al.</w:t>
      </w:r>
      <w:r w:rsidRPr="000B65DC">
        <w:rPr>
          <w:rFonts w:ascii="Arial" w:hAnsi="Arial" w:cs="Arial"/>
          <w:sz w:val="20"/>
          <w:szCs w:val="20"/>
          <w:lang w:val="en-GB"/>
        </w:rPr>
        <w:t>, 2008). As expected, zinc concentration was highest at the greatest zinc dose, reaching 48.33 mg kg⁻¹ in seed and 29.64 mg kg⁻¹ in stover at Zn₃, compared with 40.00 mg kg⁻¹ and 22.66 mg kg⁻¹ at Zn₁. This response reflects the larger readily available zinc pool created by zinc-EDTA application. The interaction effects were non-significant for all concentration variables.</w:t>
      </w:r>
    </w:p>
    <w:p w14:paraId="1659BE9A" w14:textId="77777777" w:rsidR="009152C6" w:rsidRPr="000B65DC" w:rsidRDefault="009152C6" w:rsidP="00B46191">
      <w:pPr>
        <w:jc w:val="both"/>
        <w:rPr>
          <w:rFonts w:ascii="Arial" w:hAnsi="Arial" w:cs="Arial"/>
          <w:sz w:val="20"/>
          <w:szCs w:val="20"/>
          <w:lang w:val="en-GB"/>
        </w:rPr>
      </w:pPr>
    </w:p>
    <w:p w14:paraId="0BF1CD46" w14:textId="77777777" w:rsidR="00B46191" w:rsidRPr="000B65DC" w:rsidRDefault="00B46191" w:rsidP="00B46191">
      <w:pPr>
        <w:jc w:val="both"/>
        <w:rPr>
          <w:rFonts w:ascii="Arial" w:hAnsi="Arial" w:cs="Arial"/>
          <w:b/>
          <w:bCs/>
          <w:sz w:val="20"/>
          <w:szCs w:val="20"/>
          <w:lang w:val="en-GB"/>
        </w:rPr>
      </w:pPr>
      <w:r w:rsidRPr="000B65DC">
        <w:rPr>
          <w:rFonts w:ascii="Arial" w:hAnsi="Arial" w:cs="Arial"/>
          <w:b/>
          <w:bCs/>
          <w:sz w:val="20"/>
          <w:szCs w:val="20"/>
          <w:lang w:val="en-GB"/>
        </w:rPr>
        <w:t xml:space="preserve">Table </w:t>
      </w:r>
      <w:r w:rsidR="007F7018" w:rsidRPr="000B65DC">
        <w:rPr>
          <w:rFonts w:ascii="Arial" w:hAnsi="Arial" w:cs="Arial"/>
          <w:b/>
          <w:bCs/>
          <w:sz w:val="20"/>
          <w:szCs w:val="20"/>
          <w:lang w:val="en-GB"/>
        </w:rPr>
        <w:t>3</w:t>
      </w:r>
      <w:r w:rsidRPr="000B65DC">
        <w:rPr>
          <w:rFonts w:ascii="Arial" w:hAnsi="Arial" w:cs="Arial"/>
          <w:b/>
          <w:bCs/>
          <w:sz w:val="20"/>
          <w:szCs w:val="20"/>
          <w:lang w:val="en-GB"/>
        </w:rPr>
        <w:t>. Sulphur and Zinc Content in Seed and Stover as Influenced by Sulphur and Zinc Levels</w:t>
      </w:r>
    </w:p>
    <w:tbl>
      <w:tblPr>
        <w:tblStyle w:val="TableGrid"/>
        <w:tblW w:w="5000" w:type="pct"/>
        <w:tblLook w:val="04A0" w:firstRow="1" w:lastRow="0" w:firstColumn="1" w:lastColumn="0" w:noHBand="0" w:noVBand="1"/>
      </w:tblPr>
      <w:tblGrid>
        <w:gridCol w:w="3274"/>
        <w:gridCol w:w="997"/>
        <w:gridCol w:w="1356"/>
        <w:gridCol w:w="1544"/>
        <w:gridCol w:w="1845"/>
      </w:tblGrid>
      <w:tr w:rsidR="0025155E" w:rsidRPr="000B65DC" w14:paraId="20A1C922" w14:textId="77777777" w:rsidTr="009D5DE4">
        <w:tc>
          <w:tcPr>
            <w:tcW w:w="1816" w:type="pct"/>
            <w:vMerge w:val="restart"/>
          </w:tcPr>
          <w:p w14:paraId="565CBA2A" w14:textId="77777777" w:rsidR="0025155E" w:rsidRPr="000B65DC" w:rsidRDefault="0025155E" w:rsidP="00D70DCF">
            <w:pPr>
              <w:jc w:val="both"/>
              <w:rPr>
                <w:rFonts w:ascii="Arial" w:hAnsi="Arial" w:cs="Arial"/>
                <w:b/>
                <w:bCs/>
                <w:sz w:val="20"/>
                <w:szCs w:val="20"/>
              </w:rPr>
            </w:pPr>
            <w:r w:rsidRPr="000B65DC">
              <w:rPr>
                <w:rFonts w:ascii="Arial" w:hAnsi="Arial" w:cs="Arial"/>
                <w:b/>
                <w:bCs/>
                <w:sz w:val="20"/>
                <w:szCs w:val="20"/>
              </w:rPr>
              <w:t>Treatments</w:t>
            </w:r>
          </w:p>
        </w:tc>
        <w:tc>
          <w:tcPr>
            <w:tcW w:w="1305" w:type="pct"/>
            <w:gridSpan w:val="2"/>
            <w:vAlign w:val="center"/>
          </w:tcPr>
          <w:p w14:paraId="3E5EBEE4"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Sulphur (%)</w:t>
            </w:r>
          </w:p>
        </w:tc>
        <w:tc>
          <w:tcPr>
            <w:tcW w:w="1879" w:type="pct"/>
            <w:gridSpan w:val="2"/>
            <w:vAlign w:val="center"/>
          </w:tcPr>
          <w:p w14:paraId="53CDFE4E" w14:textId="77777777" w:rsidR="0025155E" w:rsidRPr="000B65DC" w:rsidRDefault="00755106" w:rsidP="00D70DCF">
            <w:pPr>
              <w:jc w:val="center"/>
              <w:rPr>
                <w:rFonts w:ascii="Arial" w:hAnsi="Arial" w:cs="Arial"/>
                <w:b/>
                <w:bCs/>
                <w:sz w:val="20"/>
                <w:szCs w:val="20"/>
              </w:rPr>
            </w:pPr>
            <w:r w:rsidRPr="000B65DC">
              <w:rPr>
                <w:rFonts w:ascii="Arial" w:hAnsi="Arial" w:cs="Arial"/>
                <w:b/>
                <w:bCs/>
                <w:sz w:val="20"/>
                <w:szCs w:val="20"/>
              </w:rPr>
              <w:t>Zinc (</w:t>
            </w:r>
            <w:r w:rsidR="0025155E" w:rsidRPr="000B65DC">
              <w:rPr>
                <w:rFonts w:ascii="Arial" w:hAnsi="Arial" w:cs="Arial"/>
                <w:b/>
                <w:bCs/>
                <w:sz w:val="20"/>
                <w:szCs w:val="20"/>
              </w:rPr>
              <w:t>mg kg</w:t>
            </w:r>
            <w:r w:rsidR="0025155E" w:rsidRPr="000B65DC">
              <w:rPr>
                <w:rFonts w:ascii="Arial" w:hAnsi="Arial" w:cs="Arial"/>
                <w:b/>
                <w:bCs/>
                <w:sz w:val="20"/>
                <w:szCs w:val="20"/>
                <w:vertAlign w:val="superscript"/>
              </w:rPr>
              <w:t>-1</w:t>
            </w:r>
            <w:r w:rsidR="0025155E" w:rsidRPr="000B65DC">
              <w:rPr>
                <w:rFonts w:ascii="Arial" w:hAnsi="Arial" w:cs="Arial"/>
                <w:b/>
                <w:bCs/>
                <w:sz w:val="20"/>
                <w:szCs w:val="20"/>
              </w:rPr>
              <w:t>)</w:t>
            </w:r>
          </w:p>
        </w:tc>
      </w:tr>
      <w:tr w:rsidR="0025155E" w:rsidRPr="000B65DC" w14:paraId="29D3AE53" w14:textId="77777777" w:rsidTr="009D5DE4">
        <w:tc>
          <w:tcPr>
            <w:tcW w:w="1816" w:type="pct"/>
            <w:vMerge/>
            <w:hideMark/>
          </w:tcPr>
          <w:p w14:paraId="79ADEC2C" w14:textId="77777777" w:rsidR="0025155E" w:rsidRPr="000B65DC" w:rsidRDefault="0025155E" w:rsidP="00D70DCF">
            <w:pPr>
              <w:jc w:val="both"/>
              <w:rPr>
                <w:rFonts w:ascii="Arial" w:hAnsi="Arial" w:cs="Arial"/>
                <w:b/>
                <w:bCs/>
                <w:sz w:val="20"/>
                <w:szCs w:val="20"/>
              </w:rPr>
            </w:pPr>
          </w:p>
        </w:tc>
        <w:tc>
          <w:tcPr>
            <w:tcW w:w="553" w:type="pct"/>
            <w:vAlign w:val="center"/>
            <w:hideMark/>
          </w:tcPr>
          <w:p w14:paraId="204A577C"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Seed</w:t>
            </w:r>
          </w:p>
        </w:tc>
        <w:tc>
          <w:tcPr>
            <w:tcW w:w="752" w:type="pct"/>
            <w:vAlign w:val="center"/>
            <w:hideMark/>
          </w:tcPr>
          <w:p w14:paraId="5F0B017E"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Stover</w:t>
            </w:r>
          </w:p>
        </w:tc>
        <w:tc>
          <w:tcPr>
            <w:tcW w:w="856" w:type="pct"/>
            <w:vAlign w:val="center"/>
            <w:hideMark/>
          </w:tcPr>
          <w:p w14:paraId="4445299F"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Seed</w:t>
            </w:r>
          </w:p>
        </w:tc>
        <w:tc>
          <w:tcPr>
            <w:tcW w:w="1023" w:type="pct"/>
            <w:vAlign w:val="center"/>
            <w:hideMark/>
          </w:tcPr>
          <w:p w14:paraId="2C5A935A"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Stover</w:t>
            </w:r>
          </w:p>
        </w:tc>
      </w:tr>
      <w:tr w:rsidR="0025155E" w:rsidRPr="000B65DC" w14:paraId="24638AA3" w14:textId="77777777" w:rsidTr="009D5DE4">
        <w:tc>
          <w:tcPr>
            <w:tcW w:w="5000" w:type="pct"/>
            <w:gridSpan w:val="5"/>
            <w:vAlign w:val="center"/>
            <w:hideMark/>
          </w:tcPr>
          <w:p w14:paraId="38D37CB2" w14:textId="77777777" w:rsidR="0025155E" w:rsidRPr="000B65DC" w:rsidRDefault="0025155E" w:rsidP="00D70DCF">
            <w:pPr>
              <w:rPr>
                <w:rFonts w:ascii="Arial" w:hAnsi="Arial" w:cs="Arial"/>
                <w:sz w:val="20"/>
                <w:szCs w:val="20"/>
              </w:rPr>
            </w:pPr>
            <w:r w:rsidRPr="000B65DC">
              <w:rPr>
                <w:rFonts w:ascii="Arial" w:hAnsi="Arial" w:cs="Arial"/>
                <w:b/>
                <w:bCs/>
                <w:sz w:val="20"/>
                <w:szCs w:val="20"/>
              </w:rPr>
              <w:t>(A) Sulphur levels</w:t>
            </w:r>
          </w:p>
        </w:tc>
      </w:tr>
      <w:tr w:rsidR="0025155E" w:rsidRPr="000B65DC" w14:paraId="0E1756A1" w14:textId="77777777" w:rsidTr="009D5DE4">
        <w:tc>
          <w:tcPr>
            <w:tcW w:w="1816" w:type="pct"/>
            <w:hideMark/>
          </w:tcPr>
          <w:p w14:paraId="19CA5E1E" w14:textId="77777777" w:rsidR="0025155E" w:rsidRPr="000B65DC" w:rsidRDefault="0025155E" w:rsidP="00D70DCF">
            <w:pPr>
              <w:jc w:val="both"/>
              <w:rPr>
                <w:rFonts w:ascii="Arial" w:hAnsi="Arial" w:cs="Arial"/>
                <w:sz w:val="20"/>
                <w:szCs w:val="20"/>
              </w:rPr>
            </w:pPr>
            <w:r w:rsidRPr="000B65DC">
              <w:rPr>
                <w:rFonts w:ascii="Arial" w:hAnsi="Arial" w:cs="Arial"/>
                <w:sz w:val="20"/>
                <w:szCs w:val="20"/>
              </w:rPr>
              <w:t>S</w:t>
            </w:r>
            <w:r w:rsidRPr="000B65DC">
              <w:rPr>
                <w:rFonts w:ascii="Arial" w:hAnsi="Arial" w:cs="Arial"/>
                <w:sz w:val="20"/>
                <w:szCs w:val="20"/>
                <w:vertAlign w:val="subscript"/>
              </w:rPr>
              <w:t>1</w:t>
            </w:r>
            <w:r w:rsidRPr="000B65DC">
              <w:rPr>
                <w:rFonts w:ascii="Arial" w:hAnsi="Arial" w:cs="Arial"/>
                <w:sz w:val="20"/>
                <w:szCs w:val="20"/>
              </w:rPr>
              <w:t xml:space="preserve"> (00 kg ha</w:t>
            </w:r>
            <w:r w:rsidRPr="000B65DC">
              <w:rPr>
                <w:rFonts w:ascii="Arial" w:hAnsi="Arial" w:cs="Arial"/>
                <w:sz w:val="20"/>
                <w:szCs w:val="20"/>
                <w:vertAlign w:val="superscript"/>
              </w:rPr>
              <w:t>-1</w:t>
            </w:r>
            <w:r w:rsidRPr="000B65DC">
              <w:rPr>
                <w:rFonts w:ascii="Arial" w:hAnsi="Arial" w:cs="Arial"/>
                <w:sz w:val="20"/>
                <w:szCs w:val="20"/>
              </w:rPr>
              <w:t>)</w:t>
            </w:r>
          </w:p>
        </w:tc>
        <w:tc>
          <w:tcPr>
            <w:tcW w:w="553" w:type="pct"/>
            <w:vAlign w:val="center"/>
            <w:hideMark/>
          </w:tcPr>
          <w:p w14:paraId="038962A5"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0.25</w:t>
            </w:r>
          </w:p>
        </w:tc>
        <w:tc>
          <w:tcPr>
            <w:tcW w:w="752" w:type="pct"/>
            <w:vAlign w:val="center"/>
            <w:hideMark/>
          </w:tcPr>
          <w:p w14:paraId="4899FAD4"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0.16</w:t>
            </w:r>
          </w:p>
        </w:tc>
        <w:tc>
          <w:tcPr>
            <w:tcW w:w="856" w:type="pct"/>
            <w:vAlign w:val="center"/>
            <w:hideMark/>
          </w:tcPr>
          <w:p w14:paraId="56387B45"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38.33</w:t>
            </w:r>
          </w:p>
        </w:tc>
        <w:tc>
          <w:tcPr>
            <w:tcW w:w="1023" w:type="pct"/>
            <w:vAlign w:val="center"/>
            <w:hideMark/>
          </w:tcPr>
          <w:p w14:paraId="4FDDE141"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21.65</w:t>
            </w:r>
          </w:p>
        </w:tc>
      </w:tr>
      <w:tr w:rsidR="0025155E" w:rsidRPr="000B65DC" w14:paraId="42564C21" w14:textId="77777777" w:rsidTr="009D5DE4">
        <w:tc>
          <w:tcPr>
            <w:tcW w:w="1816" w:type="pct"/>
            <w:hideMark/>
          </w:tcPr>
          <w:p w14:paraId="30631410" w14:textId="77777777" w:rsidR="0025155E" w:rsidRPr="000B65DC" w:rsidRDefault="0025155E" w:rsidP="00D70DCF">
            <w:pPr>
              <w:jc w:val="both"/>
              <w:rPr>
                <w:rFonts w:ascii="Arial" w:hAnsi="Arial" w:cs="Arial"/>
                <w:sz w:val="20"/>
                <w:szCs w:val="20"/>
              </w:rPr>
            </w:pPr>
            <w:r w:rsidRPr="000B65DC">
              <w:rPr>
                <w:rFonts w:ascii="Arial" w:hAnsi="Arial" w:cs="Arial"/>
                <w:sz w:val="20"/>
                <w:szCs w:val="20"/>
              </w:rPr>
              <w:t>S</w:t>
            </w:r>
            <w:r w:rsidRPr="000B65DC">
              <w:rPr>
                <w:rFonts w:ascii="Arial" w:hAnsi="Arial" w:cs="Arial"/>
                <w:sz w:val="20"/>
                <w:szCs w:val="20"/>
                <w:vertAlign w:val="subscript"/>
              </w:rPr>
              <w:t>2</w:t>
            </w:r>
            <w:r w:rsidRPr="000B65DC">
              <w:rPr>
                <w:rFonts w:ascii="Arial" w:hAnsi="Arial" w:cs="Arial"/>
                <w:sz w:val="20"/>
                <w:szCs w:val="20"/>
              </w:rPr>
              <w:t xml:space="preserve"> (20 kg ha</w:t>
            </w:r>
            <w:r w:rsidRPr="000B65DC">
              <w:rPr>
                <w:rFonts w:ascii="Arial" w:hAnsi="Arial" w:cs="Arial"/>
                <w:sz w:val="20"/>
                <w:szCs w:val="20"/>
                <w:vertAlign w:val="superscript"/>
              </w:rPr>
              <w:t>-1</w:t>
            </w:r>
            <w:r w:rsidRPr="000B65DC">
              <w:rPr>
                <w:rFonts w:ascii="Arial" w:hAnsi="Arial" w:cs="Arial"/>
                <w:sz w:val="20"/>
                <w:szCs w:val="20"/>
              </w:rPr>
              <w:t>)</w:t>
            </w:r>
          </w:p>
        </w:tc>
        <w:tc>
          <w:tcPr>
            <w:tcW w:w="553" w:type="pct"/>
            <w:vAlign w:val="center"/>
            <w:hideMark/>
          </w:tcPr>
          <w:p w14:paraId="64057EC8"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0.33</w:t>
            </w:r>
          </w:p>
        </w:tc>
        <w:tc>
          <w:tcPr>
            <w:tcW w:w="752" w:type="pct"/>
            <w:vAlign w:val="center"/>
            <w:hideMark/>
          </w:tcPr>
          <w:p w14:paraId="41DD97BF"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0.23</w:t>
            </w:r>
          </w:p>
        </w:tc>
        <w:tc>
          <w:tcPr>
            <w:tcW w:w="856" w:type="pct"/>
            <w:vAlign w:val="center"/>
            <w:hideMark/>
          </w:tcPr>
          <w:p w14:paraId="6D135319"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44.00</w:t>
            </w:r>
          </w:p>
        </w:tc>
        <w:tc>
          <w:tcPr>
            <w:tcW w:w="1023" w:type="pct"/>
            <w:vAlign w:val="center"/>
            <w:hideMark/>
          </w:tcPr>
          <w:p w14:paraId="1967E8AF"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26.32</w:t>
            </w:r>
          </w:p>
        </w:tc>
      </w:tr>
      <w:tr w:rsidR="0025155E" w:rsidRPr="000B65DC" w14:paraId="3210F617" w14:textId="77777777" w:rsidTr="009D5DE4">
        <w:tc>
          <w:tcPr>
            <w:tcW w:w="1816" w:type="pct"/>
            <w:hideMark/>
          </w:tcPr>
          <w:p w14:paraId="03B35D91" w14:textId="77777777" w:rsidR="0025155E" w:rsidRPr="000B65DC" w:rsidRDefault="0025155E" w:rsidP="00D70DCF">
            <w:pPr>
              <w:jc w:val="both"/>
              <w:rPr>
                <w:rFonts w:ascii="Arial" w:hAnsi="Arial" w:cs="Arial"/>
                <w:sz w:val="20"/>
                <w:szCs w:val="20"/>
              </w:rPr>
            </w:pPr>
            <w:r w:rsidRPr="000B65DC">
              <w:rPr>
                <w:rFonts w:ascii="Arial" w:hAnsi="Arial" w:cs="Arial"/>
                <w:sz w:val="20"/>
                <w:szCs w:val="20"/>
              </w:rPr>
              <w:t>S</w:t>
            </w:r>
            <w:r w:rsidRPr="000B65DC">
              <w:rPr>
                <w:rFonts w:ascii="Arial" w:hAnsi="Arial" w:cs="Arial"/>
                <w:sz w:val="20"/>
                <w:szCs w:val="20"/>
                <w:vertAlign w:val="subscript"/>
              </w:rPr>
              <w:t>3</w:t>
            </w:r>
            <w:r w:rsidRPr="000B65DC">
              <w:rPr>
                <w:rFonts w:ascii="Arial" w:hAnsi="Arial" w:cs="Arial"/>
                <w:sz w:val="20"/>
                <w:szCs w:val="20"/>
              </w:rPr>
              <w:t xml:space="preserve"> (40 kg ha</w:t>
            </w:r>
            <w:r w:rsidRPr="000B65DC">
              <w:rPr>
                <w:rFonts w:ascii="Arial" w:hAnsi="Arial" w:cs="Arial"/>
                <w:sz w:val="20"/>
                <w:szCs w:val="20"/>
                <w:vertAlign w:val="superscript"/>
              </w:rPr>
              <w:t>-1</w:t>
            </w:r>
            <w:r w:rsidRPr="000B65DC">
              <w:rPr>
                <w:rFonts w:ascii="Arial" w:hAnsi="Arial" w:cs="Arial"/>
                <w:sz w:val="20"/>
                <w:szCs w:val="20"/>
              </w:rPr>
              <w:t>)</w:t>
            </w:r>
          </w:p>
        </w:tc>
        <w:tc>
          <w:tcPr>
            <w:tcW w:w="553" w:type="pct"/>
            <w:vAlign w:val="center"/>
            <w:hideMark/>
          </w:tcPr>
          <w:p w14:paraId="13193368"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0.41</w:t>
            </w:r>
          </w:p>
        </w:tc>
        <w:tc>
          <w:tcPr>
            <w:tcW w:w="752" w:type="pct"/>
            <w:vAlign w:val="center"/>
            <w:hideMark/>
          </w:tcPr>
          <w:p w14:paraId="48D5EB4E"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0.30</w:t>
            </w:r>
          </w:p>
        </w:tc>
        <w:tc>
          <w:tcPr>
            <w:tcW w:w="856" w:type="pct"/>
            <w:vAlign w:val="center"/>
            <w:hideMark/>
          </w:tcPr>
          <w:p w14:paraId="51B0F6F6"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50.00</w:t>
            </w:r>
          </w:p>
        </w:tc>
        <w:tc>
          <w:tcPr>
            <w:tcW w:w="1023" w:type="pct"/>
            <w:vAlign w:val="center"/>
            <w:hideMark/>
          </w:tcPr>
          <w:p w14:paraId="0CFF1D3A"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31.07</w:t>
            </w:r>
          </w:p>
        </w:tc>
      </w:tr>
      <w:tr w:rsidR="0025155E" w:rsidRPr="000B65DC" w14:paraId="19758C87" w14:textId="77777777" w:rsidTr="009D5DE4">
        <w:tc>
          <w:tcPr>
            <w:tcW w:w="1816" w:type="pct"/>
            <w:vAlign w:val="center"/>
            <w:hideMark/>
          </w:tcPr>
          <w:p w14:paraId="4FBD96CA" w14:textId="77777777" w:rsidR="0025155E" w:rsidRPr="000B65DC" w:rsidRDefault="0025155E" w:rsidP="00D70DCF">
            <w:pPr>
              <w:jc w:val="right"/>
              <w:rPr>
                <w:rFonts w:ascii="Arial" w:hAnsi="Arial" w:cs="Arial"/>
                <w:b/>
                <w:bCs/>
                <w:sz w:val="20"/>
                <w:szCs w:val="20"/>
              </w:rPr>
            </w:pPr>
            <w:proofErr w:type="spellStart"/>
            <w:r w:rsidRPr="000B65DC">
              <w:rPr>
                <w:rFonts w:ascii="Arial" w:hAnsi="Arial" w:cs="Arial"/>
                <w:b/>
                <w:bCs/>
                <w:sz w:val="20"/>
                <w:szCs w:val="20"/>
              </w:rPr>
              <w:t>S.Em</w:t>
            </w:r>
            <w:proofErr w:type="spellEnd"/>
            <w:r w:rsidRPr="000B65DC">
              <w:rPr>
                <w:rFonts w:ascii="Arial" w:hAnsi="Arial" w:cs="Arial"/>
                <w:b/>
                <w:bCs/>
                <w:sz w:val="20"/>
                <w:szCs w:val="20"/>
              </w:rPr>
              <w:t>. ±</w:t>
            </w:r>
          </w:p>
        </w:tc>
        <w:tc>
          <w:tcPr>
            <w:tcW w:w="553" w:type="pct"/>
            <w:vAlign w:val="center"/>
            <w:hideMark/>
          </w:tcPr>
          <w:p w14:paraId="374E9355"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0.01</w:t>
            </w:r>
          </w:p>
        </w:tc>
        <w:tc>
          <w:tcPr>
            <w:tcW w:w="752" w:type="pct"/>
            <w:vAlign w:val="center"/>
            <w:hideMark/>
          </w:tcPr>
          <w:p w14:paraId="5C76F673"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0.01</w:t>
            </w:r>
          </w:p>
        </w:tc>
        <w:tc>
          <w:tcPr>
            <w:tcW w:w="856" w:type="pct"/>
            <w:vAlign w:val="center"/>
            <w:hideMark/>
          </w:tcPr>
          <w:p w14:paraId="5AD97A0F"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1.17</w:t>
            </w:r>
          </w:p>
        </w:tc>
        <w:tc>
          <w:tcPr>
            <w:tcW w:w="1023" w:type="pct"/>
            <w:vAlign w:val="center"/>
            <w:hideMark/>
          </w:tcPr>
          <w:p w14:paraId="642C7AF2"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0.60</w:t>
            </w:r>
          </w:p>
        </w:tc>
      </w:tr>
      <w:tr w:rsidR="0025155E" w:rsidRPr="000B65DC" w14:paraId="0D7CFD68" w14:textId="77777777" w:rsidTr="009D5DE4">
        <w:tc>
          <w:tcPr>
            <w:tcW w:w="1816" w:type="pct"/>
            <w:vAlign w:val="center"/>
            <w:hideMark/>
          </w:tcPr>
          <w:p w14:paraId="4D9CDF20" w14:textId="77777777" w:rsidR="0025155E" w:rsidRPr="000B65DC" w:rsidRDefault="0025155E" w:rsidP="00D70DCF">
            <w:pPr>
              <w:jc w:val="right"/>
              <w:rPr>
                <w:rFonts w:ascii="Arial" w:hAnsi="Arial" w:cs="Arial"/>
                <w:b/>
                <w:bCs/>
                <w:sz w:val="20"/>
                <w:szCs w:val="20"/>
              </w:rPr>
            </w:pPr>
            <w:r w:rsidRPr="000B65DC">
              <w:rPr>
                <w:rFonts w:ascii="Arial" w:hAnsi="Arial" w:cs="Arial"/>
                <w:b/>
                <w:bCs/>
                <w:sz w:val="20"/>
                <w:szCs w:val="20"/>
              </w:rPr>
              <w:t>CD at 5%</w:t>
            </w:r>
          </w:p>
        </w:tc>
        <w:tc>
          <w:tcPr>
            <w:tcW w:w="553" w:type="pct"/>
            <w:vAlign w:val="center"/>
            <w:hideMark/>
          </w:tcPr>
          <w:p w14:paraId="16289E6D"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0.02</w:t>
            </w:r>
          </w:p>
        </w:tc>
        <w:tc>
          <w:tcPr>
            <w:tcW w:w="752" w:type="pct"/>
            <w:vAlign w:val="center"/>
            <w:hideMark/>
          </w:tcPr>
          <w:p w14:paraId="2F52803C"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0.02</w:t>
            </w:r>
          </w:p>
        </w:tc>
        <w:tc>
          <w:tcPr>
            <w:tcW w:w="856" w:type="pct"/>
            <w:vAlign w:val="center"/>
            <w:hideMark/>
          </w:tcPr>
          <w:p w14:paraId="0B0E3FF6"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3.41</w:t>
            </w:r>
          </w:p>
        </w:tc>
        <w:tc>
          <w:tcPr>
            <w:tcW w:w="1023" w:type="pct"/>
            <w:vAlign w:val="center"/>
            <w:hideMark/>
          </w:tcPr>
          <w:p w14:paraId="3CB882C1"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1.74</w:t>
            </w:r>
          </w:p>
        </w:tc>
      </w:tr>
      <w:tr w:rsidR="0025155E" w:rsidRPr="000B65DC" w14:paraId="4BA2972B" w14:textId="77777777" w:rsidTr="009D5DE4">
        <w:tc>
          <w:tcPr>
            <w:tcW w:w="5000" w:type="pct"/>
            <w:gridSpan w:val="5"/>
            <w:vAlign w:val="center"/>
            <w:hideMark/>
          </w:tcPr>
          <w:p w14:paraId="0F1249B6" w14:textId="77777777" w:rsidR="0025155E" w:rsidRPr="000B65DC" w:rsidRDefault="0025155E" w:rsidP="00D70DCF">
            <w:pPr>
              <w:rPr>
                <w:rFonts w:ascii="Arial" w:hAnsi="Arial" w:cs="Arial"/>
                <w:sz w:val="20"/>
                <w:szCs w:val="20"/>
              </w:rPr>
            </w:pPr>
            <w:r w:rsidRPr="000B65DC">
              <w:rPr>
                <w:rFonts w:ascii="Arial" w:hAnsi="Arial" w:cs="Arial"/>
                <w:b/>
                <w:bCs/>
                <w:sz w:val="20"/>
                <w:szCs w:val="20"/>
              </w:rPr>
              <w:t>(B) Zinc levels</w:t>
            </w:r>
          </w:p>
        </w:tc>
      </w:tr>
      <w:tr w:rsidR="0025155E" w:rsidRPr="000B65DC" w14:paraId="2D1DF7A0" w14:textId="77777777" w:rsidTr="009D5DE4">
        <w:tc>
          <w:tcPr>
            <w:tcW w:w="1816" w:type="pct"/>
            <w:hideMark/>
          </w:tcPr>
          <w:p w14:paraId="378E3479" w14:textId="77777777" w:rsidR="0025155E" w:rsidRPr="000B65DC" w:rsidRDefault="0025155E" w:rsidP="00D70DCF">
            <w:pPr>
              <w:jc w:val="both"/>
              <w:rPr>
                <w:rFonts w:ascii="Arial" w:hAnsi="Arial" w:cs="Arial"/>
                <w:sz w:val="20"/>
                <w:szCs w:val="20"/>
              </w:rPr>
            </w:pPr>
            <w:r w:rsidRPr="000B65DC">
              <w:rPr>
                <w:rFonts w:ascii="Arial" w:hAnsi="Arial" w:cs="Arial"/>
                <w:sz w:val="20"/>
                <w:szCs w:val="20"/>
              </w:rPr>
              <w:t>Zn</w:t>
            </w:r>
            <w:r w:rsidRPr="000B65DC">
              <w:rPr>
                <w:rFonts w:ascii="Arial" w:hAnsi="Arial" w:cs="Arial"/>
                <w:sz w:val="20"/>
                <w:szCs w:val="20"/>
                <w:vertAlign w:val="subscript"/>
              </w:rPr>
              <w:t>1</w:t>
            </w:r>
            <w:r w:rsidRPr="000B65DC">
              <w:rPr>
                <w:rFonts w:ascii="Arial" w:hAnsi="Arial" w:cs="Arial"/>
                <w:sz w:val="20"/>
                <w:szCs w:val="20"/>
              </w:rPr>
              <w:t xml:space="preserve"> (00 kg ha</w:t>
            </w:r>
            <w:r w:rsidRPr="000B65DC">
              <w:rPr>
                <w:rFonts w:ascii="Arial" w:hAnsi="Arial" w:cs="Arial"/>
                <w:sz w:val="20"/>
                <w:szCs w:val="20"/>
                <w:vertAlign w:val="superscript"/>
              </w:rPr>
              <w:t>-1</w:t>
            </w:r>
            <w:r w:rsidRPr="000B65DC">
              <w:rPr>
                <w:rFonts w:ascii="Arial" w:hAnsi="Arial" w:cs="Arial"/>
                <w:sz w:val="20"/>
                <w:szCs w:val="20"/>
              </w:rPr>
              <w:t>)</w:t>
            </w:r>
          </w:p>
        </w:tc>
        <w:tc>
          <w:tcPr>
            <w:tcW w:w="553" w:type="pct"/>
            <w:vAlign w:val="center"/>
            <w:hideMark/>
          </w:tcPr>
          <w:p w14:paraId="657FD65A"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0.30</w:t>
            </w:r>
          </w:p>
        </w:tc>
        <w:tc>
          <w:tcPr>
            <w:tcW w:w="752" w:type="pct"/>
            <w:vAlign w:val="center"/>
            <w:hideMark/>
          </w:tcPr>
          <w:p w14:paraId="744F3713"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0.21</w:t>
            </w:r>
          </w:p>
        </w:tc>
        <w:tc>
          <w:tcPr>
            <w:tcW w:w="856" w:type="pct"/>
            <w:vAlign w:val="center"/>
            <w:hideMark/>
          </w:tcPr>
          <w:p w14:paraId="1E00C1D3"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40.00</w:t>
            </w:r>
          </w:p>
        </w:tc>
        <w:tc>
          <w:tcPr>
            <w:tcW w:w="1023" w:type="pct"/>
            <w:vAlign w:val="center"/>
            <w:hideMark/>
          </w:tcPr>
          <w:p w14:paraId="1E18811D"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22.66</w:t>
            </w:r>
          </w:p>
        </w:tc>
      </w:tr>
      <w:tr w:rsidR="0025155E" w:rsidRPr="000B65DC" w14:paraId="146E97BC" w14:textId="77777777" w:rsidTr="009D5DE4">
        <w:tc>
          <w:tcPr>
            <w:tcW w:w="1816" w:type="pct"/>
            <w:hideMark/>
          </w:tcPr>
          <w:p w14:paraId="71B1708A" w14:textId="77777777" w:rsidR="0025155E" w:rsidRPr="000B65DC" w:rsidRDefault="0025155E" w:rsidP="00D70DCF">
            <w:pPr>
              <w:jc w:val="both"/>
              <w:rPr>
                <w:rFonts w:ascii="Arial" w:hAnsi="Arial" w:cs="Arial"/>
                <w:sz w:val="20"/>
                <w:szCs w:val="20"/>
              </w:rPr>
            </w:pPr>
            <w:r w:rsidRPr="000B65DC">
              <w:rPr>
                <w:rFonts w:ascii="Arial" w:hAnsi="Arial" w:cs="Arial"/>
                <w:sz w:val="20"/>
                <w:szCs w:val="20"/>
              </w:rPr>
              <w:t>Zn</w:t>
            </w:r>
            <w:r w:rsidRPr="000B65DC">
              <w:rPr>
                <w:rFonts w:ascii="Arial" w:hAnsi="Arial" w:cs="Arial"/>
                <w:sz w:val="20"/>
                <w:szCs w:val="20"/>
                <w:vertAlign w:val="subscript"/>
              </w:rPr>
              <w:t xml:space="preserve">2 </w:t>
            </w:r>
            <w:r w:rsidRPr="000B65DC">
              <w:rPr>
                <w:rFonts w:ascii="Arial" w:hAnsi="Arial" w:cs="Arial"/>
                <w:sz w:val="20"/>
                <w:szCs w:val="20"/>
              </w:rPr>
              <w:t>(2.5 kg ha</w:t>
            </w:r>
            <w:r w:rsidRPr="000B65DC">
              <w:rPr>
                <w:rFonts w:ascii="Arial" w:hAnsi="Arial" w:cs="Arial"/>
                <w:sz w:val="20"/>
                <w:szCs w:val="20"/>
                <w:vertAlign w:val="superscript"/>
              </w:rPr>
              <w:t>-1</w:t>
            </w:r>
            <w:r w:rsidRPr="000B65DC">
              <w:rPr>
                <w:rFonts w:ascii="Arial" w:hAnsi="Arial" w:cs="Arial"/>
                <w:sz w:val="20"/>
                <w:szCs w:val="20"/>
              </w:rPr>
              <w:t>)</w:t>
            </w:r>
          </w:p>
        </w:tc>
        <w:tc>
          <w:tcPr>
            <w:tcW w:w="553" w:type="pct"/>
            <w:vAlign w:val="center"/>
            <w:hideMark/>
          </w:tcPr>
          <w:p w14:paraId="3F375FE9"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0.33</w:t>
            </w:r>
          </w:p>
        </w:tc>
        <w:tc>
          <w:tcPr>
            <w:tcW w:w="752" w:type="pct"/>
            <w:vAlign w:val="center"/>
            <w:hideMark/>
          </w:tcPr>
          <w:p w14:paraId="4A673833"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0.23</w:t>
            </w:r>
          </w:p>
        </w:tc>
        <w:tc>
          <w:tcPr>
            <w:tcW w:w="856" w:type="pct"/>
            <w:vAlign w:val="center"/>
            <w:hideMark/>
          </w:tcPr>
          <w:p w14:paraId="74E3CC19"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44.00</w:t>
            </w:r>
          </w:p>
        </w:tc>
        <w:tc>
          <w:tcPr>
            <w:tcW w:w="1023" w:type="pct"/>
            <w:vAlign w:val="center"/>
            <w:hideMark/>
          </w:tcPr>
          <w:p w14:paraId="6219D789"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26.73</w:t>
            </w:r>
          </w:p>
        </w:tc>
      </w:tr>
      <w:tr w:rsidR="0025155E" w:rsidRPr="000B65DC" w14:paraId="0B8BFB9A" w14:textId="77777777" w:rsidTr="009D5DE4">
        <w:tc>
          <w:tcPr>
            <w:tcW w:w="1816" w:type="pct"/>
            <w:hideMark/>
          </w:tcPr>
          <w:p w14:paraId="71BFCF86" w14:textId="77777777" w:rsidR="0025155E" w:rsidRPr="000B65DC" w:rsidRDefault="0025155E" w:rsidP="00D70DCF">
            <w:pPr>
              <w:jc w:val="both"/>
              <w:rPr>
                <w:rFonts w:ascii="Arial" w:hAnsi="Arial" w:cs="Arial"/>
                <w:sz w:val="20"/>
                <w:szCs w:val="20"/>
              </w:rPr>
            </w:pPr>
            <w:r w:rsidRPr="000B65DC">
              <w:rPr>
                <w:rFonts w:ascii="Arial" w:hAnsi="Arial" w:cs="Arial"/>
                <w:sz w:val="20"/>
                <w:szCs w:val="20"/>
              </w:rPr>
              <w:t>Zn</w:t>
            </w:r>
            <w:r w:rsidRPr="000B65DC">
              <w:rPr>
                <w:rFonts w:ascii="Arial" w:hAnsi="Arial" w:cs="Arial"/>
                <w:sz w:val="20"/>
                <w:szCs w:val="20"/>
                <w:vertAlign w:val="subscript"/>
              </w:rPr>
              <w:t>3</w:t>
            </w:r>
            <w:r w:rsidRPr="000B65DC">
              <w:rPr>
                <w:rFonts w:ascii="Arial" w:hAnsi="Arial" w:cs="Arial"/>
                <w:sz w:val="20"/>
                <w:szCs w:val="20"/>
              </w:rPr>
              <w:t xml:space="preserve"> (5.0 kg ha</w:t>
            </w:r>
            <w:r w:rsidRPr="000B65DC">
              <w:rPr>
                <w:rFonts w:ascii="Arial" w:hAnsi="Arial" w:cs="Arial"/>
                <w:sz w:val="20"/>
                <w:szCs w:val="20"/>
                <w:vertAlign w:val="superscript"/>
              </w:rPr>
              <w:t>-1</w:t>
            </w:r>
            <w:r w:rsidRPr="000B65DC">
              <w:rPr>
                <w:rFonts w:ascii="Arial" w:hAnsi="Arial" w:cs="Arial"/>
                <w:sz w:val="20"/>
                <w:szCs w:val="20"/>
              </w:rPr>
              <w:t>)</w:t>
            </w:r>
          </w:p>
        </w:tc>
        <w:tc>
          <w:tcPr>
            <w:tcW w:w="553" w:type="pct"/>
            <w:vAlign w:val="center"/>
            <w:hideMark/>
          </w:tcPr>
          <w:p w14:paraId="66894BC7"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0.36</w:t>
            </w:r>
          </w:p>
        </w:tc>
        <w:tc>
          <w:tcPr>
            <w:tcW w:w="752" w:type="pct"/>
            <w:vAlign w:val="center"/>
            <w:hideMark/>
          </w:tcPr>
          <w:p w14:paraId="3C2CF420"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0.25</w:t>
            </w:r>
          </w:p>
        </w:tc>
        <w:tc>
          <w:tcPr>
            <w:tcW w:w="856" w:type="pct"/>
            <w:vAlign w:val="center"/>
            <w:hideMark/>
          </w:tcPr>
          <w:p w14:paraId="239E3982"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48.33</w:t>
            </w:r>
          </w:p>
        </w:tc>
        <w:tc>
          <w:tcPr>
            <w:tcW w:w="1023" w:type="pct"/>
            <w:vAlign w:val="center"/>
            <w:hideMark/>
          </w:tcPr>
          <w:p w14:paraId="0810E774"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29.64</w:t>
            </w:r>
          </w:p>
        </w:tc>
      </w:tr>
      <w:tr w:rsidR="0025155E" w:rsidRPr="000B65DC" w14:paraId="7EF07716" w14:textId="77777777" w:rsidTr="009D5DE4">
        <w:tc>
          <w:tcPr>
            <w:tcW w:w="1816" w:type="pct"/>
            <w:vAlign w:val="center"/>
            <w:hideMark/>
          </w:tcPr>
          <w:p w14:paraId="143FE7BD" w14:textId="77777777" w:rsidR="0025155E" w:rsidRPr="000B65DC" w:rsidRDefault="0025155E" w:rsidP="00D70DCF">
            <w:pPr>
              <w:jc w:val="right"/>
              <w:rPr>
                <w:rFonts w:ascii="Arial" w:hAnsi="Arial" w:cs="Arial"/>
                <w:b/>
                <w:bCs/>
                <w:sz w:val="20"/>
                <w:szCs w:val="20"/>
              </w:rPr>
            </w:pPr>
            <w:proofErr w:type="spellStart"/>
            <w:r w:rsidRPr="000B65DC">
              <w:rPr>
                <w:rFonts w:ascii="Arial" w:hAnsi="Arial" w:cs="Arial"/>
                <w:b/>
                <w:bCs/>
                <w:sz w:val="20"/>
                <w:szCs w:val="20"/>
              </w:rPr>
              <w:t>S.Em</w:t>
            </w:r>
            <w:proofErr w:type="spellEnd"/>
            <w:r w:rsidRPr="000B65DC">
              <w:rPr>
                <w:rFonts w:ascii="Arial" w:hAnsi="Arial" w:cs="Arial"/>
                <w:b/>
                <w:bCs/>
                <w:sz w:val="20"/>
                <w:szCs w:val="20"/>
              </w:rPr>
              <w:t>. ±</w:t>
            </w:r>
          </w:p>
        </w:tc>
        <w:tc>
          <w:tcPr>
            <w:tcW w:w="553" w:type="pct"/>
            <w:vAlign w:val="center"/>
            <w:hideMark/>
          </w:tcPr>
          <w:p w14:paraId="72A9F840"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0.01</w:t>
            </w:r>
          </w:p>
        </w:tc>
        <w:tc>
          <w:tcPr>
            <w:tcW w:w="752" w:type="pct"/>
            <w:vAlign w:val="center"/>
            <w:hideMark/>
          </w:tcPr>
          <w:p w14:paraId="7DA5B119"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0.01</w:t>
            </w:r>
          </w:p>
        </w:tc>
        <w:tc>
          <w:tcPr>
            <w:tcW w:w="856" w:type="pct"/>
            <w:vAlign w:val="center"/>
            <w:hideMark/>
          </w:tcPr>
          <w:p w14:paraId="5888040B"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1.17</w:t>
            </w:r>
          </w:p>
        </w:tc>
        <w:tc>
          <w:tcPr>
            <w:tcW w:w="1023" w:type="pct"/>
            <w:vAlign w:val="center"/>
            <w:hideMark/>
          </w:tcPr>
          <w:p w14:paraId="750FEC7D"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0.60</w:t>
            </w:r>
          </w:p>
        </w:tc>
      </w:tr>
      <w:tr w:rsidR="0025155E" w:rsidRPr="000B65DC" w14:paraId="5C1EDCDD" w14:textId="77777777" w:rsidTr="009D5DE4">
        <w:tc>
          <w:tcPr>
            <w:tcW w:w="1816" w:type="pct"/>
            <w:vAlign w:val="center"/>
            <w:hideMark/>
          </w:tcPr>
          <w:p w14:paraId="6A15749C" w14:textId="77777777" w:rsidR="0025155E" w:rsidRPr="000B65DC" w:rsidRDefault="0025155E" w:rsidP="00D70DCF">
            <w:pPr>
              <w:jc w:val="right"/>
              <w:rPr>
                <w:rFonts w:ascii="Arial" w:hAnsi="Arial" w:cs="Arial"/>
                <w:b/>
                <w:bCs/>
                <w:sz w:val="20"/>
                <w:szCs w:val="20"/>
              </w:rPr>
            </w:pPr>
            <w:r w:rsidRPr="000B65DC">
              <w:rPr>
                <w:rFonts w:ascii="Arial" w:hAnsi="Arial" w:cs="Arial"/>
                <w:b/>
                <w:bCs/>
                <w:sz w:val="20"/>
                <w:szCs w:val="20"/>
              </w:rPr>
              <w:t>CD at 5%</w:t>
            </w:r>
          </w:p>
        </w:tc>
        <w:tc>
          <w:tcPr>
            <w:tcW w:w="553" w:type="pct"/>
            <w:vAlign w:val="center"/>
            <w:hideMark/>
          </w:tcPr>
          <w:p w14:paraId="54277AFC"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0.02</w:t>
            </w:r>
          </w:p>
        </w:tc>
        <w:tc>
          <w:tcPr>
            <w:tcW w:w="752" w:type="pct"/>
            <w:vAlign w:val="center"/>
            <w:hideMark/>
          </w:tcPr>
          <w:p w14:paraId="09A5E81F"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0.02</w:t>
            </w:r>
          </w:p>
        </w:tc>
        <w:tc>
          <w:tcPr>
            <w:tcW w:w="856" w:type="pct"/>
            <w:vAlign w:val="center"/>
            <w:hideMark/>
          </w:tcPr>
          <w:p w14:paraId="3CC6A72F"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3.41</w:t>
            </w:r>
          </w:p>
        </w:tc>
        <w:tc>
          <w:tcPr>
            <w:tcW w:w="1023" w:type="pct"/>
            <w:vAlign w:val="center"/>
            <w:hideMark/>
          </w:tcPr>
          <w:p w14:paraId="2C087936"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1.74</w:t>
            </w:r>
          </w:p>
        </w:tc>
      </w:tr>
      <w:tr w:rsidR="0025155E" w:rsidRPr="000B65DC" w14:paraId="327F860D" w14:textId="77777777" w:rsidTr="009D5DE4">
        <w:tc>
          <w:tcPr>
            <w:tcW w:w="1816" w:type="pct"/>
            <w:hideMark/>
          </w:tcPr>
          <w:p w14:paraId="270BF8BB" w14:textId="77777777" w:rsidR="0025155E" w:rsidRPr="000B65DC" w:rsidRDefault="0025155E" w:rsidP="00D70DCF">
            <w:pPr>
              <w:jc w:val="both"/>
              <w:rPr>
                <w:rFonts w:ascii="Arial" w:hAnsi="Arial" w:cs="Arial"/>
                <w:sz w:val="20"/>
                <w:szCs w:val="20"/>
              </w:rPr>
            </w:pPr>
          </w:p>
        </w:tc>
        <w:tc>
          <w:tcPr>
            <w:tcW w:w="553" w:type="pct"/>
            <w:vAlign w:val="center"/>
            <w:hideMark/>
          </w:tcPr>
          <w:p w14:paraId="1151EDBC" w14:textId="77777777" w:rsidR="0025155E" w:rsidRPr="000B65DC" w:rsidRDefault="0025155E" w:rsidP="00D70DCF">
            <w:pPr>
              <w:jc w:val="center"/>
              <w:rPr>
                <w:rFonts w:ascii="Arial" w:hAnsi="Arial" w:cs="Arial"/>
                <w:sz w:val="20"/>
                <w:szCs w:val="20"/>
              </w:rPr>
            </w:pPr>
          </w:p>
        </w:tc>
        <w:tc>
          <w:tcPr>
            <w:tcW w:w="752" w:type="pct"/>
            <w:vAlign w:val="center"/>
            <w:hideMark/>
          </w:tcPr>
          <w:p w14:paraId="0F1A09EF" w14:textId="77777777" w:rsidR="0025155E" w:rsidRPr="000B65DC" w:rsidRDefault="0025155E" w:rsidP="00D70DCF">
            <w:pPr>
              <w:jc w:val="center"/>
              <w:rPr>
                <w:rFonts w:ascii="Arial" w:hAnsi="Arial" w:cs="Arial"/>
                <w:sz w:val="20"/>
                <w:szCs w:val="20"/>
              </w:rPr>
            </w:pPr>
          </w:p>
        </w:tc>
        <w:tc>
          <w:tcPr>
            <w:tcW w:w="856" w:type="pct"/>
            <w:vAlign w:val="center"/>
            <w:hideMark/>
          </w:tcPr>
          <w:p w14:paraId="74FBD7FC" w14:textId="77777777" w:rsidR="0025155E" w:rsidRPr="000B65DC" w:rsidRDefault="0025155E" w:rsidP="00D70DCF">
            <w:pPr>
              <w:jc w:val="center"/>
              <w:rPr>
                <w:rFonts w:ascii="Arial" w:hAnsi="Arial" w:cs="Arial"/>
                <w:sz w:val="20"/>
                <w:szCs w:val="20"/>
              </w:rPr>
            </w:pPr>
          </w:p>
        </w:tc>
        <w:tc>
          <w:tcPr>
            <w:tcW w:w="1023" w:type="pct"/>
            <w:vAlign w:val="center"/>
            <w:hideMark/>
          </w:tcPr>
          <w:p w14:paraId="7C99C74B" w14:textId="77777777" w:rsidR="0025155E" w:rsidRPr="000B65DC" w:rsidRDefault="0025155E" w:rsidP="00D70DCF">
            <w:pPr>
              <w:jc w:val="center"/>
              <w:rPr>
                <w:rFonts w:ascii="Arial" w:hAnsi="Arial" w:cs="Arial"/>
                <w:sz w:val="20"/>
                <w:szCs w:val="20"/>
              </w:rPr>
            </w:pPr>
          </w:p>
        </w:tc>
      </w:tr>
      <w:tr w:rsidR="0025155E" w:rsidRPr="000B65DC" w14:paraId="26B20971" w14:textId="77777777" w:rsidTr="009D5DE4">
        <w:tc>
          <w:tcPr>
            <w:tcW w:w="1816" w:type="pct"/>
            <w:hideMark/>
          </w:tcPr>
          <w:p w14:paraId="614679A9" w14:textId="77777777" w:rsidR="0025155E" w:rsidRPr="000B65DC" w:rsidRDefault="0025155E" w:rsidP="00D70DCF">
            <w:pPr>
              <w:jc w:val="both"/>
              <w:rPr>
                <w:rFonts w:ascii="Arial" w:hAnsi="Arial" w:cs="Arial"/>
                <w:sz w:val="20"/>
                <w:szCs w:val="20"/>
              </w:rPr>
            </w:pPr>
            <w:r w:rsidRPr="000B65DC">
              <w:rPr>
                <w:rFonts w:ascii="Arial" w:hAnsi="Arial" w:cs="Arial"/>
                <w:b/>
                <w:bCs/>
                <w:sz w:val="20"/>
                <w:szCs w:val="20"/>
              </w:rPr>
              <w:t>Interaction (S × Zn)</w:t>
            </w:r>
          </w:p>
        </w:tc>
        <w:tc>
          <w:tcPr>
            <w:tcW w:w="553" w:type="pct"/>
            <w:vAlign w:val="center"/>
            <w:hideMark/>
          </w:tcPr>
          <w:p w14:paraId="67B63989"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NS</w:t>
            </w:r>
          </w:p>
        </w:tc>
        <w:tc>
          <w:tcPr>
            <w:tcW w:w="752" w:type="pct"/>
            <w:vAlign w:val="center"/>
            <w:hideMark/>
          </w:tcPr>
          <w:p w14:paraId="54CA213F"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NS</w:t>
            </w:r>
          </w:p>
        </w:tc>
        <w:tc>
          <w:tcPr>
            <w:tcW w:w="856" w:type="pct"/>
            <w:vAlign w:val="center"/>
            <w:hideMark/>
          </w:tcPr>
          <w:p w14:paraId="696A5DFA"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NS</w:t>
            </w:r>
          </w:p>
        </w:tc>
        <w:tc>
          <w:tcPr>
            <w:tcW w:w="1023" w:type="pct"/>
            <w:vAlign w:val="center"/>
            <w:hideMark/>
          </w:tcPr>
          <w:p w14:paraId="30A435D5" w14:textId="77777777" w:rsidR="0025155E" w:rsidRPr="000B65DC" w:rsidRDefault="0025155E" w:rsidP="00D70DCF">
            <w:pPr>
              <w:jc w:val="center"/>
              <w:rPr>
                <w:rFonts w:ascii="Arial" w:hAnsi="Arial" w:cs="Arial"/>
                <w:sz w:val="20"/>
                <w:szCs w:val="20"/>
              </w:rPr>
            </w:pPr>
            <w:r w:rsidRPr="000B65DC">
              <w:rPr>
                <w:rFonts w:ascii="Arial" w:hAnsi="Arial" w:cs="Arial"/>
                <w:sz w:val="20"/>
                <w:szCs w:val="20"/>
              </w:rPr>
              <w:t>NS</w:t>
            </w:r>
          </w:p>
        </w:tc>
      </w:tr>
      <w:tr w:rsidR="0025155E" w:rsidRPr="000B65DC" w14:paraId="1FDD2A19" w14:textId="77777777" w:rsidTr="009D5DE4">
        <w:tc>
          <w:tcPr>
            <w:tcW w:w="1816" w:type="pct"/>
            <w:vAlign w:val="center"/>
            <w:hideMark/>
          </w:tcPr>
          <w:p w14:paraId="1720FE75" w14:textId="77777777" w:rsidR="0025155E" w:rsidRPr="000B65DC" w:rsidRDefault="0025155E" w:rsidP="00D70DCF">
            <w:pPr>
              <w:jc w:val="right"/>
              <w:rPr>
                <w:rFonts w:ascii="Arial" w:hAnsi="Arial" w:cs="Arial"/>
                <w:b/>
                <w:bCs/>
                <w:sz w:val="20"/>
                <w:szCs w:val="20"/>
              </w:rPr>
            </w:pPr>
            <w:proofErr w:type="spellStart"/>
            <w:r w:rsidRPr="000B65DC">
              <w:rPr>
                <w:rFonts w:ascii="Arial" w:hAnsi="Arial" w:cs="Arial"/>
                <w:b/>
                <w:bCs/>
                <w:sz w:val="20"/>
                <w:szCs w:val="20"/>
              </w:rPr>
              <w:t>S.Em</w:t>
            </w:r>
            <w:proofErr w:type="spellEnd"/>
            <w:r w:rsidRPr="000B65DC">
              <w:rPr>
                <w:rFonts w:ascii="Arial" w:hAnsi="Arial" w:cs="Arial"/>
                <w:b/>
                <w:bCs/>
                <w:sz w:val="20"/>
                <w:szCs w:val="20"/>
              </w:rPr>
              <w:t>. ±</w:t>
            </w:r>
          </w:p>
        </w:tc>
        <w:tc>
          <w:tcPr>
            <w:tcW w:w="553" w:type="pct"/>
            <w:vAlign w:val="center"/>
            <w:hideMark/>
          </w:tcPr>
          <w:p w14:paraId="67CE9024"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0.01</w:t>
            </w:r>
          </w:p>
        </w:tc>
        <w:tc>
          <w:tcPr>
            <w:tcW w:w="752" w:type="pct"/>
            <w:vAlign w:val="center"/>
            <w:hideMark/>
          </w:tcPr>
          <w:p w14:paraId="7A7C9369"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0.01</w:t>
            </w:r>
          </w:p>
        </w:tc>
        <w:tc>
          <w:tcPr>
            <w:tcW w:w="856" w:type="pct"/>
            <w:vAlign w:val="center"/>
            <w:hideMark/>
          </w:tcPr>
          <w:p w14:paraId="18301749"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2.02</w:t>
            </w:r>
          </w:p>
        </w:tc>
        <w:tc>
          <w:tcPr>
            <w:tcW w:w="1023" w:type="pct"/>
            <w:vAlign w:val="center"/>
            <w:hideMark/>
          </w:tcPr>
          <w:p w14:paraId="07FA13FB"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1.03</w:t>
            </w:r>
          </w:p>
        </w:tc>
      </w:tr>
      <w:tr w:rsidR="0025155E" w:rsidRPr="000B65DC" w14:paraId="476F070A" w14:textId="77777777" w:rsidTr="009D5DE4">
        <w:tc>
          <w:tcPr>
            <w:tcW w:w="1816" w:type="pct"/>
            <w:vAlign w:val="center"/>
            <w:hideMark/>
          </w:tcPr>
          <w:p w14:paraId="02A4D77A" w14:textId="77777777" w:rsidR="0025155E" w:rsidRPr="000B65DC" w:rsidRDefault="0025155E" w:rsidP="00D70DCF">
            <w:pPr>
              <w:jc w:val="right"/>
              <w:rPr>
                <w:rFonts w:ascii="Arial" w:hAnsi="Arial" w:cs="Arial"/>
                <w:b/>
                <w:bCs/>
                <w:sz w:val="20"/>
                <w:szCs w:val="20"/>
              </w:rPr>
            </w:pPr>
            <w:r w:rsidRPr="000B65DC">
              <w:rPr>
                <w:rFonts w:ascii="Arial" w:hAnsi="Arial" w:cs="Arial"/>
                <w:b/>
                <w:bCs/>
                <w:sz w:val="20"/>
                <w:szCs w:val="20"/>
              </w:rPr>
              <w:t>CV (%)</w:t>
            </w:r>
          </w:p>
        </w:tc>
        <w:tc>
          <w:tcPr>
            <w:tcW w:w="553" w:type="pct"/>
            <w:vAlign w:val="center"/>
            <w:hideMark/>
          </w:tcPr>
          <w:p w14:paraId="08EB275C"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8.28</w:t>
            </w:r>
          </w:p>
        </w:tc>
        <w:tc>
          <w:tcPr>
            <w:tcW w:w="752" w:type="pct"/>
            <w:vAlign w:val="center"/>
            <w:hideMark/>
          </w:tcPr>
          <w:p w14:paraId="4051A534"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8.74</w:t>
            </w:r>
          </w:p>
        </w:tc>
        <w:tc>
          <w:tcPr>
            <w:tcW w:w="856" w:type="pct"/>
            <w:vAlign w:val="center"/>
            <w:hideMark/>
          </w:tcPr>
          <w:p w14:paraId="173B8FE1"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9.16</w:t>
            </w:r>
          </w:p>
        </w:tc>
        <w:tc>
          <w:tcPr>
            <w:tcW w:w="1023" w:type="pct"/>
            <w:vAlign w:val="center"/>
            <w:hideMark/>
          </w:tcPr>
          <w:p w14:paraId="630B66AE" w14:textId="77777777" w:rsidR="0025155E" w:rsidRPr="000B65DC" w:rsidRDefault="0025155E" w:rsidP="00D70DCF">
            <w:pPr>
              <w:jc w:val="center"/>
              <w:rPr>
                <w:rFonts w:ascii="Arial" w:hAnsi="Arial" w:cs="Arial"/>
                <w:b/>
                <w:bCs/>
                <w:sz w:val="20"/>
                <w:szCs w:val="20"/>
              </w:rPr>
            </w:pPr>
            <w:r w:rsidRPr="000B65DC">
              <w:rPr>
                <w:rFonts w:ascii="Arial" w:hAnsi="Arial" w:cs="Arial"/>
                <w:b/>
                <w:bCs/>
                <w:sz w:val="20"/>
                <w:szCs w:val="20"/>
              </w:rPr>
              <w:t>7.83</w:t>
            </w:r>
          </w:p>
        </w:tc>
      </w:tr>
    </w:tbl>
    <w:p w14:paraId="096DDEB5" w14:textId="77777777" w:rsidR="00B46191" w:rsidRPr="000B65DC" w:rsidRDefault="00B46191" w:rsidP="0025155E">
      <w:pPr>
        <w:spacing w:before="240"/>
        <w:jc w:val="both"/>
        <w:rPr>
          <w:rFonts w:ascii="Arial" w:hAnsi="Arial" w:cs="Arial"/>
          <w:b/>
          <w:bCs/>
          <w:sz w:val="20"/>
          <w:szCs w:val="20"/>
          <w:lang w:val="en-GB"/>
        </w:rPr>
      </w:pPr>
      <w:r w:rsidRPr="000B65DC">
        <w:rPr>
          <w:rFonts w:ascii="Arial" w:hAnsi="Arial" w:cs="Arial"/>
          <w:b/>
          <w:bCs/>
          <w:sz w:val="20"/>
          <w:szCs w:val="20"/>
          <w:lang w:val="en-GB"/>
        </w:rPr>
        <w:lastRenderedPageBreak/>
        <w:t>3.</w:t>
      </w:r>
      <w:r w:rsidR="00C82A0C" w:rsidRPr="000B65DC">
        <w:rPr>
          <w:rFonts w:ascii="Arial" w:hAnsi="Arial" w:cs="Arial"/>
          <w:b/>
          <w:bCs/>
          <w:sz w:val="20"/>
          <w:szCs w:val="20"/>
          <w:lang w:val="en-GB"/>
        </w:rPr>
        <w:t>2</w:t>
      </w:r>
      <w:r w:rsidRPr="000B65DC">
        <w:rPr>
          <w:rFonts w:ascii="Arial" w:hAnsi="Arial" w:cs="Arial"/>
          <w:b/>
          <w:bCs/>
          <w:sz w:val="20"/>
          <w:szCs w:val="20"/>
          <w:lang w:val="en-GB"/>
        </w:rPr>
        <w:t>.2 Sulphur and Zinc Uptake</w:t>
      </w:r>
    </w:p>
    <w:p w14:paraId="57057196"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 xml:space="preserve">Total sulphur uptake more than doubled with sulphur application, reaching 8.66 kg ha⁻¹ at 40 kg S ha⁻¹ (S₃), which was significantly higher than the 4.04 kg ha⁻¹ recorded in the control (S₁). Zinc application also significantly increased total sulphur uptake, which reached 7.20 kg ha⁻¹ at 5.0 kg Zn ha⁻¹ (Zn₃), compared with 5.46 kg ha⁻¹ in the control (Zn₁). This increase was associated with both higher tissue concentration and greater biomass production (Choudhary </w:t>
      </w:r>
      <w:r w:rsidRPr="000B65DC">
        <w:rPr>
          <w:rFonts w:ascii="Arial" w:hAnsi="Arial" w:cs="Arial"/>
          <w:i/>
          <w:sz w:val="20"/>
          <w:szCs w:val="20"/>
          <w:lang w:val="en-GB"/>
        </w:rPr>
        <w:t>et al.</w:t>
      </w:r>
      <w:r w:rsidRPr="000B65DC">
        <w:rPr>
          <w:rFonts w:ascii="Arial" w:hAnsi="Arial" w:cs="Arial"/>
          <w:sz w:val="20"/>
          <w:szCs w:val="20"/>
          <w:lang w:val="en-GB"/>
        </w:rPr>
        <w:t xml:space="preserve">, 2016; Jat &amp; Mehra, 2007; Rana </w:t>
      </w:r>
      <w:r w:rsidRPr="000B65DC">
        <w:rPr>
          <w:rFonts w:ascii="Arial" w:hAnsi="Arial" w:cs="Arial"/>
          <w:i/>
          <w:sz w:val="20"/>
          <w:szCs w:val="20"/>
          <w:lang w:val="en-GB"/>
        </w:rPr>
        <w:t>et al.</w:t>
      </w:r>
      <w:r w:rsidRPr="000B65DC">
        <w:rPr>
          <w:rFonts w:ascii="Arial" w:hAnsi="Arial" w:cs="Arial"/>
          <w:sz w:val="20"/>
          <w:szCs w:val="20"/>
          <w:lang w:val="en-GB"/>
        </w:rPr>
        <w:t xml:space="preserve">, 2018; Vaishnav </w:t>
      </w:r>
      <w:r w:rsidRPr="000B65DC">
        <w:rPr>
          <w:rFonts w:ascii="Arial" w:hAnsi="Arial" w:cs="Arial"/>
          <w:i/>
          <w:sz w:val="20"/>
          <w:szCs w:val="20"/>
          <w:lang w:val="en-GB"/>
        </w:rPr>
        <w:t>et al.</w:t>
      </w:r>
      <w:r w:rsidRPr="000B65DC">
        <w:rPr>
          <w:rFonts w:ascii="Arial" w:hAnsi="Arial" w:cs="Arial"/>
          <w:sz w:val="20"/>
          <w:szCs w:val="20"/>
          <w:lang w:val="en-GB"/>
        </w:rPr>
        <w:t xml:space="preserve">, 2024; Zinzala </w:t>
      </w:r>
      <w:r w:rsidRPr="000B65DC">
        <w:rPr>
          <w:rFonts w:ascii="Arial" w:hAnsi="Arial" w:cs="Arial"/>
          <w:i/>
          <w:sz w:val="20"/>
          <w:szCs w:val="20"/>
          <w:lang w:val="en-GB"/>
        </w:rPr>
        <w:t>et al.</w:t>
      </w:r>
      <w:r w:rsidRPr="000B65DC">
        <w:rPr>
          <w:rFonts w:ascii="Arial" w:hAnsi="Arial" w:cs="Arial"/>
          <w:sz w:val="20"/>
          <w:szCs w:val="20"/>
          <w:lang w:val="en-GB"/>
        </w:rPr>
        <w:t>, 2008) (Table 4).</w:t>
      </w:r>
    </w:p>
    <w:p w14:paraId="06E36B4D" w14:textId="77777777" w:rsidR="00B46191"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 xml:space="preserve">Total zinc uptake showed a similar response, reaching 95.47 g ha⁻¹ with S₃, compared with 57.88 g ha⁻¹ at S₁, and 88.60 g ha⁻¹ with Zn₃, compared with 64.75 g ha⁻¹ at Zn₁. These findings indicate that improved sulphur nutrition enhanced both sulphur and zinc uptake, possibly by improving physiological efficiency and expanding the active root surface available for nutrient interception (Rana </w:t>
      </w:r>
      <w:r w:rsidRPr="000B65DC">
        <w:rPr>
          <w:rFonts w:ascii="Arial" w:hAnsi="Arial" w:cs="Arial"/>
          <w:i/>
          <w:sz w:val="20"/>
          <w:szCs w:val="20"/>
          <w:lang w:val="en-GB"/>
        </w:rPr>
        <w:t>et al.</w:t>
      </w:r>
      <w:r w:rsidRPr="000B65DC">
        <w:rPr>
          <w:rFonts w:ascii="Arial" w:hAnsi="Arial" w:cs="Arial"/>
          <w:sz w:val="20"/>
          <w:szCs w:val="20"/>
          <w:lang w:val="en-GB"/>
        </w:rPr>
        <w:t xml:space="preserve">, 2018; B. Singh et al., 2013; Upadhyay, 2012; Wang </w:t>
      </w:r>
      <w:r w:rsidRPr="000B65DC">
        <w:rPr>
          <w:rFonts w:ascii="Arial" w:hAnsi="Arial" w:cs="Arial"/>
          <w:i/>
          <w:sz w:val="20"/>
          <w:szCs w:val="20"/>
          <w:lang w:val="en-GB"/>
        </w:rPr>
        <w:t>et al.</w:t>
      </w:r>
      <w:r w:rsidRPr="000B65DC">
        <w:rPr>
          <w:rFonts w:ascii="Arial" w:hAnsi="Arial" w:cs="Arial"/>
          <w:sz w:val="20"/>
          <w:szCs w:val="20"/>
          <w:lang w:val="en-GB"/>
        </w:rPr>
        <w:t>, 2014). All S × Zn interactions for nutrient uptake were non-significant.</w:t>
      </w:r>
    </w:p>
    <w:p w14:paraId="5D981A59" w14:textId="77777777" w:rsidR="00B46191" w:rsidRPr="000B65DC" w:rsidRDefault="00B46191" w:rsidP="00B46191">
      <w:pPr>
        <w:jc w:val="both"/>
        <w:rPr>
          <w:rFonts w:ascii="Arial" w:hAnsi="Arial" w:cs="Arial"/>
          <w:b/>
          <w:bCs/>
          <w:sz w:val="20"/>
          <w:szCs w:val="20"/>
          <w:lang w:val="en-GB"/>
        </w:rPr>
      </w:pPr>
      <w:r w:rsidRPr="000B65DC">
        <w:rPr>
          <w:rFonts w:ascii="Arial" w:hAnsi="Arial" w:cs="Arial"/>
          <w:b/>
          <w:bCs/>
          <w:sz w:val="20"/>
          <w:szCs w:val="20"/>
          <w:lang w:val="en-GB"/>
        </w:rPr>
        <w:t xml:space="preserve">Table </w:t>
      </w:r>
      <w:r w:rsidR="007F7018" w:rsidRPr="000B65DC">
        <w:rPr>
          <w:rFonts w:ascii="Arial" w:hAnsi="Arial" w:cs="Arial"/>
          <w:b/>
          <w:bCs/>
          <w:sz w:val="20"/>
          <w:szCs w:val="20"/>
          <w:lang w:val="en-GB"/>
        </w:rPr>
        <w:t>4</w:t>
      </w:r>
      <w:r w:rsidRPr="000B65DC">
        <w:rPr>
          <w:rFonts w:ascii="Arial" w:hAnsi="Arial" w:cs="Arial"/>
          <w:b/>
          <w:bCs/>
          <w:sz w:val="20"/>
          <w:szCs w:val="20"/>
          <w:lang w:val="en-GB"/>
        </w:rPr>
        <w:t>. Sulphur and Zinc Uptake by Seed, Stover and Total Plant</w:t>
      </w:r>
    </w:p>
    <w:tbl>
      <w:tblPr>
        <w:tblStyle w:val="TableGrid"/>
        <w:tblW w:w="5000" w:type="pct"/>
        <w:tblLook w:val="04A0" w:firstRow="1" w:lastRow="0" w:firstColumn="1" w:lastColumn="0" w:noHBand="0" w:noVBand="1"/>
      </w:tblPr>
      <w:tblGrid>
        <w:gridCol w:w="2699"/>
        <w:gridCol w:w="1001"/>
        <w:gridCol w:w="1118"/>
        <w:gridCol w:w="921"/>
        <w:gridCol w:w="1001"/>
        <w:gridCol w:w="1118"/>
        <w:gridCol w:w="1158"/>
      </w:tblGrid>
      <w:tr w:rsidR="0025155E" w:rsidRPr="000B65DC" w14:paraId="133E3F41" w14:textId="77777777" w:rsidTr="009D5DE4">
        <w:tc>
          <w:tcPr>
            <w:tcW w:w="1497" w:type="pct"/>
            <w:vMerge w:val="restart"/>
            <w:vAlign w:val="center"/>
          </w:tcPr>
          <w:p w14:paraId="2F37BD12" w14:textId="77777777" w:rsidR="0025155E" w:rsidRPr="000B65DC" w:rsidRDefault="0025155E" w:rsidP="00543408">
            <w:pPr>
              <w:jc w:val="both"/>
              <w:rPr>
                <w:rFonts w:ascii="Arial" w:hAnsi="Arial" w:cs="Arial"/>
                <w:b/>
                <w:bCs/>
                <w:sz w:val="20"/>
                <w:szCs w:val="20"/>
              </w:rPr>
            </w:pPr>
            <w:r w:rsidRPr="000B65DC">
              <w:rPr>
                <w:rFonts w:ascii="Arial" w:hAnsi="Arial" w:cs="Arial"/>
                <w:b/>
                <w:bCs/>
                <w:sz w:val="20"/>
                <w:szCs w:val="20"/>
              </w:rPr>
              <w:t>Treatments</w:t>
            </w:r>
          </w:p>
        </w:tc>
        <w:tc>
          <w:tcPr>
            <w:tcW w:w="1686" w:type="pct"/>
            <w:gridSpan w:val="3"/>
            <w:vAlign w:val="center"/>
          </w:tcPr>
          <w:p w14:paraId="085D353B"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S Uptake (kg</w:t>
            </w:r>
            <w:r w:rsidRPr="000B65DC">
              <w:rPr>
                <w:rFonts w:ascii="Arial" w:hAnsi="Arial" w:cs="Arial"/>
                <w:sz w:val="20"/>
                <w:szCs w:val="20"/>
              </w:rPr>
              <w:t xml:space="preserve"> </w:t>
            </w:r>
            <w:r w:rsidRPr="000B65DC">
              <w:rPr>
                <w:rFonts w:ascii="Arial" w:hAnsi="Arial" w:cs="Arial"/>
                <w:b/>
                <w:bCs/>
                <w:sz w:val="20"/>
                <w:szCs w:val="20"/>
              </w:rPr>
              <w:t>ha</w:t>
            </w:r>
            <w:r w:rsidRPr="000B65DC">
              <w:rPr>
                <w:rFonts w:ascii="Arial" w:hAnsi="Arial" w:cs="Arial"/>
                <w:b/>
                <w:bCs/>
                <w:sz w:val="20"/>
                <w:szCs w:val="20"/>
                <w:vertAlign w:val="superscript"/>
              </w:rPr>
              <w:t>-1</w:t>
            </w:r>
            <w:r w:rsidRPr="000B65DC">
              <w:rPr>
                <w:rFonts w:ascii="Arial" w:hAnsi="Arial" w:cs="Arial"/>
                <w:b/>
                <w:bCs/>
                <w:sz w:val="20"/>
                <w:szCs w:val="20"/>
              </w:rPr>
              <w:t>)</w:t>
            </w:r>
          </w:p>
        </w:tc>
        <w:tc>
          <w:tcPr>
            <w:tcW w:w="1817" w:type="pct"/>
            <w:gridSpan w:val="3"/>
            <w:vAlign w:val="center"/>
          </w:tcPr>
          <w:p w14:paraId="7ACFDC2A"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Zn Uptake (g</w:t>
            </w:r>
            <w:r w:rsidRPr="000B65DC">
              <w:rPr>
                <w:rFonts w:ascii="Arial" w:hAnsi="Arial" w:cs="Arial"/>
                <w:sz w:val="20"/>
                <w:szCs w:val="20"/>
              </w:rPr>
              <w:t xml:space="preserve"> </w:t>
            </w:r>
            <w:r w:rsidRPr="000B65DC">
              <w:rPr>
                <w:rFonts w:ascii="Arial" w:hAnsi="Arial" w:cs="Arial"/>
                <w:b/>
                <w:bCs/>
                <w:sz w:val="20"/>
                <w:szCs w:val="20"/>
              </w:rPr>
              <w:t>ha</w:t>
            </w:r>
            <w:r w:rsidRPr="000B65DC">
              <w:rPr>
                <w:rFonts w:ascii="Arial" w:hAnsi="Arial" w:cs="Arial"/>
                <w:b/>
                <w:bCs/>
                <w:sz w:val="20"/>
                <w:szCs w:val="20"/>
                <w:vertAlign w:val="superscript"/>
              </w:rPr>
              <w:t>-1</w:t>
            </w:r>
            <w:r w:rsidRPr="000B65DC">
              <w:rPr>
                <w:rFonts w:ascii="Arial" w:hAnsi="Arial" w:cs="Arial"/>
                <w:b/>
                <w:bCs/>
                <w:sz w:val="20"/>
                <w:szCs w:val="20"/>
              </w:rPr>
              <w:t>)</w:t>
            </w:r>
          </w:p>
        </w:tc>
      </w:tr>
      <w:tr w:rsidR="0025155E" w:rsidRPr="000B65DC" w14:paraId="49CFFD46" w14:textId="77777777" w:rsidTr="009D5DE4">
        <w:tc>
          <w:tcPr>
            <w:tcW w:w="1497" w:type="pct"/>
            <w:vMerge/>
            <w:vAlign w:val="center"/>
            <w:hideMark/>
          </w:tcPr>
          <w:p w14:paraId="560D6E2A" w14:textId="77777777" w:rsidR="0025155E" w:rsidRPr="000B65DC" w:rsidRDefault="0025155E" w:rsidP="00543408">
            <w:pPr>
              <w:jc w:val="both"/>
              <w:rPr>
                <w:rFonts w:ascii="Arial" w:hAnsi="Arial" w:cs="Arial"/>
                <w:b/>
                <w:bCs/>
                <w:sz w:val="20"/>
                <w:szCs w:val="20"/>
              </w:rPr>
            </w:pPr>
          </w:p>
        </w:tc>
        <w:tc>
          <w:tcPr>
            <w:tcW w:w="555" w:type="pct"/>
            <w:vAlign w:val="center"/>
            <w:hideMark/>
          </w:tcPr>
          <w:p w14:paraId="5C481B05"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Seed</w:t>
            </w:r>
          </w:p>
        </w:tc>
        <w:tc>
          <w:tcPr>
            <w:tcW w:w="620" w:type="pct"/>
            <w:vAlign w:val="center"/>
            <w:hideMark/>
          </w:tcPr>
          <w:p w14:paraId="55417FE2"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Stover</w:t>
            </w:r>
          </w:p>
        </w:tc>
        <w:tc>
          <w:tcPr>
            <w:tcW w:w="511" w:type="pct"/>
            <w:vAlign w:val="center"/>
            <w:hideMark/>
          </w:tcPr>
          <w:p w14:paraId="4CD3DE9D"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Total</w:t>
            </w:r>
          </w:p>
        </w:tc>
        <w:tc>
          <w:tcPr>
            <w:tcW w:w="555" w:type="pct"/>
            <w:vAlign w:val="center"/>
            <w:hideMark/>
          </w:tcPr>
          <w:p w14:paraId="770FFAE2"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Seed</w:t>
            </w:r>
          </w:p>
        </w:tc>
        <w:tc>
          <w:tcPr>
            <w:tcW w:w="620" w:type="pct"/>
            <w:vAlign w:val="center"/>
            <w:hideMark/>
          </w:tcPr>
          <w:p w14:paraId="3B18A5BD"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Stover</w:t>
            </w:r>
          </w:p>
        </w:tc>
        <w:tc>
          <w:tcPr>
            <w:tcW w:w="642" w:type="pct"/>
            <w:vAlign w:val="center"/>
            <w:hideMark/>
          </w:tcPr>
          <w:p w14:paraId="3B9B2465"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Total</w:t>
            </w:r>
          </w:p>
        </w:tc>
      </w:tr>
      <w:tr w:rsidR="0025155E" w:rsidRPr="000B65DC" w14:paraId="2F2DA1C2" w14:textId="77777777" w:rsidTr="009D5DE4">
        <w:tc>
          <w:tcPr>
            <w:tcW w:w="5000" w:type="pct"/>
            <w:gridSpan w:val="7"/>
            <w:vAlign w:val="center"/>
            <w:hideMark/>
          </w:tcPr>
          <w:p w14:paraId="4B344451" w14:textId="77777777" w:rsidR="0025155E" w:rsidRPr="000B65DC" w:rsidRDefault="0025155E" w:rsidP="00543408">
            <w:pPr>
              <w:rPr>
                <w:rFonts w:ascii="Arial" w:hAnsi="Arial" w:cs="Arial"/>
                <w:sz w:val="20"/>
                <w:szCs w:val="20"/>
              </w:rPr>
            </w:pPr>
            <w:r w:rsidRPr="000B65DC">
              <w:rPr>
                <w:rFonts w:ascii="Arial" w:hAnsi="Arial" w:cs="Arial"/>
                <w:b/>
                <w:bCs/>
                <w:sz w:val="20"/>
                <w:szCs w:val="20"/>
              </w:rPr>
              <w:t>(A) Sulphur levels</w:t>
            </w:r>
          </w:p>
        </w:tc>
      </w:tr>
      <w:tr w:rsidR="0025155E" w:rsidRPr="000B65DC" w14:paraId="50DED00A" w14:textId="77777777" w:rsidTr="009D5DE4">
        <w:tc>
          <w:tcPr>
            <w:tcW w:w="1497" w:type="pct"/>
            <w:hideMark/>
          </w:tcPr>
          <w:p w14:paraId="04A34A26" w14:textId="77777777" w:rsidR="0025155E" w:rsidRPr="000B65DC" w:rsidRDefault="0025155E" w:rsidP="00543408">
            <w:pPr>
              <w:jc w:val="both"/>
              <w:rPr>
                <w:rFonts w:ascii="Arial" w:hAnsi="Arial" w:cs="Arial"/>
                <w:sz w:val="20"/>
                <w:szCs w:val="20"/>
              </w:rPr>
            </w:pPr>
            <w:r w:rsidRPr="000B65DC">
              <w:rPr>
                <w:rFonts w:ascii="Arial" w:hAnsi="Arial" w:cs="Arial"/>
                <w:sz w:val="20"/>
                <w:szCs w:val="20"/>
              </w:rPr>
              <w:t>S</w:t>
            </w:r>
            <w:r w:rsidRPr="000B65DC">
              <w:rPr>
                <w:rFonts w:ascii="Arial" w:hAnsi="Arial" w:cs="Arial"/>
                <w:sz w:val="20"/>
                <w:szCs w:val="20"/>
                <w:vertAlign w:val="subscript"/>
              </w:rPr>
              <w:t>1</w:t>
            </w:r>
            <w:r w:rsidRPr="000B65DC">
              <w:rPr>
                <w:rFonts w:ascii="Arial" w:hAnsi="Arial" w:cs="Arial"/>
                <w:sz w:val="20"/>
                <w:szCs w:val="20"/>
              </w:rPr>
              <w:t xml:space="preserve"> (00 kg ha</w:t>
            </w:r>
            <w:r w:rsidRPr="000B65DC">
              <w:rPr>
                <w:rFonts w:ascii="Arial" w:hAnsi="Arial" w:cs="Arial"/>
                <w:sz w:val="20"/>
                <w:szCs w:val="20"/>
                <w:vertAlign w:val="superscript"/>
              </w:rPr>
              <w:t>-1</w:t>
            </w:r>
            <w:r w:rsidRPr="000B65DC">
              <w:rPr>
                <w:rFonts w:ascii="Arial" w:hAnsi="Arial" w:cs="Arial"/>
                <w:sz w:val="20"/>
                <w:szCs w:val="20"/>
              </w:rPr>
              <w:t>)</w:t>
            </w:r>
          </w:p>
        </w:tc>
        <w:tc>
          <w:tcPr>
            <w:tcW w:w="555" w:type="pct"/>
            <w:vAlign w:val="center"/>
            <w:hideMark/>
          </w:tcPr>
          <w:p w14:paraId="07604FE7"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1.73</w:t>
            </w:r>
          </w:p>
        </w:tc>
        <w:tc>
          <w:tcPr>
            <w:tcW w:w="620" w:type="pct"/>
            <w:vAlign w:val="center"/>
            <w:hideMark/>
          </w:tcPr>
          <w:p w14:paraId="14E5F7F5"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2.31</w:t>
            </w:r>
          </w:p>
        </w:tc>
        <w:tc>
          <w:tcPr>
            <w:tcW w:w="511" w:type="pct"/>
            <w:vAlign w:val="center"/>
            <w:hideMark/>
          </w:tcPr>
          <w:p w14:paraId="55663DD5"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4.04</w:t>
            </w:r>
          </w:p>
        </w:tc>
        <w:tc>
          <w:tcPr>
            <w:tcW w:w="555" w:type="pct"/>
            <w:vAlign w:val="center"/>
            <w:hideMark/>
          </w:tcPr>
          <w:p w14:paraId="4E5EE753"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26.48</w:t>
            </w:r>
          </w:p>
        </w:tc>
        <w:tc>
          <w:tcPr>
            <w:tcW w:w="620" w:type="pct"/>
            <w:vAlign w:val="center"/>
            <w:hideMark/>
          </w:tcPr>
          <w:p w14:paraId="29DD37EA"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31.40</w:t>
            </w:r>
          </w:p>
        </w:tc>
        <w:tc>
          <w:tcPr>
            <w:tcW w:w="642" w:type="pct"/>
            <w:vAlign w:val="center"/>
            <w:hideMark/>
          </w:tcPr>
          <w:p w14:paraId="26B6E0E7"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57.88</w:t>
            </w:r>
          </w:p>
        </w:tc>
      </w:tr>
      <w:tr w:rsidR="0025155E" w:rsidRPr="000B65DC" w14:paraId="034DB043" w14:textId="77777777" w:rsidTr="009D5DE4">
        <w:tc>
          <w:tcPr>
            <w:tcW w:w="1497" w:type="pct"/>
            <w:hideMark/>
          </w:tcPr>
          <w:p w14:paraId="0EDFEC79" w14:textId="77777777" w:rsidR="0025155E" w:rsidRPr="000B65DC" w:rsidRDefault="0025155E" w:rsidP="00543408">
            <w:pPr>
              <w:jc w:val="both"/>
              <w:rPr>
                <w:rFonts w:ascii="Arial" w:hAnsi="Arial" w:cs="Arial"/>
                <w:sz w:val="20"/>
                <w:szCs w:val="20"/>
              </w:rPr>
            </w:pPr>
            <w:r w:rsidRPr="000B65DC">
              <w:rPr>
                <w:rFonts w:ascii="Arial" w:hAnsi="Arial" w:cs="Arial"/>
                <w:sz w:val="20"/>
                <w:szCs w:val="20"/>
              </w:rPr>
              <w:t>S</w:t>
            </w:r>
            <w:r w:rsidRPr="000B65DC">
              <w:rPr>
                <w:rFonts w:ascii="Arial" w:hAnsi="Arial" w:cs="Arial"/>
                <w:sz w:val="20"/>
                <w:szCs w:val="20"/>
                <w:vertAlign w:val="subscript"/>
              </w:rPr>
              <w:t>2</w:t>
            </w:r>
            <w:r w:rsidRPr="000B65DC">
              <w:rPr>
                <w:rFonts w:ascii="Arial" w:hAnsi="Arial" w:cs="Arial"/>
                <w:sz w:val="20"/>
                <w:szCs w:val="20"/>
              </w:rPr>
              <w:t xml:space="preserve"> (20 kg ha</w:t>
            </w:r>
            <w:r w:rsidRPr="000B65DC">
              <w:rPr>
                <w:rFonts w:ascii="Arial" w:hAnsi="Arial" w:cs="Arial"/>
                <w:sz w:val="20"/>
                <w:szCs w:val="20"/>
                <w:vertAlign w:val="superscript"/>
              </w:rPr>
              <w:t>-1</w:t>
            </w:r>
            <w:r w:rsidRPr="000B65DC">
              <w:rPr>
                <w:rFonts w:ascii="Arial" w:hAnsi="Arial" w:cs="Arial"/>
                <w:sz w:val="20"/>
                <w:szCs w:val="20"/>
              </w:rPr>
              <w:t>)</w:t>
            </w:r>
          </w:p>
        </w:tc>
        <w:tc>
          <w:tcPr>
            <w:tcW w:w="555" w:type="pct"/>
            <w:vAlign w:val="center"/>
            <w:hideMark/>
          </w:tcPr>
          <w:p w14:paraId="3F7F9375"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2.50</w:t>
            </w:r>
          </w:p>
        </w:tc>
        <w:tc>
          <w:tcPr>
            <w:tcW w:w="620" w:type="pct"/>
            <w:vAlign w:val="center"/>
            <w:hideMark/>
          </w:tcPr>
          <w:p w14:paraId="1C48BD82"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3.69</w:t>
            </w:r>
          </w:p>
        </w:tc>
        <w:tc>
          <w:tcPr>
            <w:tcW w:w="511" w:type="pct"/>
            <w:vAlign w:val="center"/>
            <w:hideMark/>
          </w:tcPr>
          <w:p w14:paraId="2D9ADB13"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6.19</w:t>
            </w:r>
          </w:p>
        </w:tc>
        <w:tc>
          <w:tcPr>
            <w:tcW w:w="555" w:type="pct"/>
            <w:vAlign w:val="center"/>
            <w:hideMark/>
          </w:tcPr>
          <w:p w14:paraId="28D3403F"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33.39</w:t>
            </w:r>
          </w:p>
        </w:tc>
        <w:tc>
          <w:tcPr>
            <w:tcW w:w="620" w:type="pct"/>
            <w:vAlign w:val="center"/>
            <w:hideMark/>
          </w:tcPr>
          <w:p w14:paraId="4B546A48"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42.21</w:t>
            </w:r>
          </w:p>
        </w:tc>
        <w:tc>
          <w:tcPr>
            <w:tcW w:w="642" w:type="pct"/>
            <w:vAlign w:val="center"/>
            <w:hideMark/>
          </w:tcPr>
          <w:p w14:paraId="007E2B3F"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75.60</w:t>
            </w:r>
          </w:p>
        </w:tc>
      </w:tr>
      <w:tr w:rsidR="0025155E" w:rsidRPr="000B65DC" w14:paraId="2717676E" w14:textId="77777777" w:rsidTr="009D5DE4">
        <w:tc>
          <w:tcPr>
            <w:tcW w:w="1497" w:type="pct"/>
            <w:hideMark/>
          </w:tcPr>
          <w:p w14:paraId="566F996F" w14:textId="77777777" w:rsidR="0025155E" w:rsidRPr="000B65DC" w:rsidRDefault="0025155E" w:rsidP="00543408">
            <w:pPr>
              <w:jc w:val="both"/>
              <w:rPr>
                <w:rFonts w:ascii="Arial" w:hAnsi="Arial" w:cs="Arial"/>
                <w:sz w:val="20"/>
                <w:szCs w:val="20"/>
              </w:rPr>
            </w:pPr>
            <w:r w:rsidRPr="000B65DC">
              <w:rPr>
                <w:rFonts w:ascii="Arial" w:hAnsi="Arial" w:cs="Arial"/>
                <w:sz w:val="20"/>
                <w:szCs w:val="20"/>
              </w:rPr>
              <w:t>S</w:t>
            </w:r>
            <w:r w:rsidRPr="000B65DC">
              <w:rPr>
                <w:rFonts w:ascii="Arial" w:hAnsi="Arial" w:cs="Arial"/>
                <w:sz w:val="20"/>
                <w:szCs w:val="20"/>
                <w:vertAlign w:val="subscript"/>
              </w:rPr>
              <w:t>3</w:t>
            </w:r>
            <w:r w:rsidRPr="000B65DC">
              <w:rPr>
                <w:rFonts w:ascii="Arial" w:hAnsi="Arial" w:cs="Arial"/>
                <w:sz w:val="20"/>
                <w:szCs w:val="20"/>
              </w:rPr>
              <w:t xml:space="preserve"> (40 kg ha</w:t>
            </w:r>
            <w:r w:rsidRPr="000B65DC">
              <w:rPr>
                <w:rFonts w:ascii="Arial" w:hAnsi="Arial" w:cs="Arial"/>
                <w:sz w:val="20"/>
                <w:szCs w:val="20"/>
                <w:vertAlign w:val="superscript"/>
              </w:rPr>
              <w:t>-1</w:t>
            </w:r>
            <w:r w:rsidRPr="000B65DC">
              <w:rPr>
                <w:rFonts w:ascii="Arial" w:hAnsi="Arial" w:cs="Arial"/>
                <w:sz w:val="20"/>
                <w:szCs w:val="20"/>
              </w:rPr>
              <w:t>)</w:t>
            </w:r>
          </w:p>
        </w:tc>
        <w:tc>
          <w:tcPr>
            <w:tcW w:w="555" w:type="pct"/>
            <w:vAlign w:val="center"/>
            <w:hideMark/>
          </w:tcPr>
          <w:p w14:paraId="125E2B47"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3.41</w:t>
            </w:r>
          </w:p>
        </w:tc>
        <w:tc>
          <w:tcPr>
            <w:tcW w:w="620" w:type="pct"/>
            <w:vAlign w:val="center"/>
            <w:hideMark/>
          </w:tcPr>
          <w:p w14:paraId="41AEF5E5"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5.25</w:t>
            </w:r>
          </w:p>
        </w:tc>
        <w:tc>
          <w:tcPr>
            <w:tcW w:w="511" w:type="pct"/>
            <w:vAlign w:val="center"/>
            <w:hideMark/>
          </w:tcPr>
          <w:p w14:paraId="701C2762"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8.66</w:t>
            </w:r>
          </w:p>
        </w:tc>
        <w:tc>
          <w:tcPr>
            <w:tcW w:w="555" w:type="pct"/>
            <w:vAlign w:val="center"/>
            <w:hideMark/>
          </w:tcPr>
          <w:p w14:paraId="031FC89A"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41.54</w:t>
            </w:r>
          </w:p>
        </w:tc>
        <w:tc>
          <w:tcPr>
            <w:tcW w:w="620" w:type="pct"/>
            <w:vAlign w:val="center"/>
            <w:hideMark/>
          </w:tcPr>
          <w:p w14:paraId="755F61EE"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53.93</w:t>
            </w:r>
          </w:p>
        </w:tc>
        <w:tc>
          <w:tcPr>
            <w:tcW w:w="642" w:type="pct"/>
            <w:vAlign w:val="center"/>
            <w:hideMark/>
          </w:tcPr>
          <w:p w14:paraId="673CEB2F"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95.47</w:t>
            </w:r>
          </w:p>
        </w:tc>
      </w:tr>
      <w:tr w:rsidR="0025155E" w:rsidRPr="000B65DC" w14:paraId="335566C3" w14:textId="77777777" w:rsidTr="009D5DE4">
        <w:tc>
          <w:tcPr>
            <w:tcW w:w="1497" w:type="pct"/>
            <w:vAlign w:val="center"/>
            <w:hideMark/>
          </w:tcPr>
          <w:p w14:paraId="47E7BC61" w14:textId="77777777" w:rsidR="0025155E" w:rsidRPr="000B65DC" w:rsidRDefault="0025155E" w:rsidP="00543408">
            <w:pPr>
              <w:jc w:val="right"/>
              <w:rPr>
                <w:rFonts w:ascii="Arial" w:hAnsi="Arial" w:cs="Arial"/>
                <w:b/>
                <w:bCs/>
                <w:sz w:val="20"/>
                <w:szCs w:val="20"/>
              </w:rPr>
            </w:pPr>
            <w:proofErr w:type="spellStart"/>
            <w:r w:rsidRPr="000B65DC">
              <w:rPr>
                <w:rFonts w:ascii="Arial" w:hAnsi="Arial" w:cs="Arial"/>
                <w:b/>
                <w:bCs/>
                <w:sz w:val="20"/>
                <w:szCs w:val="20"/>
              </w:rPr>
              <w:t>S.Em</w:t>
            </w:r>
            <w:proofErr w:type="spellEnd"/>
            <w:r w:rsidRPr="000B65DC">
              <w:rPr>
                <w:rFonts w:ascii="Arial" w:hAnsi="Arial" w:cs="Arial"/>
                <w:b/>
                <w:bCs/>
                <w:sz w:val="20"/>
                <w:szCs w:val="20"/>
              </w:rPr>
              <w:t>. ±</w:t>
            </w:r>
          </w:p>
        </w:tc>
        <w:tc>
          <w:tcPr>
            <w:tcW w:w="555" w:type="pct"/>
            <w:vAlign w:val="center"/>
            <w:hideMark/>
          </w:tcPr>
          <w:p w14:paraId="2032B1C7"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0.09</w:t>
            </w:r>
          </w:p>
        </w:tc>
        <w:tc>
          <w:tcPr>
            <w:tcW w:w="620" w:type="pct"/>
            <w:vAlign w:val="center"/>
            <w:hideMark/>
          </w:tcPr>
          <w:p w14:paraId="53DADF48"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0.11</w:t>
            </w:r>
          </w:p>
        </w:tc>
        <w:tc>
          <w:tcPr>
            <w:tcW w:w="511" w:type="pct"/>
            <w:vAlign w:val="center"/>
            <w:hideMark/>
          </w:tcPr>
          <w:p w14:paraId="0EB4ABA5"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0.15</w:t>
            </w:r>
          </w:p>
        </w:tc>
        <w:tc>
          <w:tcPr>
            <w:tcW w:w="555" w:type="pct"/>
            <w:vAlign w:val="center"/>
            <w:hideMark/>
          </w:tcPr>
          <w:p w14:paraId="44298E4A"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1.15</w:t>
            </w:r>
          </w:p>
        </w:tc>
        <w:tc>
          <w:tcPr>
            <w:tcW w:w="620" w:type="pct"/>
            <w:vAlign w:val="center"/>
            <w:hideMark/>
          </w:tcPr>
          <w:p w14:paraId="09449350"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1.10</w:t>
            </w:r>
          </w:p>
        </w:tc>
        <w:tc>
          <w:tcPr>
            <w:tcW w:w="642" w:type="pct"/>
            <w:vAlign w:val="center"/>
            <w:hideMark/>
          </w:tcPr>
          <w:p w14:paraId="26D42327"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1.77</w:t>
            </w:r>
          </w:p>
        </w:tc>
      </w:tr>
      <w:tr w:rsidR="0025155E" w:rsidRPr="000B65DC" w14:paraId="62DA1D6A" w14:textId="77777777" w:rsidTr="009D5DE4">
        <w:tc>
          <w:tcPr>
            <w:tcW w:w="1497" w:type="pct"/>
            <w:vAlign w:val="center"/>
            <w:hideMark/>
          </w:tcPr>
          <w:p w14:paraId="6E540747" w14:textId="77777777" w:rsidR="0025155E" w:rsidRPr="000B65DC" w:rsidRDefault="0025155E" w:rsidP="00543408">
            <w:pPr>
              <w:jc w:val="right"/>
              <w:rPr>
                <w:rFonts w:ascii="Arial" w:hAnsi="Arial" w:cs="Arial"/>
                <w:b/>
                <w:bCs/>
                <w:sz w:val="20"/>
                <w:szCs w:val="20"/>
              </w:rPr>
            </w:pPr>
            <w:r w:rsidRPr="000B65DC">
              <w:rPr>
                <w:rFonts w:ascii="Arial" w:hAnsi="Arial" w:cs="Arial"/>
                <w:b/>
                <w:bCs/>
                <w:sz w:val="20"/>
                <w:szCs w:val="20"/>
              </w:rPr>
              <w:t>CD at 5%</w:t>
            </w:r>
          </w:p>
        </w:tc>
        <w:tc>
          <w:tcPr>
            <w:tcW w:w="555" w:type="pct"/>
            <w:vAlign w:val="center"/>
            <w:hideMark/>
          </w:tcPr>
          <w:p w14:paraId="28A810BA"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0.26</w:t>
            </w:r>
          </w:p>
        </w:tc>
        <w:tc>
          <w:tcPr>
            <w:tcW w:w="620" w:type="pct"/>
            <w:vAlign w:val="center"/>
            <w:hideMark/>
          </w:tcPr>
          <w:p w14:paraId="529672A1"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0.33</w:t>
            </w:r>
          </w:p>
        </w:tc>
        <w:tc>
          <w:tcPr>
            <w:tcW w:w="511" w:type="pct"/>
            <w:vAlign w:val="center"/>
            <w:hideMark/>
          </w:tcPr>
          <w:p w14:paraId="70B87A21"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0.44</w:t>
            </w:r>
          </w:p>
        </w:tc>
        <w:tc>
          <w:tcPr>
            <w:tcW w:w="555" w:type="pct"/>
            <w:vAlign w:val="center"/>
            <w:hideMark/>
          </w:tcPr>
          <w:p w14:paraId="7032368D"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3.35</w:t>
            </w:r>
          </w:p>
        </w:tc>
        <w:tc>
          <w:tcPr>
            <w:tcW w:w="620" w:type="pct"/>
            <w:vAlign w:val="center"/>
            <w:hideMark/>
          </w:tcPr>
          <w:p w14:paraId="5163B516"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3.20</w:t>
            </w:r>
          </w:p>
        </w:tc>
        <w:tc>
          <w:tcPr>
            <w:tcW w:w="642" w:type="pct"/>
            <w:vAlign w:val="center"/>
            <w:hideMark/>
          </w:tcPr>
          <w:p w14:paraId="7926DC30"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5.17</w:t>
            </w:r>
          </w:p>
        </w:tc>
      </w:tr>
      <w:tr w:rsidR="0025155E" w:rsidRPr="000B65DC" w14:paraId="0180A8F9" w14:textId="77777777" w:rsidTr="009D5DE4">
        <w:tc>
          <w:tcPr>
            <w:tcW w:w="5000" w:type="pct"/>
            <w:gridSpan w:val="7"/>
            <w:vAlign w:val="center"/>
            <w:hideMark/>
          </w:tcPr>
          <w:p w14:paraId="64A74EA3" w14:textId="77777777" w:rsidR="0025155E" w:rsidRPr="000B65DC" w:rsidRDefault="0025155E" w:rsidP="00543408">
            <w:pPr>
              <w:rPr>
                <w:rFonts w:ascii="Arial" w:hAnsi="Arial" w:cs="Arial"/>
                <w:sz w:val="20"/>
                <w:szCs w:val="20"/>
              </w:rPr>
            </w:pPr>
            <w:r w:rsidRPr="000B65DC">
              <w:rPr>
                <w:rFonts w:ascii="Arial" w:hAnsi="Arial" w:cs="Arial"/>
                <w:b/>
                <w:bCs/>
                <w:sz w:val="20"/>
                <w:szCs w:val="20"/>
              </w:rPr>
              <w:t>(B) Zinc levels</w:t>
            </w:r>
          </w:p>
        </w:tc>
      </w:tr>
      <w:tr w:rsidR="0025155E" w:rsidRPr="000B65DC" w14:paraId="1A6C610D" w14:textId="77777777" w:rsidTr="009D5DE4">
        <w:tc>
          <w:tcPr>
            <w:tcW w:w="1497" w:type="pct"/>
            <w:hideMark/>
          </w:tcPr>
          <w:p w14:paraId="3FDEFF32" w14:textId="77777777" w:rsidR="0025155E" w:rsidRPr="000B65DC" w:rsidRDefault="0025155E" w:rsidP="00543408">
            <w:pPr>
              <w:jc w:val="both"/>
              <w:rPr>
                <w:rFonts w:ascii="Arial" w:hAnsi="Arial" w:cs="Arial"/>
                <w:sz w:val="20"/>
                <w:szCs w:val="20"/>
              </w:rPr>
            </w:pPr>
            <w:r w:rsidRPr="000B65DC">
              <w:rPr>
                <w:rFonts w:ascii="Arial" w:hAnsi="Arial" w:cs="Arial"/>
                <w:sz w:val="20"/>
                <w:szCs w:val="20"/>
              </w:rPr>
              <w:t>Zn</w:t>
            </w:r>
            <w:r w:rsidRPr="000B65DC">
              <w:rPr>
                <w:rFonts w:ascii="Arial" w:hAnsi="Arial" w:cs="Arial"/>
                <w:sz w:val="20"/>
                <w:szCs w:val="20"/>
                <w:vertAlign w:val="subscript"/>
              </w:rPr>
              <w:t>1</w:t>
            </w:r>
            <w:r w:rsidRPr="000B65DC">
              <w:rPr>
                <w:rFonts w:ascii="Arial" w:hAnsi="Arial" w:cs="Arial"/>
                <w:sz w:val="20"/>
                <w:szCs w:val="20"/>
              </w:rPr>
              <w:t xml:space="preserve"> (00 kg ha</w:t>
            </w:r>
            <w:r w:rsidRPr="000B65DC">
              <w:rPr>
                <w:rFonts w:ascii="Arial" w:hAnsi="Arial" w:cs="Arial"/>
                <w:sz w:val="20"/>
                <w:szCs w:val="20"/>
                <w:vertAlign w:val="superscript"/>
              </w:rPr>
              <w:t>-1</w:t>
            </w:r>
            <w:r w:rsidRPr="000B65DC">
              <w:rPr>
                <w:rFonts w:ascii="Arial" w:hAnsi="Arial" w:cs="Arial"/>
                <w:sz w:val="20"/>
                <w:szCs w:val="20"/>
              </w:rPr>
              <w:t>)</w:t>
            </w:r>
          </w:p>
        </w:tc>
        <w:tc>
          <w:tcPr>
            <w:tcW w:w="555" w:type="pct"/>
            <w:vAlign w:val="center"/>
            <w:hideMark/>
          </w:tcPr>
          <w:p w14:paraId="68F0F77B"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2.20</w:t>
            </w:r>
          </w:p>
        </w:tc>
        <w:tc>
          <w:tcPr>
            <w:tcW w:w="620" w:type="pct"/>
            <w:vAlign w:val="center"/>
            <w:hideMark/>
          </w:tcPr>
          <w:p w14:paraId="7F531893"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3.26</w:t>
            </w:r>
          </w:p>
        </w:tc>
        <w:tc>
          <w:tcPr>
            <w:tcW w:w="511" w:type="pct"/>
            <w:vAlign w:val="center"/>
            <w:hideMark/>
          </w:tcPr>
          <w:p w14:paraId="31E2B903"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5.46</w:t>
            </w:r>
          </w:p>
        </w:tc>
        <w:tc>
          <w:tcPr>
            <w:tcW w:w="555" w:type="pct"/>
            <w:vAlign w:val="center"/>
            <w:hideMark/>
          </w:tcPr>
          <w:p w14:paraId="61E07A6F"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29.17</w:t>
            </w:r>
          </w:p>
        </w:tc>
        <w:tc>
          <w:tcPr>
            <w:tcW w:w="620" w:type="pct"/>
            <w:vAlign w:val="center"/>
            <w:hideMark/>
          </w:tcPr>
          <w:p w14:paraId="7BC5E610"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35.58</w:t>
            </w:r>
          </w:p>
        </w:tc>
        <w:tc>
          <w:tcPr>
            <w:tcW w:w="642" w:type="pct"/>
            <w:vAlign w:val="center"/>
            <w:hideMark/>
          </w:tcPr>
          <w:p w14:paraId="7217E9AC"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64.75</w:t>
            </w:r>
          </w:p>
        </w:tc>
      </w:tr>
      <w:tr w:rsidR="0025155E" w:rsidRPr="000B65DC" w14:paraId="7D159DA1" w14:textId="77777777" w:rsidTr="009D5DE4">
        <w:tc>
          <w:tcPr>
            <w:tcW w:w="1497" w:type="pct"/>
            <w:hideMark/>
          </w:tcPr>
          <w:p w14:paraId="4AD3E30C" w14:textId="77777777" w:rsidR="0025155E" w:rsidRPr="000B65DC" w:rsidRDefault="0025155E" w:rsidP="00543408">
            <w:pPr>
              <w:jc w:val="both"/>
              <w:rPr>
                <w:rFonts w:ascii="Arial" w:hAnsi="Arial" w:cs="Arial"/>
                <w:sz w:val="20"/>
                <w:szCs w:val="20"/>
              </w:rPr>
            </w:pPr>
            <w:r w:rsidRPr="000B65DC">
              <w:rPr>
                <w:rFonts w:ascii="Arial" w:hAnsi="Arial" w:cs="Arial"/>
                <w:sz w:val="20"/>
                <w:szCs w:val="20"/>
              </w:rPr>
              <w:t>Zn</w:t>
            </w:r>
            <w:r w:rsidRPr="000B65DC">
              <w:rPr>
                <w:rFonts w:ascii="Arial" w:hAnsi="Arial" w:cs="Arial"/>
                <w:sz w:val="20"/>
                <w:szCs w:val="20"/>
                <w:vertAlign w:val="subscript"/>
              </w:rPr>
              <w:t>2</w:t>
            </w:r>
            <w:r w:rsidRPr="000B65DC">
              <w:rPr>
                <w:rFonts w:ascii="Arial" w:hAnsi="Arial" w:cs="Arial"/>
                <w:sz w:val="20"/>
                <w:szCs w:val="20"/>
              </w:rPr>
              <w:t xml:space="preserve"> (2.5 kg ha</w:t>
            </w:r>
            <w:r w:rsidRPr="000B65DC">
              <w:rPr>
                <w:rFonts w:ascii="Arial" w:hAnsi="Arial" w:cs="Arial"/>
                <w:sz w:val="20"/>
                <w:szCs w:val="20"/>
                <w:vertAlign w:val="superscript"/>
              </w:rPr>
              <w:t>-1</w:t>
            </w:r>
            <w:r w:rsidRPr="000B65DC">
              <w:rPr>
                <w:rFonts w:ascii="Arial" w:hAnsi="Arial" w:cs="Arial"/>
                <w:sz w:val="20"/>
                <w:szCs w:val="20"/>
              </w:rPr>
              <w:t>)</w:t>
            </w:r>
          </w:p>
        </w:tc>
        <w:tc>
          <w:tcPr>
            <w:tcW w:w="555" w:type="pct"/>
            <w:vAlign w:val="center"/>
            <w:hideMark/>
          </w:tcPr>
          <w:p w14:paraId="3DBA2D75"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2.53</w:t>
            </w:r>
          </w:p>
        </w:tc>
        <w:tc>
          <w:tcPr>
            <w:tcW w:w="620" w:type="pct"/>
            <w:vAlign w:val="center"/>
            <w:hideMark/>
          </w:tcPr>
          <w:p w14:paraId="2A6EC323"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3.70</w:t>
            </w:r>
          </w:p>
        </w:tc>
        <w:tc>
          <w:tcPr>
            <w:tcW w:w="511" w:type="pct"/>
            <w:vAlign w:val="center"/>
            <w:hideMark/>
          </w:tcPr>
          <w:p w14:paraId="7640E330"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6.23</w:t>
            </w:r>
          </w:p>
        </w:tc>
        <w:tc>
          <w:tcPr>
            <w:tcW w:w="555" w:type="pct"/>
            <w:vAlign w:val="center"/>
            <w:hideMark/>
          </w:tcPr>
          <w:p w14:paraId="3258A199"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33.34</w:t>
            </w:r>
          </w:p>
        </w:tc>
        <w:tc>
          <w:tcPr>
            <w:tcW w:w="620" w:type="pct"/>
            <w:vAlign w:val="center"/>
            <w:hideMark/>
          </w:tcPr>
          <w:p w14:paraId="0D3C397C"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42.26</w:t>
            </w:r>
          </w:p>
        </w:tc>
        <w:tc>
          <w:tcPr>
            <w:tcW w:w="642" w:type="pct"/>
            <w:vAlign w:val="center"/>
            <w:hideMark/>
          </w:tcPr>
          <w:p w14:paraId="5A7607C9"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75.60</w:t>
            </w:r>
          </w:p>
        </w:tc>
      </w:tr>
      <w:tr w:rsidR="0025155E" w:rsidRPr="000B65DC" w14:paraId="6E4E9C8B" w14:textId="77777777" w:rsidTr="009D5DE4">
        <w:tc>
          <w:tcPr>
            <w:tcW w:w="1497" w:type="pct"/>
            <w:hideMark/>
          </w:tcPr>
          <w:p w14:paraId="414D341B" w14:textId="77777777" w:rsidR="0025155E" w:rsidRPr="000B65DC" w:rsidRDefault="0025155E" w:rsidP="00543408">
            <w:pPr>
              <w:jc w:val="both"/>
              <w:rPr>
                <w:rFonts w:ascii="Arial" w:hAnsi="Arial" w:cs="Arial"/>
                <w:sz w:val="20"/>
                <w:szCs w:val="20"/>
              </w:rPr>
            </w:pPr>
            <w:r w:rsidRPr="000B65DC">
              <w:rPr>
                <w:rFonts w:ascii="Arial" w:hAnsi="Arial" w:cs="Arial"/>
                <w:sz w:val="20"/>
                <w:szCs w:val="20"/>
              </w:rPr>
              <w:t>Zn</w:t>
            </w:r>
            <w:r w:rsidRPr="000B65DC">
              <w:rPr>
                <w:rFonts w:ascii="Arial" w:hAnsi="Arial" w:cs="Arial"/>
                <w:sz w:val="20"/>
                <w:szCs w:val="20"/>
                <w:vertAlign w:val="subscript"/>
              </w:rPr>
              <w:t>3</w:t>
            </w:r>
            <w:r w:rsidRPr="000B65DC">
              <w:rPr>
                <w:rFonts w:ascii="Arial" w:hAnsi="Arial" w:cs="Arial"/>
                <w:sz w:val="20"/>
                <w:szCs w:val="20"/>
              </w:rPr>
              <w:t xml:space="preserve"> (5.0 kg ha</w:t>
            </w:r>
            <w:r w:rsidRPr="000B65DC">
              <w:rPr>
                <w:rFonts w:ascii="Arial" w:hAnsi="Arial" w:cs="Arial"/>
                <w:sz w:val="20"/>
                <w:szCs w:val="20"/>
                <w:vertAlign w:val="superscript"/>
              </w:rPr>
              <w:t>-1</w:t>
            </w:r>
            <w:r w:rsidRPr="000B65DC">
              <w:rPr>
                <w:rFonts w:ascii="Arial" w:hAnsi="Arial" w:cs="Arial"/>
                <w:sz w:val="20"/>
                <w:szCs w:val="20"/>
              </w:rPr>
              <w:t>)</w:t>
            </w:r>
          </w:p>
        </w:tc>
        <w:tc>
          <w:tcPr>
            <w:tcW w:w="555" w:type="pct"/>
            <w:vAlign w:val="center"/>
            <w:hideMark/>
          </w:tcPr>
          <w:p w14:paraId="49D4CB25"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2.91</w:t>
            </w:r>
          </w:p>
        </w:tc>
        <w:tc>
          <w:tcPr>
            <w:tcW w:w="620" w:type="pct"/>
            <w:vAlign w:val="center"/>
            <w:hideMark/>
          </w:tcPr>
          <w:p w14:paraId="03823465"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4.29</w:t>
            </w:r>
          </w:p>
        </w:tc>
        <w:tc>
          <w:tcPr>
            <w:tcW w:w="511" w:type="pct"/>
            <w:vAlign w:val="center"/>
            <w:hideMark/>
          </w:tcPr>
          <w:p w14:paraId="3520B406"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7.20</w:t>
            </w:r>
          </w:p>
        </w:tc>
        <w:tc>
          <w:tcPr>
            <w:tcW w:w="555" w:type="pct"/>
            <w:vAlign w:val="center"/>
            <w:hideMark/>
          </w:tcPr>
          <w:p w14:paraId="42A71FE6"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38.90</w:t>
            </w:r>
          </w:p>
        </w:tc>
        <w:tc>
          <w:tcPr>
            <w:tcW w:w="620" w:type="pct"/>
            <w:vAlign w:val="center"/>
            <w:hideMark/>
          </w:tcPr>
          <w:p w14:paraId="207F8C9A"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49.70</w:t>
            </w:r>
          </w:p>
        </w:tc>
        <w:tc>
          <w:tcPr>
            <w:tcW w:w="642" w:type="pct"/>
            <w:vAlign w:val="center"/>
            <w:hideMark/>
          </w:tcPr>
          <w:p w14:paraId="5841C5D0"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88.60</w:t>
            </w:r>
          </w:p>
        </w:tc>
      </w:tr>
      <w:tr w:rsidR="0025155E" w:rsidRPr="000B65DC" w14:paraId="21730CF3" w14:textId="77777777" w:rsidTr="009D5DE4">
        <w:tc>
          <w:tcPr>
            <w:tcW w:w="1497" w:type="pct"/>
            <w:vAlign w:val="center"/>
            <w:hideMark/>
          </w:tcPr>
          <w:p w14:paraId="58D8747C" w14:textId="77777777" w:rsidR="0025155E" w:rsidRPr="000B65DC" w:rsidRDefault="0025155E" w:rsidP="00543408">
            <w:pPr>
              <w:jc w:val="right"/>
              <w:rPr>
                <w:rFonts w:ascii="Arial" w:hAnsi="Arial" w:cs="Arial"/>
                <w:b/>
                <w:bCs/>
                <w:sz w:val="20"/>
                <w:szCs w:val="20"/>
              </w:rPr>
            </w:pPr>
            <w:proofErr w:type="spellStart"/>
            <w:r w:rsidRPr="000B65DC">
              <w:rPr>
                <w:rFonts w:ascii="Arial" w:hAnsi="Arial" w:cs="Arial"/>
                <w:b/>
                <w:bCs/>
                <w:sz w:val="20"/>
                <w:szCs w:val="20"/>
              </w:rPr>
              <w:t>S.Em</w:t>
            </w:r>
            <w:proofErr w:type="spellEnd"/>
            <w:r w:rsidRPr="000B65DC">
              <w:rPr>
                <w:rFonts w:ascii="Arial" w:hAnsi="Arial" w:cs="Arial"/>
                <w:b/>
                <w:bCs/>
                <w:sz w:val="20"/>
                <w:szCs w:val="20"/>
              </w:rPr>
              <w:t>. ±</w:t>
            </w:r>
          </w:p>
        </w:tc>
        <w:tc>
          <w:tcPr>
            <w:tcW w:w="555" w:type="pct"/>
            <w:vAlign w:val="center"/>
            <w:hideMark/>
          </w:tcPr>
          <w:p w14:paraId="02F999C9"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0.09</w:t>
            </w:r>
          </w:p>
        </w:tc>
        <w:tc>
          <w:tcPr>
            <w:tcW w:w="620" w:type="pct"/>
            <w:vAlign w:val="center"/>
            <w:hideMark/>
          </w:tcPr>
          <w:p w14:paraId="3C8D543D"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0.11</w:t>
            </w:r>
          </w:p>
        </w:tc>
        <w:tc>
          <w:tcPr>
            <w:tcW w:w="511" w:type="pct"/>
            <w:vAlign w:val="center"/>
            <w:hideMark/>
          </w:tcPr>
          <w:p w14:paraId="14E5860D"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0.15</w:t>
            </w:r>
          </w:p>
        </w:tc>
        <w:tc>
          <w:tcPr>
            <w:tcW w:w="555" w:type="pct"/>
            <w:vAlign w:val="center"/>
            <w:hideMark/>
          </w:tcPr>
          <w:p w14:paraId="44545BB1"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1.15</w:t>
            </w:r>
          </w:p>
        </w:tc>
        <w:tc>
          <w:tcPr>
            <w:tcW w:w="620" w:type="pct"/>
            <w:vAlign w:val="center"/>
            <w:hideMark/>
          </w:tcPr>
          <w:p w14:paraId="734E6D44"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1.10</w:t>
            </w:r>
          </w:p>
        </w:tc>
        <w:tc>
          <w:tcPr>
            <w:tcW w:w="642" w:type="pct"/>
            <w:vAlign w:val="center"/>
            <w:hideMark/>
          </w:tcPr>
          <w:p w14:paraId="22C2ACFC"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1.77</w:t>
            </w:r>
          </w:p>
        </w:tc>
      </w:tr>
      <w:tr w:rsidR="0025155E" w:rsidRPr="000B65DC" w14:paraId="2648EFFD" w14:textId="77777777" w:rsidTr="009D5DE4">
        <w:tc>
          <w:tcPr>
            <w:tcW w:w="1497" w:type="pct"/>
            <w:vAlign w:val="center"/>
            <w:hideMark/>
          </w:tcPr>
          <w:p w14:paraId="55C4921B" w14:textId="77777777" w:rsidR="0025155E" w:rsidRPr="000B65DC" w:rsidRDefault="0025155E" w:rsidP="00543408">
            <w:pPr>
              <w:jc w:val="right"/>
              <w:rPr>
                <w:rFonts w:ascii="Arial" w:hAnsi="Arial" w:cs="Arial"/>
                <w:b/>
                <w:bCs/>
                <w:sz w:val="20"/>
                <w:szCs w:val="20"/>
              </w:rPr>
            </w:pPr>
            <w:r w:rsidRPr="000B65DC">
              <w:rPr>
                <w:rFonts w:ascii="Arial" w:hAnsi="Arial" w:cs="Arial"/>
                <w:b/>
                <w:bCs/>
                <w:sz w:val="20"/>
                <w:szCs w:val="20"/>
              </w:rPr>
              <w:t>CD at 5%</w:t>
            </w:r>
          </w:p>
        </w:tc>
        <w:tc>
          <w:tcPr>
            <w:tcW w:w="555" w:type="pct"/>
            <w:vAlign w:val="center"/>
            <w:hideMark/>
          </w:tcPr>
          <w:p w14:paraId="7125E8C0"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0.26</w:t>
            </w:r>
          </w:p>
        </w:tc>
        <w:tc>
          <w:tcPr>
            <w:tcW w:w="620" w:type="pct"/>
            <w:vAlign w:val="center"/>
            <w:hideMark/>
          </w:tcPr>
          <w:p w14:paraId="565F10E0"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0.33</w:t>
            </w:r>
          </w:p>
        </w:tc>
        <w:tc>
          <w:tcPr>
            <w:tcW w:w="511" w:type="pct"/>
            <w:vAlign w:val="center"/>
            <w:hideMark/>
          </w:tcPr>
          <w:p w14:paraId="1817366C"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0.44</w:t>
            </w:r>
          </w:p>
        </w:tc>
        <w:tc>
          <w:tcPr>
            <w:tcW w:w="555" w:type="pct"/>
            <w:vAlign w:val="center"/>
            <w:hideMark/>
          </w:tcPr>
          <w:p w14:paraId="4D8F86EE"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3.35</w:t>
            </w:r>
          </w:p>
        </w:tc>
        <w:tc>
          <w:tcPr>
            <w:tcW w:w="620" w:type="pct"/>
            <w:vAlign w:val="center"/>
            <w:hideMark/>
          </w:tcPr>
          <w:p w14:paraId="16382D0F"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3.20</w:t>
            </w:r>
          </w:p>
        </w:tc>
        <w:tc>
          <w:tcPr>
            <w:tcW w:w="642" w:type="pct"/>
            <w:vAlign w:val="center"/>
            <w:hideMark/>
          </w:tcPr>
          <w:p w14:paraId="04254EB4"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5.17</w:t>
            </w:r>
          </w:p>
        </w:tc>
      </w:tr>
      <w:tr w:rsidR="0025155E" w:rsidRPr="000B65DC" w14:paraId="021F8CF0" w14:textId="77777777" w:rsidTr="009D5DE4">
        <w:tc>
          <w:tcPr>
            <w:tcW w:w="1497" w:type="pct"/>
            <w:vAlign w:val="center"/>
            <w:hideMark/>
          </w:tcPr>
          <w:p w14:paraId="572B70E9" w14:textId="77777777" w:rsidR="0025155E" w:rsidRPr="000B65DC" w:rsidRDefault="0025155E" w:rsidP="00543408">
            <w:pPr>
              <w:jc w:val="both"/>
              <w:rPr>
                <w:rFonts w:ascii="Arial" w:hAnsi="Arial" w:cs="Arial"/>
                <w:sz w:val="20"/>
                <w:szCs w:val="20"/>
              </w:rPr>
            </w:pPr>
            <w:r w:rsidRPr="000B65DC">
              <w:rPr>
                <w:rFonts w:ascii="Arial" w:hAnsi="Arial" w:cs="Arial"/>
                <w:b/>
                <w:bCs/>
                <w:sz w:val="20"/>
                <w:szCs w:val="20"/>
              </w:rPr>
              <w:t>Interaction (S × Zn)</w:t>
            </w:r>
          </w:p>
        </w:tc>
        <w:tc>
          <w:tcPr>
            <w:tcW w:w="555" w:type="pct"/>
            <w:vAlign w:val="center"/>
            <w:hideMark/>
          </w:tcPr>
          <w:p w14:paraId="389776BB"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NS</w:t>
            </w:r>
          </w:p>
        </w:tc>
        <w:tc>
          <w:tcPr>
            <w:tcW w:w="620" w:type="pct"/>
            <w:vAlign w:val="center"/>
            <w:hideMark/>
          </w:tcPr>
          <w:p w14:paraId="25B2C6D7"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NS</w:t>
            </w:r>
          </w:p>
        </w:tc>
        <w:tc>
          <w:tcPr>
            <w:tcW w:w="511" w:type="pct"/>
            <w:vAlign w:val="center"/>
            <w:hideMark/>
          </w:tcPr>
          <w:p w14:paraId="5682F6F4"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NS</w:t>
            </w:r>
          </w:p>
        </w:tc>
        <w:tc>
          <w:tcPr>
            <w:tcW w:w="555" w:type="pct"/>
            <w:vAlign w:val="center"/>
            <w:hideMark/>
          </w:tcPr>
          <w:p w14:paraId="7948C81A"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NS</w:t>
            </w:r>
          </w:p>
        </w:tc>
        <w:tc>
          <w:tcPr>
            <w:tcW w:w="620" w:type="pct"/>
            <w:vAlign w:val="center"/>
            <w:hideMark/>
          </w:tcPr>
          <w:p w14:paraId="78318900"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NS</w:t>
            </w:r>
          </w:p>
        </w:tc>
        <w:tc>
          <w:tcPr>
            <w:tcW w:w="642" w:type="pct"/>
            <w:vAlign w:val="center"/>
            <w:hideMark/>
          </w:tcPr>
          <w:p w14:paraId="1F61B312" w14:textId="77777777" w:rsidR="0025155E" w:rsidRPr="000B65DC" w:rsidRDefault="0025155E" w:rsidP="00543408">
            <w:pPr>
              <w:jc w:val="center"/>
              <w:rPr>
                <w:rFonts w:ascii="Arial" w:hAnsi="Arial" w:cs="Arial"/>
                <w:sz w:val="20"/>
                <w:szCs w:val="20"/>
              </w:rPr>
            </w:pPr>
            <w:r w:rsidRPr="000B65DC">
              <w:rPr>
                <w:rFonts w:ascii="Arial" w:hAnsi="Arial" w:cs="Arial"/>
                <w:sz w:val="20"/>
                <w:szCs w:val="20"/>
              </w:rPr>
              <w:t>NS</w:t>
            </w:r>
          </w:p>
        </w:tc>
      </w:tr>
      <w:tr w:rsidR="0025155E" w:rsidRPr="000B65DC" w14:paraId="07665619" w14:textId="77777777" w:rsidTr="009D5DE4">
        <w:tc>
          <w:tcPr>
            <w:tcW w:w="1497" w:type="pct"/>
            <w:vAlign w:val="center"/>
            <w:hideMark/>
          </w:tcPr>
          <w:p w14:paraId="0F6E8D09" w14:textId="77777777" w:rsidR="0025155E" w:rsidRPr="000B65DC" w:rsidRDefault="0025155E" w:rsidP="00543408">
            <w:pPr>
              <w:jc w:val="right"/>
              <w:rPr>
                <w:rFonts w:ascii="Arial" w:hAnsi="Arial" w:cs="Arial"/>
                <w:b/>
                <w:bCs/>
                <w:sz w:val="20"/>
                <w:szCs w:val="20"/>
              </w:rPr>
            </w:pPr>
            <w:proofErr w:type="spellStart"/>
            <w:r w:rsidRPr="000B65DC">
              <w:rPr>
                <w:rFonts w:ascii="Arial" w:hAnsi="Arial" w:cs="Arial"/>
                <w:b/>
                <w:bCs/>
                <w:sz w:val="20"/>
                <w:szCs w:val="20"/>
              </w:rPr>
              <w:t>S.Em</w:t>
            </w:r>
            <w:proofErr w:type="spellEnd"/>
            <w:r w:rsidRPr="000B65DC">
              <w:rPr>
                <w:rFonts w:ascii="Arial" w:hAnsi="Arial" w:cs="Arial"/>
                <w:b/>
                <w:bCs/>
                <w:sz w:val="20"/>
                <w:szCs w:val="20"/>
              </w:rPr>
              <w:t>. ±</w:t>
            </w:r>
          </w:p>
        </w:tc>
        <w:tc>
          <w:tcPr>
            <w:tcW w:w="555" w:type="pct"/>
            <w:vAlign w:val="center"/>
            <w:hideMark/>
          </w:tcPr>
          <w:p w14:paraId="1F254E71"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0.15</w:t>
            </w:r>
          </w:p>
        </w:tc>
        <w:tc>
          <w:tcPr>
            <w:tcW w:w="620" w:type="pct"/>
            <w:vAlign w:val="center"/>
            <w:hideMark/>
          </w:tcPr>
          <w:p w14:paraId="753F0A0F"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0.19</w:t>
            </w:r>
          </w:p>
        </w:tc>
        <w:tc>
          <w:tcPr>
            <w:tcW w:w="511" w:type="pct"/>
            <w:vAlign w:val="center"/>
            <w:hideMark/>
          </w:tcPr>
          <w:p w14:paraId="0E71C675"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0.26</w:t>
            </w:r>
          </w:p>
        </w:tc>
        <w:tc>
          <w:tcPr>
            <w:tcW w:w="555" w:type="pct"/>
            <w:vAlign w:val="center"/>
            <w:hideMark/>
          </w:tcPr>
          <w:p w14:paraId="3DD72449"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1.99</w:t>
            </w:r>
          </w:p>
        </w:tc>
        <w:tc>
          <w:tcPr>
            <w:tcW w:w="620" w:type="pct"/>
            <w:vAlign w:val="center"/>
            <w:hideMark/>
          </w:tcPr>
          <w:p w14:paraId="0197DDB0"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1.90</w:t>
            </w:r>
          </w:p>
        </w:tc>
        <w:tc>
          <w:tcPr>
            <w:tcW w:w="642" w:type="pct"/>
            <w:vAlign w:val="center"/>
            <w:hideMark/>
          </w:tcPr>
          <w:p w14:paraId="3A206242"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3.07</w:t>
            </w:r>
          </w:p>
        </w:tc>
      </w:tr>
      <w:tr w:rsidR="0025155E" w:rsidRPr="000B65DC" w14:paraId="3A954DBC" w14:textId="77777777" w:rsidTr="009D5DE4">
        <w:tc>
          <w:tcPr>
            <w:tcW w:w="1497" w:type="pct"/>
            <w:vAlign w:val="center"/>
            <w:hideMark/>
          </w:tcPr>
          <w:p w14:paraId="7C01AD08" w14:textId="77777777" w:rsidR="0025155E" w:rsidRPr="000B65DC" w:rsidRDefault="0025155E" w:rsidP="00543408">
            <w:pPr>
              <w:jc w:val="right"/>
              <w:rPr>
                <w:rFonts w:ascii="Arial" w:hAnsi="Arial" w:cs="Arial"/>
                <w:b/>
                <w:bCs/>
                <w:sz w:val="20"/>
                <w:szCs w:val="20"/>
              </w:rPr>
            </w:pPr>
            <w:r w:rsidRPr="000B65DC">
              <w:rPr>
                <w:rFonts w:ascii="Arial" w:hAnsi="Arial" w:cs="Arial"/>
                <w:b/>
                <w:bCs/>
                <w:sz w:val="20"/>
                <w:szCs w:val="20"/>
              </w:rPr>
              <w:t>CV (%)</w:t>
            </w:r>
          </w:p>
        </w:tc>
        <w:tc>
          <w:tcPr>
            <w:tcW w:w="555" w:type="pct"/>
            <w:vAlign w:val="center"/>
            <w:hideMark/>
          </w:tcPr>
          <w:p w14:paraId="675815B3"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11.97</w:t>
            </w:r>
          </w:p>
        </w:tc>
        <w:tc>
          <w:tcPr>
            <w:tcW w:w="620" w:type="pct"/>
            <w:vAlign w:val="center"/>
            <w:hideMark/>
          </w:tcPr>
          <w:p w14:paraId="39454F5E"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10.35</w:t>
            </w:r>
          </w:p>
        </w:tc>
        <w:tc>
          <w:tcPr>
            <w:tcW w:w="511" w:type="pct"/>
            <w:vAlign w:val="center"/>
            <w:hideMark/>
          </w:tcPr>
          <w:p w14:paraId="33028CBC"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8.22</w:t>
            </w:r>
          </w:p>
        </w:tc>
        <w:tc>
          <w:tcPr>
            <w:tcW w:w="555" w:type="pct"/>
            <w:vAlign w:val="center"/>
            <w:hideMark/>
          </w:tcPr>
          <w:p w14:paraId="03DDDBFF"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11.76</w:t>
            </w:r>
          </w:p>
        </w:tc>
        <w:tc>
          <w:tcPr>
            <w:tcW w:w="620" w:type="pct"/>
            <w:vAlign w:val="center"/>
            <w:hideMark/>
          </w:tcPr>
          <w:p w14:paraId="714D74FD"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8.95</w:t>
            </w:r>
          </w:p>
        </w:tc>
        <w:tc>
          <w:tcPr>
            <w:tcW w:w="642" w:type="pct"/>
            <w:vAlign w:val="center"/>
            <w:hideMark/>
          </w:tcPr>
          <w:p w14:paraId="438E0652" w14:textId="77777777" w:rsidR="0025155E" w:rsidRPr="000B65DC" w:rsidRDefault="0025155E" w:rsidP="00543408">
            <w:pPr>
              <w:jc w:val="center"/>
              <w:rPr>
                <w:rFonts w:ascii="Arial" w:hAnsi="Arial" w:cs="Arial"/>
                <w:b/>
                <w:bCs/>
                <w:sz w:val="20"/>
                <w:szCs w:val="20"/>
              </w:rPr>
            </w:pPr>
            <w:r w:rsidRPr="000B65DC">
              <w:rPr>
                <w:rFonts w:ascii="Arial" w:hAnsi="Arial" w:cs="Arial"/>
                <w:b/>
                <w:bCs/>
                <w:sz w:val="20"/>
                <w:szCs w:val="20"/>
              </w:rPr>
              <w:t>8.03</w:t>
            </w:r>
          </w:p>
        </w:tc>
      </w:tr>
    </w:tbl>
    <w:p w14:paraId="0CD3E5E3" w14:textId="77777777" w:rsidR="00B46191" w:rsidRPr="000B65DC" w:rsidRDefault="00B46191" w:rsidP="00D14E18">
      <w:pPr>
        <w:spacing w:before="240"/>
        <w:jc w:val="both"/>
        <w:rPr>
          <w:rFonts w:ascii="Arial" w:hAnsi="Arial" w:cs="Arial"/>
          <w:b/>
          <w:bCs/>
          <w:sz w:val="20"/>
          <w:szCs w:val="20"/>
          <w:lang w:val="en-GB"/>
        </w:rPr>
      </w:pPr>
      <w:r w:rsidRPr="000B65DC">
        <w:rPr>
          <w:rFonts w:ascii="Arial" w:hAnsi="Arial" w:cs="Arial"/>
          <w:b/>
          <w:bCs/>
          <w:sz w:val="20"/>
          <w:szCs w:val="20"/>
          <w:lang w:val="en-GB"/>
        </w:rPr>
        <w:t>3.</w:t>
      </w:r>
      <w:r w:rsidR="00C82A0C" w:rsidRPr="000B65DC">
        <w:rPr>
          <w:rFonts w:ascii="Arial" w:hAnsi="Arial" w:cs="Arial"/>
          <w:b/>
          <w:bCs/>
          <w:sz w:val="20"/>
          <w:szCs w:val="20"/>
          <w:lang w:val="en-GB"/>
        </w:rPr>
        <w:t>3</w:t>
      </w:r>
      <w:r w:rsidRPr="000B65DC">
        <w:rPr>
          <w:rFonts w:ascii="Arial" w:hAnsi="Arial" w:cs="Arial"/>
          <w:b/>
          <w:bCs/>
          <w:sz w:val="20"/>
          <w:szCs w:val="20"/>
          <w:lang w:val="en-GB"/>
        </w:rPr>
        <w:t xml:space="preserve"> Soil Properties</w:t>
      </w:r>
    </w:p>
    <w:p w14:paraId="3826FEF8" w14:textId="77777777" w:rsidR="00B46191" w:rsidRPr="000B65DC" w:rsidRDefault="00B46191" w:rsidP="00B46191">
      <w:pPr>
        <w:jc w:val="both"/>
        <w:rPr>
          <w:rFonts w:ascii="Arial" w:hAnsi="Arial" w:cs="Arial"/>
          <w:b/>
          <w:bCs/>
          <w:sz w:val="20"/>
          <w:szCs w:val="20"/>
          <w:lang w:val="en-GB"/>
        </w:rPr>
      </w:pPr>
      <w:r w:rsidRPr="000B65DC">
        <w:rPr>
          <w:rFonts w:ascii="Arial" w:hAnsi="Arial" w:cs="Arial"/>
          <w:b/>
          <w:bCs/>
          <w:sz w:val="20"/>
          <w:szCs w:val="20"/>
          <w:lang w:val="en-GB"/>
        </w:rPr>
        <w:t>3.</w:t>
      </w:r>
      <w:r w:rsidR="00C82A0C" w:rsidRPr="000B65DC">
        <w:rPr>
          <w:rFonts w:ascii="Arial" w:hAnsi="Arial" w:cs="Arial"/>
          <w:b/>
          <w:bCs/>
          <w:sz w:val="20"/>
          <w:szCs w:val="20"/>
          <w:lang w:val="en-GB"/>
        </w:rPr>
        <w:t>3</w:t>
      </w:r>
      <w:r w:rsidRPr="000B65DC">
        <w:rPr>
          <w:rFonts w:ascii="Arial" w:hAnsi="Arial" w:cs="Arial"/>
          <w:b/>
          <w:bCs/>
          <w:sz w:val="20"/>
          <w:szCs w:val="20"/>
          <w:lang w:val="en-GB"/>
        </w:rPr>
        <w:t>.1 Available Macro- and Micronutrients</w:t>
      </w:r>
    </w:p>
    <w:p w14:paraId="4B105133"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 xml:space="preserve">Post-harvest analysis showed a dose-dependent increase in available nutrients relative to the initial soil status (Table 5). Available nitrogen reached 266.66 kg ha⁻¹ at 40 kg S ha⁻¹ (S₃), which was significantly higher than 227.04 kg ha⁻¹ in the control (S₁) and the initial value of 222.41 kg ha⁻¹. This response may be associated with increased proliferation of soil microflora and mineralisation of organic nitrogen under higher sulphur availability (Deekshitha </w:t>
      </w:r>
      <w:r w:rsidRPr="000B65DC">
        <w:rPr>
          <w:rFonts w:ascii="Arial" w:hAnsi="Arial" w:cs="Arial"/>
          <w:i/>
          <w:sz w:val="20"/>
          <w:szCs w:val="20"/>
          <w:lang w:val="en-GB"/>
        </w:rPr>
        <w:t>et al.</w:t>
      </w:r>
      <w:r w:rsidRPr="000B65DC">
        <w:rPr>
          <w:rFonts w:ascii="Arial" w:hAnsi="Arial" w:cs="Arial"/>
          <w:sz w:val="20"/>
          <w:szCs w:val="20"/>
          <w:lang w:val="en-GB"/>
        </w:rPr>
        <w:t xml:space="preserve">, 2017; Sahu </w:t>
      </w:r>
      <w:r w:rsidRPr="000B65DC">
        <w:rPr>
          <w:rFonts w:ascii="Arial" w:hAnsi="Arial" w:cs="Arial"/>
          <w:i/>
          <w:sz w:val="20"/>
          <w:szCs w:val="20"/>
          <w:lang w:val="en-GB"/>
        </w:rPr>
        <w:t>et al.</w:t>
      </w:r>
      <w:r w:rsidRPr="000B65DC">
        <w:rPr>
          <w:rFonts w:ascii="Arial" w:hAnsi="Arial" w:cs="Arial"/>
          <w:sz w:val="20"/>
          <w:szCs w:val="20"/>
          <w:lang w:val="en-GB"/>
        </w:rPr>
        <w:t>, 2017; B. Singh et al., 2013). Although the effect of zinc on available nitrogen was non-significant, the value increased numerically to 252.01 kg ha⁻¹ at Zn₃, compared with 242.40 kg ha⁻¹ at Zn₁.</w:t>
      </w:r>
    </w:p>
    <w:p w14:paraId="4C07FAF3"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 xml:space="preserve">Available phosphorus and potassium also reached their highest values, 53.07 kg ha⁻¹ and 389.21 kg ha⁻¹, respectively, at S₃, compared with 33.14 kg ha⁻¹ and 339.37 kg ha⁻¹ at S₁. This response may be associated with mild rhizosphere acidification caused by microbial sulphur oxidation, which can solubilise fixed phosphorus (Deekshitha </w:t>
      </w:r>
      <w:r w:rsidRPr="000B65DC">
        <w:rPr>
          <w:rFonts w:ascii="Arial" w:hAnsi="Arial" w:cs="Arial"/>
          <w:i/>
          <w:sz w:val="20"/>
          <w:szCs w:val="20"/>
          <w:lang w:val="en-GB"/>
        </w:rPr>
        <w:t>et al.</w:t>
      </w:r>
      <w:r w:rsidRPr="000B65DC">
        <w:rPr>
          <w:rFonts w:ascii="Arial" w:hAnsi="Arial" w:cs="Arial"/>
          <w:sz w:val="20"/>
          <w:szCs w:val="20"/>
          <w:lang w:val="en-GB"/>
        </w:rPr>
        <w:t xml:space="preserve">, 2017; A. K. Singh et al., 2013; Singh &amp; Singh, 2017; Singh </w:t>
      </w:r>
      <w:r w:rsidRPr="000B65DC">
        <w:rPr>
          <w:rFonts w:ascii="Arial" w:hAnsi="Arial" w:cs="Arial"/>
          <w:i/>
          <w:sz w:val="20"/>
          <w:szCs w:val="20"/>
          <w:lang w:val="en-GB"/>
        </w:rPr>
        <w:t>et al.</w:t>
      </w:r>
      <w:r w:rsidRPr="000B65DC">
        <w:rPr>
          <w:rFonts w:ascii="Arial" w:hAnsi="Arial" w:cs="Arial"/>
          <w:sz w:val="20"/>
          <w:szCs w:val="20"/>
          <w:lang w:val="en-GB"/>
        </w:rPr>
        <w:t xml:space="preserve">, 2022). Available phosphorus also increased significantly with zinc application, reaching 46.10 kg ha⁻¹ at Zn₃, compared with 38.20 kg ha⁻¹ at Zn₁ (Lilhare et al., 2019; Singh </w:t>
      </w:r>
      <w:r w:rsidRPr="000B65DC">
        <w:rPr>
          <w:rFonts w:ascii="Arial" w:hAnsi="Arial" w:cs="Arial"/>
          <w:i/>
          <w:sz w:val="20"/>
          <w:szCs w:val="20"/>
          <w:lang w:val="en-GB"/>
        </w:rPr>
        <w:t>et al.</w:t>
      </w:r>
      <w:r w:rsidRPr="000B65DC">
        <w:rPr>
          <w:rFonts w:ascii="Arial" w:hAnsi="Arial" w:cs="Arial"/>
          <w:sz w:val="20"/>
          <w:szCs w:val="20"/>
          <w:lang w:val="en-GB"/>
        </w:rPr>
        <w:t>, 2022).</w:t>
      </w:r>
    </w:p>
    <w:p w14:paraId="69332BEB" w14:textId="77777777" w:rsidR="00B46191"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 xml:space="preserve">Available soil sulphur increased to 18.04 mg kg⁻¹ at S₃, compared with 10.25 mg kg⁻¹ at S₁ and an initial value of 9.10 mg kg⁻¹, indicating residual sulphur accumulation in the soil profile. Residual sulphur </w:t>
      </w:r>
      <w:r w:rsidRPr="000B65DC">
        <w:rPr>
          <w:rFonts w:ascii="Arial" w:hAnsi="Arial" w:cs="Arial"/>
          <w:sz w:val="20"/>
          <w:szCs w:val="20"/>
          <w:lang w:val="en-GB"/>
        </w:rPr>
        <w:lastRenderedPageBreak/>
        <w:t xml:space="preserve">availability also reached 15.33 mg kg⁻¹ at Zn₃, compared with 12.90 mg kg⁻¹ at Zn₁ (Deekshitha </w:t>
      </w:r>
      <w:r w:rsidRPr="000B65DC">
        <w:rPr>
          <w:rFonts w:ascii="Arial" w:hAnsi="Arial" w:cs="Arial"/>
          <w:i/>
          <w:sz w:val="20"/>
          <w:szCs w:val="20"/>
          <w:lang w:val="en-GB"/>
        </w:rPr>
        <w:t>et al.</w:t>
      </w:r>
      <w:r w:rsidRPr="000B65DC">
        <w:rPr>
          <w:rFonts w:ascii="Arial" w:hAnsi="Arial" w:cs="Arial"/>
          <w:sz w:val="20"/>
          <w:szCs w:val="20"/>
          <w:lang w:val="en-GB"/>
        </w:rPr>
        <w:t xml:space="preserve">, 2017; Lilhare et al., 2019; B. Singh et al., 2013; Singh </w:t>
      </w:r>
      <w:r w:rsidRPr="000B65DC">
        <w:rPr>
          <w:rFonts w:ascii="Arial" w:hAnsi="Arial" w:cs="Arial"/>
          <w:i/>
          <w:sz w:val="20"/>
          <w:szCs w:val="20"/>
          <w:lang w:val="en-GB"/>
        </w:rPr>
        <w:t>et al.</w:t>
      </w:r>
      <w:r w:rsidRPr="000B65DC">
        <w:rPr>
          <w:rFonts w:ascii="Arial" w:hAnsi="Arial" w:cs="Arial"/>
          <w:sz w:val="20"/>
          <w:szCs w:val="20"/>
          <w:lang w:val="en-GB"/>
        </w:rPr>
        <w:t xml:space="preserve">, 2022). Available iron and zinc reached their highest concentrations with sulphur application, at 2.00 mg kg⁻¹ and 1.65 mg kg⁻¹, respectively, at S₃, and with zinc application, at 2.00 mg kg⁻¹ and 1.85 mg kg⁻¹, respectively, at Zn₃. The response to zinc application reflects the residual effect of zinc-EDTA and supports the importance of balanced micronutrient management in maintaining the available cationic nutrient pool (Lilhare et al., 2019; Singh </w:t>
      </w:r>
      <w:r w:rsidRPr="000B65DC">
        <w:rPr>
          <w:rFonts w:ascii="Arial" w:hAnsi="Arial" w:cs="Arial"/>
          <w:i/>
          <w:sz w:val="20"/>
          <w:szCs w:val="20"/>
          <w:lang w:val="en-GB"/>
        </w:rPr>
        <w:t>et al.</w:t>
      </w:r>
      <w:r w:rsidRPr="000B65DC">
        <w:rPr>
          <w:rFonts w:ascii="Arial" w:hAnsi="Arial" w:cs="Arial"/>
          <w:sz w:val="20"/>
          <w:szCs w:val="20"/>
          <w:lang w:val="en-GB"/>
        </w:rPr>
        <w:t>, 2012; B. Singh et al., 2013). None of the six nutrients showed a significant S × Zn interaction.</w:t>
      </w:r>
    </w:p>
    <w:p w14:paraId="6B28C8EF" w14:textId="77777777" w:rsidR="00B46191" w:rsidRPr="000B65DC" w:rsidRDefault="00B46191" w:rsidP="00B46191">
      <w:pPr>
        <w:jc w:val="both"/>
        <w:rPr>
          <w:rFonts w:ascii="Arial" w:hAnsi="Arial" w:cs="Arial"/>
          <w:b/>
          <w:bCs/>
          <w:sz w:val="20"/>
          <w:szCs w:val="20"/>
          <w:lang w:val="en-GB"/>
        </w:rPr>
      </w:pPr>
      <w:r w:rsidRPr="000B65DC">
        <w:rPr>
          <w:rFonts w:ascii="Arial" w:hAnsi="Arial" w:cs="Arial"/>
          <w:b/>
          <w:bCs/>
          <w:sz w:val="20"/>
          <w:szCs w:val="20"/>
          <w:lang w:val="en-GB"/>
        </w:rPr>
        <w:t xml:space="preserve">Table </w:t>
      </w:r>
      <w:r w:rsidR="007F7018" w:rsidRPr="000B65DC">
        <w:rPr>
          <w:rFonts w:ascii="Arial" w:hAnsi="Arial" w:cs="Arial"/>
          <w:b/>
          <w:bCs/>
          <w:sz w:val="20"/>
          <w:szCs w:val="20"/>
          <w:lang w:val="en-GB"/>
        </w:rPr>
        <w:t>5</w:t>
      </w:r>
      <w:r w:rsidRPr="000B65DC">
        <w:rPr>
          <w:rFonts w:ascii="Arial" w:hAnsi="Arial" w:cs="Arial"/>
          <w:b/>
          <w:bCs/>
          <w:sz w:val="20"/>
          <w:szCs w:val="20"/>
          <w:lang w:val="en-GB"/>
        </w:rPr>
        <w:t>. Available Nutrient Status (N, P</w:t>
      </w:r>
      <w:r w:rsidRPr="000B65DC">
        <w:rPr>
          <w:rFonts w:ascii="Cambria Math" w:hAnsi="Cambria Math" w:cs="Cambria Math"/>
          <w:b/>
          <w:bCs/>
          <w:sz w:val="20"/>
          <w:szCs w:val="20"/>
          <w:lang w:val="en-GB"/>
        </w:rPr>
        <w:t>₂</w:t>
      </w:r>
      <w:r w:rsidRPr="000B65DC">
        <w:rPr>
          <w:rFonts w:ascii="Arial" w:hAnsi="Arial" w:cs="Arial"/>
          <w:b/>
          <w:bCs/>
          <w:sz w:val="20"/>
          <w:szCs w:val="20"/>
          <w:lang w:val="en-GB"/>
        </w:rPr>
        <w:t>O</w:t>
      </w:r>
      <w:r w:rsidRPr="000B65DC">
        <w:rPr>
          <w:rFonts w:ascii="Cambria Math" w:hAnsi="Cambria Math" w:cs="Cambria Math"/>
          <w:b/>
          <w:bCs/>
          <w:sz w:val="20"/>
          <w:szCs w:val="20"/>
          <w:lang w:val="en-GB"/>
        </w:rPr>
        <w:t>₅</w:t>
      </w:r>
      <w:r w:rsidRPr="000B65DC">
        <w:rPr>
          <w:rFonts w:ascii="Arial" w:hAnsi="Arial" w:cs="Arial"/>
          <w:b/>
          <w:bCs/>
          <w:sz w:val="20"/>
          <w:szCs w:val="20"/>
          <w:lang w:val="en-GB"/>
        </w:rPr>
        <w:t>, K</w:t>
      </w:r>
      <w:r w:rsidRPr="000B65DC">
        <w:rPr>
          <w:rFonts w:ascii="Cambria Math" w:hAnsi="Cambria Math" w:cs="Cambria Math"/>
          <w:b/>
          <w:bCs/>
          <w:sz w:val="20"/>
          <w:szCs w:val="20"/>
          <w:lang w:val="en-GB"/>
        </w:rPr>
        <w:t>₂</w:t>
      </w:r>
      <w:r w:rsidRPr="000B65DC">
        <w:rPr>
          <w:rFonts w:ascii="Arial" w:hAnsi="Arial" w:cs="Arial"/>
          <w:b/>
          <w:bCs/>
          <w:sz w:val="20"/>
          <w:szCs w:val="20"/>
          <w:lang w:val="en-GB"/>
        </w:rPr>
        <w:t xml:space="preserve">O, S, </w:t>
      </w:r>
      <w:r w:rsidR="00D14E18" w:rsidRPr="000B65DC">
        <w:rPr>
          <w:rFonts w:ascii="Arial" w:hAnsi="Arial" w:cs="Arial"/>
          <w:b/>
          <w:bCs/>
          <w:sz w:val="20"/>
          <w:szCs w:val="20"/>
          <w:lang w:val="en-GB"/>
        </w:rPr>
        <w:t>Fe</w:t>
      </w:r>
      <w:r w:rsidRPr="000B65DC">
        <w:rPr>
          <w:rFonts w:ascii="Arial" w:hAnsi="Arial" w:cs="Arial"/>
          <w:b/>
          <w:bCs/>
          <w:sz w:val="20"/>
          <w:szCs w:val="20"/>
          <w:lang w:val="en-GB"/>
        </w:rPr>
        <w:t xml:space="preserve"> and </w:t>
      </w:r>
      <w:r w:rsidR="00D14E18" w:rsidRPr="000B65DC">
        <w:rPr>
          <w:rFonts w:ascii="Arial" w:hAnsi="Arial" w:cs="Arial"/>
          <w:b/>
          <w:bCs/>
          <w:sz w:val="20"/>
          <w:szCs w:val="20"/>
          <w:lang w:val="en-GB"/>
        </w:rPr>
        <w:t>Zn</w:t>
      </w:r>
      <w:r w:rsidRPr="000B65DC">
        <w:rPr>
          <w:rFonts w:ascii="Arial" w:hAnsi="Arial" w:cs="Arial"/>
          <w:b/>
          <w:bCs/>
          <w:sz w:val="20"/>
          <w:szCs w:val="20"/>
          <w:lang w:val="en-GB"/>
        </w:rPr>
        <w:t>) of Soil after Harvest</w:t>
      </w:r>
    </w:p>
    <w:tbl>
      <w:tblPr>
        <w:tblStyle w:val="TableGrid"/>
        <w:tblW w:w="5000" w:type="pct"/>
        <w:tblLook w:val="04A0" w:firstRow="1" w:lastRow="0" w:firstColumn="1" w:lastColumn="0" w:noHBand="0" w:noVBand="1"/>
      </w:tblPr>
      <w:tblGrid>
        <w:gridCol w:w="1890"/>
        <w:gridCol w:w="1138"/>
        <w:gridCol w:w="1172"/>
        <w:gridCol w:w="1172"/>
        <w:gridCol w:w="1138"/>
        <w:gridCol w:w="1235"/>
        <w:gridCol w:w="1271"/>
      </w:tblGrid>
      <w:tr w:rsidR="00D14E18" w:rsidRPr="000B65DC" w14:paraId="5BD55FD1" w14:textId="77777777" w:rsidTr="00D14E18">
        <w:tc>
          <w:tcPr>
            <w:tcW w:w="1048" w:type="pct"/>
            <w:hideMark/>
          </w:tcPr>
          <w:p w14:paraId="16B16E9D" w14:textId="77777777" w:rsidR="00D14E18" w:rsidRPr="000B65DC" w:rsidRDefault="00D14E18" w:rsidP="00D14E18">
            <w:pPr>
              <w:jc w:val="both"/>
              <w:rPr>
                <w:rFonts w:ascii="Arial" w:hAnsi="Arial" w:cs="Arial"/>
                <w:b/>
                <w:bCs/>
                <w:sz w:val="20"/>
                <w:szCs w:val="20"/>
              </w:rPr>
            </w:pPr>
            <w:r w:rsidRPr="000B65DC">
              <w:rPr>
                <w:rFonts w:ascii="Arial" w:hAnsi="Arial" w:cs="Arial"/>
                <w:b/>
                <w:bCs/>
                <w:sz w:val="20"/>
                <w:szCs w:val="20"/>
              </w:rPr>
              <w:t>Treatments</w:t>
            </w:r>
          </w:p>
        </w:tc>
        <w:tc>
          <w:tcPr>
            <w:tcW w:w="631" w:type="pct"/>
          </w:tcPr>
          <w:p w14:paraId="2FED4531"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lang w:val="en-IN"/>
              </w:rPr>
              <w:t>Available N</w:t>
            </w:r>
            <w:r w:rsidRPr="000B65DC">
              <w:rPr>
                <w:rFonts w:ascii="Arial" w:hAnsi="Arial" w:cs="Arial"/>
                <w:b/>
                <w:bCs/>
                <w:sz w:val="20"/>
                <w:szCs w:val="20"/>
                <w:lang w:val="en-IN"/>
              </w:rPr>
              <w:br/>
              <w:t>(kg ha</w:t>
            </w:r>
            <w:r w:rsidRPr="000B65DC">
              <w:rPr>
                <w:rFonts w:ascii="Arial" w:hAnsi="Arial" w:cs="Arial"/>
                <w:b/>
                <w:bCs/>
                <w:sz w:val="20"/>
                <w:szCs w:val="20"/>
                <w:vertAlign w:val="superscript"/>
                <w:lang w:val="en-IN"/>
              </w:rPr>
              <w:t>-1</w:t>
            </w:r>
            <w:r w:rsidRPr="000B65DC">
              <w:rPr>
                <w:rFonts w:ascii="Arial" w:hAnsi="Arial" w:cs="Arial"/>
                <w:b/>
                <w:bCs/>
                <w:sz w:val="20"/>
                <w:szCs w:val="20"/>
                <w:lang w:val="en-IN"/>
              </w:rPr>
              <w:t>)</w:t>
            </w:r>
          </w:p>
        </w:tc>
        <w:tc>
          <w:tcPr>
            <w:tcW w:w="650" w:type="pct"/>
            <w:vAlign w:val="center"/>
          </w:tcPr>
          <w:p w14:paraId="3C843F91"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Available P</w:t>
            </w:r>
            <w:r w:rsidRPr="000B65DC">
              <w:rPr>
                <w:rFonts w:ascii="Arial" w:hAnsi="Arial" w:cs="Arial"/>
                <w:b/>
                <w:bCs/>
                <w:sz w:val="20"/>
                <w:szCs w:val="20"/>
                <w:vertAlign w:val="subscript"/>
              </w:rPr>
              <w:t>2</w:t>
            </w:r>
            <w:r w:rsidRPr="000B65DC">
              <w:rPr>
                <w:rFonts w:ascii="Arial" w:hAnsi="Arial" w:cs="Arial"/>
                <w:b/>
                <w:bCs/>
                <w:sz w:val="20"/>
                <w:szCs w:val="20"/>
              </w:rPr>
              <w:t>O</w:t>
            </w:r>
            <w:r w:rsidRPr="000B65DC">
              <w:rPr>
                <w:rFonts w:ascii="Arial" w:hAnsi="Arial" w:cs="Arial"/>
                <w:b/>
                <w:bCs/>
                <w:sz w:val="20"/>
                <w:szCs w:val="20"/>
                <w:vertAlign w:val="subscript"/>
              </w:rPr>
              <w:t>5</w:t>
            </w:r>
            <w:r w:rsidRPr="000B65DC">
              <w:rPr>
                <w:rFonts w:ascii="Arial" w:hAnsi="Arial" w:cs="Arial"/>
                <w:b/>
                <w:bCs/>
                <w:sz w:val="20"/>
                <w:szCs w:val="20"/>
              </w:rPr>
              <w:t xml:space="preserve"> </w:t>
            </w:r>
            <w:r w:rsidRPr="000B65DC">
              <w:rPr>
                <w:rFonts w:ascii="Arial" w:hAnsi="Arial" w:cs="Arial"/>
                <w:b/>
                <w:bCs/>
                <w:sz w:val="20"/>
                <w:szCs w:val="20"/>
              </w:rPr>
              <w:br/>
              <w:t>(kg</w:t>
            </w:r>
            <w:r w:rsidRPr="000B65DC">
              <w:rPr>
                <w:rFonts w:ascii="Arial" w:hAnsi="Arial" w:cs="Arial"/>
                <w:sz w:val="20"/>
                <w:szCs w:val="20"/>
              </w:rPr>
              <w:t xml:space="preserve"> </w:t>
            </w:r>
            <w:r w:rsidRPr="000B65DC">
              <w:rPr>
                <w:rFonts w:ascii="Arial" w:hAnsi="Arial" w:cs="Arial"/>
                <w:b/>
                <w:bCs/>
                <w:sz w:val="20"/>
                <w:szCs w:val="20"/>
              </w:rPr>
              <w:t>ha</w:t>
            </w:r>
            <w:r w:rsidRPr="000B65DC">
              <w:rPr>
                <w:rFonts w:ascii="Arial" w:hAnsi="Arial" w:cs="Arial"/>
                <w:b/>
                <w:bCs/>
                <w:sz w:val="20"/>
                <w:szCs w:val="20"/>
                <w:vertAlign w:val="superscript"/>
              </w:rPr>
              <w:t>-1</w:t>
            </w:r>
            <w:r w:rsidRPr="000B65DC">
              <w:rPr>
                <w:rFonts w:ascii="Arial" w:hAnsi="Arial" w:cs="Arial"/>
                <w:b/>
                <w:bCs/>
                <w:sz w:val="20"/>
                <w:szCs w:val="20"/>
              </w:rPr>
              <w:t>)</w:t>
            </w:r>
          </w:p>
        </w:tc>
        <w:tc>
          <w:tcPr>
            <w:tcW w:w="650" w:type="pct"/>
            <w:vAlign w:val="center"/>
          </w:tcPr>
          <w:p w14:paraId="3887848E"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Available K</w:t>
            </w:r>
            <w:r w:rsidRPr="000B65DC">
              <w:rPr>
                <w:rFonts w:ascii="Arial" w:hAnsi="Arial" w:cs="Arial"/>
                <w:b/>
                <w:bCs/>
                <w:sz w:val="20"/>
                <w:szCs w:val="20"/>
                <w:vertAlign w:val="subscript"/>
              </w:rPr>
              <w:t>2</w:t>
            </w:r>
            <w:r w:rsidRPr="000B65DC">
              <w:rPr>
                <w:rFonts w:ascii="Arial" w:hAnsi="Arial" w:cs="Arial"/>
                <w:b/>
                <w:bCs/>
                <w:sz w:val="20"/>
                <w:szCs w:val="20"/>
              </w:rPr>
              <w:t xml:space="preserve">O </w:t>
            </w:r>
            <w:r w:rsidRPr="000B65DC">
              <w:rPr>
                <w:rFonts w:ascii="Arial" w:hAnsi="Arial" w:cs="Arial"/>
                <w:b/>
                <w:bCs/>
                <w:sz w:val="20"/>
                <w:szCs w:val="20"/>
              </w:rPr>
              <w:br/>
              <w:t>(kg</w:t>
            </w:r>
            <w:r w:rsidRPr="000B65DC">
              <w:rPr>
                <w:rFonts w:ascii="Arial" w:hAnsi="Arial" w:cs="Arial"/>
                <w:sz w:val="20"/>
                <w:szCs w:val="20"/>
              </w:rPr>
              <w:t xml:space="preserve"> </w:t>
            </w:r>
            <w:r w:rsidRPr="000B65DC">
              <w:rPr>
                <w:rFonts w:ascii="Arial" w:hAnsi="Arial" w:cs="Arial"/>
                <w:b/>
                <w:bCs/>
                <w:sz w:val="20"/>
                <w:szCs w:val="20"/>
              </w:rPr>
              <w:t>ha</w:t>
            </w:r>
            <w:r w:rsidRPr="000B65DC">
              <w:rPr>
                <w:rFonts w:ascii="Arial" w:hAnsi="Arial" w:cs="Arial"/>
                <w:b/>
                <w:bCs/>
                <w:sz w:val="20"/>
                <w:szCs w:val="20"/>
                <w:vertAlign w:val="superscript"/>
              </w:rPr>
              <w:t>-1</w:t>
            </w:r>
            <w:r w:rsidRPr="000B65DC">
              <w:rPr>
                <w:rFonts w:ascii="Arial" w:hAnsi="Arial" w:cs="Arial"/>
                <w:b/>
                <w:bCs/>
                <w:sz w:val="20"/>
                <w:szCs w:val="20"/>
              </w:rPr>
              <w:t>)</w:t>
            </w:r>
          </w:p>
        </w:tc>
        <w:tc>
          <w:tcPr>
            <w:tcW w:w="631" w:type="pct"/>
            <w:vAlign w:val="center"/>
            <w:hideMark/>
          </w:tcPr>
          <w:p w14:paraId="41F4FE1F"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 xml:space="preserve">Available S </w:t>
            </w:r>
            <w:r w:rsidRPr="000B65DC">
              <w:rPr>
                <w:rFonts w:ascii="Arial" w:hAnsi="Arial" w:cs="Arial"/>
                <w:b/>
                <w:bCs/>
                <w:sz w:val="20"/>
                <w:szCs w:val="20"/>
              </w:rPr>
              <w:br/>
              <w:t>(mg kg</w:t>
            </w:r>
            <w:r w:rsidRPr="000B65DC">
              <w:rPr>
                <w:rFonts w:ascii="Arial" w:hAnsi="Arial" w:cs="Arial"/>
                <w:b/>
                <w:bCs/>
                <w:sz w:val="20"/>
                <w:szCs w:val="20"/>
                <w:vertAlign w:val="superscript"/>
              </w:rPr>
              <w:t>-1</w:t>
            </w:r>
            <w:r w:rsidRPr="000B65DC">
              <w:rPr>
                <w:rFonts w:ascii="Arial" w:hAnsi="Arial" w:cs="Arial"/>
                <w:b/>
                <w:bCs/>
                <w:sz w:val="20"/>
                <w:szCs w:val="20"/>
              </w:rPr>
              <w:t>)</w:t>
            </w:r>
          </w:p>
        </w:tc>
        <w:tc>
          <w:tcPr>
            <w:tcW w:w="685" w:type="pct"/>
            <w:vAlign w:val="center"/>
            <w:hideMark/>
          </w:tcPr>
          <w:p w14:paraId="6EC5D07D"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 xml:space="preserve">Available Fe </w:t>
            </w:r>
            <w:r w:rsidRPr="000B65DC">
              <w:rPr>
                <w:rFonts w:ascii="Arial" w:hAnsi="Arial" w:cs="Arial"/>
                <w:b/>
                <w:bCs/>
                <w:sz w:val="20"/>
                <w:szCs w:val="20"/>
              </w:rPr>
              <w:br/>
              <w:t>(mg kg</w:t>
            </w:r>
            <w:r w:rsidRPr="000B65DC">
              <w:rPr>
                <w:rFonts w:ascii="Arial" w:hAnsi="Arial" w:cs="Arial"/>
                <w:b/>
                <w:bCs/>
                <w:sz w:val="20"/>
                <w:szCs w:val="20"/>
                <w:vertAlign w:val="superscript"/>
              </w:rPr>
              <w:t>-1</w:t>
            </w:r>
            <w:r w:rsidRPr="000B65DC">
              <w:rPr>
                <w:rFonts w:ascii="Arial" w:hAnsi="Arial" w:cs="Arial"/>
                <w:b/>
                <w:bCs/>
                <w:sz w:val="20"/>
                <w:szCs w:val="20"/>
              </w:rPr>
              <w:t>)</w:t>
            </w:r>
          </w:p>
        </w:tc>
        <w:tc>
          <w:tcPr>
            <w:tcW w:w="705" w:type="pct"/>
            <w:vAlign w:val="center"/>
            <w:hideMark/>
          </w:tcPr>
          <w:p w14:paraId="35DC3476"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 xml:space="preserve">Available Zn </w:t>
            </w:r>
            <w:r w:rsidRPr="000B65DC">
              <w:rPr>
                <w:rFonts w:ascii="Arial" w:hAnsi="Arial" w:cs="Arial"/>
                <w:b/>
                <w:bCs/>
                <w:sz w:val="20"/>
                <w:szCs w:val="20"/>
              </w:rPr>
              <w:br/>
              <w:t>(mg kg</w:t>
            </w:r>
            <w:r w:rsidRPr="000B65DC">
              <w:rPr>
                <w:rFonts w:ascii="Arial" w:hAnsi="Arial" w:cs="Arial"/>
                <w:b/>
                <w:bCs/>
                <w:sz w:val="20"/>
                <w:szCs w:val="20"/>
                <w:vertAlign w:val="superscript"/>
              </w:rPr>
              <w:t>-1</w:t>
            </w:r>
            <w:r w:rsidRPr="000B65DC">
              <w:rPr>
                <w:rFonts w:ascii="Arial" w:hAnsi="Arial" w:cs="Arial"/>
                <w:b/>
                <w:bCs/>
                <w:sz w:val="20"/>
                <w:szCs w:val="20"/>
              </w:rPr>
              <w:t>)</w:t>
            </w:r>
          </w:p>
        </w:tc>
      </w:tr>
      <w:tr w:rsidR="00D14E18" w:rsidRPr="000B65DC" w14:paraId="0E6462CC" w14:textId="77777777" w:rsidTr="00D14E18">
        <w:tc>
          <w:tcPr>
            <w:tcW w:w="5000" w:type="pct"/>
            <w:gridSpan w:val="7"/>
          </w:tcPr>
          <w:p w14:paraId="23C9C3AC" w14:textId="77777777" w:rsidR="00D14E18" w:rsidRPr="000B65DC" w:rsidRDefault="00D14E18" w:rsidP="00D14E18">
            <w:pPr>
              <w:rPr>
                <w:rFonts w:ascii="Arial" w:hAnsi="Arial" w:cs="Arial"/>
                <w:sz w:val="20"/>
                <w:szCs w:val="20"/>
              </w:rPr>
            </w:pPr>
            <w:r w:rsidRPr="000B65DC">
              <w:rPr>
                <w:rFonts w:ascii="Arial" w:hAnsi="Arial" w:cs="Arial"/>
                <w:b/>
                <w:bCs/>
                <w:sz w:val="20"/>
                <w:szCs w:val="20"/>
              </w:rPr>
              <w:t>(A)Sulphur levels</w:t>
            </w:r>
          </w:p>
        </w:tc>
      </w:tr>
      <w:tr w:rsidR="00D14E18" w:rsidRPr="000B65DC" w14:paraId="429691C2" w14:textId="77777777" w:rsidTr="00D14E18">
        <w:tc>
          <w:tcPr>
            <w:tcW w:w="1048" w:type="pct"/>
            <w:hideMark/>
          </w:tcPr>
          <w:p w14:paraId="3C2EE043"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S</w:t>
            </w:r>
            <w:r w:rsidRPr="000B65DC">
              <w:rPr>
                <w:rFonts w:ascii="Arial" w:hAnsi="Arial" w:cs="Arial"/>
                <w:sz w:val="20"/>
                <w:szCs w:val="20"/>
                <w:vertAlign w:val="subscript"/>
              </w:rPr>
              <w:t>1</w:t>
            </w:r>
            <w:r w:rsidRPr="000B65DC">
              <w:rPr>
                <w:rFonts w:ascii="Arial" w:hAnsi="Arial" w:cs="Arial"/>
                <w:sz w:val="20"/>
                <w:szCs w:val="20"/>
              </w:rPr>
              <w:t xml:space="preserve"> (00 kg ha</w:t>
            </w:r>
            <w:r w:rsidRPr="000B65DC">
              <w:rPr>
                <w:rFonts w:ascii="Arial" w:hAnsi="Arial" w:cs="Arial"/>
                <w:sz w:val="20"/>
                <w:szCs w:val="20"/>
                <w:vertAlign w:val="superscript"/>
              </w:rPr>
              <w:t>-1</w:t>
            </w:r>
            <w:r w:rsidRPr="000B65DC">
              <w:rPr>
                <w:rFonts w:ascii="Arial" w:hAnsi="Arial" w:cs="Arial"/>
                <w:sz w:val="20"/>
                <w:szCs w:val="20"/>
              </w:rPr>
              <w:t>)</w:t>
            </w:r>
          </w:p>
        </w:tc>
        <w:tc>
          <w:tcPr>
            <w:tcW w:w="631" w:type="pct"/>
            <w:vAlign w:val="center"/>
          </w:tcPr>
          <w:p w14:paraId="6D5E2DFF"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227.04</w:t>
            </w:r>
          </w:p>
        </w:tc>
        <w:tc>
          <w:tcPr>
            <w:tcW w:w="650" w:type="pct"/>
            <w:vAlign w:val="center"/>
          </w:tcPr>
          <w:p w14:paraId="511790AA"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33.14</w:t>
            </w:r>
          </w:p>
        </w:tc>
        <w:tc>
          <w:tcPr>
            <w:tcW w:w="650" w:type="pct"/>
            <w:vAlign w:val="center"/>
          </w:tcPr>
          <w:p w14:paraId="10159B82"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339.37</w:t>
            </w:r>
          </w:p>
        </w:tc>
        <w:tc>
          <w:tcPr>
            <w:tcW w:w="631" w:type="pct"/>
            <w:vAlign w:val="center"/>
            <w:hideMark/>
          </w:tcPr>
          <w:p w14:paraId="27FB8439"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10.25</w:t>
            </w:r>
          </w:p>
        </w:tc>
        <w:tc>
          <w:tcPr>
            <w:tcW w:w="685" w:type="pct"/>
            <w:vAlign w:val="center"/>
            <w:hideMark/>
          </w:tcPr>
          <w:p w14:paraId="770C48CF"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1.20</w:t>
            </w:r>
          </w:p>
        </w:tc>
        <w:tc>
          <w:tcPr>
            <w:tcW w:w="705" w:type="pct"/>
            <w:vAlign w:val="center"/>
            <w:hideMark/>
          </w:tcPr>
          <w:p w14:paraId="2D521FB1"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1.35</w:t>
            </w:r>
          </w:p>
        </w:tc>
      </w:tr>
      <w:tr w:rsidR="00D14E18" w:rsidRPr="000B65DC" w14:paraId="59543736" w14:textId="77777777" w:rsidTr="00D14E18">
        <w:tc>
          <w:tcPr>
            <w:tcW w:w="1048" w:type="pct"/>
            <w:hideMark/>
          </w:tcPr>
          <w:p w14:paraId="25628BC1"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S</w:t>
            </w:r>
            <w:r w:rsidRPr="000B65DC">
              <w:rPr>
                <w:rFonts w:ascii="Arial" w:hAnsi="Arial" w:cs="Arial"/>
                <w:sz w:val="20"/>
                <w:szCs w:val="20"/>
                <w:vertAlign w:val="subscript"/>
              </w:rPr>
              <w:t>2</w:t>
            </w:r>
            <w:r w:rsidRPr="000B65DC">
              <w:rPr>
                <w:rFonts w:ascii="Arial" w:hAnsi="Arial" w:cs="Arial"/>
                <w:sz w:val="20"/>
                <w:szCs w:val="20"/>
              </w:rPr>
              <w:t xml:space="preserve"> (20 kg ha</w:t>
            </w:r>
            <w:r w:rsidRPr="000B65DC">
              <w:rPr>
                <w:rFonts w:ascii="Arial" w:hAnsi="Arial" w:cs="Arial"/>
                <w:sz w:val="20"/>
                <w:szCs w:val="20"/>
                <w:vertAlign w:val="superscript"/>
              </w:rPr>
              <w:t>-1</w:t>
            </w:r>
            <w:r w:rsidRPr="000B65DC">
              <w:rPr>
                <w:rFonts w:ascii="Arial" w:hAnsi="Arial" w:cs="Arial"/>
                <w:sz w:val="20"/>
                <w:szCs w:val="20"/>
              </w:rPr>
              <w:t>)</w:t>
            </w:r>
          </w:p>
        </w:tc>
        <w:tc>
          <w:tcPr>
            <w:tcW w:w="631" w:type="pct"/>
            <w:vAlign w:val="center"/>
          </w:tcPr>
          <w:p w14:paraId="50984181"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247.75</w:t>
            </w:r>
          </w:p>
        </w:tc>
        <w:tc>
          <w:tcPr>
            <w:tcW w:w="650" w:type="pct"/>
            <w:vAlign w:val="center"/>
          </w:tcPr>
          <w:p w14:paraId="7C15DC42"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40.63</w:t>
            </w:r>
          </w:p>
        </w:tc>
        <w:tc>
          <w:tcPr>
            <w:tcW w:w="650" w:type="pct"/>
            <w:vAlign w:val="center"/>
          </w:tcPr>
          <w:p w14:paraId="6DAFCD7B"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364.39</w:t>
            </w:r>
          </w:p>
        </w:tc>
        <w:tc>
          <w:tcPr>
            <w:tcW w:w="631" w:type="pct"/>
            <w:vAlign w:val="center"/>
            <w:hideMark/>
          </w:tcPr>
          <w:p w14:paraId="0C6ACB1E"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14.97</w:t>
            </w:r>
          </w:p>
        </w:tc>
        <w:tc>
          <w:tcPr>
            <w:tcW w:w="685" w:type="pct"/>
            <w:vAlign w:val="center"/>
            <w:hideMark/>
          </w:tcPr>
          <w:p w14:paraId="77FEF2DF"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1.90</w:t>
            </w:r>
          </w:p>
        </w:tc>
        <w:tc>
          <w:tcPr>
            <w:tcW w:w="705" w:type="pct"/>
            <w:vAlign w:val="center"/>
            <w:hideMark/>
          </w:tcPr>
          <w:p w14:paraId="0AB83EF7"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1.50</w:t>
            </w:r>
          </w:p>
        </w:tc>
      </w:tr>
      <w:tr w:rsidR="00D14E18" w:rsidRPr="000B65DC" w14:paraId="450F2AEE" w14:textId="77777777" w:rsidTr="00D14E18">
        <w:tc>
          <w:tcPr>
            <w:tcW w:w="1048" w:type="pct"/>
            <w:hideMark/>
          </w:tcPr>
          <w:p w14:paraId="0ED6F646"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S</w:t>
            </w:r>
            <w:r w:rsidRPr="000B65DC">
              <w:rPr>
                <w:rFonts w:ascii="Arial" w:hAnsi="Arial" w:cs="Arial"/>
                <w:sz w:val="20"/>
                <w:szCs w:val="20"/>
                <w:vertAlign w:val="subscript"/>
              </w:rPr>
              <w:t>3</w:t>
            </w:r>
            <w:r w:rsidRPr="000B65DC">
              <w:rPr>
                <w:rFonts w:ascii="Arial" w:hAnsi="Arial" w:cs="Arial"/>
                <w:sz w:val="20"/>
                <w:szCs w:val="20"/>
              </w:rPr>
              <w:t xml:space="preserve"> (40 kg ha</w:t>
            </w:r>
            <w:r w:rsidRPr="000B65DC">
              <w:rPr>
                <w:rFonts w:ascii="Arial" w:hAnsi="Arial" w:cs="Arial"/>
                <w:sz w:val="20"/>
                <w:szCs w:val="20"/>
                <w:vertAlign w:val="superscript"/>
              </w:rPr>
              <w:t>-1</w:t>
            </w:r>
            <w:r w:rsidRPr="000B65DC">
              <w:rPr>
                <w:rFonts w:ascii="Arial" w:hAnsi="Arial" w:cs="Arial"/>
                <w:sz w:val="20"/>
                <w:szCs w:val="20"/>
              </w:rPr>
              <w:t>)</w:t>
            </w:r>
          </w:p>
        </w:tc>
        <w:tc>
          <w:tcPr>
            <w:tcW w:w="631" w:type="pct"/>
            <w:vAlign w:val="center"/>
          </w:tcPr>
          <w:p w14:paraId="67B2A53B"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266.66</w:t>
            </w:r>
          </w:p>
        </w:tc>
        <w:tc>
          <w:tcPr>
            <w:tcW w:w="650" w:type="pct"/>
            <w:vAlign w:val="center"/>
          </w:tcPr>
          <w:p w14:paraId="4B79C56A"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53.07</w:t>
            </w:r>
          </w:p>
        </w:tc>
        <w:tc>
          <w:tcPr>
            <w:tcW w:w="650" w:type="pct"/>
            <w:vAlign w:val="center"/>
          </w:tcPr>
          <w:p w14:paraId="19974C73"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389.21</w:t>
            </w:r>
          </w:p>
        </w:tc>
        <w:tc>
          <w:tcPr>
            <w:tcW w:w="631" w:type="pct"/>
            <w:vAlign w:val="center"/>
            <w:hideMark/>
          </w:tcPr>
          <w:p w14:paraId="5C5CA28E"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18.04</w:t>
            </w:r>
          </w:p>
        </w:tc>
        <w:tc>
          <w:tcPr>
            <w:tcW w:w="685" w:type="pct"/>
            <w:vAlign w:val="center"/>
            <w:hideMark/>
          </w:tcPr>
          <w:p w14:paraId="68D50610"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2.00</w:t>
            </w:r>
          </w:p>
        </w:tc>
        <w:tc>
          <w:tcPr>
            <w:tcW w:w="705" w:type="pct"/>
            <w:vAlign w:val="center"/>
            <w:hideMark/>
          </w:tcPr>
          <w:p w14:paraId="4F5683E8"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1.65</w:t>
            </w:r>
          </w:p>
        </w:tc>
      </w:tr>
      <w:tr w:rsidR="00D14E18" w:rsidRPr="000B65DC" w14:paraId="47E15AB1" w14:textId="77777777" w:rsidTr="00D14E18">
        <w:tc>
          <w:tcPr>
            <w:tcW w:w="1048" w:type="pct"/>
            <w:vAlign w:val="center"/>
            <w:hideMark/>
          </w:tcPr>
          <w:p w14:paraId="71EEC985" w14:textId="77777777" w:rsidR="00D14E18" w:rsidRPr="000B65DC" w:rsidRDefault="00D14E18" w:rsidP="00D14E18">
            <w:pPr>
              <w:jc w:val="right"/>
              <w:rPr>
                <w:rFonts w:ascii="Arial" w:hAnsi="Arial" w:cs="Arial"/>
                <w:b/>
                <w:bCs/>
                <w:sz w:val="20"/>
                <w:szCs w:val="20"/>
              </w:rPr>
            </w:pPr>
            <w:proofErr w:type="spellStart"/>
            <w:r w:rsidRPr="000B65DC">
              <w:rPr>
                <w:rFonts w:ascii="Arial" w:hAnsi="Arial" w:cs="Arial"/>
                <w:b/>
                <w:bCs/>
                <w:sz w:val="20"/>
                <w:szCs w:val="20"/>
              </w:rPr>
              <w:t>S.Em</w:t>
            </w:r>
            <w:proofErr w:type="spellEnd"/>
            <w:r w:rsidRPr="000B65DC">
              <w:rPr>
                <w:rFonts w:ascii="Arial" w:hAnsi="Arial" w:cs="Arial"/>
                <w:b/>
                <w:bCs/>
                <w:sz w:val="20"/>
                <w:szCs w:val="20"/>
              </w:rPr>
              <w:t>. ±</w:t>
            </w:r>
          </w:p>
        </w:tc>
        <w:tc>
          <w:tcPr>
            <w:tcW w:w="631" w:type="pct"/>
            <w:vAlign w:val="center"/>
          </w:tcPr>
          <w:p w14:paraId="70B5E415"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3.88</w:t>
            </w:r>
          </w:p>
        </w:tc>
        <w:tc>
          <w:tcPr>
            <w:tcW w:w="650" w:type="pct"/>
            <w:vAlign w:val="center"/>
          </w:tcPr>
          <w:p w14:paraId="0CFBE1B5"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0.91</w:t>
            </w:r>
          </w:p>
        </w:tc>
        <w:tc>
          <w:tcPr>
            <w:tcW w:w="650" w:type="pct"/>
            <w:vAlign w:val="center"/>
          </w:tcPr>
          <w:p w14:paraId="360E9BC5"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8.04</w:t>
            </w:r>
          </w:p>
        </w:tc>
        <w:tc>
          <w:tcPr>
            <w:tcW w:w="631" w:type="pct"/>
            <w:vAlign w:val="center"/>
            <w:hideMark/>
          </w:tcPr>
          <w:p w14:paraId="697AA530"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0.29</w:t>
            </w:r>
          </w:p>
        </w:tc>
        <w:tc>
          <w:tcPr>
            <w:tcW w:w="685" w:type="pct"/>
            <w:vAlign w:val="center"/>
            <w:hideMark/>
          </w:tcPr>
          <w:p w14:paraId="21200D5D"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0.03</w:t>
            </w:r>
          </w:p>
        </w:tc>
        <w:tc>
          <w:tcPr>
            <w:tcW w:w="705" w:type="pct"/>
            <w:vAlign w:val="center"/>
            <w:hideMark/>
          </w:tcPr>
          <w:p w14:paraId="65AD63FA"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0.03</w:t>
            </w:r>
          </w:p>
        </w:tc>
      </w:tr>
      <w:tr w:rsidR="00D14E18" w:rsidRPr="000B65DC" w14:paraId="4768BE90" w14:textId="77777777" w:rsidTr="00D14E18">
        <w:tc>
          <w:tcPr>
            <w:tcW w:w="1048" w:type="pct"/>
            <w:vAlign w:val="center"/>
            <w:hideMark/>
          </w:tcPr>
          <w:p w14:paraId="2B610F38"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CD at 5%</w:t>
            </w:r>
          </w:p>
        </w:tc>
        <w:tc>
          <w:tcPr>
            <w:tcW w:w="631" w:type="pct"/>
            <w:vAlign w:val="center"/>
          </w:tcPr>
          <w:p w14:paraId="4591A5CB"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11.32</w:t>
            </w:r>
          </w:p>
        </w:tc>
        <w:tc>
          <w:tcPr>
            <w:tcW w:w="650" w:type="pct"/>
            <w:vAlign w:val="center"/>
          </w:tcPr>
          <w:p w14:paraId="7F923D66"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2.64</w:t>
            </w:r>
          </w:p>
        </w:tc>
        <w:tc>
          <w:tcPr>
            <w:tcW w:w="650" w:type="pct"/>
            <w:vAlign w:val="center"/>
          </w:tcPr>
          <w:p w14:paraId="284A7E66"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40.66</w:t>
            </w:r>
          </w:p>
        </w:tc>
        <w:tc>
          <w:tcPr>
            <w:tcW w:w="631" w:type="pct"/>
            <w:vAlign w:val="center"/>
            <w:hideMark/>
          </w:tcPr>
          <w:p w14:paraId="4CDFCAC6"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0.84</w:t>
            </w:r>
          </w:p>
        </w:tc>
        <w:tc>
          <w:tcPr>
            <w:tcW w:w="685" w:type="pct"/>
            <w:vAlign w:val="center"/>
            <w:hideMark/>
          </w:tcPr>
          <w:p w14:paraId="4072DEDA"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0.10</w:t>
            </w:r>
          </w:p>
        </w:tc>
        <w:tc>
          <w:tcPr>
            <w:tcW w:w="705" w:type="pct"/>
            <w:vAlign w:val="center"/>
            <w:hideMark/>
          </w:tcPr>
          <w:p w14:paraId="11DC31A2"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0.09</w:t>
            </w:r>
          </w:p>
        </w:tc>
      </w:tr>
      <w:tr w:rsidR="00D14E18" w:rsidRPr="000B65DC" w14:paraId="37BFAC9F" w14:textId="77777777" w:rsidTr="00D14E18">
        <w:tc>
          <w:tcPr>
            <w:tcW w:w="5000" w:type="pct"/>
            <w:gridSpan w:val="7"/>
          </w:tcPr>
          <w:p w14:paraId="18636252" w14:textId="77777777" w:rsidR="00D14E18" w:rsidRPr="000B65DC" w:rsidRDefault="00D14E18" w:rsidP="00D14E18">
            <w:pPr>
              <w:rPr>
                <w:rFonts w:ascii="Arial" w:hAnsi="Arial" w:cs="Arial"/>
                <w:sz w:val="20"/>
                <w:szCs w:val="20"/>
              </w:rPr>
            </w:pPr>
            <w:r w:rsidRPr="000B65DC">
              <w:rPr>
                <w:rFonts w:ascii="Arial" w:hAnsi="Arial" w:cs="Arial"/>
                <w:b/>
                <w:bCs/>
                <w:sz w:val="20"/>
                <w:szCs w:val="20"/>
              </w:rPr>
              <w:t>(B) Zinc levels</w:t>
            </w:r>
          </w:p>
        </w:tc>
      </w:tr>
      <w:tr w:rsidR="00D14E18" w:rsidRPr="000B65DC" w14:paraId="0BBE48D3" w14:textId="77777777" w:rsidTr="00EE2CC9">
        <w:tc>
          <w:tcPr>
            <w:tcW w:w="1048" w:type="pct"/>
            <w:hideMark/>
          </w:tcPr>
          <w:p w14:paraId="4F4E1884"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Zn</w:t>
            </w:r>
            <w:r w:rsidRPr="000B65DC">
              <w:rPr>
                <w:rFonts w:ascii="Arial" w:hAnsi="Arial" w:cs="Arial"/>
                <w:sz w:val="20"/>
                <w:szCs w:val="20"/>
                <w:vertAlign w:val="subscript"/>
              </w:rPr>
              <w:t>1</w:t>
            </w:r>
            <w:r w:rsidRPr="000B65DC">
              <w:rPr>
                <w:rFonts w:ascii="Arial" w:hAnsi="Arial" w:cs="Arial"/>
                <w:sz w:val="20"/>
                <w:szCs w:val="20"/>
              </w:rPr>
              <w:t xml:space="preserve"> (00 kg ha</w:t>
            </w:r>
            <w:r w:rsidRPr="000B65DC">
              <w:rPr>
                <w:rFonts w:ascii="Arial" w:hAnsi="Arial" w:cs="Arial"/>
                <w:sz w:val="20"/>
                <w:szCs w:val="20"/>
                <w:vertAlign w:val="superscript"/>
              </w:rPr>
              <w:t>-1</w:t>
            </w:r>
            <w:r w:rsidRPr="000B65DC">
              <w:rPr>
                <w:rFonts w:ascii="Arial" w:hAnsi="Arial" w:cs="Arial"/>
                <w:sz w:val="20"/>
                <w:szCs w:val="20"/>
              </w:rPr>
              <w:t>)</w:t>
            </w:r>
          </w:p>
        </w:tc>
        <w:tc>
          <w:tcPr>
            <w:tcW w:w="631" w:type="pct"/>
            <w:vAlign w:val="center"/>
          </w:tcPr>
          <w:p w14:paraId="020F681C"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242.40</w:t>
            </w:r>
          </w:p>
        </w:tc>
        <w:tc>
          <w:tcPr>
            <w:tcW w:w="650" w:type="pct"/>
            <w:vAlign w:val="center"/>
          </w:tcPr>
          <w:p w14:paraId="241999B8"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38.20</w:t>
            </w:r>
          </w:p>
        </w:tc>
        <w:tc>
          <w:tcPr>
            <w:tcW w:w="650" w:type="pct"/>
            <w:vAlign w:val="center"/>
          </w:tcPr>
          <w:p w14:paraId="052AED62"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358.72</w:t>
            </w:r>
          </w:p>
        </w:tc>
        <w:tc>
          <w:tcPr>
            <w:tcW w:w="631" w:type="pct"/>
            <w:vAlign w:val="center"/>
            <w:hideMark/>
          </w:tcPr>
          <w:p w14:paraId="5AE1824C"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12.90</w:t>
            </w:r>
          </w:p>
        </w:tc>
        <w:tc>
          <w:tcPr>
            <w:tcW w:w="685" w:type="pct"/>
            <w:vAlign w:val="center"/>
            <w:hideMark/>
          </w:tcPr>
          <w:p w14:paraId="18507235"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1.50</w:t>
            </w:r>
          </w:p>
        </w:tc>
        <w:tc>
          <w:tcPr>
            <w:tcW w:w="705" w:type="pct"/>
            <w:vAlign w:val="center"/>
            <w:hideMark/>
          </w:tcPr>
          <w:p w14:paraId="613A1180"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1.15</w:t>
            </w:r>
          </w:p>
        </w:tc>
      </w:tr>
      <w:tr w:rsidR="00D14E18" w:rsidRPr="000B65DC" w14:paraId="7CD0EF5A" w14:textId="77777777" w:rsidTr="00EE2CC9">
        <w:tc>
          <w:tcPr>
            <w:tcW w:w="1048" w:type="pct"/>
            <w:hideMark/>
          </w:tcPr>
          <w:p w14:paraId="1DFC7AA8"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Zn</w:t>
            </w:r>
            <w:r w:rsidRPr="000B65DC">
              <w:rPr>
                <w:rFonts w:ascii="Arial" w:hAnsi="Arial" w:cs="Arial"/>
                <w:sz w:val="20"/>
                <w:szCs w:val="20"/>
                <w:vertAlign w:val="subscript"/>
              </w:rPr>
              <w:t>2</w:t>
            </w:r>
            <w:r w:rsidRPr="000B65DC">
              <w:rPr>
                <w:rFonts w:ascii="Arial" w:hAnsi="Arial" w:cs="Arial"/>
                <w:sz w:val="20"/>
                <w:szCs w:val="20"/>
              </w:rPr>
              <w:t xml:space="preserve"> (2.5 kg ha</w:t>
            </w:r>
            <w:r w:rsidRPr="000B65DC">
              <w:rPr>
                <w:rFonts w:ascii="Arial" w:hAnsi="Arial" w:cs="Arial"/>
                <w:sz w:val="20"/>
                <w:szCs w:val="20"/>
                <w:vertAlign w:val="superscript"/>
              </w:rPr>
              <w:t>-1</w:t>
            </w:r>
            <w:r w:rsidRPr="000B65DC">
              <w:rPr>
                <w:rFonts w:ascii="Arial" w:hAnsi="Arial" w:cs="Arial"/>
                <w:sz w:val="20"/>
                <w:szCs w:val="20"/>
              </w:rPr>
              <w:t>)</w:t>
            </w:r>
          </w:p>
        </w:tc>
        <w:tc>
          <w:tcPr>
            <w:tcW w:w="631" w:type="pct"/>
            <w:vAlign w:val="center"/>
          </w:tcPr>
          <w:p w14:paraId="79FA34C0"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247.03</w:t>
            </w:r>
          </w:p>
        </w:tc>
        <w:tc>
          <w:tcPr>
            <w:tcW w:w="650" w:type="pct"/>
            <w:vAlign w:val="center"/>
          </w:tcPr>
          <w:p w14:paraId="0EC6B306"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42.55</w:t>
            </w:r>
          </w:p>
        </w:tc>
        <w:tc>
          <w:tcPr>
            <w:tcW w:w="650" w:type="pct"/>
            <w:vAlign w:val="center"/>
          </w:tcPr>
          <w:p w14:paraId="77CE97A9"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364.58</w:t>
            </w:r>
          </w:p>
        </w:tc>
        <w:tc>
          <w:tcPr>
            <w:tcW w:w="631" w:type="pct"/>
            <w:vAlign w:val="center"/>
            <w:hideMark/>
          </w:tcPr>
          <w:p w14:paraId="4B9D2E39"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15.04</w:t>
            </w:r>
          </w:p>
        </w:tc>
        <w:tc>
          <w:tcPr>
            <w:tcW w:w="685" w:type="pct"/>
            <w:vAlign w:val="center"/>
            <w:hideMark/>
          </w:tcPr>
          <w:p w14:paraId="6803160C"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1.60</w:t>
            </w:r>
          </w:p>
        </w:tc>
        <w:tc>
          <w:tcPr>
            <w:tcW w:w="705" w:type="pct"/>
            <w:vAlign w:val="center"/>
            <w:hideMark/>
          </w:tcPr>
          <w:p w14:paraId="5971C64A"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1.50</w:t>
            </w:r>
          </w:p>
        </w:tc>
      </w:tr>
      <w:tr w:rsidR="00D14E18" w:rsidRPr="000B65DC" w14:paraId="6E3A502A" w14:textId="77777777" w:rsidTr="00EE2CC9">
        <w:tc>
          <w:tcPr>
            <w:tcW w:w="1048" w:type="pct"/>
            <w:hideMark/>
          </w:tcPr>
          <w:p w14:paraId="767B542A"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Zn</w:t>
            </w:r>
            <w:r w:rsidRPr="000B65DC">
              <w:rPr>
                <w:rFonts w:ascii="Arial" w:hAnsi="Arial" w:cs="Arial"/>
                <w:sz w:val="20"/>
                <w:szCs w:val="20"/>
                <w:vertAlign w:val="subscript"/>
              </w:rPr>
              <w:t>3</w:t>
            </w:r>
            <w:r w:rsidRPr="000B65DC">
              <w:rPr>
                <w:rFonts w:ascii="Arial" w:hAnsi="Arial" w:cs="Arial"/>
                <w:sz w:val="20"/>
                <w:szCs w:val="20"/>
              </w:rPr>
              <w:t xml:space="preserve"> (5.0 kg ha</w:t>
            </w:r>
            <w:r w:rsidRPr="000B65DC">
              <w:rPr>
                <w:rFonts w:ascii="Arial" w:hAnsi="Arial" w:cs="Arial"/>
                <w:sz w:val="20"/>
                <w:szCs w:val="20"/>
                <w:vertAlign w:val="superscript"/>
              </w:rPr>
              <w:t>-1</w:t>
            </w:r>
            <w:r w:rsidRPr="000B65DC">
              <w:rPr>
                <w:rFonts w:ascii="Arial" w:hAnsi="Arial" w:cs="Arial"/>
                <w:sz w:val="20"/>
                <w:szCs w:val="20"/>
              </w:rPr>
              <w:t>)</w:t>
            </w:r>
          </w:p>
        </w:tc>
        <w:tc>
          <w:tcPr>
            <w:tcW w:w="631" w:type="pct"/>
            <w:vAlign w:val="center"/>
          </w:tcPr>
          <w:p w14:paraId="7458D4DA"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252.01</w:t>
            </w:r>
          </w:p>
        </w:tc>
        <w:tc>
          <w:tcPr>
            <w:tcW w:w="650" w:type="pct"/>
            <w:vAlign w:val="center"/>
          </w:tcPr>
          <w:p w14:paraId="0EEAAA4E"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46.10</w:t>
            </w:r>
          </w:p>
        </w:tc>
        <w:tc>
          <w:tcPr>
            <w:tcW w:w="650" w:type="pct"/>
            <w:vAlign w:val="center"/>
          </w:tcPr>
          <w:p w14:paraId="5B943698"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369.72</w:t>
            </w:r>
          </w:p>
        </w:tc>
        <w:tc>
          <w:tcPr>
            <w:tcW w:w="631" w:type="pct"/>
            <w:vAlign w:val="center"/>
            <w:hideMark/>
          </w:tcPr>
          <w:p w14:paraId="5FFF5144"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15.33</w:t>
            </w:r>
          </w:p>
        </w:tc>
        <w:tc>
          <w:tcPr>
            <w:tcW w:w="685" w:type="pct"/>
            <w:vAlign w:val="center"/>
            <w:hideMark/>
          </w:tcPr>
          <w:p w14:paraId="60DD74B1"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2.00</w:t>
            </w:r>
          </w:p>
        </w:tc>
        <w:tc>
          <w:tcPr>
            <w:tcW w:w="705" w:type="pct"/>
            <w:vAlign w:val="center"/>
            <w:hideMark/>
          </w:tcPr>
          <w:p w14:paraId="2AD2A615"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1.85</w:t>
            </w:r>
          </w:p>
        </w:tc>
      </w:tr>
      <w:tr w:rsidR="00D14E18" w:rsidRPr="000B65DC" w14:paraId="4F50DE20" w14:textId="77777777" w:rsidTr="00EE2CC9">
        <w:tc>
          <w:tcPr>
            <w:tcW w:w="1048" w:type="pct"/>
            <w:vAlign w:val="center"/>
            <w:hideMark/>
          </w:tcPr>
          <w:p w14:paraId="4E22419C" w14:textId="77777777" w:rsidR="00D14E18" w:rsidRPr="000B65DC" w:rsidRDefault="00D14E18" w:rsidP="00D14E18">
            <w:pPr>
              <w:jc w:val="right"/>
              <w:rPr>
                <w:rFonts w:ascii="Arial" w:hAnsi="Arial" w:cs="Arial"/>
                <w:b/>
                <w:bCs/>
                <w:sz w:val="20"/>
                <w:szCs w:val="20"/>
              </w:rPr>
            </w:pPr>
            <w:proofErr w:type="spellStart"/>
            <w:r w:rsidRPr="000B65DC">
              <w:rPr>
                <w:rFonts w:ascii="Arial" w:hAnsi="Arial" w:cs="Arial"/>
                <w:b/>
                <w:bCs/>
                <w:sz w:val="20"/>
                <w:szCs w:val="20"/>
              </w:rPr>
              <w:t>S.Em</w:t>
            </w:r>
            <w:proofErr w:type="spellEnd"/>
            <w:r w:rsidRPr="000B65DC">
              <w:rPr>
                <w:rFonts w:ascii="Arial" w:hAnsi="Arial" w:cs="Arial"/>
                <w:b/>
                <w:bCs/>
                <w:sz w:val="20"/>
                <w:szCs w:val="20"/>
              </w:rPr>
              <w:t>. ±</w:t>
            </w:r>
          </w:p>
        </w:tc>
        <w:tc>
          <w:tcPr>
            <w:tcW w:w="631" w:type="pct"/>
            <w:vAlign w:val="center"/>
          </w:tcPr>
          <w:p w14:paraId="133BDC4F"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3.88</w:t>
            </w:r>
          </w:p>
        </w:tc>
        <w:tc>
          <w:tcPr>
            <w:tcW w:w="650" w:type="pct"/>
            <w:vAlign w:val="center"/>
          </w:tcPr>
          <w:p w14:paraId="7A7F85FB"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0.91</w:t>
            </w:r>
          </w:p>
        </w:tc>
        <w:tc>
          <w:tcPr>
            <w:tcW w:w="650" w:type="pct"/>
            <w:vAlign w:val="center"/>
          </w:tcPr>
          <w:p w14:paraId="0943F2BC"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8.04</w:t>
            </w:r>
          </w:p>
        </w:tc>
        <w:tc>
          <w:tcPr>
            <w:tcW w:w="631" w:type="pct"/>
            <w:vAlign w:val="center"/>
            <w:hideMark/>
          </w:tcPr>
          <w:p w14:paraId="0EC3D637"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0.29</w:t>
            </w:r>
          </w:p>
        </w:tc>
        <w:tc>
          <w:tcPr>
            <w:tcW w:w="685" w:type="pct"/>
            <w:vAlign w:val="center"/>
            <w:hideMark/>
          </w:tcPr>
          <w:p w14:paraId="09FDAD23"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0.03</w:t>
            </w:r>
          </w:p>
        </w:tc>
        <w:tc>
          <w:tcPr>
            <w:tcW w:w="705" w:type="pct"/>
            <w:vAlign w:val="center"/>
            <w:hideMark/>
          </w:tcPr>
          <w:p w14:paraId="63E7D12F"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0.03</w:t>
            </w:r>
          </w:p>
        </w:tc>
      </w:tr>
      <w:tr w:rsidR="00D14E18" w:rsidRPr="000B65DC" w14:paraId="547C89B5" w14:textId="77777777" w:rsidTr="00EE2CC9">
        <w:tc>
          <w:tcPr>
            <w:tcW w:w="1048" w:type="pct"/>
            <w:vAlign w:val="center"/>
            <w:hideMark/>
          </w:tcPr>
          <w:p w14:paraId="6C665A99"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CD at 5%</w:t>
            </w:r>
          </w:p>
        </w:tc>
        <w:tc>
          <w:tcPr>
            <w:tcW w:w="631" w:type="pct"/>
            <w:vAlign w:val="center"/>
          </w:tcPr>
          <w:p w14:paraId="2DAE8BC8"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NS</w:t>
            </w:r>
          </w:p>
        </w:tc>
        <w:tc>
          <w:tcPr>
            <w:tcW w:w="650" w:type="pct"/>
            <w:vAlign w:val="center"/>
          </w:tcPr>
          <w:p w14:paraId="1C353639"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2.64</w:t>
            </w:r>
          </w:p>
        </w:tc>
        <w:tc>
          <w:tcPr>
            <w:tcW w:w="650" w:type="pct"/>
            <w:vAlign w:val="center"/>
          </w:tcPr>
          <w:p w14:paraId="406DF5E2"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NS</w:t>
            </w:r>
          </w:p>
        </w:tc>
        <w:tc>
          <w:tcPr>
            <w:tcW w:w="631" w:type="pct"/>
            <w:vAlign w:val="center"/>
            <w:hideMark/>
          </w:tcPr>
          <w:p w14:paraId="557EBC63"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0.84</w:t>
            </w:r>
          </w:p>
        </w:tc>
        <w:tc>
          <w:tcPr>
            <w:tcW w:w="685" w:type="pct"/>
            <w:vAlign w:val="center"/>
            <w:hideMark/>
          </w:tcPr>
          <w:p w14:paraId="7A0E0145"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0.10</w:t>
            </w:r>
          </w:p>
        </w:tc>
        <w:tc>
          <w:tcPr>
            <w:tcW w:w="705" w:type="pct"/>
            <w:vAlign w:val="center"/>
            <w:hideMark/>
          </w:tcPr>
          <w:p w14:paraId="0653B612"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0.09</w:t>
            </w:r>
          </w:p>
        </w:tc>
      </w:tr>
      <w:tr w:rsidR="00D14E18" w:rsidRPr="000B65DC" w14:paraId="3CB56393" w14:textId="77777777" w:rsidTr="00EE2CC9">
        <w:tc>
          <w:tcPr>
            <w:tcW w:w="1048" w:type="pct"/>
            <w:hideMark/>
          </w:tcPr>
          <w:p w14:paraId="48BBD54C" w14:textId="77777777" w:rsidR="00D14E18" w:rsidRPr="000B65DC" w:rsidRDefault="00D14E18" w:rsidP="00D14E18">
            <w:pPr>
              <w:jc w:val="both"/>
              <w:rPr>
                <w:rFonts w:ascii="Arial" w:hAnsi="Arial" w:cs="Arial"/>
                <w:sz w:val="20"/>
                <w:szCs w:val="20"/>
              </w:rPr>
            </w:pPr>
            <w:r w:rsidRPr="000B65DC">
              <w:rPr>
                <w:rFonts w:ascii="Arial" w:hAnsi="Arial" w:cs="Arial"/>
                <w:b/>
                <w:bCs/>
                <w:sz w:val="20"/>
                <w:szCs w:val="20"/>
              </w:rPr>
              <w:t>Interaction (S × Zn)</w:t>
            </w:r>
          </w:p>
        </w:tc>
        <w:tc>
          <w:tcPr>
            <w:tcW w:w="631" w:type="pct"/>
            <w:vAlign w:val="center"/>
          </w:tcPr>
          <w:p w14:paraId="68F297B4"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NS</w:t>
            </w:r>
          </w:p>
        </w:tc>
        <w:tc>
          <w:tcPr>
            <w:tcW w:w="650" w:type="pct"/>
            <w:vAlign w:val="center"/>
          </w:tcPr>
          <w:p w14:paraId="3DB2BF17"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NS</w:t>
            </w:r>
          </w:p>
        </w:tc>
        <w:tc>
          <w:tcPr>
            <w:tcW w:w="650" w:type="pct"/>
            <w:vAlign w:val="center"/>
          </w:tcPr>
          <w:p w14:paraId="0D59A203"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NS</w:t>
            </w:r>
          </w:p>
        </w:tc>
        <w:tc>
          <w:tcPr>
            <w:tcW w:w="631" w:type="pct"/>
            <w:vAlign w:val="center"/>
            <w:hideMark/>
          </w:tcPr>
          <w:p w14:paraId="42A8F999"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NS</w:t>
            </w:r>
          </w:p>
        </w:tc>
        <w:tc>
          <w:tcPr>
            <w:tcW w:w="685" w:type="pct"/>
            <w:vAlign w:val="center"/>
            <w:hideMark/>
          </w:tcPr>
          <w:p w14:paraId="677C385F"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NS</w:t>
            </w:r>
          </w:p>
        </w:tc>
        <w:tc>
          <w:tcPr>
            <w:tcW w:w="705" w:type="pct"/>
            <w:vAlign w:val="center"/>
            <w:hideMark/>
          </w:tcPr>
          <w:p w14:paraId="238B93E4"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NS</w:t>
            </w:r>
          </w:p>
        </w:tc>
      </w:tr>
      <w:tr w:rsidR="00D14E18" w:rsidRPr="000B65DC" w14:paraId="0B3DD0CE" w14:textId="77777777" w:rsidTr="00EE2CC9">
        <w:tc>
          <w:tcPr>
            <w:tcW w:w="1048" w:type="pct"/>
            <w:vAlign w:val="center"/>
            <w:hideMark/>
          </w:tcPr>
          <w:p w14:paraId="15B9DEC3" w14:textId="77777777" w:rsidR="00D14E18" w:rsidRPr="000B65DC" w:rsidRDefault="00D14E18" w:rsidP="00D14E18">
            <w:pPr>
              <w:jc w:val="right"/>
              <w:rPr>
                <w:rFonts w:ascii="Arial" w:hAnsi="Arial" w:cs="Arial"/>
                <w:b/>
                <w:bCs/>
                <w:sz w:val="20"/>
                <w:szCs w:val="20"/>
              </w:rPr>
            </w:pPr>
            <w:proofErr w:type="spellStart"/>
            <w:r w:rsidRPr="000B65DC">
              <w:rPr>
                <w:rFonts w:ascii="Arial" w:hAnsi="Arial" w:cs="Arial"/>
                <w:b/>
                <w:bCs/>
                <w:sz w:val="20"/>
                <w:szCs w:val="20"/>
              </w:rPr>
              <w:t>S.Em</w:t>
            </w:r>
            <w:proofErr w:type="spellEnd"/>
            <w:r w:rsidRPr="000B65DC">
              <w:rPr>
                <w:rFonts w:ascii="Arial" w:hAnsi="Arial" w:cs="Arial"/>
                <w:b/>
                <w:bCs/>
                <w:sz w:val="20"/>
                <w:szCs w:val="20"/>
              </w:rPr>
              <w:t>. ±</w:t>
            </w:r>
          </w:p>
        </w:tc>
        <w:tc>
          <w:tcPr>
            <w:tcW w:w="631" w:type="pct"/>
            <w:vAlign w:val="center"/>
          </w:tcPr>
          <w:p w14:paraId="16A3A8F2"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6.72</w:t>
            </w:r>
          </w:p>
        </w:tc>
        <w:tc>
          <w:tcPr>
            <w:tcW w:w="650" w:type="pct"/>
            <w:vAlign w:val="center"/>
          </w:tcPr>
          <w:p w14:paraId="1F95180B"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1.57</w:t>
            </w:r>
          </w:p>
        </w:tc>
        <w:tc>
          <w:tcPr>
            <w:tcW w:w="650" w:type="pct"/>
            <w:vAlign w:val="center"/>
          </w:tcPr>
          <w:p w14:paraId="35C82674"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13.93</w:t>
            </w:r>
          </w:p>
        </w:tc>
        <w:tc>
          <w:tcPr>
            <w:tcW w:w="631" w:type="pct"/>
            <w:vAlign w:val="center"/>
            <w:hideMark/>
          </w:tcPr>
          <w:p w14:paraId="5A77FC6B"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0.50</w:t>
            </w:r>
          </w:p>
        </w:tc>
        <w:tc>
          <w:tcPr>
            <w:tcW w:w="685" w:type="pct"/>
            <w:vAlign w:val="center"/>
            <w:hideMark/>
          </w:tcPr>
          <w:p w14:paraId="481B6B43"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0.06</w:t>
            </w:r>
          </w:p>
        </w:tc>
        <w:tc>
          <w:tcPr>
            <w:tcW w:w="705" w:type="pct"/>
            <w:vAlign w:val="center"/>
            <w:hideMark/>
          </w:tcPr>
          <w:p w14:paraId="5EEED3BD"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0.06</w:t>
            </w:r>
          </w:p>
        </w:tc>
      </w:tr>
      <w:tr w:rsidR="00D14E18" w:rsidRPr="000B65DC" w14:paraId="215D4AFC" w14:textId="77777777" w:rsidTr="00EE2CC9">
        <w:tc>
          <w:tcPr>
            <w:tcW w:w="1048" w:type="pct"/>
            <w:vAlign w:val="center"/>
            <w:hideMark/>
          </w:tcPr>
          <w:p w14:paraId="5D802BD3"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CV (%)</w:t>
            </w:r>
          </w:p>
        </w:tc>
        <w:tc>
          <w:tcPr>
            <w:tcW w:w="631" w:type="pct"/>
            <w:vAlign w:val="center"/>
          </w:tcPr>
          <w:p w14:paraId="191E3850"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5.43</w:t>
            </w:r>
          </w:p>
        </w:tc>
        <w:tc>
          <w:tcPr>
            <w:tcW w:w="650" w:type="pct"/>
            <w:vAlign w:val="center"/>
          </w:tcPr>
          <w:p w14:paraId="376315CD"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7.42</w:t>
            </w:r>
          </w:p>
        </w:tc>
        <w:tc>
          <w:tcPr>
            <w:tcW w:w="650" w:type="pct"/>
            <w:vAlign w:val="center"/>
          </w:tcPr>
          <w:p w14:paraId="6F4830E9"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7.65</w:t>
            </w:r>
          </w:p>
        </w:tc>
        <w:tc>
          <w:tcPr>
            <w:tcW w:w="631" w:type="pct"/>
            <w:vAlign w:val="center"/>
            <w:hideMark/>
          </w:tcPr>
          <w:p w14:paraId="3F8959E0"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6.95</w:t>
            </w:r>
          </w:p>
        </w:tc>
        <w:tc>
          <w:tcPr>
            <w:tcW w:w="685" w:type="pct"/>
            <w:vAlign w:val="center"/>
            <w:hideMark/>
          </w:tcPr>
          <w:p w14:paraId="1349AA57"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6.92</w:t>
            </w:r>
          </w:p>
        </w:tc>
        <w:tc>
          <w:tcPr>
            <w:tcW w:w="705" w:type="pct"/>
            <w:vAlign w:val="center"/>
            <w:hideMark/>
          </w:tcPr>
          <w:p w14:paraId="0C18756B"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7.41</w:t>
            </w:r>
          </w:p>
        </w:tc>
      </w:tr>
      <w:tr w:rsidR="00D14E18" w:rsidRPr="000B65DC" w14:paraId="0270B08D" w14:textId="77777777" w:rsidTr="00EE2CC9">
        <w:trPr>
          <w:trHeight w:val="395"/>
        </w:trPr>
        <w:tc>
          <w:tcPr>
            <w:tcW w:w="1048" w:type="pct"/>
            <w:vAlign w:val="center"/>
          </w:tcPr>
          <w:p w14:paraId="13127978"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Initial</w:t>
            </w:r>
          </w:p>
        </w:tc>
        <w:tc>
          <w:tcPr>
            <w:tcW w:w="631" w:type="pct"/>
            <w:vAlign w:val="center"/>
          </w:tcPr>
          <w:p w14:paraId="46CAB4DA"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222.41</w:t>
            </w:r>
          </w:p>
        </w:tc>
        <w:tc>
          <w:tcPr>
            <w:tcW w:w="650" w:type="pct"/>
            <w:vAlign w:val="center"/>
          </w:tcPr>
          <w:p w14:paraId="6988FB3D"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35.40</w:t>
            </w:r>
          </w:p>
        </w:tc>
        <w:tc>
          <w:tcPr>
            <w:tcW w:w="650" w:type="pct"/>
            <w:vAlign w:val="center"/>
          </w:tcPr>
          <w:p w14:paraId="471B5084"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333.91</w:t>
            </w:r>
          </w:p>
        </w:tc>
        <w:tc>
          <w:tcPr>
            <w:tcW w:w="631" w:type="pct"/>
            <w:vAlign w:val="center"/>
          </w:tcPr>
          <w:p w14:paraId="7DECAD5E"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9.10</w:t>
            </w:r>
          </w:p>
        </w:tc>
        <w:tc>
          <w:tcPr>
            <w:tcW w:w="685" w:type="pct"/>
            <w:vAlign w:val="center"/>
          </w:tcPr>
          <w:p w14:paraId="7BC3F20B"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0.94</w:t>
            </w:r>
          </w:p>
        </w:tc>
        <w:tc>
          <w:tcPr>
            <w:tcW w:w="705" w:type="pct"/>
            <w:vAlign w:val="center"/>
          </w:tcPr>
          <w:p w14:paraId="27299CCA"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0.95</w:t>
            </w:r>
          </w:p>
        </w:tc>
      </w:tr>
    </w:tbl>
    <w:p w14:paraId="3831C96B" w14:textId="77777777" w:rsidR="00B46191" w:rsidRPr="000B65DC" w:rsidRDefault="00B46191" w:rsidP="00D14E18">
      <w:pPr>
        <w:spacing w:before="240"/>
        <w:jc w:val="both"/>
        <w:rPr>
          <w:rFonts w:ascii="Arial" w:hAnsi="Arial" w:cs="Arial"/>
          <w:b/>
          <w:bCs/>
          <w:sz w:val="20"/>
          <w:szCs w:val="20"/>
          <w:lang w:val="en-GB"/>
        </w:rPr>
      </w:pPr>
      <w:r w:rsidRPr="000B65DC">
        <w:rPr>
          <w:rFonts w:ascii="Arial" w:hAnsi="Arial" w:cs="Arial"/>
          <w:b/>
          <w:bCs/>
          <w:sz w:val="20"/>
          <w:szCs w:val="20"/>
          <w:lang w:val="en-GB"/>
        </w:rPr>
        <w:t>3.</w:t>
      </w:r>
      <w:r w:rsidR="00C02DE0" w:rsidRPr="000B65DC">
        <w:rPr>
          <w:rFonts w:ascii="Arial" w:hAnsi="Arial" w:cs="Arial"/>
          <w:b/>
          <w:bCs/>
          <w:sz w:val="20"/>
          <w:szCs w:val="20"/>
          <w:lang w:val="en-GB"/>
        </w:rPr>
        <w:t>3</w:t>
      </w:r>
      <w:r w:rsidRPr="000B65DC">
        <w:rPr>
          <w:rFonts w:ascii="Arial" w:hAnsi="Arial" w:cs="Arial"/>
          <w:b/>
          <w:bCs/>
          <w:sz w:val="20"/>
          <w:szCs w:val="20"/>
          <w:lang w:val="en-GB"/>
        </w:rPr>
        <w:t>.2 Soil Organic Carbon, Inorganic Carbon, pH and Electrical Conductivity</w:t>
      </w:r>
    </w:p>
    <w:p w14:paraId="6908F08D"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 xml:space="preserve">Soil organic carbon increased significantly with sulphur application and reached 7.2 g kg⁻¹ at 40 kg S ha⁻¹ (S₃), compared with 5.8 g kg⁻¹ in the control (S₁) and an initial value of 5.6 g kg⁻¹. This response may reflect greater root biomass and residue return under improved sulphur nutrition (Alam </w:t>
      </w:r>
      <w:r w:rsidRPr="000B65DC">
        <w:rPr>
          <w:rFonts w:ascii="Arial" w:hAnsi="Arial" w:cs="Arial"/>
          <w:i/>
          <w:sz w:val="20"/>
          <w:szCs w:val="20"/>
          <w:lang w:val="en-GB"/>
        </w:rPr>
        <w:t>et al.</w:t>
      </w:r>
      <w:r w:rsidRPr="000B65DC">
        <w:rPr>
          <w:rFonts w:ascii="Arial" w:hAnsi="Arial" w:cs="Arial"/>
          <w:sz w:val="20"/>
          <w:szCs w:val="20"/>
          <w:lang w:val="en-GB"/>
        </w:rPr>
        <w:t xml:space="preserve">, 2014; Deekshitha </w:t>
      </w:r>
      <w:r w:rsidRPr="000B65DC">
        <w:rPr>
          <w:rFonts w:ascii="Arial" w:hAnsi="Arial" w:cs="Arial"/>
          <w:i/>
          <w:sz w:val="20"/>
          <w:szCs w:val="20"/>
          <w:lang w:val="en-GB"/>
        </w:rPr>
        <w:t>et al.</w:t>
      </w:r>
      <w:r w:rsidRPr="000B65DC">
        <w:rPr>
          <w:rFonts w:ascii="Arial" w:hAnsi="Arial" w:cs="Arial"/>
          <w:sz w:val="20"/>
          <w:szCs w:val="20"/>
          <w:lang w:val="en-GB"/>
        </w:rPr>
        <w:t xml:space="preserve">, 2017; Sahu </w:t>
      </w:r>
      <w:r w:rsidRPr="000B65DC">
        <w:rPr>
          <w:rFonts w:ascii="Arial" w:hAnsi="Arial" w:cs="Arial"/>
          <w:i/>
          <w:sz w:val="20"/>
          <w:szCs w:val="20"/>
          <w:lang w:val="en-GB"/>
        </w:rPr>
        <w:t>et al.</w:t>
      </w:r>
      <w:r w:rsidRPr="000B65DC">
        <w:rPr>
          <w:rFonts w:ascii="Arial" w:hAnsi="Arial" w:cs="Arial"/>
          <w:sz w:val="20"/>
          <w:szCs w:val="20"/>
          <w:lang w:val="en-GB"/>
        </w:rPr>
        <w:t xml:space="preserve">, 2017; Yadav </w:t>
      </w:r>
      <w:r w:rsidRPr="000B65DC">
        <w:rPr>
          <w:rFonts w:ascii="Arial" w:hAnsi="Arial" w:cs="Arial"/>
          <w:i/>
          <w:sz w:val="20"/>
          <w:szCs w:val="20"/>
          <w:lang w:val="en-GB"/>
        </w:rPr>
        <w:t>et al.</w:t>
      </w:r>
      <w:r w:rsidRPr="000B65DC">
        <w:rPr>
          <w:rFonts w:ascii="Arial" w:hAnsi="Arial" w:cs="Arial"/>
          <w:sz w:val="20"/>
          <w:szCs w:val="20"/>
          <w:lang w:val="en-GB"/>
        </w:rPr>
        <w:t xml:space="preserve">, 2010). The effect of zinc on organic carbon was non-significant (Table 6). Inorganic carbon, which is governed largely by the calcareous parent material of these Vertisols, was not significantly affected by either nutrient (Bambhaneeya </w:t>
      </w:r>
      <w:r w:rsidRPr="000B65DC">
        <w:rPr>
          <w:rFonts w:ascii="Arial" w:hAnsi="Arial" w:cs="Arial"/>
          <w:i/>
          <w:sz w:val="20"/>
          <w:szCs w:val="20"/>
          <w:lang w:val="en-GB"/>
        </w:rPr>
        <w:t>et al.</w:t>
      </w:r>
      <w:r w:rsidRPr="000B65DC">
        <w:rPr>
          <w:rFonts w:ascii="Arial" w:hAnsi="Arial" w:cs="Arial"/>
          <w:sz w:val="20"/>
          <w:szCs w:val="20"/>
          <w:lang w:val="en-GB"/>
        </w:rPr>
        <w:t>, 2022).</w:t>
      </w:r>
    </w:p>
    <w:p w14:paraId="17014A89" w14:textId="77777777" w:rsidR="00B46191" w:rsidRPr="000B65DC" w:rsidRDefault="00D65DD7" w:rsidP="00B46191">
      <w:pPr>
        <w:jc w:val="both"/>
        <w:rPr>
          <w:rFonts w:ascii="Arial" w:hAnsi="Arial" w:cs="Arial"/>
          <w:sz w:val="20"/>
          <w:szCs w:val="20"/>
          <w:lang w:val="en-GB"/>
        </w:rPr>
      </w:pPr>
      <w:r w:rsidRPr="000B65DC">
        <w:rPr>
          <w:rFonts w:ascii="Arial" w:hAnsi="Arial" w:cs="Arial"/>
          <w:sz w:val="20"/>
          <w:szCs w:val="20"/>
          <w:lang w:val="en-GB"/>
        </w:rPr>
        <w:t xml:space="preserve">Soil pH showed a marginal, non-significant decline with sulphur application, reaching 7.58 at S₃ compared with 7.61 at S₁. This trend is consistent with the partial neutralisation of alkalinity through microbial sulphur oxidation (Sahu </w:t>
      </w:r>
      <w:r w:rsidRPr="000B65DC">
        <w:rPr>
          <w:rFonts w:ascii="Arial" w:hAnsi="Arial" w:cs="Arial"/>
          <w:i/>
          <w:sz w:val="20"/>
          <w:szCs w:val="20"/>
          <w:lang w:val="en-GB"/>
        </w:rPr>
        <w:t>et al.</w:t>
      </w:r>
      <w:r w:rsidRPr="000B65DC">
        <w:rPr>
          <w:rFonts w:ascii="Arial" w:hAnsi="Arial" w:cs="Arial"/>
          <w:sz w:val="20"/>
          <w:szCs w:val="20"/>
          <w:lang w:val="en-GB"/>
        </w:rPr>
        <w:t xml:space="preserve">, 2017; Singh &amp; Singh, 2017; Yadav </w:t>
      </w:r>
      <w:r w:rsidRPr="000B65DC">
        <w:rPr>
          <w:rFonts w:ascii="Arial" w:hAnsi="Arial" w:cs="Arial"/>
          <w:i/>
          <w:sz w:val="20"/>
          <w:szCs w:val="20"/>
          <w:lang w:val="en-GB"/>
        </w:rPr>
        <w:t>et al.</w:t>
      </w:r>
      <w:r w:rsidRPr="000B65DC">
        <w:rPr>
          <w:rFonts w:ascii="Arial" w:hAnsi="Arial" w:cs="Arial"/>
          <w:sz w:val="20"/>
          <w:szCs w:val="20"/>
          <w:lang w:val="en-GB"/>
        </w:rPr>
        <w:t xml:space="preserve">, 2010). Soil pH was unaffected by zinc application. In contrast, EC increased significantly to 0.79 dS m⁻¹ with S₃, compared with 0.73 dS m⁻¹ at S₁, and to 0.80 dS m⁻¹ with Zn₃, compared with 0.71 dS m⁻¹ at Zn₁, owing to the addition of soluble sulphate and zinc-EDTA salts (Alam </w:t>
      </w:r>
      <w:r w:rsidRPr="000B65DC">
        <w:rPr>
          <w:rFonts w:ascii="Arial" w:hAnsi="Arial" w:cs="Arial"/>
          <w:i/>
          <w:sz w:val="20"/>
          <w:szCs w:val="20"/>
          <w:lang w:val="en-GB"/>
        </w:rPr>
        <w:t>et al.</w:t>
      </w:r>
      <w:r w:rsidRPr="000B65DC">
        <w:rPr>
          <w:rFonts w:ascii="Arial" w:hAnsi="Arial" w:cs="Arial"/>
          <w:sz w:val="20"/>
          <w:szCs w:val="20"/>
          <w:lang w:val="en-GB"/>
        </w:rPr>
        <w:t xml:space="preserve">, 2014; Sahu </w:t>
      </w:r>
      <w:r w:rsidRPr="000B65DC">
        <w:rPr>
          <w:rFonts w:ascii="Arial" w:hAnsi="Arial" w:cs="Arial"/>
          <w:i/>
          <w:sz w:val="20"/>
          <w:szCs w:val="20"/>
          <w:lang w:val="en-GB"/>
        </w:rPr>
        <w:t>et al.</w:t>
      </w:r>
      <w:r w:rsidRPr="000B65DC">
        <w:rPr>
          <w:rFonts w:ascii="Arial" w:hAnsi="Arial" w:cs="Arial"/>
          <w:sz w:val="20"/>
          <w:szCs w:val="20"/>
          <w:lang w:val="en-GB"/>
        </w:rPr>
        <w:t>, 2017). Nevertheless, all values remained within the non-saline range.</w:t>
      </w:r>
    </w:p>
    <w:p w14:paraId="2795202B" w14:textId="77777777" w:rsidR="00B46191" w:rsidRPr="000B65DC" w:rsidRDefault="00B46191" w:rsidP="00B46191">
      <w:pPr>
        <w:jc w:val="both"/>
        <w:rPr>
          <w:rFonts w:ascii="Arial" w:hAnsi="Arial" w:cs="Arial"/>
          <w:b/>
          <w:bCs/>
          <w:sz w:val="20"/>
          <w:szCs w:val="20"/>
          <w:lang w:val="en-GB"/>
        </w:rPr>
      </w:pPr>
      <w:r w:rsidRPr="000B65DC">
        <w:rPr>
          <w:rFonts w:ascii="Arial" w:hAnsi="Arial" w:cs="Arial"/>
          <w:b/>
          <w:bCs/>
          <w:sz w:val="20"/>
          <w:szCs w:val="20"/>
          <w:lang w:val="en-GB"/>
        </w:rPr>
        <w:t xml:space="preserve">Table </w:t>
      </w:r>
      <w:r w:rsidR="007F7018" w:rsidRPr="000B65DC">
        <w:rPr>
          <w:rFonts w:ascii="Arial" w:hAnsi="Arial" w:cs="Arial"/>
          <w:b/>
          <w:bCs/>
          <w:sz w:val="20"/>
          <w:szCs w:val="20"/>
          <w:lang w:val="en-GB"/>
        </w:rPr>
        <w:t>6</w:t>
      </w:r>
      <w:r w:rsidRPr="000B65DC">
        <w:rPr>
          <w:rFonts w:ascii="Arial" w:hAnsi="Arial" w:cs="Arial"/>
          <w:b/>
          <w:bCs/>
          <w:sz w:val="20"/>
          <w:szCs w:val="20"/>
          <w:lang w:val="en-GB"/>
        </w:rPr>
        <w:t>. Soil Organic Carbon, Inorganic Carbon, pH and EC after Harvest</w:t>
      </w:r>
    </w:p>
    <w:tbl>
      <w:tblPr>
        <w:tblStyle w:val="TableGrid"/>
        <w:tblW w:w="5000" w:type="pct"/>
        <w:tblLook w:val="04A0" w:firstRow="1" w:lastRow="0" w:firstColumn="1" w:lastColumn="0" w:noHBand="0" w:noVBand="1"/>
      </w:tblPr>
      <w:tblGrid>
        <w:gridCol w:w="1719"/>
        <w:gridCol w:w="1720"/>
        <w:gridCol w:w="1861"/>
        <w:gridCol w:w="1859"/>
        <w:gridCol w:w="1857"/>
      </w:tblGrid>
      <w:tr w:rsidR="00D14E18" w:rsidRPr="000B65DC" w14:paraId="258D532A" w14:textId="77777777" w:rsidTr="00D14E18">
        <w:tc>
          <w:tcPr>
            <w:tcW w:w="953" w:type="pct"/>
            <w:hideMark/>
          </w:tcPr>
          <w:p w14:paraId="1EFFE684" w14:textId="77777777" w:rsidR="00D14E18" w:rsidRPr="000B65DC" w:rsidRDefault="00D14E18" w:rsidP="00D14E18">
            <w:pPr>
              <w:jc w:val="both"/>
              <w:rPr>
                <w:rFonts w:ascii="Arial" w:hAnsi="Arial" w:cs="Arial"/>
                <w:b/>
                <w:bCs/>
                <w:sz w:val="20"/>
                <w:szCs w:val="20"/>
              </w:rPr>
            </w:pPr>
            <w:r w:rsidRPr="000B65DC">
              <w:rPr>
                <w:rFonts w:ascii="Arial" w:hAnsi="Arial" w:cs="Arial"/>
                <w:b/>
                <w:bCs/>
                <w:sz w:val="20"/>
                <w:szCs w:val="20"/>
              </w:rPr>
              <w:t>Treatments</w:t>
            </w:r>
          </w:p>
        </w:tc>
        <w:tc>
          <w:tcPr>
            <w:tcW w:w="954" w:type="pct"/>
            <w:vAlign w:val="center"/>
            <w:hideMark/>
          </w:tcPr>
          <w:p w14:paraId="5A3B2813"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Organic Carbon (g kg</w:t>
            </w:r>
            <w:r w:rsidRPr="000B65DC">
              <w:rPr>
                <w:rFonts w:ascii="Arial" w:hAnsi="Arial" w:cs="Arial"/>
                <w:b/>
                <w:bCs/>
                <w:sz w:val="20"/>
                <w:szCs w:val="20"/>
                <w:vertAlign w:val="superscript"/>
              </w:rPr>
              <w:t>-1</w:t>
            </w:r>
            <w:r w:rsidRPr="000B65DC">
              <w:rPr>
                <w:rFonts w:ascii="Arial" w:hAnsi="Arial" w:cs="Arial"/>
                <w:b/>
                <w:bCs/>
                <w:sz w:val="20"/>
                <w:szCs w:val="20"/>
              </w:rPr>
              <w:t>)</w:t>
            </w:r>
          </w:p>
        </w:tc>
        <w:tc>
          <w:tcPr>
            <w:tcW w:w="1032" w:type="pct"/>
            <w:vAlign w:val="center"/>
            <w:hideMark/>
          </w:tcPr>
          <w:p w14:paraId="2A7D3DBD"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Inorganic Carbon (g kg</w:t>
            </w:r>
            <w:r w:rsidRPr="000B65DC">
              <w:rPr>
                <w:rFonts w:ascii="Arial" w:hAnsi="Arial" w:cs="Arial"/>
                <w:b/>
                <w:bCs/>
                <w:sz w:val="20"/>
                <w:szCs w:val="20"/>
                <w:vertAlign w:val="superscript"/>
              </w:rPr>
              <w:t>-1</w:t>
            </w:r>
            <w:r w:rsidRPr="000B65DC">
              <w:rPr>
                <w:rFonts w:ascii="Arial" w:hAnsi="Arial" w:cs="Arial"/>
                <w:b/>
                <w:bCs/>
                <w:sz w:val="20"/>
                <w:szCs w:val="20"/>
              </w:rPr>
              <w:t>)</w:t>
            </w:r>
          </w:p>
        </w:tc>
        <w:tc>
          <w:tcPr>
            <w:tcW w:w="1031" w:type="pct"/>
            <w:vAlign w:val="center"/>
          </w:tcPr>
          <w:p w14:paraId="21B65786"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pH</w:t>
            </w:r>
          </w:p>
          <w:p w14:paraId="6B487DAD"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(1:2.5)</w:t>
            </w:r>
          </w:p>
        </w:tc>
        <w:tc>
          <w:tcPr>
            <w:tcW w:w="1030" w:type="pct"/>
            <w:vAlign w:val="center"/>
          </w:tcPr>
          <w:p w14:paraId="570A596C" w14:textId="77777777" w:rsidR="00D14E18" w:rsidRPr="000B65DC" w:rsidRDefault="00D14E18" w:rsidP="00D14E18">
            <w:pPr>
              <w:jc w:val="center"/>
              <w:rPr>
                <w:rFonts w:ascii="Arial" w:hAnsi="Arial" w:cs="Arial"/>
                <w:b/>
                <w:bCs/>
                <w:color w:val="000000" w:themeColor="text1"/>
                <w:sz w:val="20"/>
                <w:szCs w:val="20"/>
              </w:rPr>
            </w:pPr>
            <w:r w:rsidRPr="000B65DC">
              <w:rPr>
                <w:rFonts w:ascii="Arial" w:hAnsi="Arial" w:cs="Arial"/>
                <w:b/>
                <w:bCs/>
                <w:color w:val="000000" w:themeColor="text1"/>
                <w:sz w:val="20"/>
                <w:szCs w:val="20"/>
              </w:rPr>
              <w:t>EC (</w:t>
            </w:r>
            <w:proofErr w:type="spellStart"/>
            <w:r w:rsidRPr="000B65DC">
              <w:rPr>
                <w:rFonts w:ascii="Arial" w:hAnsi="Arial" w:cs="Arial"/>
                <w:b/>
                <w:bCs/>
                <w:color w:val="000000" w:themeColor="text1"/>
                <w:sz w:val="20"/>
                <w:szCs w:val="20"/>
              </w:rPr>
              <w:t>dS</w:t>
            </w:r>
            <w:proofErr w:type="spellEnd"/>
            <w:r w:rsidRPr="000B65DC">
              <w:rPr>
                <w:rFonts w:ascii="Arial" w:hAnsi="Arial" w:cs="Arial"/>
                <w:color w:val="000000" w:themeColor="text1"/>
                <w:sz w:val="20"/>
                <w:szCs w:val="20"/>
              </w:rPr>
              <w:t xml:space="preserve"> </w:t>
            </w:r>
            <w:r w:rsidRPr="000B65DC">
              <w:rPr>
                <w:rFonts w:ascii="Arial" w:hAnsi="Arial" w:cs="Arial"/>
                <w:b/>
                <w:bCs/>
                <w:color w:val="000000" w:themeColor="text1"/>
                <w:sz w:val="20"/>
                <w:szCs w:val="20"/>
              </w:rPr>
              <w:t>m</w:t>
            </w:r>
            <w:r w:rsidRPr="000B65DC">
              <w:rPr>
                <w:rFonts w:ascii="Arial" w:hAnsi="Arial" w:cs="Arial"/>
                <w:b/>
                <w:bCs/>
                <w:color w:val="000000" w:themeColor="text1"/>
                <w:sz w:val="20"/>
                <w:szCs w:val="20"/>
                <w:vertAlign w:val="superscript"/>
              </w:rPr>
              <w:t>-1</w:t>
            </w:r>
            <w:r w:rsidRPr="000B65DC">
              <w:rPr>
                <w:rFonts w:ascii="Arial" w:hAnsi="Arial" w:cs="Arial"/>
                <w:b/>
                <w:bCs/>
                <w:color w:val="000000" w:themeColor="text1"/>
                <w:sz w:val="20"/>
                <w:szCs w:val="20"/>
              </w:rPr>
              <w:t>)</w:t>
            </w:r>
          </w:p>
          <w:p w14:paraId="43155C93" w14:textId="77777777" w:rsidR="00D14E18" w:rsidRPr="000B65DC" w:rsidRDefault="00D14E18" w:rsidP="00D14E18">
            <w:pPr>
              <w:jc w:val="center"/>
              <w:rPr>
                <w:rFonts w:ascii="Arial" w:hAnsi="Arial" w:cs="Arial"/>
                <w:b/>
                <w:bCs/>
                <w:sz w:val="20"/>
                <w:szCs w:val="20"/>
              </w:rPr>
            </w:pPr>
            <w:r w:rsidRPr="000B65DC">
              <w:rPr>
                <w:rFonts w:ascii="Arial" w:hAnsi="Arial" w:cs="Arial"/>
                <w:b/>
                <w:bCs/>
                <w:color w:val="000000" w:themeColor="text1"/>
                <w:sz w:val="20"/>
                <w:szCs w:val="20"/>
              </w:rPr>
              <w:t>(1:2.5)</w:t>
            </w:r>
          </w:p>
        </w:tc>
      </w:tr>
      <w:tr w:rsidR="00D14E18" w:rsidRPr="000B65DC" w14:paraId="02C9A5EC" w14:textId="77777777" w:rsidTr="00D14E18">
        <w:tc>
          <w:tcPr>
            <w:tcW w:w="5000" w:type="pct"/>
            <w:gridSpan w:val="5"/>
            <w:hideMark/>
          </w:tcPr>
          <w:p w14:paraId="39BC2AFB" w14:textId="77777777" w:rsidR="00D14E18" w:rsidRPr="000B65DC" w:rsidRDefault="00D14E18" w:rsidP="00D14E18">
            <w:pPr>
              <w:rPr>
                <w:rFonts w:ascii="Arial" w:hAnsi="Arial" w:cs="Arial"/>
                <w:b/>
                <w:bCs/>
                <w:sz w:val="20"/>
                <w:szCs w:val="20"/>
              </w:rPr>
            </w:pPr>
            <w:r w:rsidRPr="000B65DC">
              <w:rPr>
                <w:rFonts w:ascii="Arial" w:hAnsi="Arial" w:cs="Arial"/>
                <w:b/>
                <w:bCs/>
                <w:sz w:val="20"/>
                <w:szCs w:val="20"/>
              </w:rPr>
              <w:t>(A) Sulphur levels</w:t>
            </w:r>
          </w:p>
        </w:tc>
      </w:tr>
      <w:tr w:rsidR="00D14E18" w:rsidRPr="000B65DC" w14:paraId="2110AED5" w14:textId="77777777" w:rsidTr="00EE39B2">
        <w:tc>
          <w:tcPr>
            <w:tcW w:w="953" w:type="pct"/>
            <w:hideMark/>
          </w:tcPr>
          <w:p w14:paraId="0CEEEDD5"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S</w:t>
            </w:r>
            <w:r w:rsidRPr="000B65DC">
              <w:rPr>
                <w:rFonts w:ascii="Arial" w:hAnsi="Arial" w:cs="Arial"/>
                <w:sz w:val="20"/>
                <w:szCs w:val="20"/>
                <w:vertAlign w:val="subscript"/>
              </w:rPr>
              <w:t>1</w:t>
            </w:r>
            <w:r w:rsidRPr="000B65DC">
              <w:rPr>
                <w:rFonts w:ascii="Arial" w:hAnsi="Arial" w:cs="Arial"/>
                <w:sz w:val="20"/>
                <w:szCs w:val="20"/>
              </w:rPr>
              <w:t xml:space="preserve"> (00 kg ha</w:t>
            </w:r>
            <w:r w:rsidRPr="000B65DC">
              <w:rPr>
                <w:rFonts w:ascii="Arial" w:hAnsi="Arial" w:cs="Arial"/>
                <w:sz w:val="20"/>
                <w:szCs w:val="20"/>
                <w:vertAlign w:val="superscript"/>
              </w:rPr>
              <w:t>-1</w:t>
            </w:r>
            <w:r w:rsidRPr="000B65DC">
              <w:rPr>
                <w:rFonts w:ascii="Arial" w:hAnsi="Arial" w:cs="Arial"/>
                <w:sz w:val="20"/>
                <w:szCs w:val="20"/>
              </w:rPr>
              <w:t>)</w:t>
            </w:r>
          </w:p>
        </w:tc>
        <w:tc>
          <w:tcPr>
            <w:tcW w:w="954" w:type="pct"/>
            <w:vAlign w:val="center"/>
            <w:hideMark/>
          </w:tcPr>
          <w:p w14:paraId="4526C678"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5.8</w:t>
            </w:r>
          </w:p>
        </w:tc>
        <w:tc>
          <w:tcPr>
            <w:tcW w:w="1032" w:type="pct"/>
            <w:vAlign w:val="center"/>
            <w:hideMark/>
          </w:tcPr>
          <w:p w14:paraId="7B98BC01"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6.17</w:t>
            </w:r>
          </w:p>
        </w:tc>
        <w:tc>
          <w:tcPr>
            <w:tcW w:w="1031" w:type="pct"/>
            <w:vAlign w:val="center"/>
          </w:tcPr>
          <w:p w14:paraId="2D715BCA"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7.61</w:t>
            </w:r>
          </w:p>
        </w:tc>
        <w:tc>
          <w:tcPr>
            <w:tcW w:w="1030" w:type="pct"/>
            <w:vAlign w:val="center"/>
          </w:tcPr>
          <w:p w14:paraId="70DB1DBC" w14:textId="77777777" w:rsidR="00D14E18" w:rsidRPr="000B65DC" w:rsidRDefault="00D14E18" w:rsidP="00D14E18">
            <w:pPr>
              <w:jc w:val="center"/>
              <w:rPr>
                <w:rFonts w:ascii="Arial" w:hAnsi="Arial" w:cs="Arial"/>
                <w:sz w:val="20"/>
                <w:szCs w:val="20"/>
              </w:rPr>
            </w:pPr>
            <w:r w:rsidRPr="000B65DC">
              <w:rPr>
                <w:rFonts w:ascii="Arial" w:hAnsi="Arial" w:cs="Arial"/>
                <w:color w:val="000000" w:themeColor="text1"/>
                <w:sz w:val="20"/>
                <w:szCs w:val="20"/>
              </w:rPr>
              <w:t>0.73</w:t>
            </w:r>
          </w:p>
        </w:tc>
      </w:tr>
      <w:tr w:rsidR="00D14E18" w:rsidRPr="000B65DC" w14:paraId="0C0279D1" w14:textId="77777777" w:rsidTr="00EE39B2">
        <w:tc>
          <w:tcPr>
            <w:tcW w:w="953" w:type="pct"/>
            <w:hideMark/>
          </w:tcPr>
          <w:p w14:paraId="180FECD6"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S</w:t>
            </w:r>
            <w:r w:rsidRPr="000B65DC">
              <w:rPr>
                <w:rFonts w:ascii="Arial" w:hAnsi="Arial" w:cs="Arial"/>
                <w:sz w:val="20"/>
                <w:szCs w:val="20"/>
                <w:vertAlign w:val="subscript"/>
              </w:rPr>
              <w:t xml:space="preserve">2 </w:t>
            </w:r>
            <w:r w:rsidRPr="000B65DC">
              <w:rPr>
                <w:rFonts w:ascii="Arial" w:hAnsi="Arial" w:cs="Arial"/>
                <w:sz w:val="20"/>
                <w:szCs w:val="20"/>
              </w:rPr>
              <w:t>(20 kg ha</w:t>
            </w:r>
            <w:r w:rsidRPr="000B65DC">
              <w:rPr>
                <w:rFonts w:ascii="Arial" w:hAnsi="Arial" w:cs="Arial"/>
                <w:sz w:val="20"/>
                <w:szCs w:val="20"/>
                <w:vertAlign w:val="superscript"/>
              </w:rPr>
              <w:t>-1</w:t>
            </w:r>
            <w:r w:rsidRPr="000B65DC">
              <w:rPr>
                <w:rFonts w:ascii="Arial" w:hAnsi="Arial" w:cs="Arial"/>
                <w:sz w:val="20"/>
                <w:szCs w:val="20"/>
              </w:rPr>
              <w:t>)</w:t>
            </w:r>
          </w:p>
        </w:tc>
        <w:tc>
          <w:tcPr>
            <w:tcW w:w="954" w:type="pct"/>
            <w:vAlign w:val="center"/>
            <w:hideMark/>
          </w:tcPr>
          <w:p w14:paraId="35FD7DD9"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6.5</w:t>
            </w:r>
          </w:p>
        </w:tc>
        <w:tc>
          <w:tcPr>
            <w:tcW w:w="1032" w:type="pct"/>
            <w:vAlign w:val="center"/>
            <w:hideMark/>
          </w:tcPr>
          <w:p w14:paraId="58D1B8D6"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6.33</w:t>
            </w:r>
          </w:p>
        </w:tc>
        <w:tc>
          <w:tcPr>
            <w:tcW w:w="1031" w:type="pct"/>
            <w:vAlign w:val="center"/>
          </w:tcPr>
          <w:p w14:paraId="00ACBCC4"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7.60</w:t>
            </w:r>
          </w:p>
        </w:tc>
        <w:tc>
          <w:tcPr>
            <w:tcW w:w="1030" w:type="pct"/>
            <w:vAlign w:val="center"/>
          </w:tcPr>
          <w:p w14:paraId="7DD26891" w14:textId="77777777" w:rsidR="00D14E18" w:rsidRPr="000B65DC" w:rsidRDefault="00D14E18" w:rsidP="00D14E18">
            <w:pPr>
              <w:jc w:val="center"/>
              <w:rPr>
                <w:rFonts w:ascii="Arial" w:hAnsi="Arial" w:cs="Arial"/>
                <w:sz w:val="20"/>
                <w:szCs w:val="20"/>
              </w:rPr>
            </w:pPr>
            <w:r w:rsidRPr="000B65DC">
              <w:rPr>
                <w:rFonts w:ascii="Arial" w:hAnsi="Arial" w:cs="Arial"/>
                <w:color w:val="000000" w:themeColor="text1"/>
                <w:sz w:val="20"/>
                <w:szCs w:val="20"/>
              </w:rPr>
              <w:t>0.76</w:t>
            </w:r>
          </w:p>
        </w:tc>
      </w:tr>
      <w:tr w:rsidR="00D14E18" w:rsidRPr="000B65DC" w14:paraId="0E030D20" w14:textId="77777777" w:rsidTr="00EE39B2">
        <w:tc>
          <w:tcPr>
            <w:tcW w:w="953" w:type="pct"/>
            <w:hideMark/>
          </w:tcPr>
          <w:p w14:paraId="5607FE99"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S</w:t>
            </w:r>
            <w:r w:rsidRPr="000B65DC">
              <w:rPr>
                <w:rFonts w:ascii="Arial" w:hAnsi="Arial" w:cs="Arial"/>
                <w:sz w:val="20"/>
                <w:szCs w:val="20"/>
                <w:vertAlign w:val="subscript"/>
              </w:rPr>
              <w:t>3</w:t>
            </w:r>
            <w:r w:rsidRPr="000B65DC">
              <w:rPr>
                <w:rFonts w:ascii="Arial" w:hAnsi="Arial" w:cs="Arial"/>
                <w:sz w:val="20"/>
                <w:szCs w:val="20"/>
              </w:rPr>
              <w:t xml:space="preserve"> (40 kg ha</w:t>
            </w:r>
            <w:r w:rsidRPr="000B65DC">
              <w:rPr>
                <w:rFonts w:ascii="Arial" w:hAnsi="Arial" w:cs="Arial"/>
                <w:sz w:val="20"/>
                <w:szCs w:val="20"/>
                <w:vertAlign w:val="superscript"/>
              </w:rPr>
              <w:t>-1</w:t>
            </w:r>
            <w:r w:rsidRPr="000B65DC">
              <w:rPr>
                <w:rFonts w:ascii="Arial" w:hAnsi="Arial" w:cs="Arial"/>
                <w:sz w:val="20"/>
                <w:szCs w:val="20"/>
              </w:rPr>
              <w:t>)</w:t>
            </w:r>
          </w:p>
        </w:tc>
        <w:tc>
          <w:tcPr>
            <w:tcW w:w="954" w:type="pct"/>
            <w:vAlign w:val="center"/>
            <w:hideMark/>
          </w:tcPr>
          <w:p w14:paraId="0BBF0BDA"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7.2</w:t>
            </w:r>
          </w:p>
        </w:tc>
        <w:tc>
          <w:tcPr>
            <w:tcW w:w="1032" w:type="pct"/>
            <w:vAlign w:val="center"/>
            <w:hideMark/>
          </w:tcPr>
          <w:p w14:paraId="3B365C9F"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6.31</w:t>
            </w:r>
          </w:p>
        </w:tc>
        <w:tc>
          <w:tcPr>
            <w:tcW w:w="1031" w:type="pct"/>
            <w:vAlign w:val="center"/>
          </w:tcPr>
          <w:p w14:paraId="2F8C22F8"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7.58</w:t>
            </w:r>
          </w:p>
        </w:tc>
        <w:tc>
          <w:tcPr>
            <w:tcW w:w="1030" w:type="pct"/>
            <w:vAlign w:val="center"/>
          </w:tcPr>
          <w:p w14:paraId="2E264A74" w14:textId="77777777" w:rsidR="00D14E18" w:rsidRPr="000B65DC" w:rsidRDefault="00D14E18" w:rsidP="00D14E18">
            <w:pPr>
              <w:jc w:val="center"/>
              <w:rPr>
                <w:rFonts w:ascii="Arial" w:hAnsi="Arial" w:cs="Arial"/>
                <w:sz w:val="20"/>
                <w:szCs w:val="20"/>
              </w:rPr>
            </w:pPr>
            <w:r w:rsidRPr="000B65DC">
              <w:rPr>
                <w:rFonts w:ascii="Arial" w:hAnsi="Arial" w:cs="Arial"/>
                <w:color w:val="000000" w:themeColor="text1"/>
                <w:sz w:val="20"/>
                <w:szCs w:val="20"/>
              </w:rPr>
              <w:t>0.79</w:t>
            </w:r>
          </w:p>
        </w:tc>
      </w:tr>
      <w:tr w:rsidR="00D14E18" w:rsidRPr="000B65DC" w14:paraId="6AED6CE5" w14:textId="77777777" w:rsidTr="00EE39B2">
        <w:tc>
          <w:tcPr>
            <w:tcW w:w="953" w:type="pct"/>
            <w:vAlign w:val="center"/>
            <w:hideMark/>
          </w:tcPr>
          <w:p w14:paraId="261B34F5" w14:textId="77777777" w:rsidR="00D14E18" w:rsidRPr="000B65DC" w:rsidRDefault="00D14E18" w:rsidP="00D14E18">
            <w:pPr>
              <w:jc w:val="right"/>
              <w:rPr>
                <w:rFonts w:ascii="Arial" w:hAnsi="Arial" w:cs="Arial"/>
                <w:b/>
                <w:bCs/>
                <w:sz w:val="20"/>
                <w:szCs w:val="20"/>
              </w:rPr>
            </w:pPr>
            <w:proofErr w:type="spellStart"/>
            <w:r w:rsidRPr="000B65DC">
              <w:rPr>
                <w:rFonts w:ascii="Arial" w:hAnsi="Arial" w:cs="Arial"/>
                <w:b/>
                <w:bCs/>
                <w:sz w:val="20"/>
                <w:szCs w:val="20"/>
              </w:rPr>
              <w:lastRenderedPageBreak/>
              <w:t>S.Em</w:t>
            </w:r>
            <w:proofErr w:type="spellEnd"/>
            <w:r w:rsidRPr="000B65DC">
              <w:rPr>
                <w:rFonts w:ascii="Arial" w:hAnsi="Arial" w:cs="Arial"/>
                <w:b/>
                <w:bCs/>
                <w:sz w:val="20"/>
                <w:szCs w:val="20"/>
              </w:rPr>
              <w:t>. ±</w:t>
            </w:r>
          </w:p>
        </w:tc>
        <w:tc>
          <w:tcPr>
            <w:tcW w:w="954" w:type="pct"/>
            <w:vAlign w:val="center"/>
            <w:hideMark/>
          </w:tcPr>
          <w:p w14:paraId="7CCB548C"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0.007</w:t>
            </w:r>
          </w:p>
        </w:tc>
        <w:tc>
          <w:tcPr>
            <w:tcW w:w="1032" w:type="pct"/>
            <w:vAlign w:val="center"/>
            <w:hideMark/>
          </w:tcPr>
          <w:p w14:paraId="1F776BE2"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0.22</w:t>
            </w:r>
          </w:p>
        </w:tc>
        <w:tc>
          <w:tcPr>
            <w:tcW w:w="1031" w:type="pct"/>
            <w:vAlign w:val="center"/>
          </w:tcPr>
          <w:p w14:paraId="43727BAB"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0.02</w:t>
            </w:r>
          </w:p>
        </w:tc>
        <w:tc>
          <w:tcPr>
            <w:tcW w:w="1030" w:type="pct"/>
            <w:vAlign w:val="center"/>
          </w:tcPr>
          <w:p w14:paraId="19FF1C4D" w14:textId="77777777" w:rsidR="00D14E18" w:rsidRPr="000B65DC" w:rsidRDefault="00D14E18" w:rsidP="00D14E18">
            <w:pPr>
              <w:jc w:val="center"/>
              <w:rPr>
                <w:rFonts w:ascii="Arial" w:hAnsi="Arial" w:cs="Arial"/>
                <w:b/>
                <w:bCs/>
                <w:sz w:val="20"/>
                <w:szCs w:val="20"/>
              </w:rPr>
            </w:pPr>
            <w:r w:rsidRPr="000B65DC">
              <w:rPr>
                <w:rFonts w:ascii="Arial" w:hAnsi="Arial" w:cs="Arial"/>
                <w:b/>
                <w:bCs/>
                <w:color w:val="000000" w:themeColor="text1"/>
                <w:sz w:val="20"/>
                <w:szCs w:val="20"/>
              </w:rPr>
              <w:t>0.00</w:t>
            </w:r>
          </w:p>
        </w:tc>
      </w:tr>
      <w:tr w:rsidR="00D14E18" w:rsidRPr="000B65DC" w14:paraId="0D294B96" w14:textId="77777777" w:rsidTr="00EE39B2">
        <w:tc>
          <w:tcPr>
            <w:tcW w:w="953" w:type="pct"/>
            <w:vAlign w:val="center"/>
            <w:hideMark/>
          </w:tcPr>
          <w:p w14:paraId="31776C80"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CD at 5%</w:t>
            </w:r>
          </w:p>
        </w:tc>
        <w:tc>
          <w:tcPr>
            <w:tcW w:w="954" w:type="pct"/>
            <w:vAlign w:val="center"/>
            <w:hideMark/>
          </w:tcPr>
          <w:p w14:paraId="4D8A4623"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0.021</w:t>
            </w:r>
          </w:p>
        </w:tc>
        <w:tc>
          <w:tcPr>
            <w:tcW w:w="1032" w:type="pct"/>
            <w:vAlign w:val="center"/>
            <w:hideMark/>
          </w:tcPr>
          <w:p w14:paraId="4CB18C2C"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NS</w:t>
            </w:r>
          </w:p>
        </w:tc>
        <w:tc>
          <w:tcPr>
            <w:tcW w:w="1031" w:type="pct"/>
            <w:vAlign w:val="center"/>
          </w:tcPr>
          <w:p w14:paraId="525B5D8F"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NS</w:t>
            </w:r>
          </w:p>
        </w:tc>
        <w:tc>
          <w:tcPr>
            <w:tcW w:w="1030" w:type="pct"/>
            <w:vAlign w:val="center"/>
          </w:tcPr>
          <w:p w14:paraId="16210E2B" w14:textId="77777777" w:rsidR="00D14E18" w:rsidRPr="000B65DC" w:rsidRDefault="00D14E18" w:rsidP="00D14E18">
            <w:pPr>
              <w:jc w:val="center"/>
              <w:rPr>
                <w:rFonts w:ascii="Arial" w:hAnsi="Arial" w:cs="Arial"/>
                <w:b/>
                <w:bCs/>
                <w:sz w:val="20"/>
                <w:szCs w:val="20"/>
              </w:rPr>
            </w:pPr>
            <w:r w:rsidRPr="000B65DC">
              <w:rPr>
                <w:rFonts w:ascii="Arial" w:hAnsi="Arial" w:cs="Arial"/>
                <w:b/>
                <w:bCs/>
                <w:color w:val="000000" w:themeColor="text1"/>
                <w:sz w:val="20"/>
                <w:szCs w:val="20"/>
              </w:rPr>
              <w:t>0.01</w:t>
            </w:r>
          </w:p>
        </w:tc>
      </w:tr>
      <w:tr w:rsidR="00D14E18" w:rsidRPr="000B65DC" w14:paraId="74FF6872" w14:textId="77777777" w:rsidTr="00D14E18">
        <w:tc>
          <w:tcPr>
            <w:tcW w:w="5000" w:type="pct"/>
            <w:gridSpan w:val="5"/>
            <w:hideMark/>
          </w:tcPr>
          <w:p w14:paraId="0445634E" w14:textId="77777777" w:rsidR="00D14E18" w:rsidRPr="000B65DC" w:rsidRDefault="00D14E18" w:rsidP="00D14E18">
            <w:pPr>
              <w:rPr>
                <w:rFonts w:ascii="Arial" w:hAnsi="Arial" w:cs="Arial"/>
                <w:b/>
                <w:bCs/>
                <w:sz w:val="20"/>
                <w:szCs w:val="20"/>
              </w:rPr>
            </w:pPr>
            <w:r w:rsidRPr="000B65DC">
              <w:rPr>
                <w:rFonts w:ascii="Arial" w:hAnsi="Arial" w:cs="Arial"/>
                <w:b/>
                <w:bCs/>
                <w:sz w:val="20"/>
                <w:szCs w:val="20"/>
              </w:rPr>
              <w:t>(B) Zinc levels</w:t>
            </w:r>
          </w:p>
        </w:tc>
      </w:tr>
      <w:tr w:rsidR="00D14E18" w:rsidRPr="000B65DC" w14:paraId="5DE95673" w14:textId="77777777" w:rsidTr="002E4C93">
        <w:tc>
          <w:tcPr>
            <w:tcW w:w="953" w:type="pct"/>
            <w:hideMark/>
          </w:tcPr>
          <w:p w14:paraId="0556D7B3"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Zn</w:t>
            </w:r>
            <w:r w:rsidRPr="000B65DC">
              <w:rPr>
                <w:rFonts w:ascii="Arial" w:hAnsi="Arial" w:cs="Arial"/>
                <w:sz w:val="20"/>
                <w:szCs w:val="20"/>
                <w:vertAlign w:val="subscript"/>
              </w:rPr>
              <w:t>1</w:t>
            </w:r>
            <w:r w:rsidRPr="000B65DC">
              <w:rPr>
                <w:rFonts w:ascii="Arial" w:hAnsi="Arial" w:cs="Arial"/>
                <w:sz w:val="20"/>
                <w:szCs w:val="20"/>
              </w:rPr>
              <w:t xml:space="preserve"> (00 kg ha</w:t>
            </w:r>
            <w:r w:rsidRPr="000B65DC">
              <w:rPr>
                <w:rFonts w:ascii="Arial" w:hAnsi="Arial" w:cs="Arial"/>
                <w:sz w:val="20"/>
                <w:szCs w:val="20"/>
                <w:vertAlign w:val="superscript"/>
              </w:rPr>
              <w:t>-1</w:t>
            </w:r>
            <w:r w:rsidRPr="000B65DC">
              <w:rPr>
                <w:rFonts w:ascii="Arial" w:hAnsi="Arial" w:cs="Arial"/>
                <w:sz w:val="20"/>
                <w:szCs w:val="20"/>
              </w:rPr>
              <w:t>)</w:t>
            </w:r>
          </w:p>
        </w:tc>
        <w:tc>
          <w:tcPr>
            <w:tcW w:w="954" w:type="pct"/>
            <w:vAlign w:val="center"/>
            <w:hideMark/>
          </w:tcPr>
          <w:p w14:paraId="6F9DB249"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5.7</w:t>
            </w:r>
          </w:p>
        </w:tc>
        <w:tc>
          <w:tcPr>
            <w:tcW w:w="1032" w:type="pct"/>
            <w:vAlign w:val="center"/>
            <w:hideMark/>
          </w:tcPr>
          <w:p w14:paraId="0FCD8692"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6.15</w:t>
            </w:r>
          </w:p>
        </w:tc>
        <w:tc>
          <w:tcPr>
            <w:tcW w:w="1031" w:type="pct"/>
            <w:vAlign w:val="center"/>
          </w:tcPr>
          <w:p w14:paraId="5AB03FD1"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7.59</w:t>
            </w:r>
          </w:p>
        </w:tc>
        <w:tc>
          <w:tcPr>
            <w:tcW w:w="1030" w:type="pct"/>
            <w:vAlign w:val="center"/>
          </w:tcPr>
          <w:p w14:paraId="368D1848" w14:textId="77777777" w:rsidR="00D14E18" w:rsidRPr="000B65DC" w:rsidRDefault="00D14E18" w:rsidP="00D14E18">
            <w:pPr>
              <w:jc w:val="center"/>
              <w:rPr>
                <w:rFonts w:ascii="Arial" w:hAnsi="Arial" w:cs="Arial"/>
                <w:sz w:val="20"/>
                <w:szCs w:val="20"/>
              </w:rPr>
            </w:pPr>
            <w:r w:rsidRPr="000B65DC">
              <w:rPr>
                <w:rFonts w:ascii="Arial" w:hAnsi="Arial" w:cs="Arial"/>
                <w:color w:val="000000" w:themeColor="text1"/>
                <w:sz w:val="20"/>
                <w:szCs w:val="20"/>
              </w:rPr>
              <w:t>0.71</w:t>
            </w:r>
          </w:p>
        </w:tc>
      </w:tr>
      <w:tr w:rsidR="00D14E18" w:rsidRPr="000B65DC" w14:paraId="5DD7A8B7" w14:textId="77777777" w:rsidTr="002E4C93">
        <w:tc>
          <w:tcPr>
            <w:tcW w:w="953" w:type="pct"/>
            <w:hideMark/>
          </w:tcPr>
          <w:p w14:paraId="5BA660E1"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Zn</w:t>
            </w:r>
            <w:r w:rsidRPr="000B65DC">
              <w:rPr>
                <w:rFonts w:ascii="Arial" w:hAnsi="Arial" w:cs="Arial"/>
                <w:sz w:val="20"/>
                <w:szCs w:val="20"/>
                <w:vertAlign w:val="subscript"/>
              </w:rPr>
              <w:t>2</w:t>
            </w:r>
            <w:r w:rsidRPr="000B65DC">
              <w:rPr>
                <w:rFonts w:ascii="Arial" w:hAnsi="Arial" w:cs="Arial"/>
                <w:sz w:val="20"/>
                <w:szCs w:val="20"/>
              </w:rPr>
              <w:t xml:space="preserve"> (2.5 kg ha</w:t>
            </w:r>
            <w:r w:rsidRPr="000B65DC">
              <w:rPr>
                <w:rFonts w:ascii="Arial" w:hAnsi="Arial" w:cs="Arial"/>
                <w:sz w:val="20"/>
                <w:szCs w:val="20"/>
                <w:vertAlign w:val="superscript"/>
              </w:rPr>
              <w:t>-1</w:t>
            </w:r>
            <w:r w:rsidRPr="000B65DC">
              <w:rPr>
                <w:rFonts w:ascii="Arial" w:hAnsi="Arial" w:cs="Arial"/>
                <w:sz w:val="20"/>
                <w:szCs w:val="20"/>
              </w:rPr>
              <w:t>)</w:t>
            </w:r>
          </w:p>
        </w:tc>
        <w:tc>
          <w:tcPr>
            <w:tcW w:w="954" w:type="pct"/>
            <w:vAlign w:val="center"/>
            <w:hideMark/>
          </w:tcPr>
          <w:p w14:paraId="18DF6F2F"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5.6</w:t>
            </w:r>
          </w:p>
        </w:tc>
        <w:tc>
          <w:tcPr>
            <w:tcW w:w="1032" w:type="pct"/>
            <w:vAlign w:val="center"/>
            <w:hideMark/>
          </w:tcPr>
          <w:p w14:paraId="4EB91093"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6.32</w:t>
            </w:r>
          </w:p>
        </w:tc>
        <w:tc>
          <w:tcPr>
            <w:tcW w:w="1031" w:type="pct"/>
            <w:vAlign w:val="center"/>
          </w:tcPr>
          <w:p w14:paraId="2CBDC194"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7.58</w:t>
            </w:r>
          </w:p>
        </w:tc>
        <w:tc>
          <w:tcPr>
            <w:tcW w:w="1030" w:type="pct"/>
            <w:vAlign w:val="center"/>
          </w:tcPr>
          <w:p w14:paraId="06B80D02" w14:textId="77777777" w:rsidR="00D14E18" w:rsidRPr="000B65DC" w:rsidRDefault="00D14E18" w:rsidP="00D14E18">
            <w:pPr>
              <w:jc w:val="center"/>
              <w:rPr>
                <w:rFonts w:ascii="Arial" w:hAnsi="Arial" w:cs="Arial"/>
                <w:sz w:val="20"/>
                <w:szCs w:val="20"/>
              </w:rPr>
            </w:pPr>
            <w:r w:rsidRPr="000B65DC">
              <w:rPr>
                <w:rFonts w:ascii="Arial" w:hAnsi="Arial" w:cs="Arial"/>
                <w:color w:val="000000" w:themeColor="text1"/>
                <w:sz w:val="20"/>
                <w:szCs w:val="20"/>
              </w:rPr>
              <w:t>0.76</w:t>
            </w:r>
          </w:p>
        </w:tc>
      </w:tr>
      <w:tr w:rsidR="00D14E18" w:rsidRPr="000B65DC" w14:paraId="7E901C49" w14:textId="77777777" w:rsidTr="002E4C93">
        <w:tc>
          <w:tcPr>
            <w:tcW w:w="953" w:type="pct"/>
            <w:hideMark/>
          </w:tcPr>
          <w:p w14:paraId="35706E04"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Zn</w:t>
            </w:r>
            <w:r w:rsidRPr="000B65DC">
              <w:rPr>
                <w:rFonts w:ascii="Arial" w:hAnsi="Arial" w:cs="Arial"/>
                <w:sz w:val="20"/>
                <w:szCs w:val="20"/>
                <w:vertAlign w:val="subscript"/>
              </w:rPr>
              <w:t>3</w:t>
            </w:r>
            <w:r w:rsidRPr="000B65DC">
              <w:rPr>
                <w:rFonts w:ascii="Arial" w:hAnsi="Arial" w:cs="Arial"/>
                <w:sz w:val="20"/>
                <w:szCs w:val="20"/>
              </w:rPr>
              <w:t xml:space="preserve"> (5.0 kg ha</w:t>
            </w:r>
            <w:r w:rsidRPr="000B65DC">
              <w:rPr>
                <w:rFonts w:ascii="Arial" w:hAnsi="Arial" w:cs="Arial"/>
                <w:sz w:val="20"/>
                <w:szCs w:val="20"/>
                <w:vertAlign w:val="superscript"/>
              </w:rPr>
              <w:t>-1</w:t>
            </w:r>
            <w:r w:rsidRPr="000B65DC">
              <w:rPr>
                <w:rFonts w:ascii="Arial" w:hAnsi="Arial" w:cs="Arial"/>
                <w:sz w:val="20"/>
                <w:szCs w:val="20"/>
              </w:rPr>
              <w:t>)</w:t>
            </w:r>
          </w:p>
        </w:tc>
        <w:tc>
          <w:tcPr>
            <w:tcW w:w="954" w:type="pct"/>
            <w:vAlign w:val="center"/>
            <w:hideMark/>
          </w:tcPr>
          <w:p w14:paraId="35395AC2"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5.9</w:t>
            </w:r>
          </w:p>
        </w:tc>
        <w:tc>
          <w:tcPr>
            <w:tcW w:w="1032" w:type="pct"/>
            <w:vAlign w:val="center"/>
            <w:hideMark/>
          </w:tcPr>
          <w:p w14:paraId="745B8D01"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6.33</w:t>
            </w:r>
          </w:p>
        </w:tc>
        <w:tc>
          <w:tcPr>
            <w:tcW w:w="1031" w:type="pct"/>
            <w:vAlign w:val="center"/>
          </w:tcPr>
          <w:p w14:paraId="773D58F8"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7.61</w:t>
            </w:r>
          </w:p>
        </w:tc>
        <w:tc>
          <w:tcPr>
            <w:tcW w:w="1030" w:type="pct"/>
            <w:vAlign w:val="center"/>
          </w:tcPr>
          <w:p w14:paraId="078B1ACF" w14:textId="77777777" w:rsidR="00D14E18" w:rsidRPr="000B65DC" w:rsidRDefault="00D14E18" w:rsidP="00D14E18">
            <w:pPr>
              <w:jc w:val="center"/>
              <w:rPr>
                <w:rFonts w:ascii="Arial" w:hAnsi="Arial" w:cs="Arial"/>
                <w:sz w:val="20"/>
                <w:szCs w:val="20"/>
              </w:rPr>
            </w:pPr>
            <w:r w:rsidRPr="000B65DC">
              <w:rPr>
                <w:rFonts w:ascii="Arial" w:hAnsi="Arial" w:cs="Arial"/>
                <w:color w:val="000000" w:themeColor="text1"/>
                <w:sz w:val="20"/>
                <w:szCs w:val="20"/>
              </w:rPr>
              <w:t>0.80</w:t>
            </w:r>
          </w:p>
        </w:tc>
      </w:tr>
      <w:tr w:rsidR="00D14E18" w:rsidRPr="000B65DC" w14:paraId="7372A46C" w14:textId="77777777" w:rsidTr="002E4C93">
        <w:tc>
          <w:tcPr>
            <w:tcW w:w="953" w:type="pct"/>
            <w:vAlign w:val="center"/>
            <w:hideMark/>
          </w:tcPr>
          <w:p w14:paraId="799A1959" w14:textId="77777777" w:rsidR="00D14E18" w:rsidRPr="000B65DC" w:rsidRDefault="00D14E18" w:rsidP="00D14E18">
            <w:pPr>
              <w:jc w:val="right"/>
              <w:rPr>
                <w:rFonts w:ascii="Arial" w:hAnsi="Arial" w:cs="Arial"/>
                <w:b/>
                <w:bCs/>
                <w:sz w:val="20"/>
                <w:szCs w:val="20"/>
              </w:rPr>
            </w:pPr>
            <w:proofErr w:type="spellStart"/>
            <w:r w:rsidRPr="000B65DC">
              <w:rPr>
                <w:rFonts w:ascii="Arial" w:hAnsi="Arial" w:cs="Arial"/>
                <w:b/>
                <w:bCs/>
                <w:sz w:val="20"/>
                <w:szCs w:val="20"/>
              </w:rPr>
              <w:t>S.Em</w:t>
            </w:r>
            <w:proofErr w:type="spellEnd"/>
            <w:r w:rsidRPr="000B65DC">
              <w:rPr>
                <w:rFonts w:ascii="Arial" w:hAnsi="Arial" w:cs="Arial"/>
                <w:b/>
                <w:bCs/>
                <w:sz w:val="20"/>
                <w:szCs w:val="20"/>
              </w:rPr>
              <w:t>. ±</w:t>
            </w:r>
          </w:p>
        </w:tc>
        <w:tc>
          <w:tcPr>
            <w:tcW w:w="954" w:type="pct"/>
            <w:vAlign w:val="center"/>
            <w:hideMark/>
          </w:tcPr>
          <w:p w14:paraId="27CB5CDA"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0.007</w:t>
            </w:r>
          </w:p>
        </w:tc>
        <w:tc>
          <w:tcPr>
            <w:tcW w:w="1032" w:type="pct"/>
            <w:vAlign w:val="center"/>
            <w:hideMark/>
          </w:tcPr>
          <w:p w14:paraId="3FB5D1DD"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0.22</w:t>
            </w:r>
          </w:p>
        </w:tc>
        <w:tc>
          <w:tcPr>
            <w:tcW w:w="1031" w:type="pct"/>
            <w:vAlign w:val="center"/>
          </w:tcPr>
          <w:p w14:paraId="3D40EDBE"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0.02</w:t>
            </w:r>
          </w:p>
        </w:tc>
        <w:tc>
          <w:tcPr>
            <w:tcW w:w="1030" w:type="pct"/>
            <w:vAlign w:val="center"/>
          </w:tcPr>
          <w:p w14:paraId="7EED5F6C" w14:textId="77777777" w:rsidR="00D14E18" w:rsidRPr="000B65DC" w:rsidRDefault="00D14E18" w:rsidP="00D14E18">
            <w:pPr>
              <w:jc w:val="center"/>
              <w:rPr>
                <w:rFonts w:ascii="Arial" w:hAnsi="Arial" w:cs="Arial"/>
                <w:b/>
                <w:bCs/>
                <w:sz w:val="20"/>
                <w:szCs w:val="20"/>
              </w:rPr>
            </w:pPr>
            <w:r w:rsidRPr="000B65DC">
              <w:rPr>
                <w:rFonts w:ascii="Arial" w:hAnsi="Arial" w:cs="Arial"/>
                <w:b/>
                <w:bCs/>
                <w:color w:val="000000" w:themeColor="text1"/>
                <w:sz w:val="20"/>
                <w:szCs w:val="20"/>
              </w:rPr>
              <w:t>0.00</w:t>
            </w:r>
          </w:p>
        </w:tc>
      </w:tr>
      <w:tr w:rsidR="00D14E18" w:rsidRPr="000B65DC" w14:paraId="1236C374" w14:textId="77777777" w:rsidTr="002E4C93">
        <w:tc>
          <w:tcPr>
            <w:tcW w:w="953" w:type="pct"/>
            <w:vAlign w:val="center"/>
            <w:hideMark/>
          </w:tcPr>
          <w:p w14:paraId="101ABC8C"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CD at 5%</w:t>
            </w:r>
          </w:p>
        </w:tc>
        <w:tc>
          <w:tcPr>
            <w:tcW w:w="954" w:type="pct"/>
            <w:vAlign w:val="center"/>
            <w:hideMark/>
          </w:tcPr>
          <w:p w14:paraId="6CBFFD54"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NS</w:t>
            </w:r>
          </w:p>
        </w:tc>
        <w:tc>
          <w:tcPr>
            <w:tcW w:w="1032" w:type="pct"/>
            <w:vAlign w:val="center"/>
            <w:hideMark/>
          </w:tcPr>
          <w:p w14:paraId="1C6681BE"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NS</w:t>
            </w:r>
          </w:p>
        </w:tc>
        <w:tc>
          <w:tcPr>
            <w:tcW w:w="1031" w:type="pct"/>
            <w:vAlign w:val="center"/>
          </w:tcPr>
          <w:p w14:paraId="238C242D"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NS</w:t>
            </w:r>
          </w:p>
        </w:tc>
        <w:tc>
          <w:tcPr>
            <w:tcW w:w="1030" w:type="pct"/>
            <w:vAlign w:val="center"/>
          </w:tcPr>
          <w:p w14:paraId="52549722" w14:textId="77777777" w:rsidR="00D14E18" w:rsidRPr="000B65DC" w:rsidRDefault="00D14E18" w:rsidP="00D14E18">
            <w:pPr>
              <w:jc w:val="center"/>
              <w:rPr>
                <w:rFonts w:ascii="Arial" w:hAnsi="Arial" w:cs="Arial"/>
                <w:b/>
                <w:bCs/>
                <w:sz w:val="20"/>
                <w:szCs w:val="20"/>
              </w:rPr>
            </w:pPr>
            <w:r w:rsidRPr="000B65DC">
              <w:rPr>
                <w:rFonts w:ascii="Arial" w:hAnsi="Arial" w:cs="Arial"/>
                <w:b/>
                <w:bCs/>
                <w:color w:val="000000" w:themeColor="text1"/>
                <w:sz w:val="20"/>
                <w:szCs w:val="20"/>
              </w:rPr>
              <w:t>0.01</w:t>
            </w:r>
          </w:p>
        </w:tc>
      </w:tr>
      <w:tr w:rsidR="00D14E18" w:rsidRPr="000B65DC" w14:paraId="1FD04DF4" w14:textId="77777777" w:rsidTr="002E4C93">
        <w:tc>
          <w:tcPr>
            <w:tcW w:w="953" w:type="pct"/>
            <w:hideMark/>
          </w:tcPr>
          <w:p w14:paraId="59F4F349" w14:textId="77777777" w:rsidR="00D14E18" w:rsidRPr="000B65DC" w:rsidRDefault="00D14E18" w:rsidP="00D14E18">
            <w:pPr>
              <w:jc w:val="both"/>
              <w:rPr>
                <w:rFonts w:ascii="Arial" w:hAnsi="Arial" w:cs="Arial"/>
                <w:sz w:val="20"/>
                <w:szCs w:val="20"/>
              </w:rPr>
            </w:pPr>
          </w:p>
        </w:tc>
        <w:tc>
          <w:tcPr>
            <w:tcW w:w="954" w:type="pct"/>
            <w:vAlign w:val="center"/>
            <w:hideMark/>
          </w:tcPr>
          <w:p w14:paraId="25260F90" w14:textId="77777777" w:rsidR="00D14E18" w:rsidRPr="000B65DC" w:rsidRDefault="00D14E18" w:rsidP="00D14E18">
            <w:pPr>
              <w:jc w:val="center"/>
              <w:rPr>
                <w:rFonts w:ascii="Arial" w:hAnsi="Arial" w:cs="Arial"/>
                <w:sz w:val="20"/>
                <w:szCs w:val="20"/>
              </w:rPr>
            </w:pPr>
          </w:p>
        </w:tc>
        <w:tc>
          <w:tcPr>
            <w:tcW w:w="1032" w:type="pct"/>
            <w:vAlign w:val="center"/>
            <w:hideMark/>
          </w:tcPr>
          <w:p w14:paraId="402FCB33" w14:textId="77777777" w:rsidR="00D14E18" w:rsidRPr="000B65DC" w:rsidRDefault="00D14E18" w:rsidP="00D14E18">
            <w:pPr>
              <w:jc w:val="center"/>
              <w:rPr>
                <w:rFonts w:ascii="Arial" w:hAnsi="Arial" w:cs="Arial"/>
                <w:sz w:val="20"/>
                <w:szCs w:val="20"/>
              </w:rPr>
            </w:pPr>
          </w:p>
        </w:tc>
        <w:tc>
          <w:tcPr>
            <w:tcW w:w="1031" w:type="pct"/>
            <w:vAlign w:val="center"/>
          </w:tcPr>
          <w:p w14:paraId="04932CBC" w14:textId="77777777" w:rsidR="00D14E18" w:rsidRPr="000B65DC" w:rsidRDefault="00D14E18" w:rsidP="00D14E18">
            <w:pPr>
              <w:jc w:val="center"/>
              <w:rPr>
                <w:rFonts w:ascii="Arial" w:hAnsi="Arial" w:cs="Arial"/>
                <w:sz w:val="20"/>
                <w:szCs w:val="20"/>
              </w:rPr>
            </w:pPr>
          </w:p>
        </w:tc>
        <w:tc>
          <w:tcPr>
            <w:tcW w:w="1030" w:type="pct"/>
            <w:vAlign w:val="center"/>
          </w:tcPr>
          <w:p w14:paraId="1D27ED88" w14:textId="77777777" w:rsidR="00D14E18" w:rsidRPr="000B65DC" w:rsidRDefault="00D14E18" w:rsidP="00D14E18">
            <w:pPr>
              <w:jc w:val="center"/>
              <w:rPr>
                <w:rFonts w:ascii="Arial" w:hAnsi="Arial" w:cs="Arial"/>
                <w:sz w:val="20"/>
                <w:szCs w:val="20"/>
              </w:rPr>
            </w:pPr>
          </w:p>
        </w:tc>
      </w:tr>
      <w:tr w:rsidR="00D14E18" w:rsidRPr="000B65DC" w14:paraId="218A656D" w14:textId="77777777" w:rsidTr="002E4C93">
        <w:tc>
          <w:tcPr>
            <w:tcW w:w="953" w:type="pct"/>
            <w:hideMark/>
          </w:tcPr>
          <w:p w14:paraId="154B516D" w14:textId="77777777" w:rsidR="00D14E18" w:rsidRPr="000B65DC" w:rsidRDefault="00D14E18" w:rsidP="00D14E18">
            <w:pPr>
              <w:jc w:val="both"/>
              <w:rPr>
                <w:rFonts w:ascii="Arial" w:hAnsi="Arial" w:cs="Arial"/>
                <w:sz w:val="20"/>
                <w:szCs w:val="20"/>
              </w:rPr>
            </w:pPr>
            <w:r w:rsidRPr="000B65DC">
              <w:rPr>
                <w:rFonts w:ascii="Arial" w:hAnsi="Arial" w:cs="Arial"/>
                <w:b/>
                <w:bCs/>
                <w:sz w:val="20"/>
                <w:szCs w:val="20"/>
              </w:rPr>
              <w:t>Interaction (S × Zn)</w:t>
            </w:r>
          </w:p>
        </w:tc>
        <w:tc>
          <w:tcPr>
            <w:tcW w:w="954" w:type="pct"/>
            <w:vAlign w:val="center"/>
            <w:hideMark/>
          </w:tcPr>
          <w:p w14:paraId="057F7687"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NS</w:t>
            </w:r>
          </w:p>
        </w:tc>
        <w:tc>
          <w:tcPr>
            <w:tcW w:w="1032" w:type="pct"/>
            <w:vAlign w:val="center"/>
            <w:hideMark/>
          </w:tcPr>
          <w:p w14:paraId="05F2C7CD"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NS</w:t>
            </w:r>
          </w:p>
        </w:tc>
        <w:tc>
          <w:tcPr>
            <w:tcW w:w="1031" w:type="pct"/>
            <w:vAlign w:val="center"/>
          </w:tcPr>
          <w:p w14:paraId="4DE7C423"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NS</w:t>
            </w:r>
          </w:p>
        </w:tc>
        <w:tc>
          <w:tcPr>
            <w:tcW w:w="1030" w:type="pct"/>
            <w:vAlign w:val="center"/>
          </w:tcPr>
          <w:p w14:paraId="4F5C4330" w14:textId="77777777" w:rsidR="00D14E18" w:rsidRPr="000B65DC" w:rsidRDefault="00D14E18" w:rsidP="00D14E18">
            <w:pPr>
              <w:jc w:val="center"/>
              <w:rPr>
                <w:rFonts w:ascii="Arial" w:hAnsi="Arial" w:cs="Arial"/>
                <w:sz w:val="20"/>
                <w:szCs w:val="20"/>
              </w:rPr>
            </w:pPr>
            <w:r w:rsidRPr="000B65DC">
              <w:rPr>
                <w:rFonts w:ascii="Arial" w:hAnsi="Arial" w:cs="Arial"/>
                <w:color w:val="000000" w:themeColor="text1"/>
                <w:sz w:val="20"/>
                <w:szCs w:val="20"/>
              </w:rPr>
              <w:t>NS</w:t>
            </w:r>
          </w:p>
        </w:tc>
      </w:tr>
      <w:tr w:rsidR="00D14E18" w:rsidRPr="000B65DC" w14:paraId="367DB78A" w14:textId="77777777" w:rsidTr="002E4C93">
        <w:tc>
          <w:tcPr>
            <w:tcW w:w="953" w:type="pct"/>
            <w:vAlign w:val="center"/>
            <w:hideMark/>
          </w:tcPr>
          <w:p w14:paraId="5561CA08" w14:textId="77777777" w:rsidR="00D14E18" w:rsidRPr="000B65DC" w:rsidRDefault="00D14E18" w:rsidP="00D14E18">
            <w:pPr>
              <w:jc w:val="right"/>
              <w:rPr>
                <w:rFonts w:ascii="Arial" w:hAnsi="Arial" w:cs="Arial"/>
                <w:b/>
                <w:bCs/>
                <w:sz w:val="20"/>
                <w:szCs w:val="20"/>
              </w:rPr>
            </w:pPr>
            <w:proofErr w:type="spellStart"/>
            <w:r w:rsidRPr="000B65DC">
              <w:rPr>
                <w:rFonts w:ascii="Arial" w:hAnsi="Arial" w:cs="Arial"/>
                <w:b/>
                <w:bCs/>
                <w:sz w:val="20"/>
                <w:szCs w:val="20"/>
              </w:rPr>
              <w:t>S.Em</w:t>
            </w:r>
            <w:proofErr w:type="spellEnd"/>
            <w:r w:rsidRPr="000B65DC">
              <w:rPr>
                <w:rFonts w:ascii="Arial" w:hAnsi="Arial" w:cs="Arial"/>
                <w:b/>
                <w:bCs/>
                <w:sz w:val="20"/>
                <w:szCs w:val="20"/>
              </w:rPr>
              <w:t>. ±</w:t>
            </w:r>
          </w:p>
        </w:tc>
        <w:tc>
          <w:tcPr>
            <w:tcW w:w="954" w:type="pct"/>
            <w:vAlign w:val="center"/>
            <w:hideMark/>
          </w:tcPr>
          <w:p w14:paraId="23908108"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0.012</w:t>
            </w:r>
          </w:p>
        </w:tc>
        <w:tc>
          <w:tcPr>
            <w:tcW w:w="1032" w:type="pct"/>
            <w:vAlign w:val="center"/>
            <w:hideMark/>
          </w:tcPr>
          <w:p w14:paraId="79B2C780"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0.38</w:t>
            </w:r>
          </w:p>
        </w:tc>
        <w:tc>
          <w:tcPr>
            <w:tcW w:w="1031" w:type="pct"/>
            <w:vAlign w:val="center"/>
          </w:tcPr>
          <w:p w14:paraId="5A9C7129"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0.04</w:t>
            </w:r>
          </w:p>
        </w:tc>
        <w:tc>
          <w:tcPr>
            <w:tcW w:w="1030" w:type="pct"/>
            <w:vAlign w:val="center"/>
          </w:tcPr>
          <w:p w14:paraId="3EAE0EE2" w14:textId="77777777" w:rsidR="00D14E18" w:rsidRPr="000B65DC" w:rsidRDefault="00D14E18" w:rsidP="00D14E18">
            <w:pPr>
              <w:jc w:val="center"/>
              <w:rPr>
                <w:rFonts w:ascii="Arial" w:hAnsi="Arial" w:cs="Arial"/>
                <w:b/>
                <w:bCs/>
                <w:sz w:val="20"/>
                <w:szCs w:val="20"/>
              </w:rPr>
            </w:pPr>
            <w:r w:rsidRPr="000B65DC">
              <w:rPr>
                <w:rFonts w:ascii="Arial" w:hAnsi="Arial" w:cs="Arial"/>
                <w:b/>
                <w:bCs/>
                <w:color w:val="000000" w:themeColor="text1"/>
                <w:sz w:val="20"/>
                <w:szCs w:val="20"/>
              </w:rPr>
              <w:t>0.01</w:t>
            </w:r>
          </w:p>
        </w:tc>
      </w:tr>
      <w:tr w:rsidR="00D14E18" w:rsidRPr="000B65DC" w14:paraId="7E688698" w14:textId="77777777" w:rsidTr="002E4C93">
        <w:tc>
          <w:tcPr>
            <w:tcW w:w="953" w:type="pct"/>
            <w:vAlign w:val="center"/>
            <w:hideMark/>
          </w:tcPr>
          <w:p w14:paraId="0FF6EEE5"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CV (%)</w:t>
            </w:r>
          </w:p>
        </w:tc>
        <w:tc>
          <w:tcPr>
            <w:tcW w:w="954" w:type="pct"/>
            <w:vAlign w:val="center"/>
            <w:hideMark/>
          </w:tcPr>
          <w:p w14:paraId="0F377ECB"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3.85</w:t>
            </w:r>
          </w:p>
        </w:tc>
        <w:tc>
          <w:tcPr>
            <w:tcW w:w="1032" w:type="pct"/>
            <w:vAlign w:val="center"/>
            <w:hideMark/>
          </w:tcPr>
          <w:p w14:paraId="5F07DCAE"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11.98</w:t>
            </w:r>
          </w:p>
        </w:tc>
        <w:tc>
          <w:tcPr>
            <w:tcW w:w="1031" w:type="pct"/>
            <w:vAlign w:val="center"/>
          </w:tcPr>
          <w:p w14:paraId="4BA9DC1F"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1.01</w:t>
            </w:r>
          </w:p>
        </w:tc>
        <w:tc>
          <w:tcPr>
            <w:tcW w:w="1030" w:type="pct"/>
            <w:vAlign w:val="center"/>
          </w:tcPr>
          <w:p w14:paraId="4E6E7417" w14:textId="77777777" w:rsidR="00D14E18" w:rsidRPr="000B65DC" w:rsidRDefault="00D14E18" w:rsidP="00D14E18">
            <w:pPr>
              <w:jc w:val="center"/>
              <w:rPr>
                <w:rFonts w:ascii="Arial" w:hAnsi="Arial" w:cs="Arial"/>
                <w:b/>
                <w:bCs/>
                <w:sz w:val="20"/>
                <w:szCs w:val="20"/>
              </w:rPr>
            </w:pPr>
            <w:r w:rsidRPr="000B65DC">
              <w:rPr>
                <w:rFonts w:ascii="Arial" w:hAnsi="Arial" w:cs="Arial"/>
                <w:b/>
                <w:bCs/>
                <w:color w:val="000000" w:themeColor="text1"/>
                <w:sz w:val="20"/>
                <w:szCs w:val="20"/>
              </w:rPr>
              <w:t>1.89</w:t>
            </w:r>
          </w:p>
        </w:tc>
      </w:tr>
      <w:tr w:rsidR="00D14E18" w:rsidRPr="000B65DC" w14:paraId="4905E2AE" w14:textId="77777777" w:rsidTr="00CC0051">
        <w:trPr>
          <w:trHeight w:val="423"/>
        </w:trPr>
        <w:tc>
          <w:tcPr>
            <w:tcW w:w="953" w:type="pct"/>
            <w:vAlign w:val="center"/>
          </w:tcPr>
          <w:p w14:paraId="0B00792C"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Initial</w:t>
            </w:r>
          </w:p>
        </w:tc>
        <w:tc>
          <w:tcPr>
            <w:tcW w:w="954" w:type="pct"/>
            <w:vAlign w:val="center"/>
          </w:tcPr>
          <w:p w14:paraId="2C353B84"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5.6</w:t>
            </w:r>
          </w:p>
        </w:tc>
        <w:tc>
          <w:tcPr>
            <w:tcW w:w="1032" w:type="pct"/>
            <w:vAlign w:val="center"/>
          </w:tcPr>
          <w:p w14:paraId="11390914"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5.88</w:t>
            </w:r>
          </w:p>
        </w:tc>
        <w:tc>
          <w:tcPr>
            <w:tcW w:w="1031" w:type="pct"/>
            <w:vAlign w:val="center"/>
          </w:tcPr>
          <w:p w14:paraId="541DFABD"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7.61</w:t>
            </w:r>
          </w:p>
        </w:tc>
        <w:tc>
          <w:tcPr>
            <w:tcW w:w="1030" w:type="pct"/>
            <w:vAlign w:val="center"/>
          </w:tcPr>
          <w:p w14:paraId="1D290086" w14:textId="77777777" w:rsidR="00D14E18" w:rsidRPr="000B65DC" w:rsidRDefault="00D14E18" w:rsidP="00D14E18">
            <w:pPr>
              <w:jc w:val="right"/>
              <w:rPr>
                <w:rFonts w:ascii="Arial" w:hAnsi="Arial" w:cs="Arial"/>
                <w:b/>
                <w:bCs/>
                <w:sz w:val="20"/>
                <w:szCs w:val="20"/>
              </w:rPr>
            </w:pPr>
            <w:r w:rsidRPr="000B65DC">
              <w:rPr>
                <w:rFonts w:ascii="Arial" w:hAnsi="Arial" w:cs="Arial"/>
                <w:b/>
                <w:bCs/>
                <w:color w:val="000000" w:themeColor="text1"/>
                <w:sz w:val="20"/>
                <w:szCs w:val="20"/>
              </w:rPr>
              <w:t>0.68</w:t>
            </w:r>
          </w:p>
        </w:tc>
      </w:tr>
    </w:tbl>
    <w:p w14:paraId="01D60A6D" w14:textId="77777777" w:rsidR="00B46191" w:rsidRPr="000B65DC" w:rsidRDefault="00B46191" w:rsidP="00D14E18">
      <w:pPr>
        <w:spacing w:before="240"/>
        <w:jc w:val="both"/>
        <w:rPr>
          <w:rFonts w:ascii="Arial" w:hAnsi="Arial" w:cs="Arial"/>
          <w:b/>
          <w:bCs/>
          <w:sz w:val="20"/>
          <w:szCs w:val="20"/>
          <w:lang w:val="en-GB"/>
        </w:rPr>
      </w:pPr>
      <w:r w:rsidRPr="000B65DC">
        <w:rPr>
          <w:rFonts w:ascii="Arial" w:hAnsi="Arial" w:cs="Arial"/>
          <w:b/>
          <w:bCs/>
          <w:sz w:val="20"/>
          <w:szCs w:val="20"/>
          <w:lang w:val="en-GB"/>
        </w:rPr>
        <w:t>3.</w:t>
      </w:r>
      <w:r w:rsidR="00C02DE0" w:rsidRPr="000B65DC">
        <w:rPr>
          <w:rFonts w:ascii="Arial" w:hAnsi="Arial" w:cs="Arial"/>
          <w:b/>
          <w:bCs/>
          <w:sz w:val="20"/>
          <w:szCs w:val="20"/>
          <w:lang w:val="en-GB"/>
        </w:rPr>
        <w:t>3</w:t>
      </w:r>
      <w:r w:rsidRPr="000B65DC">
        <w:rPr>
          <w:rFonts w:ascii="Arial" w:hAnsi="Arial" w:cs="Arial"/>
          <w:b/>
          <w:bCs/>
          <w:sz w:val="20"/>
          <w:szCs w:val="20"/>
          <w:lang w:val="en-GB"/>
        </w:rPr>
        <w:t>.3 Soil Physical Properties</w:t>
      </w:r>
    </w:p>
    <w:p w14:paraId="0B5AA994"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 xml:space="preserve">Particle density, bulk density, and porosity were not significantly affected by sulphur, zinc, or their interaction (Table 7). The small numerical fluctuations suggest that soil physical structure, which is governed by mineral composition and long-term structural development, did not change appreciably within a single cropping season (Rohitha </w:t>
      </w:r>
      <w:r w:rsidRPr="000B65DC">
        <w:rPr>
          <w:rFonts w:ascii="Arial" w:hAnsi="Arial" w:cs="Arial"/>
          <w:i/>
          <w:sz w:val="20"/>
          <w:szCs w:val="20"/>
          <w:lang w:val="en-GB"/>
        </w:rPr>
        <w:t>et al.</w:t>
      </w:r>
      <w:r w:rsidRPr="000B65DC">
        <w:rPr>
          <w:rFonts w:ascii="Arial" w:hAnsi="Arial" w:cs="Arial"/>
          <w:sz w:val="20"/>
          <w:szCs w:val="20"/>
          <w:lang w:val="en-GB"/>
        </w:rPr>
        <w:t>, 2024).</w:t>
      </w:r>
    </w:p>
    <w:p w14:paraId="30284C2A" w14:textId="77777777" w:rsidR="00B46191" w:rsidRPr="000B65DC" w:rsidRDefault="00B46191" w:rsidP="00B46191">
      <w:pPr>
        <w:jc w:val="both"/>
        <w:rPr>
          <w:rFonts w:ascii="Arial" w:hAnsi="Arial" w:cs="Arial"/>
          <w:b/>
          <w:bCs/>
          <w:sz w:val="20"/>
          <w:szCs w:val="20"/>
          <w:lang w:val="en-GB"/>
        </w:rPr>
      </w:pPr>
      <w:r w:rsidRPr="000B65DC">
        <w:rPr>
          <w:rFonts w:ascii="Arial" w:hAnsi="Arial" w:cs="Arial"/>
          <w:b/>
          <w:bCs/>
          <w:sz w:val="20"/>
          <w:szCs w:val="20"/>
          <w:lang w:val="en-GB"/>
        </w:rPr>
        <w:t xml:space="preserve">Table </w:t>
      </w:r>
      <w:r w:rsidR="007F7018" w:rsidRPr="000B65DC">
        <w:rPr>
          <w:rFonts w:ascii="Arial" w:hAnsi="Arial" w:cs="Arial"/>
          <w:b/>
          <w:bCs/>
          <w:sz w:val="20"/>
          <w:szCs w:val="20"/>
          <w:lang w:val="en-GB"/>
        </w:rPr>
        <w:t>7</w:t>
      </w:r>
      <w:r w:rsidRPr="000B65DC">
        <w:rPr>
          <w:rFonts w:ascii="Arial" w:hAnsi="Arial" w:cs="Arial"/>
          <w:b/>
          <w:bCs/>
          <w:sz w:val="20"/>
          <w:szCs w:val="20"/>
          <w:lang w:val="en-GB"/>
        </w:rPr>
        <w:t>. Soil Physical Properties after Harvest as Influenced by Sulphur and Zinc Levels</w:t>
      </w:r>
    </w:p>
    <w:tbl>
      <w:tblPr>
        <w:tblStyle w:val="TableGrid"/>
        <w:tblW w:w="5000" w:type="pct"/>
        <w:tblLook w:val="04A0" w:firstRow="1" w:lastRow="0" w:firstColumn="1" w:lastColumn="0" w:noHBand="0" w:noVBand="1"/>
      </w:tblPr>
      <w:tblGrid>
        <w:gridCol w:w="3184"/>
        <w:gridCol w:w="2620"/>
        <w:gridCol w:w="1881"/>
        <w:gridCol w:w="1331"/>
      </w:tblGrid>
      <w:tr w:rsidR="00D14E18" w:rsidRPr="000B65DC" w14:paraId="3C64DF5C" w14:textId="77777777" w:rsidTr="009D5DE4">
        <w:tc>
          <w:tcPr>
            <w:tcW w:w="1766" w:type="pct"/>
            <w:vAlign w:val="center"/>
            <w:hideMark/>
          </w:tcPr>
          <w:p w14:paraId="14FEB6FA" w14:textId="77777777" w:rsidR="00D14E18" w:rsidRPr="000B65DC" w:rsidRDefault="00D14E18" w:rsidP="00D14E18">
            <w:pPr>
              <w:rPr>
                <w:rFonts w:ascii="Arial" w:hAnsi="Arial" w:cs="Arial"/>
                <w:b/>
                <w:bCs/>
                <w:sz w:val="20"/>
                <w:szCs w:val="20"/>
              </w:rPr>
            </w:pPr>
            <w:r w:rsidRPr="000B65DC">
              <w:rPr>
                <w:rFonts w:ascii="Arial" w:hAnsi="Arial" w:cs="Arial"/>
                <w:b/>
                <w:bCs/>
                <w:sz w:val="20"/>
                <w:szCs w:val="20"/>
              </w:rPr>
              <w:t>Treatments</w:t>
            </w:r>
          </w:p>
        </w:tc>
        <w:tc>
          <w:tcPr>
            <w:tcW w:w="1453" w:type="pct"/>
            <w:vAlign w:val="center"/>
            <w:hideMark/>
          </w:tcPr>
          <w:p w14:paraId="0ABE433E"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 xml:space="preserve">Particle density </w:t>
            </w:r>
            <w:r w:rsidRPr="000B65DC">
              <w:rPr>
                <w:rFonts w:ascii="Arial" w:hAnsi="Arial" w:cs="Arial"/>
                <w:b/>
                <w:bCs/>
                <w:sz w:val="20"/>
                <w:szCs w:val="20"/>
              </w:rPr>
              <w:br/>
              <w:t>(g/cm³)</w:t>
            </w:r>
          </w:p>
        </w:tc>
        <w:tc>
          <w:tcPr>
            <w:tcW w:w="1043" w:type="pct"/>
            <w:vAlign w:val="center"/>
            <w:hideMark/>
          </w:tcPr>
          <w:p w14:paraId="40265603"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 xml:space="preserve">Bulk density </w:t>
            </w:r>
            <w:r w:rsidRPr="000B65DC">
              <w:rPr>
                <w:rFonts w:ascii="Arial" w:hAnsi="Arial" w:cs="Arial"/>
                <w:b/>
                <w:bCs/>
                <w:sz w:val="20"/>
                <w:szCs w:val="20"/>
              </w:rPr>
              <w:br/>
              <w:t>(g/cm³)</w:t>
            </w:r>
          </w:p>
        </w:tc>
        <w:tc>
          <w:tcPr>
            <w:tcW w:w="738" w:type="pct"/>
            <w:vAlign w:val="center"/>
            <w:hideMark/>
          </w:tcPr>
          <w:p w14:paraId="19BE80EE"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 xml:space="preserve">Porosity </w:t>
            </w:r>
            <w:r w:rsidRPr="000B65DC">
              <w:rPr>
                <w:rFonts w:ascii="Arial" w:hAnsi="Arial" w:cs="Arial"/>
                <w:b/>
                <w:bCs/>
                <w:sz w:val="20"/>
                <w:szCs w:val="20"/>
              </w:rPr>
              <w:br/>
              <w:t>(%)</w:t>
            </w:r>
          </w:p>
        </w:tc>
      </w:tr>
      <w:tr w:rsidR="00D14E18" w:rsidRPr="000B65DC" w14:paraId="2E2ADA3C" w14:textId="77777777" w:rsidTr="009D5DE4">
        <w:tc>
          <w:tcPr>
            <w:tcW w:w="5000" w:type="pct"/>
            <w:gridSpan w:val="4"/>
            <w:hideMark/>
          </w:tcPr>
          <w:p w14:paraId="04D9AF68" w14:textId="77777777" w:rsidR="00D14E18" w:rsidRPr="000B65DC" w:rsidRDefault="00D14E18" w:rsidP="00D14E18">
            <w:pPr>
              <w:rPr>
                <w:rFonts w:ascii="Arial" w:hAnsi="Arial" w:cs="Arial"/>
                <w:sz w:val="20"/>
                <w:szCs w:val="20"/>
              </w:rPr>
            </w:pPr>
            <w:r w:rsidRPr="000B65DC">
              <w:rPr>
                <w:rFonts w:ascii="Arial" w:hAnsi="Arial" w:cs="Arial"/>
                <w:b/>
                <w:bCs/>
                <w:sz w:val="20"/>
                <w:szCs w:val="20"/>
              </w:rPr>
              <w:t>(A) Sulphur levels</w:t>
            </w:r>
          </w:p>
        </w:tc>
      </w:tr>
      <w:tr w:rsidR="00D14E18" w:rsidRPr="000B65DC" w14:paraId="68DD47A2" w14:textId="77777777" w:rsidTr="009D5DE4">
        <w:tc>
          <w:tcPr>
            <w:tcW w:w="1766" w:type="pct"/>
            <w:hideMark/>
          </w:tcPr>
          <w:p w14:paraId="3D030524"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S</w:t>
            </w:r>
            <w:r w:rsidRPr="000B65DC">
              <w:rPr>
                <w:rFonts w:ascii="Arial" w:hAnsi="Arial" w:cs="Arial"/>
                <w:sz w:val="20"/>
                <w:szCs w:val="20"/>
                <w:vertAlign w:val="subscript"/>
              </w:rPr>
              <w:t>1</w:t>
            </w:r>
            <w:r w:rsidRPr="000B65DC">
              <w:rPr>
                <w:rFonts w:ascii="Arial" w:hAnsi="Arial" w:cs="Arial"/>
                <w:sz w:val="20"/>
                <w:szCs w:val="20"/>
              </w:rPr>
              <w:t xml:space="preserve"> (00 kg ha</w:t>
            </w:r>
            <w:r w:rsidRPr="000B65DC">
              <w:rPr>
                <w:rFonts w:ascii="Arial" w:hAnsi="Arial" w:cs="Arial"/>
                <w:sz w:val="20"/>
                <w:szCs w:val="20"/>
                <w:vertAlign w:val="superscript"/>
              </w:rPr>
              <w:t>-1</w:t>
            </w:r>
            <w:r w:rsidRPr="000B65DC">
              <w:rPr>
                <w:rFonts w:ascii="Arial" w:hAnsi="Arial" w:cs="Arial"/>
                <w:sz w:val="20"/>
                <w:szCs w:val="20"/>
              </w:rPr>
              <w:t>)</w:t>
            </w:r>
          </w:p>
        </w:tc>
        <w:tc>
          <w:tcPr>
            <w:tcW w:w="1453" w:type="pct"/>
            <w:vAlign w:val="center"/>
            <w:hideMark/>
          </w:tcPr>
          <w:p w14:paraId="37E90BA6"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2.63</w:t>
            </w:r>
          </w:p>
        </w:tc>
        <w:tc>
          <w:tcPr>
            <w:tcW w:w="1043" w:type="pct"/>
            <w:vAlign w:val="center"/>
            <w:hideMark/>
          </w:tcPr>
          <w:p w14:paraId="0270A36B"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1.47</w:t>
            </w:r>
          </w:p>
        </w:tc>
        <w:tc>
          <w:tcPr>
            <w:tcW w:w="738" w:type="pct"/>
            <w:vAlign w:val="center"/>
            <w:hideMark/>
          </w:tcPr>
          <w:p w14:paraId="3639F79E"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44.20</w:t>
            </w:r>
          </w:p>
        </w:tc>
      </w:tr>
      <w:tr w:rsidR="00D14E18" w:rsidRPr="000B65DC" w14:paraId="40F22B06" w14:textId="77777777" w:rsidTr="009D5DE4">
        <w:tc>
          <w:tcPr>
            <w:tcW w:w="1766" w:type="pct"/>
            <w:hideMark/>
          </w:tcPr>
          <w:p w14:paraId="0C11FD87"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S</w:t>
            </w:r>
            <w:r w:rsidRPr="000B65DC">
              <w:rPr>
                <w:rFonts w:ascii="Arial" w:hAnsi="Arial" w:cs="Arial"/>
                <w:sz w:val="20"/>
                <w:szCs w:val="20"/>
                <w:vertAlign w:val="subscript"/>
              </w:rPr>
              <w:t>2</w:t>
            </w:r>
            <w:r w:rsidRPr="000B65DC">
              <w:rPr>
                <w:rFonts w:ascii="Arial" w:hAnsi="Arial" w:cs="Arial"/>
                <w:sz w:val="20"/>
                <w:szCs w:val="20"/>
              </w:rPr>
              <w:t xml:space="preserve"> (20 kg ha</w:t>
            </w:r>
            <w:r w:rsidRPr="000B65DC">
              <w:rPr>
                <w:rFonts w:ascii="Arial" w:hAnsi="Arial" w:cs="Arial"/>
                <w:sz w:val="20"/>
                <w:szCs w:val="20"/>
                <w:vertAlign w:val="superscript"/>
              </w:rPr>
              <w:t>-1</w:t>
            </w:r>
            <w:r w:rsidRPr="000B65DC">
              <w:rPr>
                <w:rFonts w:ascii="Arial" w:hAnsi="Arial" w:cs="Arial"/>
                <w:sz w:val="20"/>
                <w:szCs w:val="20"/>
              </w:rPr>
              <w:t>)</w:t>
            </w:r>
          </w:p>
        </w:tc>
        <w:tc>
          <w:tcPr>
            <w:tcW w:w="1453" w:type="pct"/>
            <w:vAlign w:val="center"/>
            <w:hideMark/>
          </w:tcPr>
          <w:p w14:paraId="2937D832"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2.49</w:t>
            </w:r>
          </w:p>
        </w:tc>
        <w:tc>
          <w:tcPr>
            <w:tcW w:w="1043" w:type="pct"/>
            <w:vAlign w:val="center"/>
            <w:hideMark/>
          </w:tcPr>
          <w:p w14:paraId="5E6DB9D3"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1.44</w:t>
            </w:r>
          </w:p>
        </w:tc>
        <w:tc>
          <w:tcPr>
            <w:tcW w:w="738" w:type="pct"/>
            <w:vAlign w:val="center"/>
            <w:hideMark/>
          </w:tcPr>
          <w:p w14:paraId="327EAE51"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41.76</w:t>
            </w:r>
          </w:p>
        </w:tc>
      </w:tr>
      <w:tr w:rsidR="00D14E18" w:rsidRPr="000B65DC" w14:paraId="5B829B3F" w14:textId="77777777" w:rsidTr="009D5DE4">
        <w:tc>
          <w:tcPr>
            <w:tcW w:w="1766" w:type="pct"/>
            <w:hideMark/>
          </w:tcPr>
          <w:p w14:paraId="2569579A"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S</w:t>
            </w:r>
            <w:r w:rsidRPr="000B65DC">
              <w:rPr>
                <w:rFonts w:ascii="Arial" w:hAnsi="Arial" w:cs="Arial"/>
                <w:sz w:val="20"/>
                <w:szCs w:val="20"/>
                <w:vertAlign w:val="subscript"/>
              </w:rPr>
              <w:t>3</w:t>
            </w:r>
            <w:r w:rsidRPr="000B65DC">
              <w:rPr>
                <w:rFonts w:ascii="Arial" w:hAnsi="Arial" w:cs="Arial"/>
                <w:sz w:val="20"/>
                <w:szCs w:val="20"/>
              </w:rPr>
              <w:t xml:space="preserve"> (40 kg ha</w:t>
            </w:r>
            <w:r w:rsidRPr="000B65DC">
              <w:rPr>
                <w:rFonts w:ascii="Arial" w:hAnsi="Arial" w:cs="Arial"/>
                <w:sz w:val="20"/>
                <w:szCs w:val="20"/>
                <w:vertAlign w:val="superscript"/>
              </w:rPr>
              <w:t>-1</w:t>
            </w:r>
            <w:r w:rsidRPr="000B65DC">
              <w:rPr>
                <w:rFonts w:ascii="Arial" w:hAnsi="Arial" w:cs="Arial"/>
                <w:sz w:val="20"/>
                <w:szCs w:val="20"/>
              </w:rPr>
              <w:t>)</w:t>
            </w:r>
          </w:p>
        </w:tc>
        <w:tc>
          <w:tcPr>
            <w:tcW w:w="1453" w:type="pct"/>
            <w:vAlign w:val="center"/>
            <w:hideMark/>
          </w:tcPr>
          <w:p w14:paraId="5552814A"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2.56</w:t>
            </w:r>
          </w:p>
        </w:tc>
        <w:tc>
          <w:tcPr>
            <w:tcW w:w="1043" w:type="pct"/>
            <w:vAlign w:val="center"/>
            <w:hideMark/>
          </w:tcPr>
          <w:p w14:paraId="5936E59F"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1.48</w:t>
            </w:r>
          </w:p>
        </w:tc>
        <w:tc>
          <w:tcPr>
            <w:tcW w:w="738" w:type="pct"/>
            <w:vAlign w:val="center"/>
            <w:hideMark/>
          </w:tcPr>
          <w:p w14:paraId="2A13FAA0"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41.88</w:t>
            </w:r>
          </w:p>
        </w:tc>
      </w:tr>
      <w:tr w:rsidR="00D14E18" w:rsidRPr="000B65DC" w14:paraId="1AF39F0E" w14:textId="77777777" w:rsidTr="009D5DE4">
        <w:tc>
          <w:tcPr>
            <w:tcW w:w="1766" w:type="pct"/>
            <w:vAlign w:val="center"/>
            <w:hideMark/>
          </w:tcPr>
          <w:p w14:paraId="3C8AB8E5" w14:textId="77777777" w:rsidR="00D14E18" w:rsidRPr="000B65DC" w:rsidRDefault="00D14E18" w:rsidP="00D14E18">
            <w:pPr>
              <w:jc w:val="right"/>
              <w:rPr>
                <w:rFonts w:ascii="Arial" w:hAnsi="Arial" w:cs="Arial"/>
                <w:b/>
                <w:bCs/>
                <w:sz w:val="20"/>
                <w:szCs w:val="20"/>
              </w:rPr>
            </w:pPr>
            <w:proofErr w:type="spellStart"/>
            <w:r w:rsidRPr="000B65DC">
              <w:rPr>
                <w:rFonts w:ascii="Arial" w:hAnsi="Arial" w:cs="Arial"/>
                <w:b/>
                <w:bCs/>
                <w:sz w:val="20"/>
                <w:szCs w:val="20"/>
              </w:rPr>
              <w:t>S.Em</w:t>
            </w:r>
            <w:proofErr w:type="spellEnd"/>
            <w:r w:rsidRPr="000B65DC">
              <w:rPr>
                <w:rFonts w:ascii="Arial" w:hAnsi="Arial" w:cs="Arial"/>
                <w:b/>
                <w:bCs/>
                <w:sz w:val="20"/>
                <w:szCs w:val="20"/>
              </w:rPr>
              <w:t>. ±</w:t>
            </w:r>
          </w:p>
        </w:tc>
        <w:tc>
          <w:tcPr>
            <w:tcW w:w="1453" w:type="pct"/>
            <w:vAlign w:val="center"/>
            <w:hideMark/>
          </w:tcPr>
          <w:p w14:paraId="30E41072"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0.04</w:t>
            </w:r>
          </w:p>
        </w:tc>
        <w:tc>
          <w:tcPr>
            <w:tcW w:w="1043" w:type="pct"/>
            <w:vAlign w:val="center"/>
            <w:hideMark/>
          </w:tcPr>
          <w:p w14:paraId="3857A46E"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0.02</w:t>
            </w:r>
          </w:p>
        </w:tc>
        <w:tc>
          <w:tcPr>
            <w:tcW w:w="738" w:type="pct"/>
            <w:vAlign w:val="center"/>
            <w:hideMark/>
          </w:tcPr>
          <w:p w14:paraId="154BE096"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1.52</w:t>
            </w:r>
          </w:p>
        </w:tc>
      </w:tr>
      <w:tr w:rsidR="00D14E18" w:rsidRPr="000B65DC" w14:paraId="1EBC1A45" w14:textId="77777777" w:rsidTr="009D5DE4">
        <w:tc>
          <w:tcPr>
            <w:tcW w:w="1766" w:type="pct"/>
            <w:vAlign w:val="center"/>
            <w:hideMark/>
          </w:tcPr>
          <w:p w14:paraId="0F299748"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CD at 5%</w:t>
            </w:r>
          </w:p>
        </w:tc>
        <w:tc>
          <w:tcPr>
            <w:tcW w:w="1453" w:type="pct"/>
            <w:vAlign w:val="center"/>
            <w:hideMark/>
          </w:tcPr>
          <w:p w14:paraId="499D6BAA"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NS</w:t>
            </w:r>
          </w:p>
        </w:tc>
        <w:tc>
          <w:tcPr>
            <w:tcW w:w="1043" w:type="pct"/>
            <w:vAlign w:val="center"/>
            <w:hideMark/>
          </w:tcPr>
          <w:p w14:paraId="37382FAD"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NS</w:t>
            </w:r>
          </w:p>
        </w:tc>
        <w:tc>
          <w:tcPr>
            <w:tcW w:w="738" w:type="pct"/>
            <w:vAlign w:val="center"/>
            <w:hideMark/>
          </w:tcPr>
          <w:p w14:paraId="0189CE4D"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NS</w:t>
            </w:r>
          </w:p>
        </w:tc>
      </w:tr>
      <w:tr w:rsidR="00D14E18" w:rsidRPr="000B65DC" w14:paraId="46B068B8" w14:textId="77777777" w:rsidTr="009D5DE4">
        <w:tc>
          <w:tcPr>
            <w:tcW w:w="5000" w:type="pct"/>
            <w:gridSpan w:val="4"/>
            <w:hideMark/>
          </w:tcPr>
          <w:p w14:paraId="314888AF" w14:textId="77777777" w:rsidR="00D14E18" w:rsidRPr="000B65DC" w:rsidRDefault="00D14E18" w:rsidP="00D14E18">
            <w:pPr>
              <w:rPr>
                <w:rFonts w:ascii="Arial" w:hAnsi="Arial" w:cs="Arial"/>
                <w:sz w:val="20"/>
                <w:szCs w:val="20"/>
              </w:rPr>
            </w:pPr>
            <w:r w:rsidRPr="000B65DC">
              <w:rPr>
                <w:rFonts w:ascii="Arial" w:hAnsi="Arial" w:cs="Arial"/>
                <w:b/>
                <w:bCs/>
                <w:sz w:val="20"/>
                <w:szCs w:val="20"/>
              </w:rPr>
              <w:t>(B) Zinc levels</w:t>
            </w:r>
          </w:p>
        </w:tc>
      </w:tr>
      <w:tr w:rsidR="00D14E18" w:rsidRPr="000B65DC" w14:paraId="67680114" w14:textId="77777777" w:rsidTr="009D5DE4">
        <w:tc>
          <w:tcPr>
            <w:tcW w:w="1766" w:type="pct"/>
            <w:hideMark/>
          </w:tcPr>
          <w:p w14:paraId="78AE3371"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Zn</w:t>
            </w:r>
            <w:r w:rsidRPr="000B65DC">
              <w:rPr>
                <w:rFonts w:ascii="Arial" w:hAnsi="Arial" w:cs="Arial"/>
                <w:sz w:val="20"/>
                <w:szCs w:val="20"/>
                <w:vertAlign w:val="subscript"/>
              </w:rPr>
              <w:t>1</w:t>
            </w:r>
            <w:r w:rsidRPr="000B65DC">
              <w:rPr>
                <w:rFonts w:ascii="Arial" w:hAnsi="Arial" w:cs="Arial"/>
                <w:sz w:val="20"/>
                <w:szCs w:val="20"/>
              </w:rPr>
              <w:t xml:space="preserve"> (00 kg ha</w:t>
            </w:r>
            <w:r w:rsidRPr="000B65DC">
              <w:rPr>
                <w:rFonts w:ascii="Arial" w:hAnsi="Arial" w:cs="Arial"/>
                <w:sz w:val="20"/>
                <w:szCs w:val="20"/>
                <w:vertAlign w:val="superscript"/>
              </w:rPr>
              <w:t>-1</w:t>
            </w:r>
            <w:r w:rsidRPr="000B65DC">
              <w:rPr>
                <w:rFonts w:ascii="Arial" w:hAnsi="Arial" w:cs="Arial"/>
                <w:sz w:val="20"/>
                <w:szCs w:val="20"/>
              </w:rPr>
              <w:t>)</w:t>
            </w:r>
          </w:p>
        </w:tc>
        <w:tc>
          <w:tcPr>
            <w:tcW w:w="1453" w:type="pct"/>
            <w:vAlign w:val="center"/>
            <w:hideMark/>
          </w:tcPr>
          <w:p w14:paraId="4DF8816B"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2.54</w:t>
            </w:r>
          </w:p>
        </w:tc>
        <w:tc>
          <w:tcPr>
            <w:tcW w:w="1043" w:type="pct"/>
            <w:vAlign w:val="center"/>
            <w:hideMark/>
          </w:tcPr>
          <w:p w14:paraId="5189BA04"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1.49</w:t>
            </w:r>
          </w:p>
        </w:tc>
        <w:tc>
          <w:tcPr>
            <w:tcW w:w="738" w:type="pct"/>
            <w:vAlign w:val="center"/>
            <w:hideMark/>
          </w:tcPr>
          <w:p w14:paraId="2BB2049F"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41.26</w:t>
            </w:r>
          </w:p>
        </w:tc>
      </w:tr>
      <w:tr w:rsidR="00D14E18" w:rsidRPr="000B65DC" w14:paraId="44BEBB2E" w14:textId="77777777" w:rsidTr="009D5DE4">
        <w:tc>
          <w:tcPr>
            <w:tcW w:w="1766" w:type="pct"/>
            <w:hideMark/>
          </w:tcPr>
          <w:p w14:paraId="1BFE5ABF"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Zn</w:t>
            </w:r>
            <w:r w:rsidRPr="000B65DC">
              <w:rPr>
                <w:rFonts w:ascii="Arial" w:hAnsi="Arial" w:cs="Arial"/>
                <w:sz w:val="20"/>
                <w:szCs w:val="20"/>
                <w:vertAlign w:val="subscript"/>
              </w:rPr>
              <w:t>2</w:t>
            </w:r>
            <w:r w:rsidRPr="000B65DC">
              <w:rPr>
                <w:rFonts w:ascii="Arial" w:hAnsi="Arial" w:cs="Arial"/>
                <w:sz w:val="20"/>
                <w:szCs w:val="20"/>
              </w:rPr>
              <w:t xml:space="preserve"> (2.5 kg ha</w:t>
            </w:r>
            <w:r w:rsidRPr="000B65DC">
              <w:rPr>
                <w:rFonts w:ascii="Arial" w:hAnsi="Arial" w:cs="Arial"/>
                <w:sz w:val="20"/>
                <w:szCs w:val="20"/>
                <w:vertAlign w:val="superscript"/>
              </w:rPr>
              <w:t>-1</w:t>
            </w:r>
            <w:r w:rsidRPr="000B65DC">
              <w:rPr>
                <w:rFonts w:ascii="Arial" w:hAnsi="Arial" w:cs="Arial"/>
                <w:sz w:val="20"/>
                <w:szCs w:val="20"/>
              </w:rPr>
              <w:t>)</w:t>
            </w:r>
          </w:p>
        </w:tc>
        <w:tc>
          <w:tcPr>
            <w:tcW w:w="1453" w:type="pct"/>
            <w:vAlign w:val="center"/>
            <w:hideMark/>
          </w:tcPr>
          <w:p w14:paraId="07EC1C3E"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2.59</w:t>
            </w:r>
          </w:p>
        </w:tc>
        <w:tc>
          <w:tcPr>
            <w:tcW w:w="1043" w:type="pct"/>
            <w:vAlign w:val="center"/>
            <w:hideMark/>
          </w:tcPr>
          <w:p w14:paraId="08043B9C"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1.45</w:t>
            </w:r>
          </w:p>
        </w:tc>
        <w:tc>
          <w:tcPr>
            <w:tcW w:w="738" w:type="pct"/>
            <w:vAlign w:val="center"/>
            <w:hideMark/>
          </w:tcPr>
          <w:p w14:paraId="256F9548"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43.93</w:t>
            </w:r>
          </w:p>
        </w:tc>
      </w:tr>
      <w:tr w:rsidR="00D14E18" w:rsidRPr="000B65DC" w14:paraId="32A15C56" w14:textId="77777777" w:rsidTr="009D5DE4">
        <w:tc>
          <w:tcPr>
            <w:tcW w:w="1766" w:type="pct"/>
            <w:hideMark/>
          </w:tcPr>
          <w:p w14:paraId="641FAD40"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Zn</w:t>
            </w:r>
            <w:r w:rsidRPr="000B65DC">
              <w:rPr>
                <w:rFonts w:ascii="Arial" w:hAnsi="Arial" w:cs="Arial"/>
                <w:sz w:val="20"/>
                <w:szCs w:val="20"/>
                <w:vertAlign w:val="subscript"/>
              </w:rPr>
              <w:t>3</w:t>
            </w:r>
            <w:r w:rsidRPr="000B65DC">
              <w:rPr>
                <w:rFonts w:ascii="Arial" w:hAnsi="Arial" w:cs="Arial"/>
                <w:sz w:val="20"/>
                <w:szCs w:val="20"/>
              </w:rPr>
              <w:t xml:space="preserve"> (5.0 kg ha</w:t>
            </w:r>
            <w:r w:rsidRPr="000B65DC">
              <w:rPr>
                <w:rFonts w:ascii="Arial" w:hAnsi="Arial" w:cs="Arial"/>
                <w:sz w:val="20"/>
                <w:szCs w:val="20"/>
                <w:vertAlign w:val="superscript"/>
              </w:rPr>
              <w:t>-1</w:t>
            </w:r>
            <w:r w:rsidRPr="000B65DC">
              <w:rPr>
                <w:rFonts w:ascii="Arial" w:hAnsi="Arial" w:cs="Arial"/>
                <w:sz w:val="20"/>
                <w:szCs w:val="20"/>
              </w:rPr>
              <w:t>)</w:t>
            </w:r>
          </w:p>
        </w:tc>
        <w:tc>
          <w:tcPr>
            <w:tcW w:w="1453" w:type="pct"/>
            <w:vAlign w:val="center"/>
            <w:hideMark/>
          </w:tcPr>
          <w:p w14:paraId="2E464C6A"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2.56</w:t>
            </w:r>
          </w:p>
        </w:tc>
        <w:tc>
          <w:tcPr>
            <w:tcW w:w="1043" w:type="pct"/>
            <w:vAlign w:val="center"/>
            <w:hideMark/>
          </w:tcPr>
          <w:p w14:paraId="59EE4204"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1.46</w:t>
            </w:r>
          </w:p>
        </w:tc>
        <w:tc>
          <w:tcPr>
            <w:tcW w:w="738" w:type="pct"/>
            <w:vAlign w:val="center"/>
            <w:hideMark/>
          </w:tcPr>
          <w:p w14:paraId="2467868C"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42.65</w:t>
            </w:r>
          </w:p>
        </w:tc>
      </w:tr>
      <w:tr w:rsidR="00D14E18" w:rsidRPr="000B65DC" w14:paraId="43480283" w14:textId="77777777" w:rsidTr="009D5DE4">
        <w:tc>
          <w:tcPr>
            <w:tcW w:w="1766" w:type="pct"/>
            <w:vAlign w:val="center"/>
            <w:hideMark/>
          </w:tcPr>
          <w:p w14:paraId="736020E9" w14:textId="77777777" w:rsidR="00D14E18" w:rsidRPr="000B65DC" w:rsidRDefault="00D14E18" w:rsidP="00D14E18">
            <w:pPr>
              <w:jc w:val="right"/>
              <w:rPr>
                <w:rFonts w:ascii="Arial" w:hAnsi="Arial" w:cs="Arial"/>
                <w:b/>
                <w:bCs/>
                <w:sz w:val="20"/>
                <w:szCs w:val="20"/>
              </w:rPr>
            </w:pPr>
            <w:proofErr w:type="spellStart"/>
            <w:r w:rsidRPr="000B65DC">
              <w:rPr>
                <w:rFonts w:ascii="Arial" w:hAnsi="Arial" w:cs="Arial"/>
                <w:b/>
                <w:bCs/>
                <w:sz w:val="20"/>
                <w:szCs w:val="20"/>
              </w:rPr>
              <w:t>S.Em</w:t>
            </w:r>
            <w:proofErr w:type="spellEnd"/>
            <w:r w:rsidRPr="000B65DC">
              <w:rPr>
                <w:rFonts w:ascii="Arial" w:hAnsi="Arial" w:cs="Arial"/>
                <w:b/>
                <w:bCs/>
                <w:sz w:val="20"/>
                <w:szCs w:val="20"/>
              </w:rPr>
              <w:t>. ±</w:t>
            </w:r>
          </w:p>
        </w:tc>
        <w:tc>
          <w:tcPr>
            <w:tcW w:w="1453" w:type="pct"/>
            <w:vAlign w:val="center"/>
            <w:hideMark/>
          </w:tcPr>
          <w:p w14:paraId="49DB8A66"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0.04</w:t>
            </w:r>
          </w:p>
        </w:tc>
        <w:tc>
          <w:tcPr>
            <w:tcW w:w="1043" w:type="pct"/>
            <w:vAlign w:val="center"/>
            <w:hideMark/>
          </w:tcPr>
          <w:p w14:paraId="0659395C"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0.02</w:t>
            </w:r>
          </w:p>
        </w:tc>
        <w:tc>
          <w:tcPr>
            <w:tcW w:w="738" w:type="pct"/>
            <w:vAlign w:val="center"/>
            <w:hideMark/>
          </w:tcPr>
          <w:p w14:paraId="27FA2AC8"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1.52</w:t>
            </w:r>
          </w:p>
        </w:tc>
      </w:tr>
      <w:tr w:rsidR="00D14E18" w:rsidRPr="000B65DC" w14:paraId="63977908" w14:textId="77777777" w:rsidTr="009D5DE4">
        <w:tc>
          <w:tcPr>
            <w:tcW w:w="1766" w:type="pct"/>
            <w:vAlign w:val="center"/>
            <w:hideMark/>
          </w:tcPr>
          <w:p w14:paraId="3C953CD9"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CD at 5%</w:t>
            </w:r>
          </w:p>
        </w:tc>
        <w:tc>
          <w:tcPr>
            <w:tcW w:w="1453" w:type="pct"/>
            <w:vAlign w:val="center"/>
            <w:hideMark/>
          </w:tcPr>
          <w:p w14:paraId="444C21D4"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NS</w:t>
            </w:r>
          </w:p>
        </w:tc>
        <w:tc>
          <w:tcPr>
            <w:tcW w:w="1043" w:type="pct"/>
            <w:vAlign w:val="center"/>
            <w:hideMark/>
          </w:tcPr>
          <w:p w14:paraId="37BAA96B"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NS</w:t>
            </w:r>
          </w:p>
        </w:tc>
        <w:tc>
          <w:tcPr>
            <w:tcW w:w="738" w:type="pct"/>
            <w:vAlign w:val="center"/>
            <w:hideMark/>
          </w:tcPr>
          <w:p w14:paraId="0F023AD3"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NS</w:t>
            </w:r>
          </w:p>
        </w:tc>
      </w:tr>
      <w:tr w:rsidR="00D14E18" w:rsidRPr="000B65DC" w14:paraId="14ECCE75" w14:textId="77777777" w:rsidTr="009D5DE4">
        <w:tc>
          <w:tcPr>
            <w:tcW w:w="1766" w:type="pct"/>
            <w:hideMark/>
          </w:tcPr>
          <w:p w14:paraId="450B1394" w14:textId="77777777" w:rsidR="00D14E18" w:rsidRPr="000B65DC" w:rsidRDefault="00D14E18" w:rsidP="00D14E18">
            <w:pPr>
              <w:jc w:val="both"/>
              <w:rPr>
                <w:rFonts w:ascii="Arial" w:hAnsi="Arial" w:cs="Arial"/>
                <w:sz w:val="20"/>
                <w:szCs w:val="20"/>
              </w:rPr>
            </w:pPr>
            <w:r w:rsidRPr="000B65DC">
              <w:rPr>
                <w:rFonts w:ascii="Arial" w:hAnsi="Arial" w:cs="Arial"/>
                <w:b/>
                <w:bCs/>
                <w:sz w:val="20"/>
                <w:szCs w:val="20"/>
              </w:rPr>
              <w:t>Interaction (S × Zn)</w:t>
            </w:r>
          </w:p>
        </w:tc>
        <w:tc>
          <w:tcPr>
            <w:tcW w:w="1453" w:type="pct"/>
            <w:vAlign w:val="center"/>
            <w:hideMark/>
          </w:tcPr>
          <w:p w14:paraId="54FAEF47"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NS</w:t>
            </w:r>
          </w:p>
        </w:tc>
        <w:tc>
          <w:tcPr>
            <w:tcW w:w="1043" w:type="pct"/>
            <w:vAlign w:val="center"/>
            <w:hideMark/>
          </w:tcPr>
          <w:p w14:paraId="39BA60D1"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NS</w:t>
            </w:r>
          </w:p>
        </w:tc>
        <w:tc>
          <w:tcPr>
            <w:tcW w:w="738" w:type="pct"/>
            <w:vAlign w:val="center"/>
            <w:hideMark/>
          </w:tcPr>
          <w:p w14:paraId="3E210C97"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NS</w:t>
            </w:r>
          </w:p>
        </w:tc>
      </w:tr>
      <w:tr w:rsidR="00D14E18" w:rsidRPr="000B65DC" w14:paraId="2D54B016" w14:textId="77777777" w:rsidTr="009D5DE4">
        <w:tc>
          <w:tcPr>
            <w:tcW w:w="1766" w:type="pct"/>
            <w:vAlign w:val="center"/>
            <w:hideMark/>
          </w:tcPr>
          <w:p w14:paraId="5BB90A8F" w14:textId="77777777" w:rsidR="00D14E18" w:rsidRPr="000B65DC" w:rsidRDefault="00D14E18" w:rsidP="00D14E18">
            <w:pPr>
              <w:jc w:val="right"/>
              <w:rPr>
                <w:rFonts w:ascii="Arial" w:hAnsi="Arial" w:cs="Arial"/>
                <w:b/>
                <w:bCs/>
                <w:sz w:val="20"/>
                <w:szCs w:val="20"/>
              </w:rPr>
            </w:pPr>
            <w:proofErr w:type="spellStart"/>
            <w:r w:rsidRPr="000B65DC">
              <w:rPr>
                <w:rFonts w:ascii="Arial" w:hAnsi="Arial" w:cs="Arial"/>
                <w:b/>
                <w:bCs/>
                <w:sz w:val="20"/>
                <w:szCs w:val="20"/>
              </w:rPr>
              <w:t>S.Em</w:t>
            </w:r>
            <w:proofErr w:type="spellEnd"/>
            <w:r w:rsidRPr="000B65DC">
              <w:rPr>
                <w:rFonts w:ascii="Arial" w:hAnsi="Arial" w:cs="Arial"/>
                <w:b/>
                <w:bCs/>
                <w:sz w:val="20"/>
                <w:szCs w:val="20"/>
              </w:rPr>
              <w:t>. ±</w:t>
            </w:r>
          </w:p>
        </w:tc>
        <w:tc>
          <w:tcPr>
            <w:tcW w:w="1453" w:type="pct"/>
            <w:vAlign w:val="center"/>
            <w:hideMark/>
          </w:tcPr>
          <w:p w14:paraId="64D708A8"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0.08</w:t>
            </w:r>
          </w:p>
        </w:tc>
        <w:tc>
          <w:tcPr>
            <w:tcW w:w="1043" w:type="pct"/>
            <w:vAlign w:val="center"/>
            <w:hideMark/>
          </w:tcPr>
          <w:p w14:paraId="287406C6"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0.04</w:t>
            </w:r>
          </w:p>
        </w:tc>
        <w:tc>
          <w:tcPr>
            <w:tcW w:w="738" w:type="pct"/>
            <w:vAlign w:val="center"/>
            <w:hideMark/>
          </w:tcPr>
          <w:p w14:paraId="0634A96F"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2.63</w:t>
            </w:r>
          </w:p>
        </w:tc>
      </w:tr>
      <w:tr w:rsidR="00D14E18" w:rsidRPr="000B65DC" w14:paraId="2132112C" w14:textId="77777777" w:rsidTr="009D5DE4">
        <w:tc>
          <w:tcPr>
            <w:tcW w:w="1766" w:type="pct"/>
            <w:vAlign w:val="center"/>
            <w:hideMark/>
          </w:tcPr>
          <w:p w14:paraId="24F40EA4"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CV (%)</w:t>
            </w:r>
          </w:p>
        </w:tc>
        <w:tc>
          <w:tcPr>
            <w:tcW w:w="1453" w:type="pct"/>
            <w:vAlign w:val="center"/>
            <w:hideMark/>
          </w:tcPr>
          <w:p w14:paraId="41E26A77"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5.91</w:t>
            </w:r>
          </w:p>
        </w:tc>
        <w:tc>
          <w:tcPr>
            <w:tcW w:w="1043" w:type="pct"/>
            <w:vAlign w:val="center"/>
            <w:hideMark/>
          </w:tcPr>
          <w:p w14:paraId="261B3C9C"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5.90</w:t>
            </w:r>
          </w:p>
        </w:tc>
        <w:tc>
          <w:tcPr>
            <w:tcW w:w="738" w:type="pct"/>
            <w:vAlign w:val="center"/>
            <w:hideMark/>
          </w:tcPr>
          <w:p w14:paraId="7DF0FD4B"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12.34</w:t>
            </w:r>
          </w:p>
        </w:tc>
      </w:tr>
      <w:tr w:rsidR="00D14E18" w:rsidRPr="000B65DC" w14:paraId="775E9F68" w14:textId="77777777" w:rsidTr="009D5DE4">
        <w:trPr>
          <w:trHeight w:val="415"/>
        </w:trPr>
        <w:tc>
          <w:tcPr>
            <w:tcW w:w="1766" w:type="pct"/>
            <w:vAlign w:val="center"/>
          </w:tcPr>
          <w:p w14:paraId="18C98041"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Initial</w:t>
            </w:r>
          </w:p>
        </w:tc>
        <w:tc>
          <w:tcPr>
            <w:tcW w:w="1453" w:type="pct"/>
            <w:vAlign w:val="center"/>
          </w:tcPr>
          <w:p w14:paraId="054A0B18"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2.62</w:t>
            </w:r>
          </w:p>
        </w:tc>
        <w:tc>
          <w:tcPr>
            <w:tcW w:w="1043" w:type="pct"/>
            <w:vAlign w:val="center"/>
          </w:tcPr>
          <w:p w14:paraId="04984428"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1.46</w:t>
            </w:r>
          </w:p>
        </w:tc>
        <w:tc>
          <w:tcPr>
            <w:tcW w:w="738" w:type="pct"/>
            <w:vAlign w:val="center"/>
          </w:tcPr>
          <w:p w14:paraId="607B5AFE"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42.70</w:t>
            </w:r>
          </w:p>
        </w:tc>
      </w:tr>
    </w:tbl>
    <w:p w14:paraId="04165085" w14:textId="77777777" w:rsidR="00B46191" w:rsidRPr="000B65DC" w:rsidRDefault="00B46191" w:rsidP="00D14E18">
      <w:pPr>
        <w:spacing w:before="240"/>
        <w:jc w:val="both"/>
        <w:rPr>
          <w:rFonts w:ascii="Arial" w:hAnsi="Arial" w:cs="Arial"/>
          <w:b/>
          <w:bCs/>
          <w:sz w:val="20"/>
          <w:szCs w:val="20"/>
          <w:lang w:val="en-GB"/>
        </w:rPr>
      </w:pPr>
      <w:r w:rsidRPr="000B65DC">
        <w:rPr>
          <w:rFonts w:ascii="Arial" w:hAnsi="Arial" w:cs="Arial"/>
          <w:b/>
          <w:bCs/>
          <w:sz w:val="20"/>
          <w:szCs w:val="20"/>
          <w:lang w:val="en-GB"/>
        </w:rPr>
        <w:t>3.</w:t>
      </w:r>
      <w:r w:rsidR="00C02DE0" w:rsidRPr="000B65DC">
        <w:rPr>
          <w:rFonts w:ascii="Arial" w:hAnsi="Arial" w:cs="Arial"/>
          <w:b/>
          <w:bCs/>
          <w:sz w:val="20"/>
          <w:szCs w:val="20"/>
          <w:lang w:val="en-GB"/>
        </w:rPr>
        <w:t>3</w:t>
      </w:r>
      <w:r w:rsidRPr="000B65DC">
        <w:rPr>
          <w:rFonts w:ascii="Arial" w:hAnsi="Arial" w:cs="Arial"/>
          <w:b/>
          <w:bCs/>
          <w:sz w:val="20"/>
          <w:szCs w:val="20"/>
          <w:lang w:val="en-GB"/>
        </w:rPr>
        <w:t>.4 Soil Microbial Population</w:t>
      </w:r>
    </w:p>
    <w:p w14:paraId="671BBBFB" w14:textId="77777777" w:rsidR="00D65DD7"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Both nutrients significantly increased the post-harvest soil microbial populations (Table 8). Bacterial counts reached 10.37 × 10⁶ CFU g⁻¹ at 40 kg S ha⁻¹ (S₃), which was significantly higher than 6.17 × 10⁶ CFU g⁻¹ in the control (S₁). Zinc application increased the bacterial population to 8.90 × 10⁶ CFU g⁻¹ at Zn₃, compared with 7.47 × 10⁶ CFU g⁻¹ at Zn₁. Actinomycete and fungal counts followed the same pattern, reaching their highest values of 8.90 × 10⁴ and 8.60 × 10³ CFU g⁻¹, respectively, under S₃, and 7.60 × 10⁴ and 7.43 × 10³ CFU g⁻¹, respectively, under Zn₃.</w:t>
      </w:r>
    </w:p>
    <w:p w14:paraId="2E0778D5" w14:textId="77777777" w:rsidR="00B46191" w:rsidRPr="000B65DC" w:rsidRDefault="00D65DD7" w:rsidP="00D65DD7">
      <w:pPr>
        <w:jc w:val="both"/>
        <w:rPr>
          <w:rFonts w:ascii="Arial" w:hAnsi="Arial" w:cs="Arial"/>
          <w:sz w:val="20"/>
          <w:szCs w:val="20"/>
          <w:lang w:val="en-GB"/>
        </w:rPr>
      </w:pPr>
      <w:r w:rsidRPr="000B65DC">
        <w:rPr>
          <w:rFonts w:ascii="Arial" w:hAnsi="Arial" w:cs="Arial"/>
          <w:sz w:val="20"/>
          <w:szCs w:val="20"/>
          <w:lang w:val="en-GB"/>
        </w:rPr>
        <w:t xml:space="preserve">The increase in soil organic carbon associated with sulphur nutrition may have provided a greater substrate supply for heterotrophic microflora, while sulphur-oxidising bacteria may also have benefited from increased substrate availability. Zinc, as an essential cofactor for microbial enzymes, may have </w:t>
      </w:r>
      <w:r w:rsidRPr="000B65DC">
        <w:rPr>
          <w:rFonts w:ascii="Arial" w:hAnsi="Arial" w:cs="Arial"/>
          <w:sz w:val="20"/>
          <w:szCs w:val="20"/>
          <w:lang w:val="en-GB"/>
        </w:rPr>
        <w:lastRenderedPageBreak/>
        <w:t xml:space="preserve">further supported microbial proliferation (Kumar </w:t>
      </w:r>
      <w:r w:rsidRPr="000B65DC">
        <w:rPr>
          <w:rFonts w:ascii="Arial" w:hAnsi="Arial" w:cs="Arial"/>
          <w:i/>
          <w:sz w:val="20"/>
          <w:szCs w:val="20"/>
          <w:lang w:val="en-GB"/>
        </w:rPr>
        <w:t>et al.</w:t>
      </w:r>
      <w:r w:rsidRPr="000B65DC">
        <w:rPr>
          <w:rFonts w:ascii="Arial" w:hAnsi="Arial" w:cs="Arial"/>
          <w:sz w:val="20"/>
          <w:szCs w:val="20"/>
          <w:lang w:val="en-GB"/>
        </w:rPr>
        <w:t xml:space="preserve">, 2023; Ram </w:t>
      </w:r>
      <w:r w:rsidRPr="000B65DC">
        <w:rPr>
          <w:rFonts w:ascii="Arial" w:hAnsi="Arial" w:cs="Arial"/>
          <w:i/>
          <w:sz w:val="20"/>
          <w:szCs w:val="20"/>
          <w:lang w:val="en-GB"/>
        </w:rPr>
        <w:t>et al.</w:t>
      </w:r>
      <w:r w:rsidRPr="000B65DC">
        <w:rPr>
          <w:rFonts w:ascii="Arial" w:hAnsi="Arial" w:cs="Arial"/>
          <w:sz w:val="20"/>
          <w:szCs w:val="20"/>
          <w:lang w:val="en-GB"/>
        </w:rPr>
        <w:t>, 2017). The S × Zn interaction was non-significant for all three microbial groups.</w:t>
      </w:r>
    </w:p>
    <w:p w14:paraId="6FB34563" w14:textId="77777777" w:rsidR="00B46191" w:rsidRPr="000B65DC" w:rsidRDefault="00B46191" w:rsidP="00B46191">
      <w:pPr>
        <w:jc w:val="both"/>
        <w:rPr>
          <w:rFonts w:ascii="Arial" w:hAnsi="Arial" w:cs="Arial"/>
          <w:b/>
          <w:bCs/>
          <w:sz w:val="20"/>
          <w:szCs w:val="20"/>
          <w:lang w:val="en-GB"/>
        </w:rPr>
      </w:pPr>
      <w:r w:rsidRPr="000B65DC">
        <w:rPr>
          <w:rFonts w:ascii="Arial" w:hAnsi="Arial" w:cs="Arial"/>
          <w:b/>
          <w:bCs/>
          <w:sz w:val="20"/>
          <w:szCs w:val="20"/>
          <w:lang w:val="en-GB"/>
        </w:rPr>
        <w:t xml:space="preserve">Table </w:t>
      </w:r>
      <w:r w:rsidR="007F7018" w:rsidRPr="000B65DC">
        <w:rPr>
          <w:rFonts w:ascii="Arial" w:hAnsi="Arial" w:cs="Arial"/>
          <w:b/>
          <w:bCs/>
          <w:sz w:val="20"/>
          <w:szCs w:val="20"/>
          <w:lang w:val="en-GB"/>
        </w:rPr>
        <w:t>8</w:t>
      </w:r>
      <w:r w:rsidRPr="000B65DC">
        <w:rPr>
          <w:rFonts w:ascii="Arial" w:hAnsi="Arial" w:cs="Arial"/>
          <w:b/>
          <w:bCs/>
          <w:sz w:val="20"/>
          <w:szCs w:val="20"/>
          <w:lang w:val="en-GB"/>
        </w:rPr>
        <w:t>. Soil Microbial Population after Harvest as Influenced by Sulphur and Zinc Levels</w:t>
      </w:r>
    </w:p>
    <w:tbl>
      <w:tblPr>
        <w:tblStyle w:val="TableGrid"/>
        <w:tblW w:w="5000" w:type="pct"/>
        <w:tblLook w:val="04A0" w:firstRow="1" w:lastRow="0" w:firstColumn="1" w:lastColumn="0" w:noHBand="0" w:noVBand="1"/>
      </w:tblPr>
      <w:tblGrid>
        <w:gridCol w:w="2916"/>
        <w:gridCol w:w="1951"/>
        <w:gridCol w:w="2198"/>
        <w:gridCol w:w="1951"/>
      </w:tblGrid>
      <w:tr w:rsidR="00D14E18" w:rsidRPr="000B65DC" w14:paraId="23E7459B" w14:textId="77777777" w:rsidTr="009D5DE4">
        <w:tc>
          <w:tcPr>
            <w:tcW w:w="1617" w:type="pct"/>
            <w:hideMark/>
          </w:tcPr>
          <w:p w14:paraId="4B79E824" w14:textId="77777777" w:rsidR="00D14E18" w:rsidRPr="000B65DC" w:rsidRDefault="00D14E18" w:rsidP="00D14E18">
            <w:pPr>
              <w:jc w:val="both"/>
              <w:rPr>
                <w:rFonts w:ascii="Arial" w:hAnsi="Arial" w:cs="Arial"/>
                <w:b/>
                <w:bCs/>
                <w:sz w:val="20"/>
                <w:szCs w:val="20"/>
              </w:rPr>
            </w:pPr>
            <w:r w:rsidRPr="000B65DC">
              <w:rPr>
                <w:rFonts w:ascii="Arial" w:hAnsi="Arial" w:cs="Arial"/>
                <w:b/>
                <w:bCs/>
                <w:sz w:val="20"/>
                <w:szCs w:val="20"/>
              </w:rPr>
              <w:t>Treatments</w:t>
            </w:r>
          </w:p>
        </w:tc>
        <w:tc>
          <w:tcPr>
            <w:tcW w:w="1082" w:type="pct"/>
            <w:vAlign w:val="center"/>
            <w:hideMark/>
          </w:tcPr>
          <w:p w14:paraId="1ECB8C9D"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 xml:space="preserve">Bacteria </w:t>
            </w:r>
            <w:r w:rsidRPr="000B65DC">
              <w:rPr>
                <w:rFonts w:ascii="Arial" w:hAnsi="Arial" w:cs="Arial"/>
                <w:b/>
                <w:bCs/>
                <w:sz w:val="20"/>
                <w:szCs w:val="20"/>
              </w:rPr>
              <w:br/>
              <w:t xml:space="preserve">(×10⁶ </w:t>
            </w:r>
            <w:proofErr w:type="spellStart"/>
            <w:r w:rsidRPr="000B65DC">
              <w:rPr>
                <w:rFonts w:ascii="Arial" w:hAnsi="Arial" w:cs="Arial"/>
                <w:b/>
                <w:bCs/>
                <w:sz w:val="20"/>
                <w:szCs w:val="20"/>
              </w:rPr>
              <w:t>cfu</w:t>
            </w:r>
            <w:proofErr w:type="spellEnd"/>
            <w:r w:rsidRPr="000B65DC">
              <w:rPr>
                <w:rFonts w:ascii="Arial" w:hAnsi="Arial" w:cs="Arial"/>
                <w:b/>
                <w:bCs/>
                <w:sz w:val="20"/>
                <w:szCs w:val="20"/>
              </w:rPr>
              <w:t xml:space="preserve"> g</w:t>
            </w:r>
            <w:r w:rsidRPr="000B65DC">
              <w:rPr>
                <w:rFonts w:ascii="Arial" w:hAnsi="Arial" w:cs="Arial"/>
                <w:b/>
                <w:bCs/>
                <w:sz w:val="20"/>
                <w:szCs w:val="20"/>
                <w:vertAlign w:val="superscript"/>
              </w:rPr>
              <w:t>-1</w:t>
            </w:r>
            <w:r w:rsidRPr="000B65DC">
              <w:rPr>
                <w:rFonts w:ascii="Arial" w:hAnsi="Arial" w:cs="Arial"/>
                <w:b/>
                <w:bCs/>
                <w:sz w:val="20"/>
                <w:szCs w:val="20"/>
              </w:rPr>
              <w:t>)</w:t>
            </w:r>
          </w:p>
        </w:tc>
        <w:tc>
          <w:tcPr>
            <w:tcW w:w="1219" w:type="pct"/>
            <w:vAlign w:val="center"/>
            <w:hideMark/>
          </w:tcPr>
          <w:p w14:paraId="01DE2D38"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Actinomycetes</w:t>
            </w:r>
            <w:r w:rsidRPr="000B65DC">
              <w:rPr>
                <w:rFonts w:ascii="Arial" w:hAnsi="Arial" w:cs="Arial"/>
                <w:b/>
                <w:bCs/>
                <w:sz w:val="20"/>
                <w:szCs w:val="20"/>
              </w:rPr>
              <w:br/>
              <w:t xml:space="preserve">(×10⁴ </w:t>
            </w:r>
            <w:proofErr w:type="spellStart"/>
            <w:r w:rsidRPr="000B65DC">
              <w:rPr>
                <w:rFonts w:ascii="Arial" w:hAnsi="Arial" w:cs="Arial"/>
                <w:b/>
                <w:bCs/>
                <w:sz w:val="20"/>
                <w:szCs w:val="20"/>
              </w:rPr>
              <w:t>cfu</w:t>
            </w:r>
            <w:proofErr w:type="spellEnd"/>
            <w:r w:rsidRPr="000B65DC">
              <w:rPr>
                <w:rFonts w:ascii="Arial" w:hAnsi="Arial" w:cs="Arial"/>
                <w:b/>
                <w:bCs/>
                <w:sz w:val="20"/>
                <w:szCs w:val="20"/>
              </w:rPr>
              <w:t xml:space="preserve"> g</w:t>
            </w:r>
            <w:r w:rsidRPr="000B65DC">
              <w:rPr>
                <w:rFonts w:ascii="Arial" w:hAnsi="Arial" w:cs="Arial"/>
                <w:b/>
                <w:bCs/>
                <w:sz w:val="20"/>
                <w:szCs w:val="20"/>
                <w:vertAlign w:val="superscript"/>
              </w:rPr>
              <w:t>-1</w:t>
            </w:r>
            <w:r w:rsidRPr="000B65DC">
              <w:rPr>
                <w:rFonts w:ascii="Arial" w:hAnsi="Arial" w:cs="Arial"/>
                <w:b/>
                <w:bCs/>
                <w:sz w:val="20"/>
                <w:szCs w:val="20"/>
              </w:rPr>
              <w:t>)</w:t>
            </w:r>
          </w:p>
        </w:tc>
        <w:tc>
          <w:tcPr>
            <w:tcW w:w="1082" w:type="pct"/>
            <w:vAlign w:val="center"/>
            <w:hideMark/>
          </w:tcPr>
          <w:p w14:paraId="43796A13"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 xml:space="preserve">Fungi </w:t>
            </w:r>
            <w:r w:rsidRPr="000B65DC">
              <w:rPr>
                <w:rFonts w:ascii="Arial" w:hAnsi="Arial" w:cs="Arial"/>
                <w:b/>
                <w:bCs/>
                <w:sz w:val="20"/>
                <w:szCs w:val="20"/>
              </w:rPr>
              <w:br/>
              <w:t xml:space="preserve">(×10³ </w:t>
            </w:r>
            <w:proofErr w:type="spellStart"/>
            <w:r w:rsidRPr="000B65DC">
              <w:rPr>
                <w:rFonts w:ascii="Arial" w:hAnsi="Arial" w:cs="Arial"/>
                <w:b/>
                <w:bCs/>
                <w:sz w:val="20"/>
                <w:szCs w:val="20"/>
              </w:rPr>
              <w:t>cfu</w:t>
            </w:r>
            <w:proofErr w:type="spellEnd"/>
            <w:r w:rsidRPr="000B65DC">
              <w:rPr>
                <w:rFonts w:ascii="Arial" w:hAnsi="Arial" w:cs="Arial"/>
                <w:b/>
                <w:bCs/>
                <w:sz w:val="20"/>
                <w:szCs w:val="20"/>
              </w:rPr>
              <w:t xml:space="preserve"> g</w:t>
            </w:r>
            <w:r w:rsidRPr="000B65DC">
              <w:rPr>
                <w:rFonts w:ascii="Arial" w:hAnsi="Arial" w:cs="Arial"/>
                <w:b/>
                <w:bCs/>
                <w:sz w:val="20"/>
                <w:szCs w:val="20"/>
                <w:vertAlign w:val="superscript"/>
              </w:rPr>
              <w:t>-1</w:t>
            </w:r>
            <w:r w:rsidRPr="000B65DC">
              <w:rPr>
                <w:rFonts w:ascii="Arial" w:hAnsi="Arial" w:cs="Arial"/>
                <w:b/>
                <w:bCs/>
                <w:sz w:val="20"/>
                <w:szCs w:val="20"/>
              </w:rPr>
              <w:t>)</w:t>
            </w:r>
          </w:p>
        </w:tc>
      </w:tr>
      <w:tr w:rsidR="00D14E18" w:rsidRPr="000B65DC" w14:paraId="3764C5C0" w14:textId="77777777" w:rsidTr="009D5DE4">
        <w:tc>
          <w:tcPr>
            <w:tcW w:w="5000" w:type="pct"/>
            <w:gridSpan w:val="4"/>
            <w:hideMark/>
          </w:tcPr>
          <w:p w14:paraId="7A660899" w14:textId="77777777" w:rsidR="00D14E18" w:rsidRPr="000B65DC" w:rsidRDefault="00D14E18" w:rsidP="00D14E18">
            <w:pPr>
              <w:rPr>
                <w:rFonts w:ascii="Arial" w:hAnsi="Arial" w:cs="Arial"/>
                <w:sz w:val="20"/>
                <w:szCs w:val="20"/>
              </w:rPr>
            </w:pPr>
            <w:r w:rsidRPr="000B65DC">
              <w:rPr>
                <w:rFonts w:ascii="Arial" w:hAnsi="Arial" w:cs="Arial"/>
                <w:b/>
                <w:bCs/>
                <w:sz w:val="20"/>
                <w:szCs w:val="20"/>
              </w:rPr>
              <w:t>(A) Sulphur levels</w:t>
            </w:r>
          </w:p>
        </w:tc>
      </w:tr>
      <w:tr w:rsidR="00D14E18" w:rsidRPr="000B65DC" w14:paraId="0B7865A1" w14:textId="77777777" w:rsidTr="009D5DE4">
        <w:tc>
          <w:tcPr>
            <w:tcW w:w="1617" w:type="pct"/>
            <w:hideMark/>
          </w:tcPr>
          <w:p w14:paraId="30032D71"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S</w:t>
            </w:r>
            <w:r w:rsidRPr="000B65DC">
              <w:rPr>
                <w:rFonts w:ascii="Arial" w:hAnsi="Arial" w:cs="Arial"/>
                <w:sz w:val="20"/>
                <w:szCs w:val="20"/>
                <w:vertAlign w:val="subscript"/>
              </w:rPr>
              <w:t>1</w:t>
            </w:r>
            <w:r w:rsidRPr="000B65DC">
              <w:rPr>
                <w:rFonts w:ascii="Arial" w:hAnsi="Arial" w:cs="Arial"/>
                <w:sz w:val="20"/>
                <w:szCs w:val="20"/>
              </w:rPr>
              <w:t xml:space="preserve"> (00 kg ha</w:t>
            </w:r>
            <w:r w:rsidRPr="000B65DC">
              <w:rPr>
                <w:rFonts w:ascii="Arial" w:hAnsi="Arial" w:cs="Arial"/>
                <w:sz w:val="20"/>
                <w:szCs w:val="20"/>
                <w:vertAlign w:val="superscript"/>
              </w:rPr>
              <w:t>-1</w:t>
            </w:r>
            <w:r w:rsidRPr="000B65DC">
              <w:rPr>
                <w:rFonts w:ascii="Arial" w:hAnsi="Arial" w:cs="Arial"/>
                <w:sz w:val="20"/>
                <w:szCs w:val="20"/>
              </w:rPr>
              <w:t>)</w:t>
            </w:r>
          </w:p>
        </w:tc>
        <w:tc>
          <w:tcPr>
            <w:tcW w:w="1082" w:type="pct"/>
            <w:vAlign w:val="center"/>
            <w:hideMark/>
          </w:tcPr>
          <w:p w14:paraId="04F327F7"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6.17</w:t>
            </w:r>
          </w:p>
        </w:tc>
        <w:tc>
          <w:tcPr>
            <w:tcW w:w="1219" w:type="pct"/>
            <w:vAlign w:val="center"/>
            <w:hideMark/>
          </w:tcPr>
          <w:p w14:paraId="7F50CF05"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5.27</w:t>
            </w:r>
          </w:p>
        </w:tc>
        <w:tc>
          <w:tcPr>
            <w:tcW w:w="1082" w:type="pct"/>
            <w:vAlign w:val="center"/>
            <w:hideMark/>
          </w:tcPr>
          <w:p w14:paraId="5A22FE08"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5.47</w:t>
            </w:r>
          </w:p>
        </w:tc>
      </w:tr>
      <w:tr w:rsidR="00D14E18" w:rsidRPr="000B65DC" w14:paraId="5A00B053" w14:textId="77777777" w:rsidTr="009D5DE4">
        <w:tc>
          <w:tcPr>
            <w:tcW w:w="1617" w:type="pct"/>
            <w:hideMark/>
          </w:tcPr>
          <w:p w14:paraId="24DF9A78"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S</w:t>
            </w:r>
            <w:r w:rsidRPr="000B65DC">
              <w:rPr>
                <w:rFonts w:ascii="Arial" w:hAnsi="Arial" w:cs="Arial"/>
                <w:sz w:val="20"/>
                <w:szCs w:val="20"/>
                <w:vertAlign w:val="subscript"/>
              </w:rPr>
              <w:t>2</w:t>
            </w:r>
            <w:r w:rsidRPr="000B65DC">
              <w:rPr>
                <w:rFonts w:ascii="Arial" w:hAnsi="Arial" w:cs="Arial"/>
                <w:sz w:val="20"/>
                <w:szCs w:val="20"/>
              </w:rPr>
              <w:t xml:space="preserve"> (20 kg ha</w:t>
            </w:r>
            <w:r w:rsidRPr="000B65DC">
              <w:rPr>
                <w:rFonts w:ascii="Arial" w:hAnsi="Arial" w:cs="Arial"/>
                <w:sz w:val="20"/>
                <w:szCs w:val="20"/>
                <w:vertAlign w:val="superscript"/>
              </w:rPr>
              <w:t>-1</w:t>
            </w:r>
            <w:r w:rsidRPr="000B65DC">
              <w:rPr>
                <w:rFonts w:ascii="Arial" w:hAnsi="Arial" w:cs="Arial"/>
                <w:sz w:val="20"/>
                <w:szCs w:val="20"/>
              </w:rPr>
              <w:t>)</w:t>
            </w:r>
          </w:p>
        </w:tc>
        <w:tc>
          <w:tcPr>
            <w:tcW w:w="1082" w:type="pct"/>
            <w:vAlign w:val="center"/>
            <w:hideMark/>
          </w:tcPr>
          <w:p w14:paraId="3135C449"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8.07</w:t>
            </w:r>
          </w:p>
        </w:tc>
        <w:tc>
          <w:tcPr>
            <w:tcW w:w="1219" w:type="pct"/>
            <w:vAlign w:val="center"/>
            <w:hideMark/>
          </w:tcPr>
          <w:p w14:paraId="76B8046D"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6.97</w:t>
            </w:r>
          </w:p>
        </w:tc>
        <w:tc>
          <w:tcPr>
            <w:tcW w:w="1082" w:type="pct"/>
            <w:vAlign w:val="center"/>
            <w:hideMark/>
          </w:tcPr>
          <w:p w14:paraId="0C8EB69F"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6.87</w:t>
            </w:r>
          </w:p>
        </w:tc>
      </w:tr>
      <w:tr w:rsidR="00D14E18" w:rsidRPr="000B65DC" w14:paraId="50E268A1" w14:textId="77777777" w:rsidTr="009D5DE4">
        <w:tc>
          <w:tcPr>
            <w:tcW w:w="1617" w:type="pct"/>
            <w:hideMark/>
          </w:tcPr>
          <w:p w14:paraId="677953B1"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S</w:t>
            </w:r>
            <w:r w:rsidRPr="000B65DC">
              <w:rPr>
                <w:rFonts w:ascii="Arial" w:hAnsi="Arial" w:cs="Arial"/>
                <w:sz w:val="20"/>
                <w:szCs w:val="20"/>
                <w:vertAlign w:val="subscript"/>
              </w:rPr>
              <w:t>3</w:t>
            </w:r>
            <w:r w:rsidRPr="000B65DC">
              <w:rPr>
                <w:rFonts w:ascii="Arial" w:hAnsi="Arial" w:cs="Arial"/>
                <w:sz w:val="20"/>
                <w:szCs w:val="20"/>
              </w:rPr>
              <w:t xml:space="preserve"> (40 kg ha</w:t>
            </w:r>
            <w:r w:rsidRPr="000B65DC">
              <w:rPr>
                <w:rFonts w:ascii="Arial" w:hAnsi="Arial" w:cs="Arial"/>
                <w:sz w:val="20"/>
                <w:szCs w:val="20"/>
                <w:vertAlign w:val="superscript"/>
              </w:rPr>
              <w:t>-1</w:t>
            </w:r>
            <w:r w:rsidRPr="000B65DC">
              <w:rPr>
                <w:rFonts w:ascii="Arial" w:hAnsi="Arial" w:cs="Arial"/>
                <w:sz w:val="20"/>
                <w:szCs w:val="20"/>
              </w:rPr>
              <w:t>)</w:t>
            </w:r>
          </w:p>
        </w:tc>
        <w:tc>
          <w:tcPr>
            <w:tcW w:w="1082" w:type="pct"/>
            <w:vAlign w:val="center"/>
            <w:hideMark/>
          </w:tcPr>
          <w:p w14:paraId="348C8A96"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10.37</w:t>
            </w:r>
          </w:p>
        </w:tc>
        <w:tc>
          <w:tcPr>
            <w:tcW w:w="1219" w:type="pct"/>
            <w:vAlign w:val="center"/>
            <w:hideMark/>
          </w:tcPr>
          <w:p w14:paraId="0EAD7BCE"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8.90</w:t>
            </w:r>
          </w:p>
        </w:tc>
        <w:tc>
          <w:tcPr>
            <w:tcW w:w="1082" w:type="pct"/>
            <w:vAlign w:val="center"/>
            <w:hideMark/>
          </w:tcPr>
          <w:p w14:paraId="3073431C"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8.60</w:t>
            </w:r>
          </w:p>
        </w:tc>
      </w:tr>
      <w:tr w:rsidR="00D14E18" w:rsidRPr="000B65DC" w14:paraId="44A76CEA" w14:textId="77777777" w:rsidTr="009D5DE4">
        <w:tc>
          <w:tcPr>
            <w:tcW w:w="1617" w:type="pct"/>
            <w:vAlign w:val="center"/>
            <w:hideMark/>
          </w:tcPr>
          <w:p w14:paraId="18D4D211" w14:textId="77777777" w:rsidR="00D14E18" w:rsidRPr="000B65DC" w:rsidRDefault="00D14E18" w:rsidP="00D14E18">
            <w:pPr>
              <w:jc w:val="right"/>
              <w:rPr>
                <w:rFonts w:ascii="Arial" w:hAnsi="Arial" w:cs="Arial"/>
                <w:b/>
                <w:bCs/>
                <w:sz w:val="20"/>
                <w:szCs w:val="20"/>
              </w:rPr>
            </w:pPr>
            <w:proofErr w:type="spellStart"/>
            <w:r w:rsidRPr="000B65DC">
              <w:rPr>
                <w:rFonts w:ascii="Arial" w:hAnsi="Arial" w:cs="Arial"/>
                <w:b/>
                <w:bCs/>
                <w:sz w:val="20"/>
                <w:szCs w:val="20"/>
              </w:rPr>
              <w:t>S.Em</w:t>
            </w:r>
            <w:proofErr w:type="spellEnd"/>
            <w:r w:rsidRPr="000B65DC">
              <w:rPr>
                <w:rFonts w:ascii="Arial" w:hAnsi="Arial" w:cs="Arial"/>
                <w:b/>
                <w:bCs/>
                <w:sz w:val="20"/>
                <w:szCs w:val="20"/>
              </w:rPr>
              <w:t>. ±</w:t>
            </w:r>
          </w:p>
        </w:tc>
        <w:tc>
          <w:tcPr>
            <w:tcW w:w="1082" w:type="pct"/>
            <w:vAlign w:val="center"/>
            <w:hideMark/>
          </w:tcPr>
          <w:p w14:paraId="378B8708"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0.12</w:t>
            </w:r>
          </w:p>
        </w:tc>
        <w:tc>
          <w:tcPr>
            <w:tcW w:w="1219" w:type="pct"/>
            <w:vAlign w:val="center"/>
            <w:hideMark/>
          </w:tcPr>
          <w:p w14:paraId="7EC801DD"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0.10</w:t>
            </w:r>
          </w:p>
        </w:tc>
        <w:tc>
          <w:tcPr>
            <w:tcW w:w="1082" w:type="pct"/>
            <w:vAlign w:val="center"/>
            <w:hideMark/>
          </w:tcPr>
          <w:p w14:paraId="59FC71D2"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0.10</w:t>
            </w:r>
          </w:p>
        </w:tc>
      </w:tr>
      <w:tr w:rsidR="00D14E18" w:rsidRPr="000B65DC" w14:paraId="69195957" w14:textId="77777777" w:rsidTr="009D5DE4">
        <w:tc>
          <w:tcPr>
            <w:tcW w:w="1617" w:type="pct"/>
            <w:vAlign w:val="center"/>
            <w:hideMark/>
          </w:tcPr>
          <w:p w14:paraId="660A2EDD"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CD at 5%</w:t>
            </w:r>
          </w:p>
        </w:tc>
        <w:tc>
          <w:tcPr>
            <w:tcW w:w="1082" w:type="pct"/>
            <w:vAlign w:val="center"/>
            <w:hideMark/>
          </w:tcPr>
          <w:p w14:paraId="2FB4B6AB"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0.35</w:t>
            </w:r>
          </w:p>
        </w:tc>
        <w:tc>
          <w:tcPr>
            <w:tcW w:w="1219" w:type="pct"/>
            <w:vAlign w:val="center"/>
            <w:hideMark/>
          </w:tcPr>
          <w:p w14:paraId="42D0848E"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0.28</w:t>
            </w:r>
          </w:p>
        </w:tc>
        <w:tc>
          <w:tcPr>
            <w:tcW w:w="1082" w:type="pct"/>
            <w:vAlign w:val="center"/>
            <w:hideMark/>
          </w:tcPr>
          <w:p w14:paraId="547A0B89"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0.28</w:t>
            </w:r>
          </w:p>
        </w:tc>
      </w:tr>
      <w:tr w:rsidR="00D14E18" w:rsidRPr="000B65DC" w14:paraId="6ECA73F6" w14:textId="77777777" w:rsidTr="009D5DE4">
        <w:tc>
          <w:tcPr>
            <w:tcW w:w="5000" w:type="pct"/>
            <w:gridSpan w:val="4"/>
            <w:hideMark/>
          </w:tcPr>
          <w:p w14:paraId="0C853EE4" w14:textId="77777777" w:rsidR="00D14E18" w:rsidRPr="000B65DC" w:rsidRDefault="00D14E18" w:rsidP="00D14E18">
            <w:pPr>
              <w:rPr>
                <w:rFonts w:ascii="Arial" w:hAnsi="Arial" w:cs="Arial"/>
                <w:sz w:val="20"/>
                <w:szCs w:val="20"/>
              </w:rPr>
            </w:pPr>
            <w:r w:rsidRPr="000B65DC">
              <w:rPr>
                <w:rFonts w:ascii="Arial" w:hAnsi="Arial" w:cs="Arial"/>
                <w:b/>
                <w:bCs/>
                <w:sz w:val="20"/>
                <w:szCs w:val="20"/>
              </w:rPr>
              <w:t>(B) Zinc levels</w:t>
            </w:r>
          </w:p>
        </w:tc>
      </w:tr>
      <w:tr w:rsidR="00D14E18" w:rsidRPr="000B65DC" w14:paraId="2A3108DE" w14:textId="77777777" w:rsidTr="009D5DE4">
        <w:tc>
          <w:tcPr>
            <w:tcW w:w="1617" w:type="pct"/>
            <w:hideMark/>
          </w:tcPr>
          <w:p w14:paraId="67CF9AFA"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Zn</w:t>
            </w:r>
            <w:r w:rsidRPr="000B65DC">
              <w:rPr>
                <w:rFonts w:ascii="Arial" w:hAnsi="Arial" w:cs="Arial"/>
                <w:sz w:val="20"/>
                <w:szCs w:val="20"/>
                <w:vertAlign w:val="subscript"/>
              </w:rPr>
              <w:t>1</w:t>
            </w:r>
            <w:r w:rsidRPr="000B65DC">
              <w:rPr>
                <w:rFonts w:ascii="Arial" w:hAnsi="Arial" w:cs="Arial"/>
                <w:sz w:val="20"/>
                <w:szCs w:val="20"/>
              </w:rPr>
              <w:t xml:space="preserve"> (00 kg ha</w:t>
            </w:r>
            <w:r w:rsidRPr="000B65DC">
              <w:rPr>
                <w:rFonts w:ascii="Arial" w:hAnsi="Arial" w:cs="Arial"/>
                <w:sz w:val="20"/>
                <w:szCs w:val="20"/>
                <w:vertAlign w:val="superscript"/>
              </w:rPr>
              <w:t>-1</w:t>
            </w:r>
            <w:r w:rsidRPr="000B65DC">
              <w:rPr>
                <w:rFonts w:ascii="Arial" w:hAnsi="Arial" w:cs="Arial"/>
                <w:sz w:val="20"/>
                <w:szCs w:val="20"/>
              </w:rPr>
              <w:t>)</w:t>
            </w:r>
          </w:p>
        </w:tc>
        <w:tc>
          <w:tcPr>
            <w:tcW w:w="1082" w:type="pct"/>
            <w:vAlign w:val="center"/>
            <w:hideMark/>
          </w:tcPr>
          <w:p w14:paraId="22795757"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7.47</w:t>
            </w:r>
          </w:p>
        </w:tc>
        <w:tc>
          <w:tcPr>
            <w:tcW w:w="1219" w:type="pct"/>
            <w:vAlign w:val="center"/>
            <w:hideMark/>
          </w:tcPr>
          <w:p w14:paraId="24187B60"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6.47</w:t>
            </w:r>
          </w:p>
        </w:tc>
        <w:tc>
          <w:tcPr>
            <w:tcW w:w="1082" w:type="pct"/>
            <w:vAlign w:val="center"/>
            <w:hideMark/>
          </w:tcPr>
          <w:p w14:paraId="5A41D263"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6.50</w:t>
            </w:r>
          </w:p>
        </w:tc>
      </w:tr>
      <w:tr w:rsidR="00D14E18" w:rsidRPr="000B65DC" w14:paraId="547508E9" w14:textId="77777777" w:rsidTr="009D5DE4">
        <w:tc>
          <w:tcPr>
            <w:tcW w:w="1617" w:type="pct"/>
            <w:hideMark/>
          </w:tcPr>
          <w:p w14:paraId="362DEB84"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Zn</w:t>
            </w:r>
            <w:r w:rsidRPr="000B65DC">
              <w:rPr>
                <w:rFonts w:ascii="Arial" w:hAnsi="Arial" w:cs="Arial"/>
                <w:sz w:val="20"/>
                <w:szCs w:val="20"/>
                <w:vertAlign w:val="subscript"/>
              </w:rPr>
              <w:t>2</w:t>
            </w:r>
            <w:r w:rsidRPr="000B65DC">
              <w:rPr>
                <w:rFonts w:ascii="Arial" w:hAnsi="Arial" w:cs="Arial"/>
                <w:sz w:val="20"/>
                <w:szCs w:val="20"/>
              </w:rPr>
              <w:t xml:space="preserve"> (2.5 kg ha</w:t>
            </w:r>
            <w:r w:rsidRPr="000B65DC">
              <w:rPr>
                <w:rFonts w:ascii="Arial" w:hAnsi="Arial" w:cs="Arial"/>
                <w:sz w:val="20"/>
                <w:szCs w:val="20"/>
                <w:vertAlign w:val="superscript"/>
              </w:rPr>
              <w:t>-1</w:t>
            </w:r>
            <w:r w:rsidRPr="000B65DC">
              <w:rPr>
                <w:rFonts w:ascii="Arial" w:hAnsi="Arial" w:cs="Arial"/>
                <w:sz w:val="20"/>
                <w:szCs w:val="20"/>
              </w:rPr>
              <w:t>)</w:t>
            </w:r>
          </w:p>
        </w:tc>
        <w:tc>
          <w:tcPr>
            <w:tcW w:w="1082" w:type="pct"/>
            <w:vAlign w:val="center"/>
            <w:hideMark/>
          </w:tcPr>
          <w:p w14:paraId="1AB0E9A4"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8.23</w:t>
            </w:r>
          </w:p>
        </w:tc>
        <w:tc>
          <w:tcPr>
            <w:tcW w:w="1219" w:type="pct"/>
            <w:vAlign w:val="center"/>
            <w:hideMark/>
          </w:tcPr>
          <w:p w14:paraId="10000562"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7.07</w:t>
            </w:r>
          </w:p>
        </w:tc>
        <w:tc>
          <w:tcPr>
            <w:tcW w:w="1082" w:type="pct"/>
            <w:vAlign w:val="center"/>
            <w:hideMark/>
          </w:tcPr>
          <w:p w14:paraId="6BDB3B0B"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7.00</w:t>
            </w:r>
          </w:p>
        </w:tc>
      </w:tr>
      <w:tr w:rsidR="00D14E18" w:rsidRPr="000B65DC" w14:paraId="0A1A03F0" w14:textId="77777777" w:rsidTr="009D5DE4">
        <w:tc>
          <w:tcPr>
            <w:tcW w:w="1617" w:type="pct"/>
            <w:hideMark/>
          </w:tcPr>
          <w:p w14:paraId="28E3AC7C" w14:textId="77777777" w:rsidR="00D14E18" w:rsidRPr="000B65DC" w:rsidRDefault="00D14E18" w:rsidP="00D14E18">
            <w:pPr>
              <w:jc w:val="both"/>
              <w:rPr>
                <w:rFonts w:ascii="Arial" w:hAnsi="Arial" w:cs="Arial"/>
                <w:sz w:val="20"/>
                <w:szCs w:val="20"/>
              </w:rPr>
            </w:pPr>
            <w:r w:rsidRPr="000B65DC">
              <w:rPr>
                <w:rFonts w:ascii="Arial" w:hAnsi="Arial" w:cs="Arial"/>
                <w:sz w:val="20"/>
                <w:szCs w:val="20"/>
              </w:rPr>
              <w:t>Zn</w:t>
            </w:r>
            <w:r w:rsidRPr="000B65DC">
              <w:rPr>
                <w:rFonts w:ascii="Arial" w:hAnsi="Arial" w:cs="Arial"/>
                <w:sz w:val="20"/>
                <w:szCs w:val="20"/>
                <w:vertAlign w:val="subscript"/>
              </w:rPr>
              <w:t>3</w:t>
            </w:r>
            <w:r w:rsidRPr="000B65DC">
              <w:rPr>
                <w:rFonts w:ascii="Arial" w:hAnsi="Arial" w:cs="Arial"/>
                <w:sz w:val="20"/>
                <w:szCs w:val="20"/>
              </w:rPr>
              <w:t xml:space="preserve"> (5.0 kg ha</w:t>
            </w:r>
            <w:r w:rsidRPr="000B65DC">
              <w:rPr>
                <w:rFonts w:ascii="Arial" w:hAnsi="Arial" w:cs="Arial"/>
                <w:sz w:val="20"/>
                <w:szCs w:val="20"/>
                <w:vertAlign w:val="superscript"/>
              </w:rPr>
              <w:t>-1</w:t>
            </w:r>
            <w:r w:rsidRPr="000B65DC">
              <w:rPr>
                <w:rFonts w:ascii="Arial" w:hAnsi="Arial" w:cs="Arial"/>
                <w:sz w:val="20"/>
                <w:szCs w:val="20"/>
              </w:rPr>
              <w:t>)</w:t>
            </w:r>
          </w:p>
        </w:tc>
        <w:tc>
          <w:tcPr>
            <w:tcW w:w="1082" w:type="pct"/>
            <w:vAlign w:val="center"/>
            <w:hideMark/>
          </w:tcPr>
          <w:p w14:paraId="415CE2B8"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8.90</w:t>
            </w:r>
          </w:p>
        </w:tc>
        <w:tc>
          <w:tcPr>
            <w:tcW w:w="1219" w:type="pct"/>
            <w:vAlign w:val="center"/>
            <w:hideMark/>
          </w:tcPr>
          <w:p w14:paraId="2372863C"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7.60</w:t>
            </w:r>
          </w:p>
        </w:tc>
        <w:tc>
          <w:tcPr>
            <w:tcW w:w="1082" w:type="pct"/>
            <w:vAlign w:val="center"/>
            <w:hideMark/>
          </w:tcPr>
          <w:p w14:paraId="7B947A05"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7.43</w:t>
            </w:r>
          </w:p>
        </w:tc>
      </w:tr>
      <w:tr w:rsidR="00D14E18" w:rsidRPr="000B65DC" w14:paraId="3CA80498" w14:textId="77777777" w:rsidTr="009D5DE4">
        <w:tc>
          <w:tcPr>
            <w:tcW w:w="1617" w:type="pct"/>
            <w:vAlign w:val="center"/>
            <w:hideMark/>
          </w:tcPr>
          <w:p w14:paraId="2315B3E1" w14:textId="77777777" w:rsidR="00D14E18" w:rsidRPr="000B65DC" w:rsidRDefault="00D14E18" w:rsidP="00D14E18">
            <w:pPr>
              <w:jc w:val="right"/>
              <w:rPr>
                <w:rFonts w:ascii="Arial" w:hAnsi="Arial" w:cs="Arial"/>
                <w:b/>
                <w:bCs/>
                <w:sz w:val="20"/>
                <w:szCs w:val="20"/>
              </w:rPr>
            </w:pPr>
            <w:proofErr w:type="spellStart"/>
            <w:r w:rsidRPr="000B65DC">
              <w:rPr>
                <w:rFonts w:ascii="Arial" w:hAnsi="Arial" w:cs="Arial"/>
                <w:b/>
                <w:bCs/>
                <w:sz w:val="20"/>
                <w:szCs w:val="20"/>
              </w:rPr>
              <w:t>S.Em</w:t>
            </w:r>
            <w:proofErr w:type="spellEnd"/>
            <w:r w:rsidRPr="000B65DC">
              <w:rPr>
                <w:rFonts w:ascii="Arial" w:hAnsi="Arial" w:cs="Arial"/>
                <w:b/>
                <w:bCs/>
                <w:sz w:val="20"/>
                <w:szCs w:val="20"/>
              </w:rPr>
              <w:t>. ±</w:t>
            </w:r>
          </w:p>
        </w:tc>
        <w:tc>
          <w:tcPr>
            <w:tcW w:w="1082" w:type="pct"/>
            <w:vAlign w:val="center"/>
            <w:hideMark/>
          </w:tcPr>
          <w:p w14:paraId="12A2803B"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0.12</w:t>
            </w:r>
          </w:p>
        </w:tc>
        <w:tc>
          <w:tcPr>
            <w:tcW w:w="1219" w:type="pct"/>
            <w:vAlign w:val="center"/>
            <w:hideMark/>
          </w:tcPr>
          <w:p w14:paraId="7F1E0177"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0.10</w:t>
            </w:r>
          </w:p>
        </w:tc>
        <w:tc>
          <w:tcPr>
            <w:tcW w:w="1082" w:type="pct"/>
            <w:vAlign w:val="center"/>
            <w:hideMark/>
          </w:tcPr>
          <w:p w14:paraId="3D2B2E9D"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0.10</w:t>
            </w:r>
          </w:p>
        </w:tc>
      </w:tr>
      <w:tr w:rsidR="00D14E18" w:rsidRPr="000B65DC" w14:paraId="608DDD35" w14:textId="77777777" w:rsidTr="009D5DE4">
        <w:tc>
          <w:tcPr>
            <w:tcW w:w="1617" w:type="pct"/>
            <w:vAlign w:val="center"/>
            <w:hideMark/>
          </w:tcPr>
          <w:p w14:paraId="14C5009B"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CD at 5%</w:t>
            </w:r>
          </w:p>
        </w:tc>
        <w:tc>
          <w:tcPr>
            <w:tcW w:w="1082" w:type="pct"/>
            <w:vAlign w:val="center"/>
            <w:hideMark/>
          </w:tcPr>
          <w:p w14:paraId="64B4F56D"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0.35</w:t>
            </w:r>
          </w:p>
        </w:tc>
        <w:tc>
          <w:tcPr>
            <w:tcW w:w="1219" w:type="pct"/>
            <w:vAlign w:val="center"/>
            <w:hideMark/>
          </w:tcPr>
          <w:p w14:paraId="0D383C81"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0.28</w:t>
            </w:r>
          </w:p>
        </w:tc>
        <w:tc>
          <w:tcPr>
            <w:tcW w:w="1082" w:type="pct"/>
            <w:vAlign w:val="center"/>
            <w:hideMark/>
          </w:tcPr>
          <w:p w14:paraId="4175D58A"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0.28</w:t>
            </w:r>
          </w:p>
        </w:tc>
      </w:tr>
      <w:tr w:rsidR="00D14E18" w:rsidRPr="000B65DC" w14:paraId="235D5716" w14:textId="77777777" w:rsidTr="009D5DE4">
        <w:tc>
          <w:tcPr>
            <w:tcW w:w="1617" w:type="pct"/>
            <w:vAlign w:val="center"/>
            <w:hideMark/>
          </w:tcPr>
          <w:p w14:paraId="3D6C1E6F" w14:textId="77777777" w:rsidR="00D14E18" w:rsidRPr="000B65DC" w:rsidRDefault="00D14E18" w:rsidP="00D14E18">
            <w:pPr>
              <w:rPr>
                <w:rFonts w:ascii="Arial" w:hAnsi="Arial" w:cs="Arial"/>
                <w:sz w:val="20"/>
                <w:szCs w:val="20"/>
              </w:rPr>
            </w:pPr>
            <w:r w:rsidRPr="000B65DC">
              <w:rPr>
                <w:rFonts w:ascii="Arial" w:hAnsi="Arial" w:cs="Arial"/>
                <w:b/>
                <w:bCs/>
                <w:sz w:val="20"/>
                <w:szCs w:val="20"/>
              </w:rPr>
              <w:t>Interaction (S × Zn)</w:t>
            </w:r>
          </w:p>
        </w:tc>
        <w:tc>
          <w:tcPr>
            <w:tcW w:w="1082" w:type="pct"/>
            <w:vAlign w:val="center"/>
            <w:hideMark/>
          </w:tcPr>
          <w:p w14:paraId="77D85C8A"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NS</w:t>
            </w:r>
          </w:p>
        </w:tc>
        <w:tc>
          <w:tcPr>
            <w:tcW w:w="1219" w:type="pct"/>
            <w:vAlign w:val="center"/>
            <w:hideMark/>
          </w:tcPr>
          <w:p w14:paraId="426320A1"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NS</w:t>
            </w:r>
          </w:p>
        </w:tc>
        <w:tc>
          <w:tcPr>
            <w:tcW w:w="1082" w:type="pct"/>
            <w:vAlign w:val="center"/>
            <w:hideMark/>
          </w:tcPr>
          <w:p w14:paraId="6FE79C1F" w14:textId="77777777" w:rsidR="00D14E18" w:rsidRPr="000B65DC" w:rsidRDefault="00D14E18" w:rsidP="00D14E18">
            <w:pPr>
              <w:jc w:val="center"/>
              <w:rPr>
                <w:rFonts w:ascii="Arial" w:hAnsi="Arial" w:cs="Arial"/>
                <w:sz w:val="20"/>
                <w:szCs w:val="20"/>
              </w:rPr>
            </w:pPr>
            <w:r w:rsidRPr="000B65DC">
              <w:rPr>
                <w:rFonts w:ascii="Arial" w:hAnsi="Arial" w:cs="Arial"/>
                <w:sz w:val="20"/>
                <w:szCs w:val="20"/>
              </w:rPr>
              <w:t>NS</w:t>
            </w:r>
          </w:p>
        </w:tc>
      </w:tr>
      <w:tr w:rsidR="00D14E18" w:rsidRPr="000B65DC" w14:paraId="7BAD0CE4" w14:textId="77777777" w:rsidTr="009D5DE4">
        <w:tc>
          <w:tcPr>
            <w:tcW w:w="1617" w:type="pct"/>
            <w:vAlign w:val="center"/>
            <w:hideMark/>
          </w:tcPr>
          <w:p w14:paraId="4EE2AA5A" w14:textId="77777777" w:rsidR="00D14E18" w:rsidRPr="000B65DC" w:rsidRDefault="00D14E18" w:rsidP="00D14E18">
            <w:pPr>
              <w:jc w:val="right"/>
              <w:rPr>
                <w:rFonts w:ascii="Arial" w:hAnsi="Arial" w:cs="Arial"/>
                <w:b/>
                <w:bCs/>
                <w:sz w:val="20"/>
                <w:szCs w:val="20"/>
              </w:rPr>
            </w:pPr>
            <w:proofErr w:type="spellStart"/>
            <w:r w:rsidRPr="000B65DC">
              <w:rPr>
                <w:rFonts w:ascii="Arial" w:hAnsi="Arial" w:cs="Arial"/>
                <w:b/>
                <w:bCs/>
                <w:sz w:val="20"/>
                <w:szCs w:val="20"/>
              </w:rPr>
              <w:t>S.Em</w:t>
            </w:r>
            <w:proofErr w:type="spellEnd"/>
            <w:r w:rsidRPr="000B65DC">
              <w:rPr>
                <w:rFonts w:ascii="Arial" w:hAnsi="Arial" w:cs="Arial"/>
                <w:b/>
                <w:bCs/>
                <w:sz w:val="20"/>
                <w:szCs w:val="20"/>
              </w:rPr>
              <w:t>. ±</w:t>
            </w:r>
          </w:p>
        </w:tc>
        <w:tc>
          <w:tcPr>
            <w:tcW w:w="1082" w:type="pct"/>
            <w:vAlign w:val="center"/>
            <w:hideMark/>
          </w:tcPr>
          <w:p w14:paraId="68AE23D9"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0.21</w:t>
            </w:r>
          </w:p>
        </w:tc>
        <w:tc>
          <w:tcPr>
            <w:tcW w:w="1219" w:type="pct"/>
            <w:vAlign w:val="center"/>
            <w:hideMark/>
          </w:tcPr>
          <w:p w14:paraId="7BA21DE9"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0.17</w:t>
            </w:r>
          </w:p>
        </w:tc>
        <w:tc>
          <w:tcPr>
            <w:tcW w:w="1082" w:type="pct"/>
            <w:vAlign w:val="center"/>
            <w:hideMark/>
          </w:tcPr>
          <w:p w14:paraId="15626AEF"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0.17</w:t>
            </w:r>
          </w:p>
        </w:tc>
      </w:tr>
      <w:tr w:rsidR="00D14E18" w:rsidRPr="000B65DC" w14:paraId="2C40F677" w14:textId="77777777" w:rsidTr="009D5DE4">
        <w:tc>
          <w:tcPr>
            <w:tcW w:w="1617" w:type="pct"/>
            <w:vAlign w:val="center"/>
            <w:hideMark/>
          </w:tcPr>
          <w:p w14:paraId="38D47E44" w14:textId="77777777" w:rsidR="00D14E18" w:rsidRPr="000B65DC" w:rsidRDefault="00D14E18" w:rsidP="00D14E18">
            <w:pPr>
              <w:jc w:val="right"/>
              <w:rPr>
                <w:rFonts w:ascii="Arial" w:hAnsi="Arial" w:cs="Arial"/>
                <w:b/>
                <w:bCs/>
                <w:sz w:val="20"/>
                <w:szCs w:val="20"/>
              </w:rPr>
            </w:pPr>
            <w:r w:rsidRPr="000B65DC">
              <w:rPr>
                <w:rFonts w:ascii="Arial" w:hAnsi="Arial" w:cs="Arial"/>
                <w:b/>
                <w:bCs/>
                <w:sz w:val="20"/>
                <w:szCs w:val="20"/>
              </w:rPr>
              <w:t>CV (%)</w:t>
            </w:r>
          </w:p>
        </w:tc>
        <w:tc>
          <w:tcPr>
            <w:tcW w:w="1082" w:type="pct"/>
            <w:vAlign w:val="center"/>
            <w:hideMark/>
          </w:tcPr>
          <w:p w14:paraId="4AFCBEDC"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5.09</w:t>
            </w:r>
          </w:p>
        </w:tc>
        <w:tc>
          <w:tcPr>
            <w:tcW w:w="1219" w:type="pct"/>
            <w:vAlign w:val="center"/>
            <w:hideMark/>
          </w:tcPr>
          <w:p w14:paraId="5D32D4B0"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4.72</w:t>
            </w:r>
          </w:p>
        </w:tc>
        <w:tc>
          <w:tcPr>
            <w:tcW w:w="1082" w:type="pct"/>
            <w:vAlign w:val="center"/>
            <w:hideMark/>
          </w:tcPr>
          <w:p w14:paraId="02164AD1" w14:textId="77777777" w:rsidR="00D14E18" w:rsidRPr="000B65DC" w:rsidRDefault="00D14E18" w:rsidP="00D14E18">
            <w:pPr>
              <w:jc w:val="center"/>
              <w:rPr>
                <w:rFonts w:ascii="Arial" w:hAnsi="Arial" w:cs="Arial"/>
                <w:b/>
                <w:bCs/>
                <w:sz w:val="20"/>
                <w:szCs w:val="20"/>
              </w:rPr>
            </w:pPr>
            <w:r w:rsidRPr="000B65DC">
              <w:rPr>
                <w:rFonts w:ascii="Arial" w:hAnsi="Arial" w:cs="Arial"/>
                <w:b/>
                <w:bCs/>
                <w:sz w:val="20"/>
                <w:szCs w:val="20"/>
              </w:rPr>
              <w:t>4.79</w:t>
            </w:r>
          </w:p>
        </w:tc>
      </w:tr>
    </w:tbl>
    <w:p w14:paraId="533BF219" w14:textId="77777777" w:rsidR="00D65DD7" w:rsidRPr="000B65DC" w:rsidRDefault="00D65DD7" w:rsidP="00D65DD7">
      <w:pPr>
        <w:spacing w:before="240"/>
        <w:jc w:val="both"/>
        <w:rPr>
          <w:rFonts w:ascii="Arial" w:hAnsi="Arial" w:cs="Arial"/>
          <w:b/>
          <w:bCs/>
          <w:sz w:val="20"/>
          <w:szCs w:val="20"/>
          <w:lang w:val="en-GB"/>
        </w:rPr>
      </w:pPr>
      <w:r w:rsidRPr="000B65DC">
        <w:rPr>
          <w:rFonts w:ascii="Arial" w:hAnsi="Arial" w:cs="Arial"/>
          <w:b/>
          <w:bCs/>
          <w:sz w:val="20"/>
          <w:szCs w:val="20"/>
          <w:lang w:val="en-GB"/>
        </w:rPr>
        <w:t>4. LIMITATIONS OF THE STUDY</w:t>
      </w:r>
    </w:p>
    <w:p w14:paraId="3DC382C6" w14:textId="77777777" w:rsidR="00D65DD7" w:rsidRPr="000B65DC" w:rsidRDefault="00D65DD7" w:rsidP="00D65DD7">
      <w:pPr>
        <w:spacing w:before="240"/>
        <w:jc w:val="both"/>
        <w:rPr>
          <w:rFonts w:ascii="Arial" w:hAnsi="Arial" w:cs="Arial"/>
          <w:sz w:val="20"/>
          <w:szCs w:val="20"/>
          <w:lang w:val="en-GB"/>
        </w:rPr>
      </w:pPr>
      <w:r w:rsidRPr="000B65DC">
        <w:rPr>
          <w:rFonts w:ascii="Arial" w:hAnsi="Arial" w:cs="Arial"/>
          <w:sz w:val="20"/>
          <w:szCs w:val="20"/>
          <w:lang w:val="en-GB"/>
        </w:rPr>
        <w:t xml:space="preserve">This study was conducted during a single </w:t>
      </w:r>
      <w:r w:rsidRPr="000B65DC">
        <w:rPr>
          <w:rFonts w:ascii="Arial" w:hAnsi="Arial" w:cs="Arial"/>
          <w:i/>
          <w:sz w:val="20"/>
          <w:szCs w:val="20"/>
          <w:lang w:val="en-GB"/>
        </w:rPr>
        <w:t>late kharif</w:t>
      </w:r>
      <w:r w:rsidRPr="000B65DC">
        <w:rPr>
          <w:rFonts w:ascii="Arial" w:hAnsi="Arial" w:cs="Arial"/>
          <w:sz w:val="20"/>
          <w:szCs w:val="20"/>
          <w:lang w:val="en-GB"/>
        </w:rPr>
        <w:t xml:space="preserve"> season under the rainfed, medium-black Vertisol conditions of South Gujarat and used only one sesame cultivar, Gujarat Til-4. Consequently, the findings may be influenced by season-specific rainfall, soil mineralogy, and local management conditions. Multi-season and multi-location experiments involving additional cultivars and contrasting soil types are required to assess the consistency and wider applicability of the observed sulphur and zinc responses.</w:t>
      </w:r>
    </w:p>
    <w:p w14:paraId="107CA9AB" w14:textId="77777777" w:rsidR="00D65DD7" w:rsidRPr="000B65DC" w:rsidRDefault="00D65DD7" w:rsidP="00D65DD7">
      <w:pPr>
        <w:spacing w:before="240"/>
        <w:jc w:val="both"/>
        <w:rPr>
          <w:rFonts w:ascii="Arial" w:hAnsi="Arial" w:cs="Arial"/>
          <w:b/>
          <w:bCs/>
          <w:sz w:val="20"/>
          <w:szCs w:val="20"/>
          <w:lang w:val="en-GB"/>
        </w:rPr>
      </w:pPr>
      <w:r w:rsidRPr="000B65DC">
        <w:rPr>
          <w:rFonts w:ascii="Arial" w:hAnsi="Arial" w:cs="Arial"/>
          <w:b/>
          <w:bCs/>
          <w:sz w:val="20"/>
          <w:szCs w:val="20"/>
          <w:lang w:val="en-GB"/>
        </w:rPr>
        <w:t>5. CONCLUSION</w:t>
      </w:r>
    </w:p>
    <w:p w14:paraId="1985C064" w14:textId="77777777" w:rsidR="00D65DD7" w:rsidRPr="000B65DC" w:rsidRDefault="00D65DD7" w:rsidP="00D65DD7">
      <w:pPr>
        <w:spacing w:before="240"/>
        <w:jc w:val="both"/>
        <w:rPr>
          <w:rFonts w:ascii="Arial" w:hAnsi="Arial" w:cs="Arial"/>
          <w:sz w:val="20"/>
          <w:szCs w:val="20"/>
          <w:lang w:val="en-GB"/>
        </w:rPr>
      </w:pPr>
      <w:r w:rsidRPr="000B65DC">
        <w:rPr>
          <w:rFonts w:ascii="Arial" w:hAnsi="Arial" w:cs="Arial"/>
          <w:sz w:val="20"/>
          <w:szCs w:val="20"/>
          <w:lang w:val="en-GB"/>
        </w:rPr>
        <w:t>Under the rainfed, medium-black-soil conditions of South Gujarat, sulphur and zinc independently improved sesame productivity, nutrient concentration and uptake, residual soil nutrient availability, and soil microbial populations. Among the sulphur treatments, 40 kg S ha⁻¹ produced the highest seed and stover yields, total sulphur and zinc uptake, available N, P₂O₅, K₂O, S, Fe, and Zn, soil organic carbon, and microbial counts. Among the zinc treatments, 5.0 kg Zn ha⁻¹ produced the highest seed and stover yields, nutrient concentrations and uptake, available P₂O₅, S, Fe, and Zn, and microbial populations. Zinc application did not significantly affect available N, K₂O, or soil organic carbon. Neither nutrient significantly altered soil pH, particle density, bulk density, or porosity. The S × Zn interaction was non-significant for all measured variables, indicating that the observed responses reflected independent main effects rather than a measurable synergistic interaction. Within the conditions of this single-season experiment, the highest tested rates of sulphur and zinc provided the strongest agronomic and soil-fertility responses; however, broader validation is needed before general recommendations are made.</w:t>
      </w:r>
    </w:p>
    <w:p w14:paraId="3B3289CE" w14:textId="77777777" w:rsidR="00D65DD7" w:rsidRPr="000B65DC" w:rsidRDefault="00D65DD7" w:rsidP="00D65DD7">
      <w:pPr>
        <w:spacing w:before="240"/>
        <w:jc w:val="both"/>
        <w:rPr>
          <w:rFonts w:ascii="Arial" w:hAnsi="Arial" w:cs="Arial"/>
          <w:sz w:val="20"/>
          <w:szCs w:val="20"/>
          <w:lang w:val="en-GB"/>
        </w:rPr>
      </w:pPr>
      <w:r w:rsidRPr="000B65DC">
        <w:rPr>
          <w:rFonts w:ascii="Arial" w:hAnsi="Arial" w:cs="Arial"/>
          <w:b/>
          <w:bCs/>
          <w:sz w:val="20"/>
          <w:szCs w:val="20"/>
          <w:lang w:val="en-GB"/>
        </w:rPr>
        <w:t>RECOMMENDATIONS FOR FARMER PRACTICES:</w:t>
      </w:r>
    </w:p>
    <w:p w14:paraId="1CDD76A2" w14:textId="77777777" w:rsidR="00D65DD7" w:rsidRPr="000B65DC" w:rsidRDefault="00D65DD7" w:rsidP="00D65DD7">
      <w:pPr>
        <w:spacing w:before="240"/>
        <w:jc w:val="both"/>
        <w:rPr>
          <w:rFonts w:ascii="Arial" w:hAnsi="Arial" w:cs="Arial"/>
          <w:sz w:val="20"/>
          <w:szCs w:val="20"/>
          <w:lang w:val="en-GB"/>
        </w:rPr>
      </w:pPr>
      <w:r w:rsidRPr="000B65DC">
        <w:rPr>
          <w:rFonts w:ascii="Arial" w:hAnsi="Arial" w:cs="Arial"/>
          <w:sz w:val="20"/>
          <w:szCs w:val="20"/>
          <w:lang w:val="en-GB"/>
        </w:rPr>
        <w:t xml:space="preserve">Based on the combined agronomic and economic evaluations, farmers are recommended to adopt a balanced basal application of </w:t>
      </w:r>
      <w:r w:rsidRPr="000B65DC">
        <w:rPr>
          <w:rFonts w:ascii="Arial" w:hAnsi="Arial" w:cs="Arial"/>
          <w:b/>
          <w:sz w:val="20"/>
          <w:szCs w:val="20"/>
          <w:lang w:val="en-GB"/>
        </w:rPr>
        <w:t>40 kg S ha⁻¹</w:t>
      </w:r>
      <w:r w:rsidRPr="000B65DC">
        <w:rPr>
          <w:rFonts w:ascii="Arial" w:hAnsi="Arial" w:cs="Arial"/>
          <w:sz w:val="20"/>
          <w:szCs w:val="20"/>
          <w:lang w:val="en-GB"/>
        </w:rPr>
        <w:t xml:space="preserve"> as bentonite sulphur together with </w:t>
      </w:r>
      <w:r w:rsidRPr="000B65DC">
        <w:rPr>
          <w:rFonts w:ascii="Arial" w:hAnsi="Arial" w:cs="Arial"/>
          <w:b/>
          <w:sz w:val="20"/>
          <w:szCs w:val="20"/>
          <w:lang w:val="en-GB"/>
        </w:rPr>
        <w:t>2.5–5.0 kg Zn ha⁻¹</w:t>
      </w:r>
      <w:r w:rsidRPr="000B65DC">
        <w:rPr>
          <w:rFonts w:ascii="Arial" w:hAnsi="Arial" w:cs="Arial"/>
          <w:sz w:val="20"/>
          <w:szCs w:val="20"/>
          <w:lang w:val="en-GB"/>
        </w:rPr>
        <w:t xml:space="preserve"> as zinc-EDTA. Application of 5.0 kg Zn ha⁻¹ generated the maximum net return (₹57,355 ha⁻¹), whereas 2.5 kg Zn ha⁻¹ produced the highest benefit–cost ratio (2.43). This targeted nutrient-management strategy may improve crop productivity and seed quality while supporting long-term soil fertility.</w:t>
      </w:r>
    </w:p>
    <w:p w14:paraId="771CF3AC" w14:textId="77777777" w:rsidR="00D65DD7" w:rsidRPr="000B65DC" w:rsidRDefault="00D65DD7" w:rsidP="00D65DD7">
      <w:pPr>
        <w:spacing w:before="240"/>
        <w:jc w:val="both"/>
        <w:rPr>
          <w:rFonts w:ascii="Arial" w:hAnsi="Arial" w:cs="Arial"/>
          <w:sz w:val="20"/>
          <w:szCs w:val="20"/>
          <w:lang w:val="en-GB"/>
        </w:rPr>
      </w:pPr>
      <w:r w:rsidRPr="000B65DC">
        <w:rPr>
          <w:rFonts w:ascii="Arial" w:hAnsi="Arial" w:cs="Arial"/>
          <w:b/>
          <w:bCs/>
          <w:sz w:val="20"/>
          <w:szCs w:val="20"/>
          <w:lang w:val="en-GB"/>
        </w:rPr>
        <w:t>DECLARATION OF AI USE</w:t>
      </w:r>
    </w:p>
    <w:p w14:paraId="2CBD10FC" w14:textId="77777777" w:rsidR="00B46191" w:rsidRPr="000B65DC" w:rsidRDefault="00D65DD7" w:rsidP="00D65DD7">
      <w:pPr>
        <w:spacing w:before="240"/>
        <w:jc w:val="both"/>
        <w:rPr>
          <w:rFonts w:ascii="Arial" w:hAnsi="Arial" w:cs="Arial"/>
          <w:sz w:val="20"/>
          <w:szCs w:val="20"/>
          <w:lang w:val="en-GB"/>
        </w:rPr>
      </w:pPr>
      <w:r w:rsidRPr="000B65DC">
        <w:rPr>
          <w:rFonts w:ascii="Arial" w:hAnsi="Arial" w:cs="Arial"/>
          <w:sz w:val="20"/>
          <w:szCs w:val="20"/>
          <w:lang w:val="en-GB"/>
        </w:rPr>
        <w:lastRenderedPageBreak/>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C4164FE" w14:textId="77777777" w:rsidR="006E2FB9" w:rsidRPr="000B65DC" w:rsidRDefault="006E2FB9" w:rsidP="006E2FB9">
      <w:pPr>
        <w:jc w:val="both"/>
        <w:rPr>
          <w:rFonts w:ascii="Arial" w:hAnsi="Arial" w:cs="Arial"/>
          <w:sz w:val="20"/>
          <w:szCs w:val="20"/>
          <w:lang w:val="en-GB"/>
        </w:rPr>
      </w:pPr>
      <w:r w:rsidRPr="000B65DC">
        <w:rPr>
          <w:rFonts w:ascii="Arial" w:hAnsi="Arial" w:cs="Arial"/>
          <w:b/>
          <w:bCs/>
          <w:sz w:val="20"/>
          <w:szCs w:val="20"/>
          <w:lang w:val="en-GB"/>
        </w:rPr>
        <w:t>ACKNOWLEDGEMENT</w:t>
      </w:r>
      <w:r w:rsidRPr="000B65DC">
        <w:rPr>
          <w:rFonts w:ascii="Arial" w:hAnsi="Arial" w:cs="Arial"/>
          <w:sz w:val="20"/>
          <w:szCs w:val="20"/>
          <w:lang w:val="en-GB"/>
        </w:rPr>
        <w:t xml:space="preserve"> </w:t>
      </w:r>
    </w:p>
    <w:p w14:paraId="23CC4F20" w14:textId="77777777" w:rsidR="006E2FB9" w:rsidRPr="000B65DC" w:rsidRDefault="006E2FB9" w:rsidP="00B46191">
      <w:pPr>
        <w:jc w:val="both"/>
        <w:rPr>
          <w:rFonts w:ascii="Arial" w:hAnsi="Arial" w:cs="Arial"/>
          <w:sz w:val="20"/>
          <w:szCs w:val="20"/>
          <w:lang w:val="en-GB"/>
        </w:rPr>
      </w:pPr>
      <w:r w:rsidRPr="000B65DC">
        <w:rPr>
          <w:rFonts w:ascii="Arial" w:hAnsi="Arial" w:cs="Arial"/>
          <w:sz w:val="20"/>
          <w:szCs w:val="20"/>
          <w:lang w:val="en-GB"/>
        </w:rPr>
        <w:t>The author is grateful to Dr S. M. Bambhaneeya, Department of Soil Science and Agricultural Chemistry, College of Agriculture, Navsari Agricultural University, Bharuch, for guidance throughout the investigation and to the Department for providing the field, laboratory, and analytical facilities.</w:t>
      </w:r>
    </w:p>
    <w:p w14:paraId="700432FF" w14:textId="77777777" w:rsidR="00B46191" w:rsidRPr="000B65DC" w:rsidRDefault="00B46191" w:rsidP="00B46191">
      <w:pPr>
        <w:jc w:val="both"/>
        <w:rPr>
          <w:rFonts w:ascii="Arial" w:hAnsi="Arial" w:cs="Arial"/>
          <w:b/>
          <w:bCs/>
          <w:sz w:val="20"/>
          <w:szCs w:val="20"/>
          <w:lang w:val="en-GB"/>
        </w:rPr>
      </w:pPr>
      <w:r w:rsidRPr="000B65DC">
        <w:rPr>
          <w:rFonts w:ascii="Arial" w:hAnsi="Arial" w:cs="Arial"/>
          <w:b/>
          <w:bCs/>
          <w:sz w:val="20"/>
          <w:szCs w:val="20"/>
          <w:lang w:val="en-GB"/>
        </w:rPr>
        <w:t>COMPETING INTERESTS</w:t>
      </w:r>
    </w:p>
    <w:p w14:paraId="6C255F90" w14:textId="77777777" w:rsidR="00492D63" w:rsidRPr="000B65DC" w:rsidRDefault="00B46191" w:rsidP="00EC55E3">
      <w:pPr>
        <w:jc w:val="both"/>
        <w:rPr>
          <w:rFonts w:ascii="Arial" w:hAnsi="Arial" w:cs="Arial"/>
          <w:sz w:val="20"/>
          <w:szCs w:val="20"/>
          <w:lang w:val="en-GB"/>
        </w:rPr>
      </w:pPr>
      <w:r w:rsidRPr="000B65DC">
        <w:rPr>
          <w:rFonts w:ascii="Arial" w:hAnsi="Arial" w:cs="Arial"/>
          <w:sz w:val="20"/>
          <w:szCs w:val="20"/>
          <w:lang w:val="en-GB"/>
        </w:rPr>
        <w:t>Authors have declared that no competing interests exist.</w:t>
      </w:r>
    </w:p>
    <w:p w14:paraId="70D00C20" w14:textId="77777777" w:rsidR="00F22EE5" w:rsidRDefault="00EC55E3" w:rsidP="00F22EE5">
      <w:pPr>
        <w:keepNext/>
        <w:jc w:val="both"/>
        <w:rPr>
          <w:rFonts w:ascii="Arial" w:hAnsi="Arial" w:cs="Arial"/>
          <w:b/>
          <w:bCs/>
          <w:sz w:val="20"/>
          <w:szCs w:val="20"/>
          <w:lang w:val="en-GB"/>
        </w:rPr>
      </w:pPr>
      <w:r w:rsidRPr="000B65DC">
        <w:rPr>
          <w:rFonts w:ascii="Arial" w:hAnsi="Arial" w:cs="Arial"/>
          <w:b/>
          <w:bCs/>
          <w:sz w:val="20"/>
          <w:szCs w:val="20"/>
          <w:lang w:val="en-GB"/>
        </w:rPr>
        <w:t>REFERENCES</w:t>
      </w:r>
    </w:p>
    <w:p w14:paraId="786E085B" w14:textId="77777777" w:rsidR="00E8098D" w:rsidRDefault="00000000">
      <w:pPr>
        <w:spacing w:after="0" w:line="240" w:lineRule="auto"/>
        <w:ind w:left="360" w:hanging="360"/>
      </w:pPr>
      <w:r>
        <w:rPr>
          <w:rFonts w:ascii="Times New Roman" w:eastAsia="Times New Roman" w:hAnsi="Times New Roman"/>
          <w:sz w:val="20"/>
        </w:rPr>
        <w:t>Airangy, F. S., Kbaili, S., &amp; Bouaissa, A. (2025). Effect of phosphorus fertilization and zinc spraying on productivity of sesame (</w:t>
      </w:r>
      <w:r>
        <w:rPr>
          <w:rFonts w:ascii="Times New Roman" w:eastAsia="Times New Roman" w:hAnsi="Times New Roman"/>
          <w:i/>
          <w:sz w:val="20"/>
        </w:rPr>
        <w:t>Sesamum indicum</w:t>
      </w:r>
      <w:r>
        <w:rPr>
          <w:rFonts w:ascii="Times New Roman" w:eastAsia="Times New Roman" w:hAnsi="Times New Roman"/>
          <w:sz w:val="20"/>
        </w:rPr>
        <w:t xml:space="preserve"> L.). </w:t>
      </w:r>
      <w:r>
        <w:rPr>
          <w:rFonts w:ascii="Times New Roman" w:eastAsia="Times New Roman" w:hAnsi="Times New Roman"/>
          <w:i/>
          <w:sz w:val="20"/>
        </w:rPr>
        <w:t>Asian Journal of Soil Science and Plant Nutrition, 11</w:t>
      </w:r>
      <w:r>
        <w:rPr>
          <w:rFonts w:ascii="Times New Roman" w:eastAsia="Times New Roman" w:hAnsi="Times New Roman"/>
          <w:sz w:val="20"/>
        </w:rPr>
        <w:t xml:space="preserve">(1), 47–57. </w:t>
      </w:r>
      <w:hyperlink r:id="rId5">
        <w:r>
          <w:rPr>
            <w:rFonts w:ascii="Times New Roman" w:eastAsia="Times New Roman" w:hAnsi="Times New Roman"/>
            <w:color w:val="000000"/>
            <w:sz w:val="20"/>
            <w:szCs w:val="20"/>
            <w:u w:val="single"/>
          </w:rPr>
          <w:t>https://doi.org/10.9734/ajsspn/2025/v11i1460</w:t>
        </w:r>
      </w:hyperlink>
    </w:p>
    <w:p w14:paraId="30437815" w14:textId="749A6615" w:rsidR="00E8098D" w:rsidRDefault="00000000">
      <w:pPr>
        <w:spacing w:after="0" w:line="240" w:lineRule="auto"/>
        <w:ind w:left="360" w:hanging="360"/>
      </w:pPr>
      <w:r>
        <w:rPr>
          <w:rFonts w:ascii="Times New Roman" w:eastAsia="Times New Roman" w:hAnsi="Times New Roman"/>
          <w:sz w:val="20"/>
        </w:rPr>
        <w:t>Alam, M. S., Mishra, A. K., Singh, K., &amp; David, A. (2014). Response of sulphur and FYM on soil physico-chemical properties and growth, yield and quality of mustard (</w:t>
      </w:r>
      <w:r>
        <w:rPr>
          <w:rFonts w:ascii="Times New Roman" w:eastAsia="Times New Roman" w:hAnsi="Times New Roman"/>
          <w:i/>
          <w:sz w:val="20"/>
        </w:rPr>
        <w:t>Brassica nigra</w:t>
      </w:r>
      <w:r>
        <w:rPr>
          <w:rFonts w:ascii="Times New Roman" w:eastAsia="Times New Roman" w:hAnsi="Times New Roman"/>
          <w:sz w:val="20"/>
        </w:rPr>
        <w:t xml:space="preserve"> L.). </w:t>
      </w:r>
      <w:r>
        <w:rPr>
          <w:rFonts w:ascii="Times New Roman" w:eastAsia="Times New Roman" w:hAnsi="Times New Roman"/>
          <w:i/>
          <w:sz w:val="20"/>
        </w:rPr>
        <w:t>Journal of Agricultural Physics, 14</w:t>
      </w:r>
      <w:r>
        <w:rPr>
          <w:rFonts w:ascii="Times New Roman" w:eastAsia="Times New Roman" w:hAnsi="Times New Roman"/>
          <w:sz w:val="20"/>
        </w:rPr>
        <w:t xml:space="preserve">(2), 156–160. </w:t>
      </w:r>
    </w:p>
    <w:p w14:paraId="27627C32" w14:textId="77777777" w:rsidR="00E8098D" w:rsidRDefault="00000000">
      <w:pPr>
        <w:spacing w:after="0" w:line="240" w:lineRule="auto"/>
        <w:ind w:left="360" w:hanging="360"/>
      </w:pPr>
      <w:r>
        <w:rPr>
          <w:rFonts w:ascii="Times New Roman" w:eastAsia="Times New Roman" w:hAnsi="Times New Roman"/>
          <w:sz w:val="20"/>
        </w:rPr>
        <w:t xml:space="preserve">Bambhaneeya, S. M., Garaniya, N. H., Surve, V., &amp; Patel, K. H. (2022). Soil carbon status as influenced by irrigated and rainfed cotton crops and its correlation with important soil chemical properties. </w:t>
      </w:r>
      <w:r>
        <w:rPr>
          <w:rFonts w:ascii="Times New Roman" w:eastAsia="Times New Roman" w:hAnsi="Times New Roman"/>
          <w:i/>
          <w:sz w:val="20"/>
        </w:rPr>
        <w:t>Chemical Science Review and Letters, 11</w:t>
      </w:r>
      <w:r>
        <w:rPr>
          <w:rFonts w:ascii="Times New Roman" w:eastAsia="Times New Roman" w:hAnsi="Times New Roman"/>
          <w:sz w:val="20"/>
        </w:rPr>
        <w:t xml:space="preserve">(44), 446–454. </w:t>
      </w:r>
      <w:hyperlink r:id="rId6">
        <w:r>
          <w:rPr>
            <w:rFonts w:ascii="Times New Roman" w:eastAsia="Times New Roman" w:hAnsi="Times New Roman"/>
            <w:color w:val="000000"/>
            <w:sz w:val="20"/>
            <w:szCs w:val="20"/>
            <w:u w:val="single"/>
          </w:rPr>
          <w:t>https://doi.org/10.37273/chesci.cs205307506</w:t>
        </w:r>
      </w:hyperlink>
    </w:p>
    <w:p w14:paraId="08435758" w14:textId="77777777" w:rsidR="00E8098D" w:rsidRDefault="00000000">
      <w:pPr>
        <w:spacing w:after="0" w:line="240" w:lineRule="auto"/>
        <w:ind w:left="360" w:hanging="360"/>
      </w:pPr>
      <w:r>
        <w:rPr>
          <w:rFonts w:ascii="Times New Roman" w:eastAsia="Times New Roman" w:hAnsi="Times New Roman"/>
          <w:sz w:val="20"/>
        </w:rPr>
        <w:t xml:space="preserve">Blake, G. R., &amp; Hartge, K. H. (1986a). Bulk density. In A. Klute (Ed.), </w:t>
      </w:r>
      <w:r>
        <w:rPr>
          <w:rFonts w:ascii="Times New Roman" w:eastAsia="Times New Roman" w:hAnsi="Times New Roman"/>
          <w:i/>
          <w:sz w:val="20"/>
        </w:rPr>
        <w:t>Methods of soil analysis: Part 1—Physical and mineralogical methods</w:t>
      </w:r>
      <w:r>
        <w:rPr>
          <w:rFonts w:ascii="Times New Roman" w:eastAsia="Times New Roman" w:hAnsi="Times New Roman"/>
          <w:sz w:val="20"/>
        </w:rPr>
        <w:t xml:space="preserve"> (2nd ed., pp. 363–375). Soil Science Society of America. </w:t>
      </w:r>
      <w:hyperlink r:id="rId7">
        <w:r>
          <w:rPr>
            <w:rFonts w:ascii="Times New Roman" w:eastAsia="Times New Roman" w:hAnsi="Times New Roman"/>
            <w:color w:val="000000"/>
            <w:sz w:val="20"/>
            <w:szCs w:val="20"/>
            <w:u w:val="single"/>
          </w:rPr>
          <w:t>https://doi.org/10.2136/sssabookser5.1.2ed.c13</w:t>
        </w:r>
      </w:hyperlink>
    </w:p>
    <w:p w14:paraId="1A7A81E5" w14:textId="77777777" w:rsidR="00E8098D" w:rsidRDefault="00000000">
      <w:pPr>
        <w:spacing w:after="0" w:line="240" w:lineRule="auto"/>
        <w:ind w:left="360" w:hanging="360"/>
      </w:pPr>
      <w:r>
        <w:rPr>
          <w:rFonts w:ascii="Times New Roman" w:eastAsia="Times New Roman" w:hAnsi="Times New Roman"/>
          <w:sz w:val="20"/>
        </w:rPr>
        <w:t xml:space="preserve">Blake, G. R., &amp; Hartge, K. H. (1986b). Particle density. In A. Klute (Ed.), </w:t>
      </w:r>
      <w:r>
        <w:rPr>
          <w:rFonts w:ascii="Times New Roman" w:eastAsia="Times New Roman" w:hAnsi="Times New Roman"/>
          <w:i/>
          <w:sz w:val="20"/>
        </w:rPr>
        <w:t>Methods of soil analysis: Part 1—Physical and mineralogical methods</w:t>
      </w:r>
      <w:r>
        <w:rPr>
          <w:rFonts w:ascii="Times New Roman" w:eastAsia="Times New Roman" w:hAnsi="Times New Roman"/>
          <w:sz w:val="20"/>
        </w:rPr>
        <w:t xml:space="preserve"> (2nd ed., pp. 377–382). Soil Science Society of America. </w:t>
      </w:r>
      <w:hyperlink r:id="rId8">
        <w:r>
          <w:rPr>
            <w:rFonts w:ascii="Times New Roman" w:eastAsia="Times New Roman" w:hAnsi="Times New Roman"/>
            <w:color w:val="000000"/>
            <w:sz w:val="20"/>
            <w:szCs w:val="20"/>
            <w:u w:val="single"/>
          </w:rPr>
          <w:t>https://doi.org/10.2136/sssabookser5.1.2ed.c14</w:t>
        </w:r>
      </w:hyperlink>
    </w:p>
    <w:p w14:paraId="68D5E722" w14:textId="77777777" w:rsidR="00E8098D" w:rsidRDefault="00000000">
      <w:pPr>
        <w:spacing w:after="0" w:line="240" w:lineRule="auto"/>
        <w:ind w:left="360" w:hanging="360"/>
      </w:pPr>
      <w:r>
        <w:rPr>
          <w:rFonts w:ascii="Times New Roman" w:eastAsia="Times New Roman" w:hAnsi="Times New Roman"/>
          <w:sz w:val="20"/>
        </w:rPr>
        <w:t xml:space="preserve">Chesnin, L., &amp; Yien, C. H. (1951). Turbidimetric determination of available sulfates. </w:t>
      </w:r>
      <w:r>
        <w:rPr>
          <w:rFonts w:ascii="Times New Roman" w:eastAsia="Times New Roman" w:hAnsi="Times New Roman"/>
          <w:i/>
          <w:sz w:val="20"/>
        </w:rPr>
        <w:t>Soil Science Society of America Proceedings, 15</w:t>
      </w:r>
      <w:r>
        <w:rPr>
          <w:rFonts w:ascii="Times New Roman" w:eastAsia="Times New Roman" w:hAnsi="Times New Roman"/>
          <w:sz w:val="20"/>
        </w:rPr>
        <w:t xml:space="preserve">, 149–151. </w:t>
      </w:r>
      <w:hyperlink r:id="rId9">
        <w:r>
          <w:rPr>
            <w:rFonts w:ascii="Times New Roman" w:eastAsia="Times New Roman" w:hAnsi="Times New Roman"/>
            <w:color w:val="000000"/>
            <w:sz w:val="20"/>
            <w:szCs w:val="20"/>
            <w:u w:val="single"/>
          </w:rPr>
          <w:t>https://doi.org/10.2136/sssaj1951.036159950015000C0032x</w:t>
        </w:r>
      </w:hyperlink>
    </w:p>
    <w:p w14:paraId="71110559" w14:textId="77777777" w:rsidR="00E8098D" w:rsidRDefault="00000000">
      <w:pPr>
        <w:spacing w:after="0" w:line="240" w:lineRule="auto"/>
        <w:ind w:left="360" w:hanging="360"/>
      </w:pPr>
      <w:r>
        <w:rPr>
          <w:rFonts w:ascii="Times New Roman" w:eastAsia="Times New Roman" w:hAnsi="Times New Roman"/>
          <w:sz w:val="20"/>
        </w:rPr>
        <w:t xml:space="preserve">Chopra, S. L., &amp; Kanwar, J. S. (1976). </w:t>
      </w:r>
      <w:r>
        <w:rPr>
          <w:rFonts w:ascii="Times New Roman" w:eastAsia="Times New Roman" w:hAnsi="Times New Roman"/>
          <w:i/>
          <w:sz w:val="20"/>
        </w:rPr>
        <w:t>Analytical agricultural chemistry</w:t>
      </w:r>
      <w:r>
        <w:rPr>
          <w:rFonts w:ascii="Times New Roman" w:eastAsia="Times New Roman" w:hAnsi="Times New Roman"/>
          <w:sz w:val="20"/>
        </w:rPr>
        <w:t xml:space="preserve"> (3rd ed.). Kalyani Publishers. </w:t>
      </w:r>
      <w:hyperlink r:id="rId10">
        <w:r>
          <w:rPr>
            <w:rFonts w:ascii="Times New Roman" w:eastAsia="Times New Roman" w:hAnsi="Times New Roman"/>
            <w:color w:val="000000"/>
            <w:sz w:val="20"/>
            <w:szCs w:val="20"/>
            <w:u w:val="single"/>
          </w:rPr>
          <w:t>https://agris.fao.org/search/en/providers/122535/records/65ddd0504c5aef494fd5a629</w:t>
        </w:r>
      </w:hyperlink>
    </w:p>
    <w:p w14:paraId="35072D28" w14:textId="09978C58" w:rsidR="00E8098D" w:rsidRDefault="00000000">
      <w:pPr>
        <w:spacing w:after="0" w:line="240" w:lineRule="auto"/>
        <w:ind w:left="360" w:hanging="360"/>
      </w:pPr>
      <w:r>
        <w:rPr>
          <w:rFonts w:ascii="Times New Roman" w:eastAsia="Times New Roman" w:hAnsi="Times New Roman"/>
          <w:sz w:val="20"/>
        </w:rPr>
        <w:t xml:space="preserve">Choudhary, A. A., Nikam, R. R., &amp; Patil, S. S. (2016). Effect of phosphorus and sulphur on oil, nutrient uptake and yield of linseed. </w:t>
      </w:r>
      <w:r>
        <w:rPr>
          <w:rFonts w:ascii="Times New Roman" w:eastAsia="Times New Roman" w:hAnsi="Times New Roman"/>
          <w:i/>
          <w:sz w:val="20"/>
        </w:rPr>
        <w:t>International Journal of Life Sciences, Special Issue A6</w:t>
      </w:r>
      <w:r>
        <w:rPr>
          <w:rFonts w:ascii="Times New Roman" w:eastAsia="Times New Roman" w:hAnsi="Times New Roman"/>
          <w:sz w:val="20"/>
        </w:rPr>
        <w:t xml:space="preserve">, 33–36. </w:t>
      </w:r>
    </w:p>
    <w:p w14:paraId="6F5C1AE4" w14:textId="262F0332" w:rsidR="00E8098D" w:rsidRDefault="00000000">
      <w:pPr>
        <w:spacing w:after="0" w:line="240" w:lineRule="auto"/>
        <w:ind w:left="360" w:hanging="360"/>
      </w:pPr>
      <w:r>
        <w:rPr>
          <w:rFonts w:ascii="Times New Roman" w:eastAsia="Times New Roman" w:hAnsi="Times New Roman"/>
          <w:sz w:val="20"/>
        </w:rPr>
        <w:t xml:space="preserve">Deekshitha, D. K. D., Babu, P. R., &amp; Madhuvani, P. (2017). Effect of fertilizer levels and sulphur on soil properties in clay loam soil. </w:t>
      </w:r>
      <w:r>
        <w:rPr>
          <w:rFonts w:ascii="Times New Roman" w:eastAsia="Times New Roman" w:hAnsi="Times New Roman"/>
          <w:i/>
          <w:sz w:val="20"/>
        </w:rPr>
        <w:t>Plant Archives, 17</w:t>
      </w:r>
      <w:r>
        <w:rPr>
          <w:rFonts w:ascii="Times New Roman" w:eastAsia="Times New Roman" w:hAnsi="Times New Roman"/>
          <w:sz w:val="20"/>
        </w:rPr>
        <w:t xml:space="preserve">(2), 846–850. </w:t>
      </w:r>
    </w:p>
    <w:p w14:paraId="3B8081FB" w14:textId="77777777" w:rsidR="00E8098D" w:rsidRDefault="00000000">
      <w:pPr>
        <w:spacing w:after="0" w:line="240" w:lineRule="auto"/>
        <w:ind w:left="360" w:hanging="360"/>
      </w:pPr>
      <w:r>
        <w:rPr>
          <w:rFonts w:ascii="Times New Roman" w:eastAsia="Times New Roman" w:hAnsi="Times New Roman"/>
          <w:sz w:val="20"/>
        </w:rPr>
        <w:t xml:space="preserve">Directorate of Economics and Statistics. (2025). </w:t>
      </w:r>
      <w:r>
        <w:rPr>
          <w:rFonts w:ascii="Times New Roman" w:eastAsia="Times New Roman" w:hAnsi="Times New Roman"/>
          <w:i/>
          <w:sz w:val="20"/>
        </w:rPr>
        <w:t>Third advance estimates of production of foodgrains, oilseeds and other commercial crops for 2024–25</w:t>
      </w:r>
      <w:r>
        <w:rPr>
          <w:rFonts w:ascii="Times New Roman" w:eastAsia="Times New Roman" w:hAnsi="Times New Roman"/>
          <w:sz w:val="20"/>
        </w:rPr>
        <w:t xml:space="preserve">. Department of Agriculture &amp; Farmers Welfare, Ministry of Agriculture &amp; Farmers Welfare, Government of India. </w:t>
      </w:r>
      <w:hyperlink r:id="rId11">
        <w:r>
          <w:rPr>
            <w:rFonts w:ascii="Times New Roman" w:eastAsia="Times New Roman" w:hAnsi="Times New Roman"/>
            <w:color w:val="000000"/>
            <w:sz w:val="20"/>
            <w:szCs w:val="20"/>
            <w:u w:val="single"/>
          </w:rPr>
          <w:t>https://desagri.gov.in/stats-session-year/2024-25/</w:t>
        </w:r>
      </w:hyperlink>
    </w:p>
    <w:p w14:paraId="4C075C6A" w14:textId="77777777" w:rsidR="00E8098D" w:rsidRDefault="00000000">
      <w:pPr>
        <w:spacing w:after="0" w:line="240" w:lineRule="auto"/>
        <w:ind w:left="360" w:hanging="360"/>
      </w:pPr>
      <w:r>
        <w:rPr>
          <w:rFonts w:ascii="Times New Roman" w:eastAsia="Times New Roman" w:hAnsi="Times New Roman"/>
          <w:sz w:val="20"/>
        </w:rPr>
        <w:t xml:space="preserve">Girase, I. P., Rai, P. K., Sahi, V. P., Yalamalle, V. R., Thangasamy, A., &amp; Jain, P. A. (2025). Foliar sulfur application and its effects on sulfur distribution, seed yield, and soil fertility in onion seed crop. </w:t>
      </w:r>
      <w:r>
        <w:rPr>
          <w:rFonts w:ascii="Times New Roman" w:eastAsia="Times New Roman" w:hAnsi="Times New Roman"/>
          <w:i/>
          <w:sz w:val="20"/>
        </w:rPr>
        <w:t>Plant Cell Biotechnology and Molecular Biology, 26</w:t>
      </w:r>
      <w:r>
        <w:rPr>
          <w:rFonts w:ascii="Times New Roman" w:eastAsia="Times New Roman" w:hAnsi="Times New Roman"/>
          <w:sz w:val="20"/>
        </w:rPr>
        <w:t xml:space="preserve">(7–8), 53–60. </w:t>
      </w:r>
      <w:hyperlink r:id="rId12">
        <w:r>
          <w:rPr>
            <w:rFonts w:ascii="Times New Roman" w:eastAsia="Times New Roman" w:hAnsi="Times New Roman"/>
            <w:color w:val="000000"/>
            <w:sz w:val="20"/>
            <w:szCs w:val="20"/>
            <w:u w:val="single"/>
          </w:rPr>
          <w:t>https://doi.org/10.56557/pcbmb/2025/v26i7-89348</w:t>
        </w:r>
      </w:hyperlink>
    </w:p>
    <w:p w14:paraId="51712D5E" w14:textId="77777777" w:rsidR="00E8098D" w:rsidRDefault="00000000">
      <w:pPr>
        <w:spacing w:after="0" w:line="240" w:lineRule="auto"/>
        <w:ind w:left="360" w:hanging="360"/>
      </w:pPr>
      <w:r>
        <w:rPr>
          <w:rFonts w:ascii="Times New Roman" w:eastAsia="Times New Roman" w:hAnsi="Times New Roman"/>
          <w:sz w:val="20"/>
        </w:rPr>
        <w:t xml:space="preserve">Gujarat Directorate of Economics and Statistics. (2025). </w:t>
      </w:r>
      <w:r>
        <w:rPr>
          <w:rFonts w:ascii="Times New Roman" w:eastAsia="Times New Roman" w:hAnsi="Times New Roman"/>
          <w:i/>
          <w:sz w:val="20"/>
        </w:rPr>
        <w:t>Area, production and yield of major crops of Gujarat State</w:t>
      </w:r>
      <w:r>
        <w:rPr>
          <w:rFonts w:ascii="Times New Roman" w:eastAsia="Times New Roman" w:hAnsi="Times New Roman"/>
          <w:sz w:val="20"/>
        </w:rPr>
        <w:t xml:space="preserve">. Open Government Data Platform India. </w:t>
      </w:r>
      <w:hyperlink r:id="rId13">
        <w:r>
          <w:rPr>
            <w:rFonts w:ascii="Times New Roman" w:eastAsia="Times New Roman" w:hAnsi="Times New Roman"/>
            <w:color w:val="000000"/>
            <w:sz w:val="20"/>
            <w:szCs w:val="20"/>
            <w:u w:val="single"/>
          </w:rPr>
          <w:t>https://www.data.gov.in/catalog/area-production-and-yield-major-crops-gujarat-state</w:t>
        </w:r>
      </w:hyperlink>
    </w:p>
    <w:p w14:paraId="7DE64756" w14:textId="77777777" w:rsidR="00E8098D" w:rsidRDefault="00000000">
      <w:pPr>
        <w:spacing w:after="0" w:line="240" w:lineRule="auto"/>
        <w:ind w:left="360" w:hanging="360"/>
      </w:pPr>
      <w:r>
        <w:rPr>
          <w:rFonts w:ascii="Times New Roman" w:eastAsia="Times New Roman" w:hAnsi="Times New Roman"/>
          <w:sz w:val="20"/>
        </w:rPr>
        <w:t xml:space="preserve">Holz, M., Zarebanadkouki, M., Benard, P., Hoffmann, M., &amp; Dubbert, M. (2024). Root and rhizosphere traits for enhanced water and nutrient uptake efficiency in dynamic environments. </w:t>
      </w:r>
      <w:r>
        <w:rPr>
          <w:rFonts w:ascii="Times New Roman" w:eastAsia="Times New Roman" w:hAnsi="Times New Roman"/>
          <w:i/>
          <w:sz w:val="20"/>
        </w:rPr>
        <w:t>Frontiers in Plant Science, 15</w:t>
      </w:r>
      <w:r>
        <w:rPr>
          <w:rFonts w:ascii="Times New Roman" w:eastAsia="Times New Roman" w:hAnsi="Times New Roman"/>
          <w:sz w:val="20"/>
        </w:rPr>
        <w:t xml:space="preserve">, Article 1383373. </w:t>
      </w:r>
      <w:hyperlink r:id="rId14">
        <w:r>
          <w:rPr>
            <w:rFonts w:ascii="Times New Roman" w:eastAsia="Times New Roman" w:hAnsi="Times New Roman"/>
            <w:color w:val="000000"/>
            <w:sz w:val="20"/>
            <w:szCs w:val="20"/>
            <w:u w:val="single"/>
          </w:rPr>
          <w:t>https://doi.org/10.3389/fpls.2024.1383373</w:t>
        </w:r>
      </w:hyperlink>
    </w:p>
    <w:p w14:paraId="064BA66E" w14:textId="77777777" w:rsidR="00E8098D" w:rsidRDefault="00000000">
      <w:pPr>
        <w:spacing w:after="0" w:line="240" w:lineRule="auto"/>
        <w:ind w:left="360" w:hanging="360"/>
      </w:pPr>
      <w:r>
        <w:rPr>
          <w:rFonts w:ascii="Times New Roman" w:eastAsia="Times New Roman" w:hAnsi="Times New Roman"/>
          <w:sz w:val="20"/>
        </w:rPr>
        <w:t xml:space="preserve">Jackson, M. L. (1973). </w:t>
      </w:r>
      <w:r>
        <w:rPr>
          <w:rFonts w:ascii="Times New Roman" w:eastAsia="Times New Roman" w:hAnsi="Times New Roman"/>
          <w:i/>
          <w:sz w:val="20"/>
        </w:rPr>
        <w:t>Soil chemical analysis</w:t>
      </w:r>
      <w:r>
        <w:rPr>
          <w:rFonts w:ascii="Times New Roman" w:eastAsia="Times New Roman" w:hAnsi="Times New Roman"/>
          <w:sz w:val="20"/>
        </w:rPr>
        <w:t xml:space="preserve">. Prentice-Hall of India. </w:t>
      </w:r>
      <w:hyperlink r:id="rId15">
        <w:r>
          <w:rPr>
            <w:rFonts w:ascii="Times New Roman" w:eastAsia="Times New Roman" w:hAnsi="Times New Roman"/>
            <w:color w:val="000000"/>
            <w:sz w:val="20"/>
            <w:szCs w:val="20"/>
            <w:u w:val="single"/>
          </w:rPr>
          <w:t>https://krishikosh.egranth.ac.in/items/c7da3b48-c39d-4cfd-a599-428deb7ae0b0</w:t>
        </w:r>
      </w:hyperlink>
    </w:p>
    <w:p w14:paraId="1F3C8AED" w14:textId="77777777" w:rsidR="00E8098D" w:rsidRDefault="00000000">
      <w:pPr>
        <w:spacing w:after="0" w:line="240" w:lineRule="auto"/>
        <w:ind w:left="360" w:hanging="360"/>
      </w:pPr>
      <w:r>
        <w:rPr>
          <w:rFonts w:ascii="Times New Roman" w:eastAsia="Times New Roman" w:hAnsi="Times New Roman"/>
          <w:sz w:val="20"/>
        </w:rPr>
        <w:lastRenderedPageBreak/>
        <w:t xml:space="preserve">Jahan, N., Alam, A. B. M. S., Mitu, A. S., Habib, M. A., &amp; Ali, M. K. J. (2019). Effect of zinc on the growth and yield of sesame. </w:t>
      </w:r>
      <w:r>
        <w:rPr>
          <w:rFonts w:ascii="Times New Roman" w:eastAsia="Times New Roman" w:hAnsi="Times New Roman"/>
          <w:i/>
          <w:sz w:val="20"/>
        </w:rPr>
        <w:t>International Journal of Natural and Social Sciences, 6</w:t>
      </w:r>
      <w:r>
        <w:rPr>
          <w:rFonts w:ascii="Times New Roman" w:eastAsia="Times New Roman" w:hAnsi="Times New Roman"/>
          <w:sz w:val="20"/>
        </w:rPr>
        <w:t xml:space="preserve">(3), 11–16. </w:t>
      </w:r>
      <w:hyperlink r:id="rId16">
        <w:r>
          <w:rPr>
            <w:rFonts w:ascii="Times New Roman" w:eastAsia="Times New Roman" w:hAnsi="Times New Roman"/>
            <w:color w:val="000000"/>
            <w:sz w:val="20"/>
            <w:szCs w:val="20"/>
            <w:u w:val="single"/>
          </w:rPr>
          <w:t>https://ijnss.org/volume-6-issue-3-august-2019/</w:t>
        </w:r>
      </w:hyperlink>
    </w:p>
    <w:p w14:paraId="70AA6C14" w14:textId="77777777" w:rsidR="00E8098D" w:rsidRDefault="00000000">
      <w:pPr>
        <w:spacing w:after="0" w:line="240" w:lineRule="auto"/>
        <w:ind w:left="360" w:hanging="360"/>
      </w:pPr>
      <w:r>
        <w:rPr>
          <w:rFonts w:ascii="Times New Roman" w:eastAsia="Times New Roman" w:hAnsi="Times New Roman"/>
          <w:sz w:val="20"/>
        </w:rPr>
        <w:t xml:space="preserve">Jat, J. R., &amp; Mehra, R. K. (2007). Effect of sulphur and zinc on yield, macronutrient content in and uptake by mustard on Haplustepts. </w:t>
      </w:r>
      <w:r>
        <w:rPr>
          <w:rFonts w:ascii="Times New Roman" w:eastAsia="Times New Roman" w:hAnsi="Times New Roman"/>
          <w:i/>
          <w:sz w:val="20"/>
        </w:rPr>
        <w:t>Journal of the Indian Society of Soil Science, 55</w:t>
      </w:r>
      <w:r>
        <w:rPr>
          <w:rFonts w:ascii="Times New Roman" w:eastAsia="Times New Roman" w:hAnsi="Times New Roman"/>
          <w:sz w:val="20"/>
        </w:rPr>
        <w:t xml:space="preserve">(2), 190–195. </w:t>
      </w:r>
      <w:hyperlink r:id="rId17">
        <w:r>
          <w:rPr>
            <w:rFonts w:ascii="Times New Roman" w:eastAsia="Times New Roman" w:hAnsi="Times New Roman"/>
            <w:color w:val="000000"/>
            <w:sz w:val="20"/>
            <w:szCs w:val="20"/>
            <w:u w:val="single"/>
          </w:rPr>
          <w:t>https://indianjournals.com/article/jisss-55-2-014</w:t>
        </w:r>
      </w:hyperlink>
    </w:p>
    <w:p w14:paraId="55012E21" w14:textId="77777777" w:rsidR="00E8098D" w:rsidRDefault="00000000">
      <w:pPr>
        <w:spacing w:after="0" w:line="240" w:lineRule="auto"/>
        <w:ind w:left="360" w:hanging="360"/>
      </w:pPr>
      <w:r>
        <w:rPr>
          <w:rFonts w:ascii="Times New Roman" w:eastAsia="Times New Roman" w:hAnsi="Times New Roman"/>
          <w:sz w:val="20"/>
        </w:rPr>
        <w:t>Khan, S. A., Umesha, C., &amp; Karimunnisa, S. K. (2021). Effect of sulphur levels on growth and yield of different varieties of sesame (</w:t>
      </w:r>
      <w:r>
        <w:rPr>
          <w:rFonts w:ascii="Times New Roman" w:eastAsia="Times New Roman" w:hAnsi="Times New Roman"/>
          <w:i/>
          <w:sz w:val="20"/>
        </w:rPr>
        <w:t>Sesamum indicum</w:t>
      </w:r>
      <w:r>
        <w:rPr>
          <w:rFonts w:ascii="Times New Roman" w:eastAsia="Times New Roman" w:hAnsi="Times New Roman"/>
          <w:sz w:val="20"/>
        </w:rPr>
        <w:t xml:space="preserve"> L.). </w:t>
      </w:r>
      <w:r>
        <w:rPr>
          <w:rFonts w:ascii="Times New Roman" w:eastAsia="Times New Roman" w:hAnsi="Times New Roman"/>
          <w:i/>
          <w:sz w:val="20"/>
        </w:rPr>
        <w:t>Biological Forum—An International Journal, 13</w:t>
      </w:r>
      <w:r>
        <w:rPr>
          <w:rFonts w:ascii="Times New Roman" w:eastAsia="Times New Roman" w:hAnsi="Times New Roman"/>
          <w:sz w:val="20"/>
        </w:rPr>
        <w:t xml:space="preserve">(3), 155–158. </w:t>
      </w:r>
      <w:hyperlink r:id="rId18">
        <w:r>
          <w:rPr>
            <w:rFonts w:ascii="Times New Roman" w:eastAsia="Times New Roman" w:hAnsi="Times New Roman"/>
            <w:color w:val="000000"/>
            <w:sz w:val="20"/>
            <w:szCs w:val="20"/>
            <w:u w:val="single"/>
          </w:rPr>
          <w:t>https://www.researchgate.net/publication/354450410_Effect_of_Sulphur_Levels_on_Growth_and_Yield_of_different_Varieties_of_Sesame_Sesamum_indicum_L</w:t>
        </w:r>
      </w:hyperlink>
    </w:p>
    <w:p w14:paraId="2953935D" w14:textId="77777777" w:rsidR="00E8098D" w:rsidRDefault="00000000">
      <w:pPr>
        <w:spacing w:after="0" w:line="240" w:lineRule="auto"/>
        <w:ind w:left="360" w:hanging="360"/>
      </w:pPr>
      <w:r>
        <w:rPr>
          <w:rFonts w:ascii="Times New Roman" w:eastAsia="Times New Roman" w:hAnsi="Times New Roman"/>
          <w:sz w:val="20"/>
        </w:rPr>
        <w:t xml:space="preserve">Kumar, U., Kumar, S., Kumar, N., Yadav, R., Pandey, P., Kumar, S., Samota, R., &amp; Maurya, A. (2023). Response of graded fertility levels and zinc application method with and without farmyard manure on physicochemical and biological properties of soil under rice crop. </w:t>
      </w:r>
      <w:r>
        <w:rPr>
          <w:rFonts w:ascii="Times New Roman" w:eastAsia="Times New Roman" w:hAnsi="Times New Roman"/>
          <w:i/>
          <w:sz w:val="20"/>
        </w:rPr>
        <w:t>International Journal of Plant &amp; Soil Science, 35</w:t>
      </w:r>
      <w:r>
        <w:rPr>
          <w:rFonts w:ascii="Times New Roman" w:eastAsia="Times New Roman" w:hAnsi="Times New Roman"/>
          <w:sz w:val="20"/>
        </w:rPr>
        <w:t xml:space="preserve">(20), 1113–1123. </w:t>
      </w:r>
      <w:hyperlink r:id="rId19">
        <w:r>
          <w:rPr>
            <w:rFonts w:ascii="Times New Roman" w:eastAsia="Times New Roman" w:hAnsi="Times New Roman"/>
            <w:color w:val="000000"/>
            <w:sz w:val="20"/>
            <w:szCs w:val="20"/>
            <w:u w:val="single"/>
          </w:rPr>
          <w:t>https://doi.org/10.9734/ijpss/2023/v35i203908</w:t>
        </w:r>
      </w:hyperlink>
    </w:p>
    <w:p w14:paraId="0649156E" w14:textId="77777777" w:rsidR="00E8098D" w:rsidRDefault="00000000">
      <w:pPr>
        <w:spacing w:after="0" w:line="240" w:lineRule="auto"/>
        <w:ind w:left="360" w:hanging="360"/>
      </w:pPr>
      <w:r>
        <w:rPr>
          <w:rFonts w:ascii="Times New Roman" w:eastAsia="Times New Roman" w:hAnsi="Times New Roman"/>
          <w:sz w:val="20"/>
        </w:rPr>
        <w:t>Lilhare, M. A., Indulkar, B. S., Titirmare, N. S., Nawkhare, A. D., &amp; Thosar, G. D. (2019). Influence of graded fertilizer levels and zinc on yield and quality of sesame (</w:t>
      </w:r>
      <w:r>
        <w:rPr>
          <w:rFonts w:ascii="Times New Roman" w:eastAsia="Times New Roman" w:hAnsi="Times New Roman"/>
          <w:i/>
          <w:sz w:val="20"/>
        </w:rPr>
        <w:t>Sesamum indicum</w:t>
      </w:r>
      <w:r>
        <w:rPr>
          <w:rFonts w:ascii="Times New Roman" w:eastAsia="Times New Roman" w:hAnsi="Times New Roman"/>
          <w:sz w:val="20"/>
        </w:rPr>
        <w:t xml:space="preserve"> L.) in Inceptisol. </w:t>
      </w:r>
      <w:r>
        <w:rPr>
          <w:rFonts w:ascii="Times New Roman" w:eastAsia="Times New Roman" w:hAnsi="Times New Roman"/>
          <w:i/>
          <w:sz w:val="20"/>
        </w:rPr>
        <w:t>International Journal of Chemical Studies, 7</w:t>
      </w:r>
      <w:r>
        <w:rPr>
          <w:rFonts w:ascii="Times New Roman" w:eastAsia="Times New Roman" w:hAnsi="Times New Roman"/>
          <w:sz w:val="20"/>
        </w:rPr>
        <w:t xml:space="preserve">(5), 1225–1228. </w:t>
      </w:r>
      <w:hyperlink r:id="rId20">
        <w:r>
          <w:rPr>
            <w:rFonts w:ascii="Times New Roman" w:eastAsia="Times New Roman" w:hAnsi="Times New Roman"/>
            <w:color w:val="000000"/>
            <w:sz w:val="20"/>
            <w:szCs w:val="20"/>
            <w:u w:val="single"/>
          </w:rPr>
          <w:t>https://www.chemijournal.com/archives/?ArticleId=7113&amp;issue=5&amp;si=false&amp;vol=7&amp;year=2019</w:t>
        </w:r>
      </w:hyperlink>
    </w:p>
    <w:p w14:paraId="3CC7CABE" w14:textId="77777777" w:rsidR="00E8098D" w:rsidRDefault="00000000">
      <w:pPr>
        <w:spacing w:after="0" w:line="240" w:lineRule="auto"/>
        <w:ind w:left="360" w:hanging="360"/>
      </w:pPr>
      <w:r>
        <w:rPr>
          <w:rFonts w:ascii="Times New Roman" w:eastAsia="Times New Roman" w:hAnsi="Times New Roman"/>
          <w:sz w:val="20"/>
        </w:rPr>
        <w:t xml:space="preserve">Lindsay, W. L., &amp; Norvell, W. A. (1978). Development of a DTPA soil test for zinc, iron, manganese, and copper. </w:t>
      </w:r>
      <w:r>
        <w:rPr>
          <w:rFonts w:ascii="Times New Roman" w:eastAsia="Times New Roman" w:hAnsi="Times New Roman"/>
          <w:i/>
          <w:sz w:val="20"/>
        </w:rPr>
        <w:t>Soil Science Society of America Journal, 42</w:t>
      </w:r>
      <w:r>
        <w:rPr>
          <w:rFonts w:ascii="Times New Roman" w:eastAsia="Times New Roman" w:hAnsi="Times New Roman"/>
          <w:sz w:val="20"/>
        </w:rPr>
        <w:t xml:space="preserve">(3), 421–428. </w:t>
      </w:r>
      <w:hyperlink r:id="rId21">
        <w:r>
          <w:rPr>
            <w:rFonts w:ascii="Times New Roman" w:eastAsia="Times New Roman" w:hAnsi="Times New Roman"/>
            <w:color w:val="000000"/>
            <w:sz w:val="20"/>
            <w:szCs w:val="20"/>
            <w:u w:val="single"/>
          </w:rPr>
          <w:t>https://doi.org/10.2136/sssaj1978.03615995004200030009x</w:t>
        </w:r>
      </w:hyperlink>
    </w:p>
    <w:p w14:paraId="57B9B430" w14:textId="77777777" w:rsidR="00E8098D" w:rsidRDefault="00000000">
      <w:pPr>
        <w:spacing w:after="0" w:line="240" w:lineRule="auto"/>
        <w:ind w:left="360" w:hanging="360"/>
      </w:pPr>
      <w:r>
        <w:rPr>
          <w:rFonts w:ascii="Times New Roman" w:eastAsia="Times New Roman" w:hAnsi="Times New Roman"/>
          <w:sz w:val="20"/>
        </w:rPr>
        <w:t>Mamatha, K., Vidya Sagar, G. E. C., Laxmi Narayana, P., &amp; Padmaja, G. (2017). Effect of sulphur fertilization in combination with farmyard manure on sesame (</w:t>
      </w:r>
      <w:r>
        <w:rPr>
          <w:rFonts w:ascii="Times New Roman" w:eastAsia="Times New Roman" w:hAnsi="Times New Roman"/>
          <w:i/>
          <w:sz w:val="20"/>
        </w:rPr>
        <w:t>Sesamum indicum</w:t>
      </w:r>
      <w:r>
        <w:rPr>
          <w:rFonts w:ascii="Times New Roman" w:eastAsia="Times New Roman" w:hAnsi="Times New Roman"/>
          <w:sz w:val="20"/>
        </w:rPr>
        <w:t xml:space="preserve"> L.). </w:t>
      </w:r>
      <w:r>
        <w:rPr>
          <w:rFonts w:ascii="Times New Roman" w:eastAsia="Times New Roman" w:hAnsi="Times New Roman"/>
          <w:i/>
          <w:sz w:val="20"/>
        </w:rPr>
        <w:t>International Journal of Current Microbiology and Applied Sciences, 6</w:t>
      </w:r>
      <w:r>
        <w:rPr>
          <w:rFonts w:ascii="Times New Roman" w:eastAsia="Times New Roman" w:hAnsi="Times New Roman"/>
          <w:sz w:val="20"/>
        </w:rPr>
        <w:t xml:space="preserve">(9), 3679–3684. </w:t>
      </w:r>
      <w:hyperlink r:id="rId22">
        <w:r>
          <w:rPr>
            <w:rFonts w:ascii="Times New Roman" w:eastAsia="Times New Roman" w:hAnsi="Times New Roman"/>
            <w:color w:val="000000"/>
            <w:sz w:val="20"/>
            <w:szCs w:val="20"/>
            <w:u w:val="single"/>
          </w:rPr>
          <w:t>https://doi.org/10.20546/ijcmas.2017.609.453</w:t>
        </w:r>
      </w:hyperlink>
    </w:p>
    <w:p w14:paraId="0A427520" w14:textId="77777777" w:rsidR="00E8098D" w:rsidRDefault="00000000">
      <w:pPr>
        <w:spacing w:after="0" w:line="240" w:lineRule="auto"/>
        <w:ind w:left="360" w:hanging="360"/>
      </w:pPr>
      <w:r>
        <w:rPr>
          <w:rFonts w:ascii="Times New Roman" w:eastAsia="Times New Roman" w:hAnsi="Times New Roman"/>
          <w:sz w:val="20"/>
        </w:rPr>
        <w:t xml:space="preserve">Mehmood, M. Z., Afzal, O., Ahmed, M., Qadir, G., Kheir, A. M. S., Aslam, M. A., Ud Din, A. M., Khan, I., Hassan, M. J., Meraj, T. A., Raza, M. A., &amp; Ahmad, S. (2021). Can sulphur improve the nutrient uptake, partitioning, and seed yield of sesame? </w:t>
      </w:r>
      <w:r>
        <w:rPr>
          <w:rFonts w:ascii="Times New Roman" w:eastAsia="Times New Roman" w:hAnsi="Times New Roman"/>
          <w:i/>
          <w:sz w:val="20"/>
        </w:rPr>
        <w:t>Arabian Journal of Geosciences, 14</w:t>
      </w:r>
      <w:r>
        <w:rPr>
          <w:rFonts w:ascii="Times New Roman" w:eastAsia="Times New Roman" w:hAnsi="Times New Roman"/>
          <w:sz w:val="20"/>
        </w:rPr>
        <w:t xml:space="preserve">, Article 865. </w:t>
      </w:r>
      <w:hyperlink r:id="rId23">
        <w:r>
          <w:rPr>
            <w:rFonts w:ascii="Times New Roman" w:eastAsia="Times New Roman" w:hAnsi="Times New Roman"/>
            <w:color w:val="000000"/>
            <w:sz w:val="20"/>
            <w:szCs w:val="20"/>
            <w:u w:val="single"/>
          </w:rPr>
          <w:t>https://doi.org/10.1007/s12517-021-07229-6</w:t>
        </w:r>
      </w:hyperlink>
    </w:p>
    <w:p w14:paraId="3293FE61" w14:textId="15EFC5F7" w:rsidR="00E8098D" w:rsidRDefault="00000000">
      <w:pPr>
        <w:spacing w:after="0" w:line="240" w:lineRule="auto"/>
        <w:ind w:left="360" w:hanging="360"/>
      </w:pPr>
      <w:r>
        <w:rPr>
          <w:rFonts w:ascii="Times New Roman" w:eastAsia="Times New Roman" w:hAnsi="Times New Roman"/>
          <w:sz w:val="20"/>
        </w:rPr>
        <w:t>Murmu, S., Murmu, K., &amp; Satapathy, M. (2015). Effect of sulphur fertilization on growth, yield and quality of sesame (</w:t>
      </w:r>
      <w:r>
        <w:rPr>
          <w:rFonts w:ascii="Times New Roman" w:eastAsia="Times New Roman" w:hAnsi="Times New Roman"/>
          <w:i/>
          <w:sz w:val="20"/>
        </w:rPr>
        <w:t>Sesamum indicum</w:t>
      </w:r>
      <w:r>
        <w:rPr>
          <w:rFonts w:ascii="Times New Roman" w:eastAsia="Times New Roman" w:hAnsi="Times New Roman"/>
          <w:sz w:val="20"/>
        </w:rPr>
        <w:t xml:space="preserve"> L.) in the mid-central zone of Odisha. </w:t>
      </w:r>
      <w:r>
        <w:rPr>
          <w:rFonts w:ascii="Times New Roman" w:eastAsia="Times New Roman" w:hAnsi="Times New Roman"/>
          <w:i/>
          <w:sz w:val="20"/>
        </w:rPr>
        <w:t>International Journal of Bio-resource and Environment Agricultural Sciences, 1</w:t>
      </w:r>
      <w:r>
        <w:rPr>
          <w:rFonts w:ascii="Times New Roman" w:eastAsia="Times New Roman" w:hAnsi="Times New Roman"/>
          <w:sz w:val="20"/>
        </w:rPr>
        <w:t xml:space="preserve">(1), 5–12. </w:t>
      </w:r>
    </w:p>
    <w:p w14:paraId="72929A17" w14:textId="1FBCB9C2" w:rsidR="00E8098D" w:rsidRDefault="00000000">
      <w:pPr>
        <w:spacing w:after="0" w:line="240" w:lineRule="auto"/>
        <w:ind w:left="360" w:hanging="360"/>
      </w:pPr>
      <w:r>
        <w:rPr>
          <w:rFonts w:ascii="Times New Roman" w:eastAsia="Times New Roman" w:hAnsi="Times New Roman"/>
          <w:sz w:val="20"/>
        </w:rPr>
        <w:t xml:space="preserve">Murthy, I. Y. L. N. (2011). Zinc response to oilseed crops. </w:t>
      </w:r>
      <w:r>
        <w:rPr>
          <w:rFonts w:ascii="Times New Roman" w:eastAsia="Times New Roman" w:hAnsi="Times New Roman"/>
          <w:i/>
          <w:sz w:val="20"/>
        </w:rPr>
        <w:t>Indian Journal of Fertilisers, 7</w:t>
      </w:r>
      <w:r>
        <w:rPr>
          <w:rFonts w:ascii="Times New Roman" w:eastAsia="Times New Roman" w:hAnsi="Times New Roman"/>
          <w:sz w:val="20"/>
        </w:rPr>
        <w:t xml:space="preserve">(10), 104–117. </w:t>
      </w:r>
    </w:p>
    <w:p w14:paraId="7D2E4FCD" w14:textId="77777777" w:rsidR="00E8098D" w:rsidRDefault="00000000">
      <w:pPr>
        <w:spacing w:after="0" w:line="240" w:lineRule="auto"/>
        <w:ind w:left="360" w:hanging="360"/>
      </w:pPr>
      <w:r>
        <w:rPr>
          <w:rFonts w:ascii="Times New Roman" w:eastAsia="Times New Roman" w:hAnsi="Times New Roman"/>
          <w:sz w:val="20"/>
        </w:rPr>
        <w:t xml:space="preserve">Niharika, P., Saravana Pandian, P., Indirani, R., &amp; Kumutha, K. (2025). Effect of sulphur fertilization on soil adsorption–desorption dynamics, nutrient uptake and yield of sesame in Typic Chromustert. </w:t>
      </w:r>
      <w:r>
        <w:rPr>
          <w:rFonts w:ascii="Times New Roman" w:eastAsia="Times New Roman" w:hAnsi="Times New Roman"/>
          <w:i/>
          <w:sz w:val="20"/>
        </w:rPr>
        <w:t>Plant Science Today, 12</w:t>
      </w:r>
      <w:r>
        <w:rPr>
          <w:rFonts w:ascii="Times New Roman" w:eastAsia="Times New Roman" w:hAnsi="Times New Roman"/>
          <w:sz w:val="20"/>
        </w:rPr>
        <w:t xml:space="preserve">(SP3), 1–10. </w:t>
      </w:r>
      <w:hyperlink r:id="rId24">
        <w:r>
          <w:rPr>
            <w:rFonts w:ascii="Times New Roman" w:eastAsia="Times New Roman" w:hAnsi="Times New Roman"/>
            <w:color w:val="000000"/>
            <w:sz w:val="20"/>
            <w:szCs w:val="20"/>
            <w:u w:val="single"/>
          </w:rPr>
          <w:t>https://doi.org/10.14719/pst.9298</w:t>
        </w:r>
      </w:hyperlink>
    </w:p>
    <w:p w14:paraId="74B85797" w14:textId="77777777" w:rsidR="00E8098D" w:rsidRDefault="00000000">
      <w:pPr>
        <w:spacing w:after="0" w:line="240" w:lineRule="auto"/>
        <w:ind w:left="360" w:hanging="360"/>
      </w:pPr>
      <w:r>
        <w:rPr>
          <w:rFonts w:ascii="Times New Roman" w:eastAsia="Times New Roman" w:hAnsi="Times New Roman"/>
          <w:sz w:val="20"/>
        </w:rPr>
        <w:t xml:space="preserve">Olsen, S. R., Cole, C. V., Watanabe, F. S., &amp; Dean, L. A. (1954). </w:t>
      </w:r>
      <w:r>
        <w:rPr>
          <w:rFonts w:ascii="Times New Roman" w:eastAsia="Times New Roman" w:hAnsi="Times New Roman"/>
          <w:i/>
          <w:sz w:val="20"/>
        </w:rPr>
        <w:t>Estimation of available phosphorus in soils by extraction with sodium bicarbonate</w:t>
      </w:r>
      <w:r>
        <w:rPr>
          <w:rFonts w:ascii="Times New Roman" w:eastAsia="Times New Roman" w:hAnsi="Times New Roman"/>
          <w:sz w:val="20"/>
        </w:rPr>
        <w:t xml:space="preserve"> (USDA Circular No. 939). U.S. Department of Agriculture. </w:t>
      </w:r>
      <w:hyperlink r:id="rId25">
        <w:r>
          <w:rPr>
            <w:rFonts w:ascii="Times New Roman" w:eastAsia="Times New Roman" w:hAnsi="Times New Roman"/>
            <w:color w:val="000000"/>
            <w:sz w:val="20"/>
            <w:szCs w:val="20"/>
            <w:u w:val="single"/>
          </w:rPr>
          <w:t>https://agris.fao.org/search/en/providers/122535/records/65dded244c5aef494fd7641c</w:t>
        </w:r>
      </w:hyperlink>
    </w:p>
    <w:p w14:paraId="5F054041" w14:textId="77777777" w:rsidR="00E8098D" w:rsidRDefault="00000000">
      <w:pPr>
        <w:spacing w:after="0" w:line="240" w:lineRule="auto"/>
        <w:ind w:left="360" w:hanging="360"/>
      </w:pPr>
      <w:r>
        <w:rPr>
          <w:rFonts w:ascii="Times New Roman" w:eastAsia="Times New Roman" w:hAnsi="Times New Roman"/>
          <w:sz w:val="20"/>
        </w:rPr>
        <w:t>Paul, S. K., Khatun, M. M., &amp; Sarkar, M. A. R. (2019). Effect of sulphur on the seed yield and oil content of sesame (</w:t>
      </w:r>
      <w:r>
        <w:rPr>
          <w:rFonts w:ascii="Times New Roman" w:eastAsia="Times New Roman" w:hAnsi="Times New Roman"/>
          <w:i/>
          <w:sz w:val="20"/>
        </w:rPr>
        <w:t>Sesamum indicum</w:t>
      </w:r>
      <w:r>
        <w:rPr>
          <w:rFonts w:ascii="Times New Roman" w:eastAsia="Times New Roman" w:hAnsi="Times New Roman"/>
          <w:sz w:val="20"/>
        </w:rPr>
        <w:t xml:space="preserve"> L.). </w:t>
      </w:r>
      <w:r>
        <w:rPr>
          <w:rFonts w:ascii="Times New Roman" w:eastAsia="Times New Roman" w:hAnsi="Times New Roman"/>
          <w:i/>
          <w:sz w:val="20"/>
        </w:rPr>
        <w:t>Journal of the Bangladesh Agricultural University, 17</w:t>
      </w:r>
      <w:r>
        <w:rPr>
          <w:rFonts w:ascii="Times New Roman" w:eastAsia="Times New Roman" w:hAnsi="Times New Roman"/>
          <w:sz w:val="20"/>
        </w:rPr>
        <w:t xml:space="preserve">(1), 33–38. </w:t>
      </w:r>
      <w:hyperlink r:id="rId26">
        <w:r>
          <w:rPr>
            <w:rFonts w:ascii="Times New Roman" w:eastAsia="Times New Roman" w:hAnsi="Times New Roman"/>
            <w:color w:val="000000"/>
            <w:sz w:val="20"/>
            <w:szCs w:val="20"/>
            <w:u w:val="single"/>
          </w:rPr>
          <w:t>https://doi.org/10.3329/jbau.v17i1.40660</w:t>
        </w:r>
      </w:hyperlink>
    </w:p>
    <w:p w14:paraId="677ED5F4" w14:textId="77777777" w:rsidR="00E8098D" w:rsidRDefault="00000000">
      <w:pPr>
        <w:spacing w:after="0" w:line="240" w:lineRule="auto"/>
        <w:ind w:left="360" w:hanging="360"/>
      </w:pPr>
      <w:r>
        <w:rPr>
          <w:rFonts w:ascii="Times New Roman" w:eastAsia="Times New Roman" w:hAnsi="Times New Roman"/>
          <w:sz w:val="20"/>
        </w:rPr>
        <w:t xml:space="preserve">Piper, C. S. (1966). </w:t>
      </w:r>
      <w:r>
        <w:rPr>
          <w:rFonts w:ascii="Times New Roman" w:eastAsia="Times New Roman" w:hAnsi="Times New Roman"/>
          <w:i/>
          <w:sz w:val="20"/>
        </w:rPr>
        <w:t>Soil and plant analysis: A laboratory manual of methods for the examination of soils and the determination of the inorganic constituents of plants</w:t>
      </w:r>
      <w:r>
        <w:rPr>
          <w:rFonts w:ascii="Times New Roman" w:eastAsia="Times New Roman" w:hAnsi="Times New Roman"/>
          <w:sz w:val="20"/>
        </w:rPr>
        <w:t xml:space="preserve">. Hans Publishers. </w:t>
      </w:r>
      <w:hyperlink r:id="rId27">
        <w:r>
          <w:rPr>
            <w:rFonts w:ascii="Times New Roman" w:eastAsia="Times New Roman" w:hAnsi="Times New Roman"/>
            <w:color w:val="000000"/>
            <w:sz w:val="20"/>
            <w:szCs w:val="20"/>
            <w:u w:val="single"/>
          </w:rPr>
          <w:t>https://spices.res.in/opac/cgi-bin/koha/opac-detail.pl?biblionumber=780</w:t>
        </w:r>
      </w:hyperlink>
    </w:p>
    <w:p w14:paraId="07E2D167" w14:textId="77777777" w:rsidR="00E8098D" w:rsidRDefault="00000000">
      <w:pPr>
        <w:spacing w:after="0" w:line="240" w:lineRule="auto"/>
        <w:ind w:left="360" w:hanging="360"/>
      </w:pPr>
      <w:r>
        <w:rPr>
          <w:rFonts w:ascii="Times New Roman" w:eastAsia="Times New Roman" w:hAnsi="Times New Roman"/>
          <w:sz w:val="20"/>
        </w:rPr>
        <w:t xml:space="preserve">Pravalika, K., &amp; Dawson, J. (2023). Effect of basal application of sulphur and foliar application of micronutrients on growth and yield of summer sesame. </w:t>
      </w:r>
      <w:r>
        <w:rPr>
          <w:rFonts w:ascii="Times New Roman" w:eastAsia="Times New Roman" w:hAnsi="Times New Roman"/>
          <w:i/>
          <w:sz w:val="20"/>
        </w:rPr>
        <w:t>International Journal of Environment and Climate Change, 13</w:t>
      </w:r>
      <w:r>
        <w:rPr>
          <w:rFonts w:ascii="Times New Roman" w:eastAsia="Times New Roman" w:hAnsi="Times New Roman"/>
          <w:sz w:val="20"/>
        </w:rPr>
        <w:t xml:space="preserve">(5), 11–16. </w:t>
      </w:r>
      <w:hyperlink r:id="rId28">
        <w:r>
          <w:rPr>
            <w:rFonts w:ascii="Times New Roman" w:eastAsia="Times New Roman" w:hAnsi="Times New Roman"/>
            <w:color w:val="000000"/>
            <w:sz w:val="20"/>
            <w:szCs w:val="20"/>
            <w:u w:val="single"/>
          </w:rPr>
          <w:t>https://doi.org/10.9734/ijecc/2023/v13i51737</w:t>
        </w:r>
      </w:hyperlink>
    </w:p>
    <w:p w14:paraId="23881524" w14:textId="77777777" w:rsidR="00E8098D" w:rsidRDefault="00000000">
      <w:pPr>
        <w:spacing w:after="0" w:line="240" w:lineRule="auto"/>
        <w:ind w:left="360" w:hanging="360"/>
      </w:pPr>
      <w:r>
        <w:rPr>
          <w:rFonts w:ascii="Times New Roman" w:eastAsia="Times New Roman" w:hAnsi="Times New Roman"/>
          <w:sz w:val="20"/>
        </w:rPr>
        <w:t xml:space="preserve">Prusty, M., Alim, M. A., Swain, D., Sahoo, G., &amp; Ray, M. (2024). Effect of different sources and levels of sulphur in sesame on yield, nutrient uptake and soil fertility in acid Alfisols of Odisha, India. </w:t>
      </w:r>
      <w:r>
        <w:rPr>
          <w:rFonts w:ascii="Times New Roman" w:eastAsia="Times New Roman" w:hAnsi="Times New Roman"/>
          <w:i/>
          <w:sz w:val="20"/>
        </w:rPr>
        <w:t>International Journal of Plant &amp; Soil Science, 36</w:t>
      </w:r>
      <w:r>
        <w:rPr>
          <w:rFonts w:ascii="Times New Roman" w:eastAsia="Times New Roman" w:hAnsi="Times New Roman"/>
          <w:sz w:val="20"/>
        </w:rPr>
        <w:t xml:space="preserve">(6), 669–677. </w:t>
      </w:r>
      <w:hyperlink r:id="rId29">
        <w:r>
          <w:rPr>
            <w:rFonts w:ascii="Times New Roman" w:eastAsia="Times New Roman" w:hAnsi="Times New Roman"/>
            <w:color w:val="000000"/>
            <w:sz w:val="20"/>
            <w:szCs w:val="20"/>
            <w:u w:val="single"/>
          </w:rPr>
          <w:t>https://doi.org/10.9734/ijpss/2024/v36i64671</w:t>
        </w:r>
      </w:hyperlink>
    </w:p>
    <w:p w14:paraId="369FCCD0" w14:textId="77777777" w:rsidR="00E8098D" w:rsidRDefault="00000000">
      <w:pPr>
        <w:spacing w:after="0" w:line="240" w:lineRule="auto"/>
        <w:ind w:left="360" w:hanging="360"/>
      </w:pPr>
      <w:r>
        <w:rPr>
          <w:rFonts w:ascii="Times New Roman" w:eastAsia="Times New Roman" w:hAnsi="Times New Roman"/>
          <w:sz w:val="20"/>
        </w:rPr>
        <w:t xml:space="preserve">Ram, A., Kumar, D., Babu, S., Prasad, D., &amp; Dev, I. (2017). Effect of sulphur on soil biological properties, residual fertility and yield of aerobic rice grown under an aerobic rice–wheat cropping system in Inceptisols. </w:t>
      </w:r>
      <w:r>
        <w:rPr>
          <w:rFonts w:ascii="Times New Roman" w:eastAsia="Times New Roman" w:hAnsi="Times New Roman"/>
          <w:i/>
          <w:sz w:val="20"/>
        </w:rPr>
        <w:t>Journal of Environmental Biology, 38</w:t>
      </w:r>
      <w:r>
        <w:rPr>
          <w:rFonts w:ascii="Times New Roman" w:eastAsia="Times New Roman" w:hAnsi="Times New Roman"/>
          <w:sz w:val="20"/>
        </w:rPr>
        <w:t xml:space="preserve">(4), 587–597. </w:t>
      </w:r>
      <w:hyperlink r:id="rId30">
        <w:r>
          <w:rPr>
            <w:rFonts w:ascii="Times New Roman" w:eastAsia="Times New Roman" w:hAnsi="Times New Roman"/>
            <w:color w:val="000000"/>
            <w:sz w:val="20"/>
            <w:szCs w:val="20"/>
            <w:u w:val="single"/>
          </w:rPr>
          <w:t>https://doi.org/10.22438/jeb/38/4/MS-275</w:t>
        </w:r>
      </w:hyperlink>
    </w:p>
    <w:p w14:paraId="2B810D06" w14:textId="77777777" w:rsidR="00E8098D" w:rsidRDefault="00000000">
      <w:pPr>
        <w:spacing w:after="0" w:line="240" w:lineRule="auto"/>
        <w:ind w:left="360" w:hanging="360"/>
      </w:pPr>
      <w:r>
        <w:rPr>
          <w:rFonts w:ascii="Times New Roman" w:eastAsia="Times New Roman" w:hAnsi="Times New Roman"/>
          <w:sz w:val="20"/>
        </w:rPr>
        <w:t>Rana, P., Sirothia, P., &amp; Yadav, B. S. (2018). Effect of sulphur and zinc on yield and uptake of nutrients by mustard (</w:t>
      </w:r>
      <w:r>
        <w:rPr>
          <w:rFonts w:ascii="Times New Roman" w:eastAsia="Times New Roman" w:hAnsi="Times New Roman"/>
          <w:i/>
          <w:sz w:val="20"/>
        </w:rPr>
        <w:t>Brassica</w:t>
      </w:r>
      <w:r>
        <w:rPr>
          <w:rFonts w:ascii="Times New Roman" w:eastAsia="Times New Roman" w:hAnsi="Times New Roman"/>
          <w:sz w:val="20"/>
        </w:rPr>
        <w:t xml:space="preserve"> spp. L.) under rainfed conditions. </w:t>
      </w:r>
      <w:r>
        <w:rPr>
          <w:rFonts w:ascii="Times New Roman" w:eastAsia="Times New Roman" w:hAnsi="Times New Roman"/>
          <w:i/>
          <w:sz w:val="20"/>
        </w:rPr>
        <w:t>International Journal of Chemical Studies, 6</w:t>
      </w:r>
      <w:r>
        <w:rPr>
          <w:rFonts w:ascii="Times New Roman" w:eastAsia="Times New Roman" w:hAnsi="Times New Roman"/>
          <w:sz w:val="20"/>
        </w:rPr>
        <w:t xml:space="preserve">(6), 871–874. </w:t>
      </w:r>
      <w:hyperlink r:id="rId31">
        <w:r>
          <w:rPr>
            <w:rFonts w:ascii="Times New Roman" w:eastAsia="Times New Roman" w:hAnsi="Times New Roman"/>
            <w:color w:val="000000"/>
            <w:sz w:val="20"/>
            <w:szCs w:val="20"/>
            <w:u w:val="single"/>
          </w:rPr>
          <w:t>https://www.chemijournal.com/archives/?ArticleId=4278&amp;issue=6&amp;si=false&amp;vol=6&amp;year=2018</w:t>
        </w:r>
      </w:hyperlink>
    </w:p>
    <w:p w14:paraId="10DD6145" w14:textId="77777777" w:rsidR="00E8098D" w:rsidRDefault="00000000">
      <w:pPr>
        <w:spacing w:after="0" w:line="240" w:lineRule="auto"/>
        <w:ind w:left="360" w:hanging="360"/>
      </w:pPr>
      <w:r>
        <w:rPr>
          <w:rFonts w:ascii="Times New Roman" w:eastAsia="Times New Roman" w:hAnsi="Times New Roman"/>
          <w:sz w:val="20"/>
        </w:rPr>
        <w:t xml:space="preserve">Rohitha, D., Mamatha, B., Sathish, A., Channakeshava, S., Lalitha, B., &amp; Reddy, S. K. M. (2024). Effect of different levels of nano nitrogen, sulphur and zinc on soil physico-chemical properties, growth and productivity of sunflower in acidic soil. </w:t>
      </w:r>
      <w:r>
        <w:rPr>
          <w:rFonts w:ascii="Times New Roman" w:eastAsia="Times New Roman" w:hAnsi="Times New Roman"/>
          <w:i/>
          <w:sz w:val="20"/>
        </w:rPr>
        <w:t>Mysore Journal of Agricultural Sciences, 58</w:t>
      </w:r>
      <w:r>
        <w:rPr>
          <w:rFonts w:ascii="Times New Roman" w:eastAsia="Times New Roman" w:hAnsi="Times New Roman"/>
          <w:sz w:val="20"/>
        </w:rPr>
        <w:t xml:space="preserve">(3), 285–297. </w:t>
      </w:r>
      <w:hyperlink r:id="rId32">
        <w:r>
          <w:rPr>
            <w:rFonts w:ascii="Times New Roman" w:eastAsia="Times New Roman" w:hAnsi="Times New Roman"/>
            <w:color w:val="000000"/>
            <w:sz w:val="20"/>
            <w:szCs w:val="20"/>
            <w:u w:val="single"/>
          </w:rPr>
          <w:t>https://old.uasbangalore.edu.in/images/2024-3rd-Issue/26.pdf</w:t>
        </w:r>
      </w:hyperlink>
    </w:p>
    <w:p w14:paraId="17E94F7D" w14:textId="77777777" w:rsidR="00E8098D" w:rsidRDefault="00000000">
      <w:pPr>
        <w:spacing w:after="0" w:line="240" w:lineRule="auto"/>
        <w:ind w:left="360" w:hanging="360"/>
      </w:pPr>
      <w:r>
        <w:rPr>
          <w:rFonts w:ascii="Times New Roman" w:eastAsia="Times New Roman" w:hAnsi="Times New Roman"/>
          <w:sz w:val="20"/>
        </w:rPr>
        <w:lastRenderedPageBreak/>
        <w:t>Sahu, G., Chatterjee, N., &amp; Ghosh, G. K. (2017). Effect of integrated nutrient management on yield, growth attributes and microbial population of sesame (</w:t>
      </w:r>
      <w:r>
        <w:rPr>
          <w:rFonts w:ascii="Times New Roman" w:eastAsia="Times New Roman" w:hAnsi="Times New Roman"/>
          <w:i/>
          <w:sz w:val="20"/>
        </w:rPr>
        <w:t>Sesamum indicum</w:t>
      </w:r>
      <w:r>
        <w:rPr>
          <w:rFonts w:ascii="Times New Roman" w:eastAsia="Times New Roman" w:hAnsi="Times New Roman"/>
          <w:sz w:val="20"/>
        </w:rPr>
        <w:t xml:space="preserve">). </w:t>
      </w:r>
      <w:r>
        <w:rPr>
          <w:rFonts w:ascii="Times New Roman" w:eastAsia="Times New Roman" w:hAnsi="Times New Roman"/>
          <w:i/>
          <w:sz w:val="20"/>
        </w:rPr>
        <w:t>International Journal of Current Microbiology and Applied Sciences, 6</w:t>
      </w:r>
      <w:r>
        <w:rPr>
          <w:rFonts w:ascii="Times New Roman" w:eastAsia="Times New Roman" w:hAnsi="Times New Roman"/>
          <w:sz w:val="20"/>
        </w:rPr>
        <w:t xml:space="preserve">(7), 462–468. </w:t>
      </w:r>
      <w:hyperlink r:id="rId33">
        <w:r>
          <w:rPr>
            <w:rFonts w:ascii="Times New Roman" w:eastAsia="Times New Roman" w:hAnsi="Times New Roman"/>
            <w:color w:val="000000"/>
            <w:sz w:val="20"/>
            <w:szCs w:val="20"/>
            <w:u w:val="single"/>
          </w:rPr>
          <w:t>https://doi.org/10.20546/ijcmas.2017.607.055</w:t>
        </w:r>
      </w:hyperlink>
    </w:p>
    <w:p w14:paraId="6C9B2375" w14:textId="77777777" w:rsidR="00E8098D" w:rsidRDefault="00000000">
      <w:pPr>
        <w:spacing w:after="0" w:line="240" w:lineRule="auto"/>
        <w:ind w:left="360" w:hanging="360"/>
      </w:pPr>
      <w:r>
        <w:rPr>
          <w:rFonts w:ascii="Times New Roman" w:eastAsia="Times New Roman" w:hAnsi="Times New Roman"/>
          <w:sz w:val="20"/>
        </w:rPr>
        <w:t xml:space="preserve">Sharma, J., Gupta, H., &amp; Patle, U. (2026). Effect of foliar spray of zinc and iron on the productivity of spring cowpea. </w:t>
      </w:r>
      <w:r>
        <w:rPr>
          <w:rFonts w:ascii="Times New Roman" w:eastAsia="Times New Roman" w:hAnsi="Times New Roman"/>
          <w:i/>
          <w:sz w:val="20"/>
        </w:rPr>
        <w:t>Journal of Agriculture and Ecology, 22</w:t>
      </w:r>
      <w:r>
        <w:rPr>
          <w:rFonts w:ascii="Times New Roman" w:eastAsia="Times New Roman" w:hAnsi="Times New Roman"/>
          <w:sz w:val="20"/>
        </w:rPr>
        <w:t xml:space="preserve">, 116–121. </w:t>
      </w:r>
      <w:hyperlink r:id="rId34">
        <w:r>
          <w:rPr>
            <w:rFonts w:ascii="Times New Roman" w:eastAsia="Times New Roman" w:hAnsi="Times New Roman"/>
            <w:color w:val="000000"/>
            <w:sz w:val="20"/>
            <w:szCs w:val="20"/>
            <w:u w:val="single"/>
          </w:rPr>
          <w:t>https://doi.org/10.58628/JAE-2622-115</w:t>
        </w:r>
      </w:hyperlink>
    </w:p>
    <w:p w14:paraId="16AC306C" w14:textId="77777777" w:rsidR="00E8098D" w:rsidRDefault="00000000">
      <w:pPr>
        <w:spacing w:after="0" w:line="240" w:lineRule="auto"/>
        <w:ind w:left="360" w:hanging="360"/>
      </w:pPr>
      <w:r>
        <w:rPr>
          <w:rFonts w:ascii="Times New Roman" w:eastAsia="Times New Roman" w:hAnsi="Times New Roman"/>
          <w:sz w:val="20"/>
        </w:rPr>
        <w:t xml:space="preserve">Singh, A. K., Manibhushan, Meena, M. K., &amp; Upadhyaya, A. (2012). Effect of sulphur and zinc on rice performance and nutrient dynamics in plants and soil of Indo-Gangetic Plains. </w:t>
      </w:r>
      <w:r>
        <w:rPr>
          <w:rFonts w:ascii="Times New Roman" w:eastAsia="Times New Roman" w:hAnsi="Times New Roman"/>
          <w:i/>
          <w:sz w:val="20"/>
        </w:rPr>
        <w:t>Journal of Agricultural Science, 4</w:t>
      </w:r>
      <w:r>
        <w:rPr>
          <w:rFonts w:ascii="Times New Roman" w:eastAsia="Times New Roman" w:hAnsi="Times New Roman"/>
          <w:sz w:val="20"/>
        </w:rPr>
        <w:t xml:space="preserve">(11), 162–170. </w:t>
      </w:r>
      <w:hyperlink r:id="rId35">
        <w:r>
          <w:rPr>
            <w:rFonts w:ascii="Times New Roman" w:eastAsia="Times New Roman" w:hAnsi="Times New Roman"/>
            <w:color w:val="000000"/>
            <w:sz w:val="20"/>
            <w:szCs w:val="20"/>
            <w:u w:val="single"/>
          </w:rPr>
          <w:t>https://doi.org/10.5539/jas.v4n11p162</w:t>
        </w:r>
      </w:hyperlink>
    </w:p>
    <w:p w14:paraId="66CA6EE2" w14:textId="77777777" w:rsidR="00E8098D" w:rsidRDefault="00000000">
      <w:pPr>
        <w:spacing w:after="0" w:line="240" w:lineRule="auto"/>
        <w:ind w:left="360" w:hanging="360"/>
      </w:pPr>
      <w:r>
        <w:rPr>
          <w:rFonts w:ascii="Times New Roman" w:eastAsia="Times New Roman" w:hAnsi="Times New Roman"/>
          <w:sz w:val="20"/>
        </w:rPr>
        <w:t>Singh, A. K., Meena, M. K., Bharati, R. C., &amp; Gade, R. M. (2013). Effect of sulphur and zinc management on yield, nutrient uptake, changes in soil fertility and economics in a rice (</w:t>
      </w:r>
      <w:r>
        <w:rPr>
          <w:rFonts w:ascii="Times New Roman" w:eastAsia="Times New Roman" w:hAnsi="Times New Roman"/>
          <w:i/>
          <w:sz w:val="20"/>
        </w:rPr>
        <w:t>Oryza sativa</w:t>
      </w:r>
      <w:r>
        <w:rPr>
          <w:rFonts w:ascii="Times New Roman" w:eastAsia="Times New Roman" w:hAnsi="Times New Roman"/>
          <w:sz w:val="20"/>
        </w:rPr>
        <w:t>)–lentil (</w:t>
      </w:r>
      <w:r>
        <w:rPr>
          <w:rFonts w:ascii="Times New Roman" w:eastAsia="Times New Roman" w:hAnsi="Times New Roman"/>
          <w:i/>
          <w:sz w:val="20"/>
        </w:rPr>
        <w:t>Lens culinaris</w:t>
      </w:r>
      <w:r>
        <w:rPr>
          <w:rFonts w:ascii="Times New Roman" w:eastAsia="Times New Roman" w:hAnsi="Times New Roman"/>
          <w:sz w:val="20"/>
        </w:rPr>
        <w:t xml:space="preserve">) cropping system. </w:t>
      </w:r>
      <w:r>
        <w:rPr>
          <w:rFonts w:ascii="Times New Roman" w:eastAsia="Times New Roman" w:hAnsi="Times New Roman"/>
          <w:i/>
          <w:sz w:val="20"/>
        </w:rPr>
        <w:t>The Indian Journal of Agricultural Sciences, 83</w:t>
      </w:r>
      <w:r>
        <w:rPr>
          <w:rFonts w:ascii="Times New Roman" w:eastAsia="Times New Roman" w:hAnsi="Times New Roman"/>
          <w:sz w:val="20"/>
        </w:rPr>
        <w:t xml:space="preserve">(3), 344–348. </w:t>
      </w:r>
      <w:hyperlink r:id="rId36">
        <w:r>
          <w:rPr>
            <w:rFonts w:ascii="Times New Roman" w:eastAsia="Times New Roman" w:hAnsi="Times New Roman"/>
            <w:color w:val="000000"/>
            <w:sz w:val="20"/>
            <w:szCs w:val="20"/>
            <w:u w:val="single"/>
          </w:rPr>
          <w:t>https://doi.org/10.56093/ijas.v83i3.28357</w:t>
        </w:r>
      </w:hyperlink>
    </w:p>
    <w:p w14:paraId="7F0CB129" w14:textId="77777777" w:rsidR="00E8098D" w:rsidRDefault="00000000">
      <w:pPr>
        <w:spacing w:after="0" w:line="240" w:lineRule="auto"/>
        <w:ind w:left="360" w:hanging="360"/>
      </w:pPr>
      <w:r>
        <w:rPr>
          <w:rFonts w:ascii="Times New Roman" w:eastAsia="Times New Roman" w:hAnsi="Times New Roman"/>
          <w:sz w:val="20"/>
        </w:rPr>
        <w:t xml:space="preserve">Singh, B., Sharma, Y., Babel, A. L., &amp; Kameriya, P. R. (2013). Effect of sulphur and zinc on yield of and uptake by mustard. </w:t>
      </w:r>
      <w:r>
        <w:rPr>
          <w:rFonts w:ascii="Times New Roman" w:eastAsia="Times New Roman" w:hAnsi="Times New Roman"/>
          <w:i/>
          <w:sz w:val="20"/>
        </w:rPr>
        <w:t>Journal of the Indian Society of Soil Science, 61</w:t>
      </w:r>
      <w:r>
        <w:rPr>
          <w:rFonts w:ascii="Times New Roman" w:eastAsia="Times New Roman" w:hAnsi="Times New Roman"/>
          <w:sz w:val="20"/>
        </w:rPr>
        <w:t xml:space="preserve">(1), 59–62. </w:t>
      </w:r>
      <w:hyperlink r:id="rId37">
        <w:r>
          <w:rPr>
            <w:rFonts w:ascii="Times New Roman" w:eastAsia="Times New Roman" w:hAnsi="Times New Roman"/>
            <w:color w:val="000000"/>
            <w:sz w:val="20"/>
            <w:szCs w:val="20"/>
            <w:u w:val="single"/>
          </w:rPr>
          <w:t>https://epubs.icar.org.in/index.php/JISSS/article/view/31750</w:t>
        </w:r>
      </w:hyperlink>
    </w:p>
    <w:p w14:paraId="24F562AA" w14:textId="77777777" w:rsidR="00E8098D" w:rsidRDefault="00000000">
      <w:pPr>
        <w:spacing w:after="0" w:line="240" w:lineRule="auto"/>
        <w:ind w:left="360" w:hanging="360"/>
      </w:pPr>
      <w:r>
        <w:rPr>
          <w:rFonts w:ascii="Times New Roman" w:eastAsia="Times New Roman" w:hAnsi="Times New Roman"/>
          <w:sz w:val="20"/>
        </w:rPr>
        <w:t>Singh, K., Dwivedi, A., Kumar, P., &amp; Sarsaiya, V. (2022). Effect of sulphur and zinc levels on performance and factor productivity of Indian mustard [</w:t>
      </w:r>
      <w:r>
        <w:rPr>
          <w:rFonts w:ascii="Times New Roman" w:eastAsia="Times New Roman" w:hAnsi="Times New Roman"/>
          <w:i/>
          <w:sz w:val="20"/>
        </w:rPr>
        <w:t>Brassica juncea</w:t>
      </w:r>
      <w:r>
        <w:rPr>
          <w:rFonts w:ascii="Times New Roman" w:eastAsia="Times New Roman" w:hAnsi="Times New Roman"/>
          <w:sz w:val="20"/>
        </w:rPr>
        <w:t xml:space="preserve"> L. Czern and Cosson] in the Malwa region. </w:t>
      </w:r>
      <w:r>
        <w:rPr>
          <w:rFonts w:ascii="Times New Roman" w:eastAsia="Times New Roman" w:hAnsi="Times New Roman"/>
          <w:i/>
          <w:sz w:val="20"/>
        </w:rPr>
        <w:t>Biological Forum—An International Journal, 14</w:t>
      </w:r>
      <w:r>
        <w:rPr>
          <w:rFonts w:ascii="Times New Roman" w:eastAsia="Times New Roman" w:hAnsi="Times New Roman"/>
          <w:sz w:val="20"/>
        </w:rPr>
        <w:t xml:space="preserve">(4), 916–925. </w:t>
      </w:r>
      <w:hyperlink r:id="rId38">
        <w:r>
          <w:rPr>
            <w:rFonts w:ascii="Times New Roman" w:eastAsia="Times New Roman" w:hAnsi="Times New Roman"/>
            <w:color w:val="000000"/>
            <w:sz w:val="20"/>
            <w:szCs w:val="20"/>
            <w:u w:val="single"/>
          </w:rPr>
          <w:t>https://researchtrend.net/bfij/current_issue_bfij.php?taxonomy-id=146</w:t>
        </w:r>
      </w:hyperlink>
    </w:p>
    <w:p w14:paraId="74D6D578" w14:textId="77777777" w:rsidR="00E8098D" w:rsidRDefault="00000000">
      <w:pPr>
        <w:spacing w:after="0" w:line="240" w:lineRule="auto"/>
        <w:ind w:left="360" w:hanging="360"/>
      </w:pPr>
      <w:r>
        <w:rPr>
          <w:rFonts w:ascii="Times New Roman" w:eastAsia="Times New Roman" w:hAnsi="Times New Roman"/>
          <w:sz w:val="20"/>
        </w:rPr>
        <w:t>Singh, K., Rawat, S., &amp; Singh, Y. P. (2026). Effect of sulphur and zinc on growth and yield of sesame (</w:t>
      </w:r>
      <w:r>
        <w:rPr>
          <w:rFonts w:ascii="Times New Roman" w:eastAsia="Times New Roman" w:hAnsi="Times New Roman"/>
          <w:i/>
          <w:sz w:val="20"/>
        </w:rPr>
        <w:t>Sesamum indicum</w:t>
      </w:r>
      <w:r>
        <w:rPr>
          <w:rFonts w:ascii="Times New Roman" w:eastAsia="Times New Roman" w:hAnsi="Times New Roman"/>
          <w:sz w:val="20"/>
        </w:rPr>
        <w:t xml:space="preserve"> L.). </w:t>
      </w:r>
      <w:r>
        <w:rPr>
          <w:rFonts w:ascii="Times New Roman" w:eastAsia="Times New Roman" w:hAnsi="Times New Roman"/>
          <w:i/>
          <w:sz w:val="20"/>
        </w:rPr>
        <w:t>Journal of Scientific Research and Reports, 32</w:t>
      </w:r>
      <w:r>
        <w:rPr>
          <w:rFonts w:ascii="Times New Roman" w:eastAsia="Times New Roman" w:hAnsi="Times New Roman"/>
          <w:sz w:val="20"/>
        </w:rPr>
        <w:t xml:space="preserve">(6), 83–90. </w:t>
      </w:r>
      <w:hyperlink r:id="rId39">
        <w:r>
          <w:rPr>
            <w:rFonts w:ascii="Times New Roman" w:eastAsia="Times New Roman" w:hAnsi="Times New Roman"/>
            <w:color w:val="000000"/>
            <w:sz w:val="20"/>
            <w:szCs w:val="20"/>
            <w:u w:val="single"/>
          </w:rPr>
          <w:t>https://doi.org/10.9734/jsrr/2026/v32i64229</w:t>
        </w:r>
      </w:hyperlink>
    </w:p>
    <w:p w14:paraId="70C841E5" w14:textId="6CFF7873" w:rsidR="00E8098D" w:rsidRDefault="00000000">
      <w:pPr>
        <w:spacing w:after="0" w:line="240" w:lineRule="auto"/>
        <w:ind w:left="360" w:hanging="360"/>
      </w:pPr>
      <w:r>
        <w:rPr>
          <w:rFonts w:ascii="Times New Roman" w:eastAsia="Times New Roman" w:hAnsi="Times New Roman"/>
          <w:sz w:val="20"/>
        </w:rPr>
        <w:t>Singh, R., &amp; Singh, A. P. (2017). Effect of phosphorus, sulphur and biofertilizer on yield, quality and uptake of nutrients in cowpea (</w:t>
      </w:r>
      <w:r>
        <w:rPr>
          <w:rFonts w:ascii="Times New Roman" w:eastAsia="Times New Roman" w:hAnsi="Times New Roman"/>
          <w:i/>
          <w:sz w:val="20"/>
        </w:rPr>
        <w:t>Vigna unguiculata</w:t>
      </w:r>
      <w:r>
        <w:rPr>
          <w:rFonts w:ascii="Times New Roman" w:eastAsia="Times New Roman" w:hAnsi="Times New Roman"/>
          <w:sz w:val="20"/>
        </w:rPr>
        <w:t xml:space="preserve">). </w:t>
      </w:r>
      <w:r>
        <w:rPr>
          <w:rFonts w:ascii="Times New Roman" w:eastAsia="Times New Roman" w:hAnsi="Times New Roman"/>
          <w:i/>
          <w:sz w:val="20"/>
        </w:rPr>
        <w:t>Annals of Plant and Soil Research, 19</w:t>
      </w:r>
      <w:r>
        <w:rPr>
          <w:rFonts w:ascii="Times New Roman" w:eastAsia="Times New Roman" w:hAnsi="Times New Roman"/>
          <w:sz w:val="20"/>
        </w:rPr>
        <w:t xml:space="preserve">(2), 175–179. </w:t>
      </w:r>
    </w:p>
    <w:p w14:paraId="4D94DE35" w14:textId="14A08448" w:rsidR="00E8098D" w:rsidRDefault="00000000">
      <w:pPr>
        <w:spacing w:after="0" w:line="240" w:lineRule="auto"/>
        <w:ind w:left="360" w:hanging="360"/>
      </w:pPr>
      <w:r>
        <w:rPr>
          <w:rFonts w:ascii="Times New Roman" w:eastAsia="Times New Roman" w:hAnsi="Times New Roman"/>
          <w:sz w:val="20"/>
        </w:rPr>
        <w:t xml:space="preserve">Subbiah, B. V., &amp; Asija, G. L. (1956). A rapid procedure for the estimation of available nitrogen in soils. </w:t>
      </w:r>
      <w:r>
        <w:rPr>
          <w:rFonts w:ascii="Times New Roman" w:eastAsia="Times New Roman" w:hAnsi="Times New Roman"/>
          <w:i/>
          <w:sz w:val="20"/>
        </w:rPr>
        <w:t>Current Science, 25</w:t>
      </w:r>
      <w:r>
        <w:rPr>
          <w:rFonts w:ascii="Times New Roman" w:eastAsia="Times New Roman" w:hAnsi="Times New Roman"/>
          <w:sz w:val="20"/>
        </w:rPr>
        <w:t xml:space="preserve">, 259–260. </w:t>
      </w:r>
    </w:p>
    <w:p w14:paraId="631D865F" w14:textId="2A8A5ED6" w:rsidR="00E8098D" w:rsidRDefault="00000000">
      <w:pPr>
        <w:spacing w:after="0" w:line="240" w:lineRule="auto"/>
        <w:ind w:left="360" w:hanging="360"/>
      </w:pPr>
      <w:r>
        <w:rPr>
          <w:rFonts w:ascii="Times New Roman" w:eastAsia="Times New Roman" w:hAnsi="Times New Roman"/>
          <w:sz w:val="20"/>
        </w:rPr>
        <w:t xml:space="preserve">Thentu, T. L., Nawlakhe, S. M., Mankar, D. D., Shrinivasrao, M., &amp; Bhonde, G. V. (2014). Growth, yield and quality of summer sesame as influenced by fertilizer and sulphur levels. </w:t>
      </w:r>
      <w:r>
        <w:rPr>
          <w:rFonts w:ascii="Times New Roman" w:eastAsia="Times New Roman" w:hAnsi="Times New Roman"/>
          <w:i/>
          <w:sz w:val="20"/>
        </w:rPr>
        <w:t>Journal of Soils and Crops, 24</w:t>
      </w:r>
      <w:r>
        <w:rPr>
          <w:rFonts w:ascii="Times New Roman" w:eastAsia="Times New Roman" w:hAnsi="Times New Roman"/>
          <w:sz w:val="20"/>
        </w:rPr>
        <w:t xml:space="preserve">(1), 143–147. </w:t>
      </w:r>
    </w:p>
    <w:p w14:paraId="7EB8D2A9" w14:textId="69A907E3" w:rsidR="00E8098D" w:rsidRDefault="00000000">
      <w:pPr>
        <w:spacing w:after="0" w:line="240" w:lineRule="auto"/>
        <w:ind w:left="360" w:hanging="360"/>
      </w:pPr>
      <w:r>
        <w:rPr>
          <w:rFonts w:ascii="Times New Roman" w:eastAsia="Times New Roman" w:hAnsi="Times New Roman"/>
          <w:sz w:val="20"/>
        </w:rPr>
        <w:t xml:space="preserve">Upadhyay, A. K. (2012). Effect of sulphur and zinc on yield, uptake of nutrients and quality of mustard. </w:t>
      </w:r>
      <w:r>
        <w:rPr>
          <w:rFonts w:ascii="Times New Roman" w:eastAsia="Times New Roman" w:hAnsi="Times New Roman"/>
          <w:i/>
          <w:sz w:val="20"/>
        </w:rPr>
        <w:t>Annals of Plant and Soil Research, 14</w:t>
      </w:r>
      <w:r>
        <w:rPr>
          <w:rFonts w:ascii="Times New Roman" w:eastAsia="Times New Roman" w:hAnsi="Times New Roman"/>
          <w:sz w:val="20"/>
        </w:rPr>
        <w:t xml:space="preserve">(1), 42–45. </w:t>
      </w:r>
    </w:p>
    <w:p w14:paraId="137689AB" w14:textId="77777777" w:rsidR="00E8098D" w:rsidRDefault="00000000">
      <w:pPr>
        <w:spacing w:after="0" w:line="240" w:lineRule="auto"/>
        <w:ind w:left="360" w:hanging="360"/>
      </w:pPr>
      <w:r>
        <w:rPr>
          <w:rFonts w:ascii="Times New Roman" w:eastAsia="Times New Roman" w:hAnsi="Times New Roman"/>
          <w:sz w:val="20"/>
        </w:rPr>
        <w:t>Vaishnav, M. D., Surve, V. H., Patel, J. N., Bambhaneeya, S. M., &amp; Sindha, P. M. (2024). Effect of mineral fertilizer on yield, quality and nutrient uptake of black sesame [</w:t>
      </w:r>
      <w:r>
        <w:rPr>
          <w:rFonts w:ascii="Times New Roman" w:eastAsia="Times New Roman" w:hAnsi="Times New Roman"/>
          <w:i/>
          <w:sz w:val="20"/>
        </w:rPr>
        <w:t>Sesamum radiatum</w:t>
      </w:r>
      <w:r>
        <w:rPr>
          <w:rFonts w:ascii="Times New Roman" w:eastAsia="Times New Roman" w:hAnsi="Times New Roman"/>
          <w:sz w:val="20"/>
        </w:rPr>
        <w:t xml:space="preserve"> L.]. </w:t>
      </w:r>
      <w:r>
        <w:rPr>
          <w:rFonts w:ascii="Times New Roman" w:eastAsia="Times New Roman" w:hAnsi="Times New Roman"/>
          <w:i/>
          <w:sz w:val="20"/>
        </w:rPr>
        <w:t>International Journal of Plant &amp; Soil Science, 36</w:t>
      </w:r>
      <w:r>
        <w:rPr>
          <w:rFonts w:ascii="Times New Roman" w:eastAsia="Times New Roman" w:hAnsi="Times New Roman"/>
          <w:sz w:val="20"/>
        </w:rPr>
        <w:t xml:space="preserve">(6), 282–287. </w:t>
      </w:r>
      <w:hyperlink r:id="rId40">
        <w:r>
          <w:rPr>
            <w:rFonts w:ascii="Times New Roman" w:eastAsia="Times New Roman" w:hAnsi="Times New Roman"/>
            <w:color w:val="000000"/>
            <w:sz w:val="20"/>
            <w:szCs w:val="20"/>
            <w:u w:val="single"/>
          </w:rPr>
          <w:t>https://doi.org/10.9734/ijpss/2024/v36i64631</w:t>
        </w:r>
      </w:hyperlink>
    </w:p>
    <w:p w14:paraId="458C2ABB" w14:textId="77777777" w:rsidR="00E8098D" w:rsidRDefault="00000000">
      <w:pPr>
        <w:spacing w:after="0" w:line="240" w:lineRule="auto"/>
        <w:ind w:left="360" w:hanging="360"/>
      </w:pPr>
      <w:r>
        <w:rPr>
          <w:rFonts w:ascii="Times New Roman" w:eastAsia="Times New Roman" w:hAnsi="Times New Roman"/>
          <w:sz w:val="20"/>
        </w:rPr>
        <w:t xml:space="preserve">Walkley, A., &amp; Black, I. A. (1934). An examination of the Degtjareff method for determining soil organic matter and a proposed modification of the chromic acid titration method. </w:t>
      </w:r>
      <w:r>
        <w:rPr>
          <w:rFonts w:ascii="Times New Roman" w:eastAsia="Times New Roman" w:hAnsi="Times New Roman"/>
          <w:i/>
          <w:sz w:val="20"/>
        </w:rPr>
        <w:t>Soil Science, 37</w:t>
      </w:r>
      <w:r>
        <w:rPr>
          <w:rFonts w:ascii="Times New Roman" w:eastAsia="Times New Roman" w:hAnsi="Times New Roman"/>
          <w:sz w:val="20"/>
        </w:rPr>
        <w:t xml:space="preserve">(1), 29–38. </w:t>
      </w:r>
      <w:hyperlink r:id="rId41">
        <w:r>
          <w:rPr>
            <w:rFonts w:ascii="Times New Roman" w:eastAsia="Times New Roman" w:hAnsi="Times New Roman"/>
            <w:color w:val="000000"/>
            <w:sz w:val="20"/>
            <w:szCs w:val="20"/>
            <w:u w:val="single"/>
          </w:rPr>
          <w:t>https://doi.org/10.1097/00010694-193401000-00003</w:t>
        </w:r>
      </w:hyperlink>
    </w:p>
    <w:p w14:paraId="2D5017F5" w14:textId="77777777" w:rsidR="00E8098D" w:rsidRDefault="00000000">
      <w:pPr>
        <w:spacing w:after="0" w:line="240" w:lineRule="auto"/>
        <w:ind w:left="360" w:hanging="360"/>
      </w:pPr>
      <w:r>
        <w:rPr>
          <w:rFonts w:ascii="Times New Roman" w:eastAsia="Times New Roman" w:hAnsi="Times New Roman"/>
          <w:sz w:val="20"/>
        </w:rPr>
        <w:t xml:space="preserve">Wang, Y., Li, J., Gao, X., Li, X., Ren, T., Cong, R., &amp; Lu, J. (2014). Winter oilseed rape productivity and nutritional quality responses to zinc fertilization. </w:t>
      </w:r>
      <w:r>
        <w:rPr>
          <w:rFonts w:ascii="Times New Roman" w:eastAsia="Times New Roman" w:hAnsi="Times New Roman"/>
          <w:i/>
          <w:sz w:val="20"/>
        </w:rPr>
        <w:t>Agronomy Journal, 106</w:t>
      </w:r>
      <w:r>
        <w:rPr>
          <w:rFonts w:ascii="Times New Roman" w:eastAsia="Times New Roman" w:hAnsi="Times New Roman"/>
          <w:sz w:val="20"/>
        </w:rPr>
        <w:t xml:space="preserve">(4), 1349–1357. </w:t>
      </w:r>
      <w:hyperlink r:id="rId42">
        <w:r>
          <w:rPr>
            <w:rFonts w:ascii="Times New Roman" w:eastAsia="Times New Roman" w:hAnsi="Times New Roman"/>
            <w:color w:val="000000"/>
            <w:sz w:val="20"/>
            <w:szCs w:val="20"/>
            <w:u w:val="single"/>
          </w:rPr>
          <w:t>https://doi.org/10.2134/agronj14.0029</w:t>
        </w:r>
      </w:hyperlink>
    </w:p>
    <w:p w14:paraId="74B3EB8A" w14:textId="579AD34D" w:rsidR="00E8098D" w:rsidRDefault="00000000">
      <w:pPr>
        <w:spacing w:after="0" w:line="240" w:lineRule="auto"/>
        <w:ind w:left="360" w:hanging="360"/>
      </w:pPr>
      <w:r>
        <w:rPr>
          <w:rFonts w:ascii="Times New Roman" w:eastAsia="Times New Roman" w:hAnsi="Times New Roman"/>
          <w:sz w:val="20"/>
        </w:rPr>
        <w:t>Yadav, H. K., Thomas, T., &amp; Khajuria, V. (2010). Effect of different levels of sulphur and biofertilizer on the yield of Indian mustard (</w:t>
      </w:r>
      <w:r>
        <w:rPr>
          <w:rFonts w:ascii="Times New Roman" w:eastAsia="Times New Roman" w:hAnsi="Times New Roman"/>
          <w:i/>
          <w:sz w:val="20"/>
        </w:rPr>
        <w:t>Brassica juncea</w:t>
      </w:r>
      <w:r>
        <w:rPr>
          <w:rFonts w:ascii="Times New Roman" w:eastAsia="Times New Roman" w:hAnsi="Times New Roman"/>
          <w:sz w:val="20"/>
        </w:rPr>
        <w:t xml:space="preserve"> L.) and soil properties. </w:t>
      </w:r>
      <w:r>
        <w:rPr>
          <w:rFonts w:ascii="Times New Roman" w:eastAsia="Times New Roman" w:hAnsi="Times New Roman"/>
          <w:i/>
          <w:sz w:val="20"/>
        </w:rPr>
        <w:t>Journal of Agricultural Physics, 10</w:t>
      </w:r>
      <w:r>
        <w:rPr>
          <w:rFonts w:ascii="Times New Roman" w:eastAsia="Times New Roman" w:hAnsi="Times New Roman"/>
          <w:sz w:val="20"/>
        </w:rPr>
        <w:t xml:space="preserve">(1), 61–65. </w:t>
      </w:r>
    </w:p>
    <w:p w14:paraId="35600FA9" w14:textId="77777777" w:rsidR="00E8098D" w:rsidRDefault="00000000">
      <w:pPr>
        <w:spacing w:after="0" w:line="240" w:lineRule="auto"/>
        <w:ind w:left="360" w:hanging="360"/>
      </w:pPr>
      <w:r>
        <w:rPr>
          <w:rFonts w:ascii="Times New Roman" w:eastAsia="Times New Roman" w:hAnsi="Times New Roman"/>
          <w:sz w:val="20"/>
        </w:rPr>
        <w:t>Yadav, P., Yadav, S. S., Garg, K., &amp; Yadav, S. (2020). Effect of sulphur and zinc fertilization on growth, yield attributes and grain yield of sesame (</w:t>
      </w:r>
      <w:r>
        <w:rPr>
          <w:rFonts w:ascii="Times New Roman" w:eastAsia="Times New Roman" w:hAnsi="Times New Roman"/>
          <w:i/>
          <w:sz w:val="20"/>
        </w:rPr>
        <w:t>Sesamum indicum</w:t>
      </w:r>
      <w:r>
        <w:rPr>
          <w:rFonts w:ascii="Times New Roman" w:eastAsia="Times New Roman" w:hAnsi="Times New Roman"/>
          <w:sz w:val="20"/>
        </w:rPr>
        <w:t xml:space="preserve">). </w:t>
      </w:r>
      <w:r>
        <w:rPr>
          <w:rFonts w:ascii="Times New Roman" w:eastAsia="Times New Roman" w:hAnsi="Times New Roman"/>
          <w:i/>
          <w:sz w:val="20"/>
        </w:rPr>
        <w:t>Indian Journal of Agronomy, 65</w:t>
      </w:r>
      <w:r>
        <w:rPr>
          <w:rFonts w:ascii="Times New Roman" w:eastAsia="Times New Roman" w:hAnsi="Times New Roman"/>
          <w:sz w:val="20"/>
        </w:rPr>
        <w:t xml:space="preserve">(1), 120–124. </w:t>
      </w:r>
      <w:hyperlink r:id="rId43">
        <w:r>
          <w:rPr>
            <w:rFonts w:ascii="Times New Roman" w:eastAsia="Times New Roman" w:hAnsi="Times New Roman"/>
            <w:color w:val="000000"/>
            <w:sz w:val="20"/>
            <w:szCs w:val="20"/>
            <w:u w:val="single"/>
          </w:rPr>
          <w:t>https://doi.org/10.59797/ija.v65i1.2960</w:t>
        </w:r>
      </w:hyperlink>
    </w:p>
    <w:p w14:paraId="41458A0E" w14:textId="24687D47" w:rsidR="00E8098D" w:rsidRDefault="00000000">
      <w:pPr>
        <w:spacing w:after="0" w:line="240" w:lineRule="auto"/>
        <w:ind w:left="360" w:hanging="360"/>
      </w:pPr>
      <w:r>
        <w:rPr>
          <w:rFonts w:ascii="Times New Roman" w:eastAsia="Times New Roman" w:hAnsi="Times New Roman"/>
          <w:sz w:val="20"/>
        </w:rPr>
        <w:t xml:space="preserve">Zinzala, V. J., Jadav, N. B., &amp; Gorfad, P. S. (2008). Effect of sulphur and zinc on yield, quality and its concentration in mustard. </w:t>
      </w:r>
      <w:r>
        <w:rPr>
          <w:rFonts w:ascii="Times New Roman" w:eastAsia="Times New Roman" w:hAnsi="Times New Roman"/>
          <w:i/>
          <w:sz w:val="20"/>
        </w:rPr>
        <w:t>Asian Journal of Soil Science, 3</w:t>
      </w:r>
      <w:r>
        <w:rPr>
          <w:rFonts w:ascii="Times New Roman" w:eastAsia="Times New Roman" w:hAnsi="Times New Roman"/>
          <w:sz w:val="20"/>
        </w:rPr>
        <w:t xml:space="preserve">(1), 173–177. </w:t>
      </w:r>
    </w:p>
    <w:sectPr w:rsidR="00E8098D">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4427B"/>
    <w:multiLevelType w:val="multilevel"/>
    <w:tmpl w:val="71D6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922119"/>
    <w:multiLevelType w:val="multilevel"/>
    <w:tmpl w:val="08144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BA3F31"/>
    <w:multiLevelType w:val="multilevel"/>
    <w:tmpl w:val="F98AC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B54D35"/>
    <w:multiLevelType w:val="multilevel"/>
    <w:tmpl w:val="53A8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0E542D"/>
    <w:multiLevelType w:val="multilevel"/>
    <w:tmpl w:val="227C6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998236A"/>
    <w:multiLevelType w:val="multilevel"/>
    <w:tmpl w:val="BA40A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645104"/>
    <w:multiLevelType w:val="multilevel"/>
    <w:tmpl w:val="9866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4072071">
    <w:abstractNumId w:val="2"/>
  </w:num>
  <w:num w:numId="2" w16cid:durableId="1269044319">
    <w:abstractNumId w:val="1"/>
  </w:num>
  <w:num w:numId="3" w16cid:durableId="552735589">
    <w:abstractNumId w:val="5"/>
  </w:num>
  <w:num w:numId="4" w16cid:durableId="410935122">
    <w:abstractNumId w:val="3"/>
  </w:num>
  <w:num w:numId="5" w16cid:durableId="1059204558">
    <w:abstractNumId w:val="0"/>
  </w:num>
  <w:num w:numId="6" w16cid:durableId="469979529">
    <w:abstractNumId w:val="6"/>
  </w:num>
  <w:num w:numId="7" w16cid:durableId="6737282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srQwMDIyMzI1MDS1sDBQ0lEKTi0uzszPAykwrAUAQ7E0fiwAAAA="/>
  </w:docVars>
  <w:rsids>
    <w:rsidRoot w:val="004C04AE"/>
    <w:rsid w:val="00006738"/>
    <w:rsid w:val="000113F8"/>
    <w:rsid w:val="000151A0"/>
    <w:rsid w:val="0005334E"/>
    <w:rsid w:val="000906EB"/>
    <w:rsid w:val="00095AAF"/>
    <w:rsid w:val="000961E8"/>
    <w:rsid w:val="000B65DC"/>
    <w:rsid w:val="000D1935"/>
    <w:rsid w:val="000E099E"/>
    <w:rsid w:val="00100EF6"/>
    <w:rsid w:val="001065F2"/>
    <w:rsid w:val="001177F8"/>
    <w:rsid w:val="0022387F"/>
    <w:rsid w:val="0024718F"/>
    <w:rsid w:val="0025155E"/>
    <w:rsid w:val="00283C1E"/>
    <w:rsid w:val="002B0CD5"/>
    <w:rsid w:val="003C19AC"/>
    <w:rsid w:val="00415BC3"/>
    <w:rsid w:val="004731CE"/>
    <w:rsid w:val="00492D63"/>
    <w:rsid w:val="004C04AE"/>
    <w:rsid w:val="004C3FFB"/>
    <w:rsid w:val="004E344D"/>
    <w:rsid w:val="00543408"/>
    <w:rsid w:val="00555BC6"/>
    <w:rsid w:val="00581CAA"/>
    <w:rsid w:val="00582920"/>
    <w:rsid w:val="00624EBE"/>
    <w:rsid w:val="00641BAC"/>
    <w:rsid w:val="00647501"/>
    <w:rsid w:val="006A10BD"/>
    <w:rsid w:val="006C5A72"/>
    <w:rsid w:val="006E2FB9"/>
    <w:rsid w:val="007112AA"/>
    <w:rsid w:val="00755106"/>
    <w:rsid w:val="007A74C2"/>
    <w:rsid w:val="007F0731"/>
    <w:rsid w:val="007F2330"/>
    <w:rsid w:val="007F7018"/>
    <w:rsid w:val="008026D0"/>
    <w:rsid w:val="008322F8"/>
    <w:rsid w:val="0083277B"/>
    <w:rsid w:val="00893007"/>
    <w:rsid w:val="00895571"/>
    <w:rsid w:val="008A11BF"/>
    <w:rsid w:val="008C63AA"/>
    <w:rsid w:val="008E61F0"/>
    <w:rsid w:val="0090617C"/>
    <w:rsid w:val="009152C6"/>
    <w:rsid w:val="0092150E"/>
    <w:rsid w:val="00933571"/>
    <w:rsid w:val="009452A5"/>
    <w:rsid w:val="00962159"/>
    <w:rsid w:val="009B3C31"/>
    <w:rsid w:val="00AA500C"/>
    <w:rsid w:val="00AF60DC"/>
    <w:rsid w:val="00B135E2"/>
    <w:rsid w:val="00B31B6C"/>
    <w:rsid w:val="00B40415"/>
    <w:rsid w:val="00B46191"/>
    <w:rsid w:val="00B84B5B"/>
    <w:rsid w:val="00BB4D94"/>
    <w:rsid w:val="00BF2425"/>
    <w:rsid w:val="00C02DE0"/>
    <w:rsid w:val="00C46BA4"/>
    <w:rsid w:val="00C82A0C"/>
    <w:rsid w:val="00D14E18"/>
    <w:rsid w:val="00D22B7D"/>
    <w:rsid w:val="00D65DD7"/>
    <w:rsid w:val="00D70DCF"/>
    <w:rsid w:val="00E10334"/>
    <w:rsid w:val="00E50738"/>
    <w:rsid w:val="00E53C42"/>
    <w:rsid w:val="00E66D17"/>
    <w:rsid w:val="00E8098D"/>
    <w:rsid w:val="00EC55E3"/>
    <w:rsid w:val="00F00F1E"/>
    <w:rsid w:val="00F01F0E"/>
    <w:rsid w:val="00F22EE5"/>
    <w:rsid w:val="00F41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B3E77"/>
  <w15:chartTrackingRefBased/>
  <w15:docId w15:val="{65DA1E18-C89B-416E-A0D8-D06512A4E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CD5"/>
  </w:style>
  <w:style w:type="paragraph" w:styleId="Heading1">
    <w:name w:val="heading 1"/>
    <w:basedOn w:val="Normal"/>
    <w:next w:val="Normal"/>
    <w:link w:val="Heading1Char"/>
    <w:uiPriority w:val="9"/>
    <w:qFormat/>
    <w:rsid w:val="004C04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C04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C04A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C04A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C04A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C04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4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4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4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04A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C04A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C04A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C04A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C04A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C04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04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04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04AE"/>
    <w:rPr>
      <w:rFonts w:eastAsiaTheme="majorEastAsia" w:cstheme="majorBidi"/>
      <w:color w:val="272727" w:themeColor="text1" w:themeTint="D8"/>
    </w:rPr>
  </w:style>
  <w:style w:type="paragraph" w:styleId="Title">
    <w:name w:val="Title"/>
    <w:basedOn w:val="Normal"/>
    <w:next w:val="Normal"/>
    <w:link w:val="TitleChar"/>
    <w:uiPriority w:val="10"/>
    <w:qFormat/>
    <w:rsid w:val="004C04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04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04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4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04AE"/>
    <w:pPr>
      <w:spacing w:before="160"/>
      <w:jc w:val="center"/>
    </w:pPr>
    <w:rPr>
      <w:i/>
      <w:iCs/>
      <w:color w:val="404040" w:themeColor="text1" w:themeTint="BF"/>
    </w:rPr>
  </w:style>
  <w:style w:type="character" w:customStyle="1" w:styleId="QuoteChar">
    <w:name w:val="Quote Char"/>
    <w:basedOn w:val="DefaultParagraphFont"/>
    <w:link w:val="Quote"/>
    <w:uiPriority w:val="29"/>
    <w:rsid w:val="004C04AE"/>
    <w:rPr>
      <w:i/>
      <w:iCs/>
      <w:color w:val="404040" w:themeColor="text1" w:themeTint="BF"/>
    </w:rPr>
  </w:style>
  <w:style w:type="paragraph" w:styleId="ListParagraph">
    <w:name w:val="List Paragraph"/>
    <w:basedOn w:val="Normal"/>
    <w:uiPriority w:val="34"/>
    <w:qFormat/>
    <w:rsid w:val="004C04AE"/>
    <w:pPr>
      <w:ind w:left="720"/>
      <w:contextualSpacing/>
    </w:pPr>
  </w:style>
  <w:style w:type="character" w:styleId="IntenseEmphasis">
    <w:name w:val="Intense Emphasis"/>
    <w:basedOn w:val="DefaultParagraphFont"/>
    <w:uiPriority w:val="21"/>
    <w:qFormat/>
    <w:rsid w:val="004C04AE"/>
    <w:rPr>
      <w:i/>
      <w:iCs/>
      <w:color w:val="2F5496" w:themeColor="accent1" w:themeShade="BF"/>
    </w:rPr>
  </w:style>
  <w:style w:type="paragraph" w:styleId="IntenseQuote">
    <w:name w:val="Intense Quote"/>
    <w:basedOn w:val="Normal"/>
    <w:next w:val="Normal"/>
    <w:link w:val="IntenseQuoteChar"/>
    <w:uiPriority w:val="30"/>
    <w:qFormat/>
    <w:rsid w:val="004C04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C04AE"/>
    <w:rPr>
      <w:i/>
      <w:iCs/>
      <w:color w:val="2F5496" w:themeColor="accent1" w:themeShade="BF"/>
    </w:rPr>
  </w:style>
  <w:style w:type="character" w:styleId="IntenseReference">
    <w:name w:val="Intense Reference"/>
    <w:basedOn w:val="DefaultParagraphFont"/>
    <w:uiPriority w:val="32"/>
    <w:qFormat/>
    <w:rsid w:val="004C04AE"/>
    <w:rPr>
      <w:b/>
      <w:bCs/>
      <w:smallCaps/>
      <w:color w:val="2F5496" w:themeColor="accent1" w:themeShade="BF"/>
      <w:spacing w:val="5"/>
    </w:rPr>
  </w:style>
  <w:style w:type="table" w:styleId="TableGrid">
    <w:name w:val="Table Grid"/>
    <w:basedOn w:val="TableNormal"/>
    <w:uiPriority w:val="39"/>
    <w:rsid w:val="00B461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E5073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F22EE5"/>
    <w:rPr>
      <w:color w:val="0563C1" w:themeColor="hyperlink"/>
      <w:u w:val="single"/>
    </w:rPr>
  </w:style>
  <w:style w:type="character" w:styleId="UnresolvedMention">
    <w:name w:val="Unresolved Mention"/>
    <w:basedOn w:val="DefaultParagraphFont"/>
    <w:uiPriority w:val="99"/>
    <w:semiHidden/>
    <w:unhideWhenUsed/>
    <w:rsid w:val="00F22E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ata.gov.in/catalog/area-production-and-yield-major-crops-gujarat-state" TargetMode="External"/><Relationship Id="rId18" Type="http://schemas.openxmlformats.org/officeDocument/2006/relationships/hyperlink" Target="https://www.researchgate.net/publication/354450410_Effect_of_Sulphur_Levels_on_Growth_and_Yield_of_different_Varieties_of_Sesame_Sesamum_indicum_L" TargetMode="External"/><Relationship Id="rId26" Type="http://schemas.openxmlformats.org/officeDocument/2006/relationships/hyperlink" Target="https://doi.org/10.3329/jbau.v17i1.40660" TargetMode="External"/><Relationship Id="rId39" Type="http://schemas.openxmlformats.org/officeDocument/2006/relationships/hyperlink" Target="https://doi.org/10.9734/jsrr/2026/v32i64229" TargetMode="External"/><Relationship Id="rId21" Type="http://schemas.openxmlformats.org/officeDocument/2006/relationships/hyperlink" Target="https://doi.org/10.2136/sssaj1978.03615995004200030009x" TargetMode="External"/><Relationship Id="rId34" Type="http://schemas.openxmlformats.org/officeDocument/2006/relationships/hyperlink" Target="https://doi.org/10.58628/JAE-2622-115" TargetMode="External"/><Relationship Id="rId42" Type="http://schemas.openxmlformats.org/officeDocument/2006/relationships/hyperlink" Target="https://doi.org/10.2134/agronj14.0029" TargetMode="External"/><Relationship Id="rId7" Type="http://schemas.openxmlformats.org/officeDocument/2006/relationships/hyperlink" Target="https://doi.org/10.2136/sssabookser5.1.2ed.c13" TargetMode="External"/><Relationship Id="rId2" Type="http://schemas.openxmlformats.org/officeDocument/2006/relationships/styles" Target="styles.xml"/><Relationship Id="rId16" Type="http://schemas.openxmlformats.org/officeDocument/2006/relationships/hyperlink" Target="https://ijnss.org/volume-6-issue-3-august-2019/" TargetMode="External"/><Relationship Id="rId29" Type="http://schemas.openxmlformats.org/officeDocument/2006/relationships/hyperlink" Target="https://doi.org/10.9734/ijpss/2024/v36i64671" TargetMode="External"/><Relationship Id="rId1" Type="http://schemas.openxmlformats.org/officeDocument/2006/relationships/numbering" Target="numbering.xml"/><Relationship Id="rId6" Type="http://schemas.openxmlformats.org/officeDocument/2006/relationships/hyperlink" Target="https://doi.org/10.37273/chesci.cs205307506" TargetMode="External"/><Relationship Id="rId11" Type="http://schemas.openxmlformats.org/officeDocument/2006/relationships/hyperlink" Target="https://desagri.gov.in/stats-session-year/2024-25/" TargetMode="External"/><Relationship Id="rId24" Type="http://schemas.openxmlformats.org/officeDocument/2006/relationships/hyperlink" Target="https://doi.org/10.14719/pst.9298" TargetMode="External"/><Relationship Id="rId32" Type="http://schemas.openxmlformats.org/officeDocument/2006/relationships/hyperlink" Target="https://old.uasbangalore.edu.in/images/2024-3rd-Issue/26.pdf" TargetMode="External"/><Relationship Id="rId37" Type="http://schemas.openxmlformats.org/officeDocument/2006/relationships/hyperlink" Target="https://epubs.icar.org.in/index.php/JISSS/article/view/31750" TargetMode="External"/><Relationship Id="rId40" Type="http://schemas.openxmlformats.org/officeDocument/2006/relationships/hyperlink" Target="https://doi.org/10.9734/ijpss/2024/v36i64631" TargetMode="External"/><Relationship Id="rId45" Type="http://schemas.openxmlformats.org/officeDocument/2006/relationships/theme" Target="theme/theme1.xml"/><Relationship Id="rId5" Type="http://schemas.openxmlformats.org/officeDocument/2006/relationships/hyperlink" Target="https://doi.org/10.9734/ajsspn/2025/v11i1460" TargetMode="External"/><Relationship Id="rId15" Type="http://schemas.openxmlformats.org/officeDocument/2006/relationships/hyperlink" Target="https://krishikosh.egranth.ac.in/items/c7da3b48-c39d-4cfd-a599-428deb7ae0b0" TargetMode="External"/><Relationship Id="rId23" Type="http://schemas.openxmlformats.org/officeDocument/2006/relationships/hyperlink" Target="https://doi.org/10.1007/s12517-021-07229-6" TargetMode="External"/><Relationship Id="rId28" Type="http://schemas.openxmlformats.org/officeDocument/2006/relationships/hyperlink" Target="https://doi.org/10.9734/ijecc/2023/v13i51737" TargetMode="External"/><Relationship Id="rId36" Type="http://schemas.openxmlformats.org/officeDocument/2006/relationships/hyperlink" Target="https://doi.org/10.56093/ijas.v83i3.28357" TargetMode="External"/><Relationship Id="rId10" Type="http://schemas.openxmlformats.org/officeDocument/2006/relationships/hyperlink" Target="https://agris.fao.org/search/en/providers/122535/records/65ddd0504c5aef494fd5a629" TargetMode="External"/><Relationship Id="rId19" Type="http://schemas.openxmlformats.org/officeDocument/2006/relationships/hyperlink" Target="https://doi.org/10.9734/ijpss/2023/v35i203908" TargetMode="External"/><Relationship Id="rId31" Type="http://schemas.openxmlformats.org/officeDocument/2006/relationships/hyperlink" Target="https://www.chemijournal.com/archives/?ArticleId=4278&amp;issue=6&amp;si=false&amp;vol=6&amp;year=2018"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i.org/10.2136/sssaj1951.036159950015000C0032x" TargetMode="External"/><Relationship Id="rId14" Type="http://schemas.openxmlformats.org/officeDocument/2006/relationships/hyperlink" Target="https://doi.org/10.3389/fpls.2024.1383373" TargetMode="External"/><Relationship Id="rId22" Type="http://schemas.openxmlformats.org/officeDocument/2006/relationships/hyperlink" Target="https://doi.org/10.20546/ijcmas.2017.609.453" TargetMode="External"/><Relationship Id="rId27" Type="http://schemas.openxmlformats.org/officeDocument/2006/relationships/hyperlink" Target="https://spices.res.in/opac/cgi-bin/koha/opac-detail.pl?biblionumber=780" TargetMode="External"/><Relationship Id="rId30" Type="http://schemas.openxmlformats.org/officeDocument/2006/relationships/hyperlink" Target="https://doi.org/10.22438/jeb/38/4/MS-275" TargetMode="External"/><Relationship Id="rId35" Type="http://schemas.openxmlformats.org/officeDocument/2006/relationships/hyperlink" Target="https://doi.org/10.5539/jas.v4n11p162" TargetMode="External"/><Relationship Id="rId43" Type="http://schemas.openxmlformats.org/officeDocument/2006/relationships/hyperlink" Target="https://doi.org/10.59797/ija.v65i1.2960" TargetMode="External"/><Relationship Id="rId8" Type="http://schemas.openxmlformats.org/officeDocument/2006/relationships/hyperlink" Target="https://doi.org/10.2136/sssabookser5.1.2ed.c14" TargetMode="External"/><Relationship Id="rId3" Type="http://schemas.openxmlformats.org/officeDocument/2006/relationships/settings" Target="settings.xml"/><Relationship Id="rId12" Type="http://schemas.openxmlformats.org/officeDocument/2006/relationships/hyperlink" Target="https://doi.org/10.56557/pcbmb/2025/v26i7-89348" TargetMode="External"/><Relationship Id="rId17" Type="http://schemas.openxmlformats.org/officeDocument/2006/relationships/hyperlink" Target="https://indianjournals.com/article/jisss-55-2-014" TargetMode="External"/><Relationship Id="rId25" Type="http://schemas.openxmlformats.org/officeDocument/2006/relationships/hyperlink" Target="https://agris.fao.org/search/en/providers/122535/records/65dded244c5aef494fd7641c" TargetMode="External"/><Relationship Id="rId33" Type="http://schemas.openxmlformats.org/officeDocument/2006/relationships/hyperlink" Target="https://doi.org/10.20546/ijcmas.2017.607.055" TargetMode="External"/><Relationship Id="rId38" Type="http://schemas.openxmlformats.org/officeDocument/2006/relationships/hyperlink" Target="https://researchtrend.net/bfij/current_issue_bfij.php?taxonomy-id=146" TargetMode="External"/><Relationship Id="rId20" Type="http://schemas.openxmlformats.org/officeDocument/2006/relationships/hyperlink" Target="https://www.chemijournal.com/archives/?ArticleId=7113&amp;issue=5&amp;si=false&amp;vol=7&amp;year=2019" TargetMode="External"/><Relationship Id="rId41" Type="http://schemas.openxmlformats.org/officeDocument/2006/relationships/hyperlink" Target="https://doi.org/10.1097/00010694-193401000-000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11</Pages>
  <Words>6497</Words>
  <Characters>37037</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Aaditya Singhal</dc:creator>
  <cp:keywords/>
  <dc:description/>
  <cp:lastModifiedBy>SDI 1087</cp:lastModifiedBy>
  <cp:revision>18</cp:revision>
  <dcterms:created xsi:type="dcterms:W3CDTF">2026-07-27T13:09:00Z</dcterms:created>
  <dcterms:modified xsi:type="dcterms:W3CDTF">2026-07-30T04:20:00Z</dcterms:modified>
</cp:coreProperties>
</file>