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7730" w14:textId="77777777" w:rsidR="00196287" w:rsidRDefault="00196287">
      <w:pPr>
        <w:spacing w:after="60"/>
        <w:jc w:val="both"/>
        <w:rPr>
          <w:sz w:val="22"/>
          <w:szCs w:val="22"/>
        </w:rPr>
      </w:pPr>
    </w:p>
    <w:p w14:paraId="2DB4248F" w14:textId="77777777" w:rsidR="00196287" w:rsidRPr="004E4504" w:rsidRDefault="00000000">
      <w:pPr>
        <w:jc w:val="center"/>
        <w:rPr>
          <w:b/>
          <w:bCs/>
          <w:color w:val="000000"/>
          <w:sz w:val="24"/>
          <w:szCs w:val="24"/>
        </w:rPr>
      </w:pPr>
      <w:r w:rsidRPr="004E4504">
        <w:rPr>
          <w:b/>
          <w:bCs/>
          <w:color w:val="000000"/>
          <w:sz w:val="24"/>
          <w:szCs w:val="24"/>
        </w:rPr>
        <w:t>Enhancing Biometric Security Using Artificial Neural Network-Based Multimodal Fusion of Facial Recognition and Fingerprint Identification</w:t>
      </w:r>
    </w:p>
    <w:p w14:paraId="72EB5DA9" w14:textId="77777777" w:rsidR="00196287" w:rsidRPr="004E4504" w:rsidRDefault="00196287">
      <w:pPr>
        <w:jc w:val="both"/>
        <w:rPr>
          <w:b/>
          <w:bCs/>
          <w:color w:val="000000"/>
          <w:sz w:val="24"/>
          <w:szCs w:val="24"/>
        </w:rPr>
      </w:pPr>
    </w:p>
    <w:p w14:paraId="4A750E53" w14:textId="77777777" w:rsidR="00196287" w:rsidRPr="004E4504" w:rsidRDefault="00196287">
      <w:pPr>
        <w:jc w:val="both"/>
        <w:rPr>
          <w:b/>
          <w:bCs/>
          <w:sz w:val="22"/>
          <w:szCs w:val="22"/>
        </w:rPr>
      </w:pPr>
    </w:p>
    <w:p w14:paraId="07B35402" w14:textId="77777777" w:rsidR="00196287" w:rsidRPr="004E4504" w:rsidRDefault="00000000">
      <w:pPr>
        <w:jc w:val="both"/>
        <w:rPr>
          <w:b/>
          <w:bCs/>
          <w:sz w:val="22"/>
          <w:szCs w:val="22"/>
        </w:rPr>
      </w:pPr>
      <w:r w:rsidRPr="004E4504">
        <w:rPr>
          <w:b/>
          <w:bCs/>
          <w:sz w:val="22"/>
          <w:szCs w:val="22"/>
        </w:rPr>
        <w:t>Abstract</w:t>
      </w:r>
    </w:p>
    <w:p w14:paraId="780942CB" w14:textId="43068749" w:rsidR="00196287" w:rsidRPr="004E4504" w:rsidRDefault="00A76F1C">
      <w:pPr>
        <w:jc w:val="both"/>
        <w:rPr>
          <w:sz w:val="22"/>
          <w:szCs w:val="22"/>
        </w:rPr>
      </w:pPr>
      <w:r>
        <w:t>Biometric authentication systems based on a single modality remain vulnerable to spoofing, acquisition noise, and intra-class variation, limiting their reliability in high-security access-control applications. This study presents an artificial neural network-based multimodal framework that combines facial recognition and fingerprint identification to improve authentication accuracy, robustness, and presentation-attack resistance. Facial features are extracted using a convolutional neural network, while fingerprint texture and minutiae representations are obtained using Gabor filters and a denoising autoencoder. Feature-level and score-level information is integrated through a multilayer-perceptron meta-learner, followed by an adaptive decision module incorporating modality-specific liveness assessment. The framework was evaluated using the Labeled Faces in the Wild dataset, FVC2006, and the custom Bayelsa Multimodal Biometric Dataset comprising 320 subjects. On the reported BMBD test split, the system achieved 99.14% verification accuracy, a false acceptance rate of 0.12%, a false rejection rate of 0.34%, and an equal error rate of 0.19%. The reported performance exceeded the best unimodal baseline by 6.8 percentage points and the strongest compared multimodal method by 1.93 percentage points. End-to-end inference required 143 ms on the stated embedded platform. The ablation results indicated that learned fusion, metric-learning losses, and liveness detection each contributed to performance. These findings support the feasibility of the proposed framework under the reported experimental conditions, while broader independent evaluation remains necessary.</w:t>
      </w:r>
    </w:p>
    <w:p w14:paraId="16546B1F" w14:textId="77777777" w:rsidR="00196287" w:rsidRPr="004E4504" w:rsidRDefault="00196287">
      <w:pPr>
        <w:spacing w:after="60"/>
        <w:jc w:val="both"/>
        <w:rPr>
          <w:sz w:val="22"/>
          <w:szCs w:val="22"/>
        </w:rPr>
      </w:pPr>
    </w:p>
    <w:p w14:paraId="4307FF69" w14:textId="0A9EDA97" w:rsidR="004E4504" w:rsidRDefault="008F39CE" w:rsidP="004E4504">
      <w:pPr>
        <w:spacing w:after="200"/>
        <w:jc w:val="both"/>
      </w:pPr>
      <w:proofErr w:type="gramStart"/>
      <w:r w:rsidRPr="004E4504">
        <w:rPr>
          <w:b/>
          <w:bCs/>
          <w:sz w:val="22"/>
          <w:szCs w:val="22"/>
        </w:rPr>
        <w:t xml:space="preserve">Keywords </w:t>
      </w:r>
      <w:r w:rsidR="004E4504">
        <w:rPr>
          <w:b/>
          <w:bCs/>
          <w:sz w:val="22"/>
          <w:szCs w:val="22"/>
        </w:rPr>
        <w:t>:</w:t>
      </w:r>
      <w:proofErr w:type="gramEnd"/>
      <w:r w:rsidR="004E4504">
        <w:rPr>
          <w:b/>
          <w:bCs/>
          <w:sz w:val="22"/>
          <w:szCs w:val="22"/>
        </w:rPr>
        <w:t xml:space="preserve"> </w:t>
      </w:r>
      <w:r w:rsidR="004E4504">
        <w:t>Artificial neural networks; biometric authentication; facial recognition; fingerprint identification; multimodal biometric fusion; convolutional neural networks; liveness detection; presentation-attack detection; feature-level fusion; score-level fusion; embedded security systems</w:t>
      </w:r>
    </w:p>
    <w:p w14:paraId="4BAA6414" w14:textId="6F8E5962" w:rsidR="00196287" w:rsidRPr="004E4504" w:rsidRDefault="00000000" w:rsidP="004E4504">
      <w:pPr>
        <w:spacing w:after="200"/>
        <w:jc w:val="both"/>
        <w:rPr>
          <w:sz w:val="22"/>
          <w:szCs w:val="22"/>
        </w:rPr>
      </w:pPr>
      <w:r w:rsidRPr="004E4504">
        <w:rPr>
          <w:b/>
          <w:bCs/>
          <w:sz w:val="22"/>
          <w:szCs w:val="22"/>
        </w:rPr>
        <w:t>I. INTRODUCTION</w:t>
      </w:r>
    </w:p>
    <w:p w14:paraId="35A48A20" w14:textId="010756D0" w:rsidR="00196287" w:rsidRPr="004E4504" w:rsidRDefault="00000000">
      <w:pPr>
        <w:spacing w:after="100" w:line="276" w:lineRule="auto"/>
        <w:ind w:firstLine="360"/>
        <w:jc w:val="both"/>
        <w:rPr>
          <w:sz w:val="22"/>
          <w:szCs w:val="22"/>
        </w:rPr>
      </w:pPr>
      <w:r w:rsidRPr="004E4504">
        <w:rPr>
          <w:sz w:val="22"/>
          <w:szCs w:val="22"/>
        </w:rPr>
        <w:t>The rapid growth of digital transactions, remote-access systems, and critical-infrastructure control has greatly increased the need for secure and tamper-resistant identity verification. Traditional authentication methods, such as passwords, PINs, and smart cards, are susceptible to theft, loss, and social-engineering attacks. This has led to the development of biometric systems based on the unique physiological or behavioural characteristics of individuals [1].</w:t>
      </w:r>
    </w:p>
    <w:p w14:paraId="0453AF57" w14:textId="77777777" w:rsidR="00196287" w:rsidRPr="004E4504" w:rsidRDefault="00000000">
      <w:pPr>
        <w:spacing w:after="100" w:line="276" w:lineRule="auto"/>
        <w:ind w:firstLine="360"/>
        <w:jc w:val="both"/>
        <w:rPr>
          <w:sz w:val="22"/>
          <w:szCs w:val="22"/>
        </w:rPr>
      </w:pPr>
      <w:r w:rsidRPr="004E4504">
        <w:rPr>
          <w:sz w:val="22"/>
          <w:szCs w:val="22"/>
        </w:rPr>
        <w:t>However, single-modality biometric systems have inherent limitations. The main challenges in facial recognition include changes in illumination, ageing, and occlusion. The main challenges in fingerprint systems include sensor noise, skin dryness, and the spoofing of latent prints [2], [3]. Moreover, the equal error rate (EER) of state-of-the-art unimodal systems remains above 4% in unconstrained environments, which is unacceptable for high-security deployments [4]. Multimodal biometrics, which use two or more modalities, offer a statistically attractive solution because independent sources of evidence make it considerably more difficult to spoof all channels simultaneously [5].</w:t>
      </w:r>
    </w:p>
    <w:p w14:paraId="197A5B8C" w14:textId="77777777" w:rsidR="00196287" w:rsidRPr="004E4504" w:rsidRDefault="00000000">
      <w:pPr>
        <w:spacing w:after="100" w:line="276" w:lineRule="auto"/>
        <w:ind w:firstLine="360"/>
        <w:jc w:val="both"/>
        <w:rPr>
          <w:sz w:val="22"/>
          <w:szCs w:val="22"/>
        </w:rPr>
      </w:pPr>
      <w:r w:rsidRPr="004E4504">
        <w:rPr>
          <w:sz w:val="22"/>
          <w:szCs w:val="22"/>
        </w:rPr>
        <w:t>Deep learning, particularly convolutional neural networks (CNNs) and their variants, has revolutionised biometric feature extraction and achieved human-parity recognition on constrained benchmarks [27]. However, determining an optimal fusion strategy for efficiently combining heterogeneous biometric scores or feature vectors remains an open research problem [6], [7]. Current methods range from simple score-level averaging to complex Bayesian belief networks and generative adversarial architectures, with different trade-offs among accuracy, computational cost, and interpretability [8].</w:t>
      </w:r>
    </w:p>
    <w:p w14:paraId="0616D385" w14:textId="77777777" w:rsidR="00196287" w:rsidRPr="004E4504" w:rsidRDefault="00196287">
      <w:pPr>
        <w:spacing w:after="100" w:line="276" w:lineRule="auto"/>
        <w:ind w:firstLine="360"/>
        <w:jc w:val="both"/>
        <w:rPr>
          <w:sz w:val="22"/>
          <w:szCs w:val="22"/>
        </w:rPr>
      </w:pPr>
    </w:p>
    <w:p w14:paraId="34BD37A2" w14:textId="77777777" w:rsidR="009322C4" w:rsidRPr="004E4504" w:rsidRDefault="00000000">
      <w:pPr>
        <w:spacing w:after="100" w:line="276" w:lineRule="auto"/>
        <w:ind w:firstLine="360"/>
        <w:jc w:val="both"/>
        <w:rPr>
          <w:sz w:val="22"/>
          <w:szCs w:val="22"/>
        </w:rPr>
      </w:pPr>
      <w:r w:rsidRPr="004E4504">
        <w:rPr>
          <w:b/>
        </w:rPr>
        <w:lastRenderedPageBreak/>
        <w:t>Recent work on AI-enhanced biometric authentication has continued to examine face and fingerprint modalities in mobile-security contexts, while AI-based facial-landmark localisation has illustrated the importance of reliable region-of-interest extraction from camera feeds [31], [32].</w:t>
      </w:r>
    </w:p>
    <w:p w14:paraId="5A0C2308" w14:textId="77777777" w:rsidR="009322C4" w:rsidRPr="004E4504" w:rsidRDefault="00000000">
      <w:pPr>
        <w:spacing w:after="100" w:line="276" w:lineRule="auto"/>
        <w:ind w:firstLine="360"/>
        <w:jc w:val="both"/>
        <w:rPr>
          <w:sz w:val="22"/>
          <w:szCs w:val="22"/>
        </w:rPr>
      </w:pPr>
      <w:r w:rsidRPr="004E4504">
        <w:rPr>
          <w:b/>
        </w:rPr>
        <w:t>Other studies have shown that learned fusion of facial data with dynamic signatures and camera-derived photoplethysmography with fingerprints can strengthen authentication by exploiting complementary biometric representations [33], [22]. Multimodal face anti-spoofing research likewise indicates that adaptive fusion across RGB, infrared, and depth data can improve robustness when modality availability or capture conditions vary [34].</w:t>
      </w:r>
    </w:p>
    <w:p w14:paraId="1EA8DA4D" w14:textId="77777777" w:rsidR="009322C4" w:rsidRPr="004E4504" w:rsidRDefault="00000000">
      <w:pPr>
        <w:spacing w:after="100" w:line="276" w:lineRule="auto"/>
        <w:ind w:firstLine="360"/>
        <w:jc w:val="both"/>
        <w:rPr>
          <w:sz w:val="22"/>
          <w:szCs w:val="22"/>
        </w:rPr>
      </w:pPr>
      <w:r w:rsidRPr="004E4504">
        <w:rPr>
          <w:b/>
        </w:rPr>
        <w:t>Despite these developments, the literature reviewed in this manuscript does not establish a single lightweight framework that jointly integrates face-fingerprint feature fusion, modality-specific liveness assessment, adaptive decision-making, and embedded-hardware evaluation within the same experimental design. This gap motivates the present investigation of an ANN-based architecture that evaluates these components together using the reported datasets and deployment conditions.</w:t>
      </w:r>
    </w:p>
    <w:p w14:paraId="4ECB8122" w14:textId="77777777" w:rsidR="00196287" w:rsidRPr="004E4504" w:rsidRDefault="00000000">
      <w:pPr>
        <w:spacing w:after="100" w:line="276" w:lineRule="auto"/>
        <w:jc w:val="both"/>
        <w:rPr>
          <w:b/>
          <w:bCs/>
          <w:color w:val="00B050"/>
          <w:sz w:val="22"/>
          <w:szCs w:val="22"/>
          <w:lang w:val="en-GB"/>
        </w:rPr>
      </w:pPr>
      <w:r w:rsidRPr="004E4504">
        <w:rPr>
          <w:b/>
          <w:bCs/>
          <w:color w:val="00B050"/>
          <w:sz w:val="22"/>
          <w:szCs w:val="22"/>
          <w:lang w:val="en-GB"/>
        </w:rPr>
        <w:t xml:space="preserve">II. </w:t>
      </w:r>
      <w:r w:rsidRPr="004E4504">
        <w:rPr>
          <w:b/>
          <w:bCs/>
          <w:color w:val="00B050"/>
          <w:sz w:val="22"/>
          <w:szCs w:val="22"/>
          <w:lang w:val="en-GB"/>
        </w:rPr>
        <w:tab/>
        <w:t>Objectives</w:t>
      </w:r>
    </w:p>
    <w:p w14:paraId="7025C1ED" w14:textId="77777777" w:rsidR="00196287" w:rsidRPr="004E4504" w:rsidRDefault="00000000">
      <w:pPr>
        <w:jc w:val="both"/>
        <w:rPr>
          <w:color w:val="00B050"/>
          <w:sz w:val="24"/>
          <w:szCs w:val="24"/>
        </w:rPr>
      </w:pPr>
      <w:r w:rsidRPr="004E4504">
        <w:rPr>
          <w:color w:val="00B050"/>
          <w:sz w:val="24"/>
          <w:szCs w:val="24"/>
        </w:rPr>
        <w:t>The objectives of this paper are as follows:</w:t>
      </w:r>
    </w:p>
    <w:p w14:paraId="738D935C" w14:textId="77777777" w:rsidR="00196287" w:rsidRPr="004E4504" w:rsidRDefault="00000000">
      <w:pPr>
        <w:pStyle w:val="ListParagraph"/>
        <w:numPr>
          <w:ilvl w:val="0"/>
          <w:numId w:val="1"/>
        </w:numPr>
        <w:jc w:val="both"/>
        <w:rPr>
          <w:color w:val="00B050"/>
          <w:sz w:val="24"/>
          <w:szCs w:val="24"/>
        </w:rPr>
      </w:pPr>
      <w:r w:rsidRPr="004E4504">
        <w:rPr>
          <w:color w:val="00B050"/>
          <w:sz w:val="24"/>
          <w:szCs w:val="24"/>
        </w:rPr>
        <w:t>To propose a hierarchical ANN fusion architecture that combines CNN facial embeddings and Gabor autoencoder fingerprint features through a trainable multilayer-perceptron meta-learner, with the aim of improving accuracy relative to unimodal and state-of-the-art multimodal baselines.</w:t>
      </w:r>
    </w:p>
    <w:p w14:paraId="195B30C7" w14:textId="77777777" w:rsidR="00196287" w:rsidRPr="004E4504" w:rsidRDefault="00000000">
      <w:pPr>
        <w:pStyle w:val="ListParagraph"/>
        <w:numPr>
          <w:ilvl w:val="0"/>
          <w:numId w:val="1"/>
        </w:numPr>
        <w:jc w:val="both"/>
        <w:rPr>
          <w:color w:val="00B050"/>
          <w:sz w:val="24"/>
          <w:szCs w:val="24"/>
        </w:rPr>
      </w:pPr>
      <w:r w:rsidRPr="004E4504">
        <w:rPr>
          <w:color w:val="00B050"/>
          <w:sz w:val="24"/>
          <w:szCs w:val="24"/>
        </w:rPr>
        <w:t>To develop a hybrid anti-spoofing liveness-detection module based on micro-texture analysis and remote photoplethysmography (rPPG), with the aim of reducing the presentation-attack success rate to below 1%.</w:t>
      </w:r>
    </w:p>
    <w:p w14:paraId="5A6AFB9D" w14:textId="77777777" w:rsidR="00196287" w:rsidRPr="004E4504" w:rsidRDefault="00000000">
      <w:pPr>
        <w:pStyle w:val="ListParagraph"/>
        <w:numPr>
          <w:ilvl w:val="0"/>
          <w:numId w:val="1"/>
        </w:numPr>
        <w:jc w:val="both"/>
        <w:rPr>
          <w:color w:val="00B050"/>
          <w:sz w:val="24"/>
          <w:szCs w:val="24"/>
        </w:rPr>
      </w:pPr>
      <w:r w:rsidRPr="004E4504">
        <w:rPr>
          <w:color w:val="00B050"/>
          <w:sz w:val="24"/>
          <w:szCs w:val="24"/>
        </w:rPr>
        <w:t>To develop a new Bayelsa Multimodal Biometric Dataset (BMBD) comprising 320 subjects, with synchronised face and fingerprint captures under real-world environmental conditions.</w:t>
      </w:r>
    </w:p>
    <w:p w14:paraId="55438E26" w14:textId="77777777" w:rsidR="00196287" w:rsidRPr="004E4504" w:rsidRDefault="00000000">
      <w:pPr>
        <w:pStyle w:val="ListParagraph"/>
        <w:numPr>
          <w:ilvl w:val="0"/>
          <w:numId w:val="1"/>
        </w:numPr>
        <w:jc w:val="both"/>
        <w:rPr>
          <w:color w:val="00B050"/>
          <w:sz w:val="24"/>
          <w:szCs w:val="24"/>
        </w:rPr>
      </w:pPr>
      <w:r w:rsidRPr="004E4504">
        <w:rPr>
          <w:color w:val="00B050"/>
          <w:sz w:val="24"/>
          <w:szCs w:val="24"/>
        </w:rPr>
        <w:t>To benchmark deployment on ARM Cortex-A76 embedded hardware and assess the reported 143 ms end-to-end inference time for edge-deployed security systems.</w:t>
      </w:r>
    </w:p>
    <w:p w14:paraId="1BB13906" w14:textId="77777777" w:rsidR="00196287" w:rsidRPr="004E4504" w:rsidRDefault="00000000">
      <w:pPr>
        <w:pStyle w:val="ListParagraph"/>
        <w:numPr>
          <w:ilvl w:val="0"/>
          <w:numId w:val="1"/>
        </w:numPr>
        <w:jc w:val="both"/>
        <w:rPr>
          <w:color w:val="00B050"/>
          <w:sz w:val="24"/>
          <w:szCs w:val="24"/>
        </w:rPr>
      </w:pPr>
      <w:r w:rsidRPr="004E4504">
        <w:rPr>
          <w:color w:val="00B050"/>
          <w:sz w:val="24"/>
          <w:szCs w:val="24"/>
        </w:rPr>
        <w:t>The remainder of the paper is organised as follows. Section III discusses the related work. Section IV details the system architecture and fusion approach. Section V describes the datasets and experimental setup. The results are presented and discussed in Section VI, while Section VII addresses the limitations, future directions, and conclusion.</w:t>
      </w:r>
    </w:p>
    <w:p w14:paraId="78E56043" w14:textId="77777777" w:rsidR="00196287" w:rsidRPr="004E4504" w:rsidRDefault="00196287">
      <w:pPr>
        <w:spacing w:after="60"/>
        <w:jc w:val="both"/>
        <w:rPr>
          <w:color w:val="00B050"/>
          <w:sz w:val="22"/>
          <w:szCs w:val="22"/>
        </w:rPr>
      </w:pPr>
    </w:p>
    <w:p w14:paraId="12AAD651" w14:textId="77777777" w:rsidR="00196287" w:rsidRPr="004E4504" w:rsidRDefault="00000000">
      <w:pPr>
        <w:spacing w:before="200" w:after="100"/>
        <w:jc w:val="both"/>
        <w:rPr>
          <w:sz w:val="22"/>
          <w:szCs w:val="22"/>
        </w:rPr>
      </w:pPr>
      <w:r w:rsidRPr="004E4504">
        <w:rPr>
          <w:b/>
          <w:bCs/>
          <w:sz w:val="22"/>
          <w:szCs w:val="22"/>
        </w:rPr>
        <w:t>II</w:t>
      </w:r>
      <w:r w:rsidRPr="004E4504">
        <w:rPr>
          <w:b/>
          <w:bCs/>
          <w:sz w:val="22"/>
          <w:szCs w:val="22"/>
          <w:lang w:val="en-GB"/>
        </w:rPr>
        <w:t>I</w:t>
      </w:r>
      <w:r w:rsidRPr="004E4504">
        <w:rPr>
          <w:b/>
          <w:bCs/>
          <w:sz w:val="22"/>
          <w:szCs w:val="22"/>
        </w:rPr>
        <w:t>. RELATED WORK</w:t>
      </w:r>
    </w:p>
    <w:p w14:paraId="3EEC8B29" w14:textId="77777777" w:rsidR="00196287" w:rsidRPr="004E4504" w:rsidRDefault="00000000">
      <w:pPr>
        <w:spacing w:before="140" w:after="80"/>
        <w:jc w:val="both"/>
        <w:rPr>
          <w:sz w:val="22"/>
          <w:szCs w:val="22"/>
        </w:rPr>
      </w:pPr>
      <w:r w:rsidRPr="004E4504">
        <w:rPr>
          <w:b/>
          <w:bCs/>
          <w:i/>
          <w:iCs/>
          <w:sz w:val="22"/>
          <w:szCs w:val="22"/>
        </w:rPr>
        <w:t>A. Unimodal Biometric Systems</w:t>
      </w:r>
    </w:p>
    <w:p w14:paraId="13A38468" w14:textId="77777777" w:rsidR="00196287" w:rsidRPr="004E4504" w:rsidRDefault="00000000">
      <w:pPr>
        <w:spacing w:before="140" w:after="80"/>
        <w:ind w:firstLine="720"/>
        <w:jc w:val="both"/>
        <w:rPr>
          <w:sz w:val="22"/>
          <w:szCs w:val="22"/>
        </w:rPr>
      </w:pPr>
      <w:r w:rsidRPr="004E4504">
        <w:rPr>
          <w:sz w:val="22"/>
          <w:szCs w:val="22"/>
        </w:rPr>
        <w:t>By learning deep metrics from millions of aligned face pairs, DeepFace [9] and FaceNet [10] marked major advances in facial recognition. Later architectures, including ArcFace [11], CosFace [35], and MagFace [36], extended the softmax loss function by introducing angular margins. These developments improved intra-class compactness and inter-class separability, achieving accuracy above 99.8% on LFW under constrained settings. However, performance deteriorates substantially in the wild under occlusion, pose variations beyond ±30°, and adversarial make-up, indicating the fragility of unimodal face systems [3].</w:t>
      </w:r>
    </w:p>
    <w:p w14:paraId="031B3B76" w14:textId="77777777" w:rsidR="00196287" w:rsidRPr="004E4504" w:rsidRDefault="00000000">
      <w:pPr>
        <w:spacing w:before="140" w:after="80"/>
        <w:ind w:firstLine="720"/>
        <w:jc w:val="both"/>
        <w:rPr>
          <w:sz w:val="22"/>
          <w:szCs w:val="22"/>
        </w:rPr>
      </w:pPr>
      <w:r w:rsidRPr="004E4504">
        <w:rPr>
          <w:sz w:val="22"/>
          <w:szCs w:val="22"/>
        </w:rPr>
        <w:t>Fingerprint-recognition systems have also benefited from deep learning. Cao and Jain [12] proposed a fully convolutional network for minutiae extraction that is robust to partial prints and sensor interoperability. Tang et al. [13] introduced FingerNet, a unified deep network for fingerprint orientation estimation and minutiae extraction. However, fingerprint systems remain vulnerable to spoof fingers made from gelatin and 3D-printed materials, and presentation-attack detection (PAD) remains an active research challenge [14].</w:t>
      </w:r>
    </w:p>
    <w:p w14:paraId="46C4E1C1" w14:textId="77777777" w:rsidR="00196287" w:rsidRPr="004E4504" w:rsidRDefault="00000000">
      <w:pPr>
        <w:spacing w:before="140" w:after="80"/>
        <w:jc w:val="both"/>
        <w:rPr>
          <w:sz w:val="22"/>
          <w:szCs w:val="22"/>
        </w:rPr>
      </w:pPr>
      <w:r w:rsidRPr="004E4504">
        <w:rPr>
          <w:b/>
          <w:bCs/>
          <w:i/>
          <w:iCs/>
          <w:sz w:val="22"/>
          <w:szCs w:val="22"/>
        </w:rPr>
        <w:t>B. Multimodal Biometric Fusion</w:t>
      </w:r>
    </w:p>
    <w:p w14:paraId="0A157253" w14:textId="77777777" w:rsidR="00196287" w:rsidRPr="004E4504" w:rsidRDefault="00000000">
      <w:pPr>
        <w:spacing w:after="100" w:line="276" w:lineRule="auto"/>
        <w:ind w:firstLine="360"/>
        <w:jc w:val="both"/>
        <w:rPr>
          <w:sz w:val="22"/>
          <w:szCs w:val="22"/>
        </w:rPr>
      </w:pPr>
      <w:r w:rsidRPr="004E4504">
        <w:rPr>
          <w:sz w:val="22"/>
          <w:szCs w:val="22"/>
        </w:rPr>
        <w:lastRenderedPageBreak/>
        <w:t>Multimodal fusion is performed at four levels: sensor, feature, score, and decision [5]. The most common approach is score-level fusion, in which the normalised match scores of the component matchers are combined using a sum, product, or support-vector-machine (SVM) combiner. Nandakumar et al. [15] proposed a likelihood-ratio-based score-fusion framework and showed that optimal fusion weights are data-dependent and should be learned rather than fixed. Feature-level fusion involves projecting or concatenating different feature spaces into a common representation. For example, Angadi and Kagawade [16] used canonical correlation analysis (CCA) to align face and iris feature subspaces before fusion, thereby reducing feature dimensionality while retaining discriminative information.</w:t>
      </w:r>
    </w:p>
    <w:p w14:paraId="73CF9006" w14:textId="77777777" w:rsidR="00196287" w:rsidRPr="004E4504" w:rsidRDefault="00000000">
      <w:pPr>
        <w:spacing w:after="100" w:line="276" w:lineRule="auto"/>
        <w:ind w:firstLine="360"/>
        <w:jc w:val="both"/>
        <w:rPr>
          <w:sz w:val="22"/>
          <w:szCs w:val="22"/>
        </w:rPr>
      </w:pPr>
      <w:r w:rsidRPr="004E4504">
        <w:rPr>
          <w:sz w:val="22"/>
          <w:szCs w:val="22"/>
        </w:rPr>
        <w:t>Deep-learning-based fusion has received increasing attention. Ding and Tao [17] developed a multimodal deep face representation that combines holistic and local facial information for robust face recognition. Zheng et al. [22] investigated multimodal biometric authentication by fusing camera-based photoplethysmography with fingerprint information, thereby exploiting complementary physiological and fingerprint representations.</w:t>
      </w:r>
    </w:p>
    <w:p w14:paraId="7CD52705" w14:textId="77777777" w:rsidR="00196287" w:rsidRPr="004E4504" w:rsidRDefault="00000000">
      <w:pPr>
        <w:spacing w:before="140" w:after="80"/>
        <w:jc w:val="both"/>
        <w:rPr>
          <w:sz w:val="22"/>
          <w:szCs w:val="22"/>
        </w:rPr>
      </w:pPr>
      <w:r w:rsidRPr="004E4504">
        <w:rPr>
          <w:b/>
          <w:bCs/>
          <w:i/>
          <w:iCs/>
          <w:sz w:val="22"/>
          <w:szCs w:val="22"/>
        </w:rPr>
        <w:t>C. Anti-Spoofing and Liveness Detection</w:t>
      </w:r>
    </w:p>
    <w:p w14:paraId="1846D9F0" w14:textId="77777777" w:rsidR="00196287" w:rsidRPr="004E4504" w:rsidRDefault="00000000">
      <w:pPr>
        <w:spacing w:after="100" w:line="276" w:lineRule="auto"/>
        <w:ind w:firstLine="360"/>
        <w:jc w:val="both"/>
        <w:rPr>
          <w:sz w:val="22"/>
          <w:szCs w:val="22"/>
        </w:rPr>
      </w:pPr>
      <w:r w:rsidRPr="004E4504">
        <w:rPr>
          <w:sz w:val="22"/>
          <w:szCs w:val="22"/>
        </w:rPr>
        <w:t>Presentation-attack detection (PAD) is important for the real-world security of biometric systems. Approaches based on depth maps obtained through structured light, micro-texture local binary pattern analysis, and challenge-response blink detection have been explored [18]. Remote photoplethysmography (rPPG) is a software-only liveness cue that extracts cardiac pulse signals from slight colour changes in facial skin and is robust against printed-photo and replay attacks [19]. Fingerprint liveness has been assessed through perspiration-pattern analysis, electrical-conductivity sensing, and subsurface imaging using optical coherence tomography (OCT) [20]. In the present system, facial liveness based on rPPG and fingerprint liveness based on perspiration patterns are applied as parallel modules before the fusion stage.</w:t>
      </w:r>
    </w:p>
    <w:p w14:paraId="71238E0C" w14:textId="77777777" w:rsidR="00196287" w:rsidRPr="004E4504" w:rsidRDefault="00196287">
      <w:pPr>
        <w:spacing w:after="100" w:line="276" w:lineRule="auto"/>
        <w:ind w:firstLine="360"/>
        <w:jc w:val="both"/>
        <w:rPr>
          <w:sz w:val="22"/>
          <w:szCs w:val="22"/>
        </w:rPr>
      </w:pPr>
    </w:p>
    <w:p w14:paraId="7C0D5599" w14:textId="77777777" w:rsidR="00196287" w:rsidRPr="004E4504" w:rsidRDefault="00000000">
      <w:pPr>
        <w:pStyle w:val="Heading1"/>
        <w:spacing w:after="120"/>
        <w:jc w:val="both"/>
        <w:rPr>
          <w:b/>
          <w:bCs/>
          <w:color w:val="auto"/>
          <w:sz w:val="20"/>
          <w:szCs w:val="20"/>
        </w:rPr>
      </w:pPr>
      <w:r w:rsidRPr="004E4504">
        <w:rPr>
          <w:b/>
          <w:bCs/>
          <w:color w:val="auto"/>
          <w:sz w:val="20"/>
          <w:szCs w:val="20"/>
        </w:rPr>
        <w:t>Table 1. Summary of Related Work</w:t>
      </w:r>
    </w:p>
    <w:p w14:paraId="2699B682" w14:textId="77777777" w:rsidR="00196287" w:rsidRPr="004E4504" w:rsidRDefault="00000000">
      <w:pPr>
        <w:spacing w:after="240"/>
        <w:jc w:val="both"/>
        <w:rPr>
          <w:b/>
          <w:bCs/>
          <w:i/>
          <w:iCs/>
          <w:color w:val="00B050"/>
          <w:lang w:val="en-GB"/>
        </w:rPr>
      </w:pPr>
      <w:r w:rsidRPr="004E4504">
        <w:rPr>
          <w:b/>
          <w:bCs/>
          <w:i/>
          <w:iCs/>
        </w:rPr>
        <w:t xml:space="preserve">Unimodal biometric, multimodal fusion, and anti-spoofing approaches, with the limitations that motivate the proposed </w:t>
      </w:r>
      <w:r w:rsidRPr="004E4504">
        <w:rPr>
          <w:b/>
          <w:bCs/>
          <w:i/>
          <w:iCs/>
          <w:color w:val="00B050"/>
        </w:rPr>
        <w:t>integrated ANN fusion system.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1900"/>
        <w:gridCol w:w="3080"/>
        <w:gridCol w:w="3080"/>
      </w:tblGrid>
      <w:tr w:rsidR="00196287" w:rsidRPr="004E4504" w14:paraId="64FAFE8C" w14:textId="77777777">
        <w:trPr>
          <w:tblHeader/>
        </w:trPr>
        <w:tc>
          <w:tcPr>
            <w:tcW w:w="1300" w:type="dxa"/>
            <w:shd w:val="clear" w:color="auto" w:fill="2F5496"/>
            <w:tcMar>
              <w:top w:w="100" w:type="dxa"/>
              <w:left w:w="100" w:type="dxa"/>
              <w:bottom w:w="100" w:type="dxa"/>
              <w:right w:w="100" w:type="dxa"/>
            </w:tcMar>
            <w:vAlign w:val="center"/>
          </w:tcPr>
          <w:p w14:paraId="71FB70AA" w14:textId="77777777" w:rsidR="00196287" w:rsidRPr="004E4504" w:rsidRDefault="00000000">
            <w:pPr>
              <w:jc w:val="both"/>
              <w:rPr>
                <w:color w:val="00B050"/>
              </w:rPr>
            </w:pPr>
            <w:r w:rsidRPr="004E4504">
              <w:rPr>
                <w:b/>
                <w:bCs/>
                <w:color w:val="00B050"/>
              </w:rPr>
              <w:t>Reference</w:t>
            </w:r>
          </w:p>
        </w:tc>
        <w:tc>
          <w:tcPr>
            <w:tcW w:w="1900" w:type="dxa"/>
            <w:shd w:val="clear" w:color="auto" w:fill="2F5496"/>
            <w:tcMar>
              <w:top w:w="100" w:type="dxa"/>
              <w:left w:w="100" w:type="dxa"/>
              <w:bottom w:w="100" w:type="dxa"/>
              <w:right w:w="100" w:type="dxa"/>
            </w:tcMar>
            <w:vAlign w:val="center"/>
          </w:tcPr>
          <w:p w14:paraId="561E28FC" w14:textId="77777777" w:rsidR="00196287" w:rsidRPr="004E4504" w:rsidRDefault="00000000">
            <w:pPr>
              <w:jc w:val="both"/>
              <w:rPr>
                <w:color w:val="00B050"/>
              </w:rPr>
            </w:pPr>
            <w:r w:rsidRPr="004E4504">
              <w:rPr>
                <w:b/>
                <w:bCs/>
                <w:color w:val="00B050"/>
              </w:rPr>
              <w:t>Method / Approach</w:t>
            </w:r>
          </w:p>
        </w:tc>
        <w:tc>
          <w:tcPr>
            <w:tcW w:w="3080" w:type="dxa"/>
            <w:shd w:val="clear" w:color="auto" w:fill="2F5496"/>
            <w:tcMar>
              <w:top w:w="100" w:type="dxa"/>
              <w:left w:w="100" w:type="dxa"/>
              <w:bottom w:w="100" w:type="dxa"/>
              <w:right w:w="100" w:type="dxa"/>
            </w:tcMar>
            <w:vAlign w:val="center"/>
          </w:tcPr>
          <w:p w14:paraId="5E1735DE" w14:textId="77777777" w:rsidR="00196287" w:rsidRPr="004E4504" w:rsidRDefault="00000000">
            <w:pPr>
              <w:jc w:val="both"/>
              <w:rPr>
                <w:color w:val="00B050"/>
              </w:rPr>
            </w:pPr>
            <w:r w:rsidRPr="004E4504">
              <w:rPr>
                <w:b/>
                <w:bCs/>
                <w:color w:val="00B050"/>
              </w:rPr>
              <w:t>Key Contribution</w:t>
            </w:r>
          </w:p>
        </w:tc>
        <w:tc>
          <w:tcPr>
            <w:tcW w:w="3080" w:type="dxa"/>
            <w:shd w:val="clear" w:color="auto" w:fill="2F5496"/>
            <w:tcMar>
              <w:top w:w="100" w:type="dxa"/>
              <w:left w:w="100" w:type="dxa"/>
              <w:bottom w:w="100" w:type="dxa"/>
              <w:right w:w="100" w:type="dxa"/>
            </w:tcMar>
            <w:vAlign w:val="center"/>
          </w:tcPr>
          <w:p w14:paraId="3B7A7C30" w14:textId="77777777" w:rsidR="00196287" w:rsidRPr="004E4504" w:rsidRDefault="00000000">
            <w:pPr>
              <w:jc w:val="both"/>
              <w:rPr>
                <w:color w:val="00B050"/>
              </w:rPr>
            </w:pPr>
            <w:r w:rsidRPr="004E4504">
              <w:rPr>
                <w:b/>
                <w:bCs/>
                <w:color w:val="00B050"/>
              </w:rPr>
              <w:t>Limitation / Gap</w:t>
            </w:r>
          </w:p>
        </w:tc>
      </w:tr>
      <w:tr w:rsidR="00196287" w:rsidRPr="004E4504" w14:paraId="4458669C" w14:textId="77777777">
        <w:tc>
          <w:tcPr>
            <w:tcW w:w="1300" w:type="dxa"/>
            <w:tcMar>
              <w:top w:w="100" w:type="dxa"/>
              <w:left w:w="100" w:type="dxa"/>
              <w:bottom w:w="100" w:type="dxa"/>
              <w:right w:w="100" w:type="dxa"/>
            </w:tcMar>
            <w:vAlign w:val="center"/>
          </w:tcPr>
          <w:p w14:paraId="0C043B25" w14:textId="77777777" w:rsidR="00196287" w:rsidRPr="004E4504" w:rsidRDefault="00000000">
            <w:pPr>
              <w:jc w:val="both"/>
              <w:rPr>
                <w:color w:val="00B050"/>
              </w:rPr>
            </w:pPr>
            <w:r w:rsidRPr="004E4504">
              <w:rPr>
                <w:color w:val="00B050"/>
                <w:sz w:val="19"/>
                <w:szCs w:val="19"/>
              </w:rPr>
              <w:t>DeepFace [9], FaceNet [10]</w:t>
            </w:r>
          </w:p>
        </w:tc>
        <w:tc>
          <w:tcPr>
            <w:tcW w:w="1900" w:type="dxa"/>
            <w:tcMar>
              <w:top w:w="100" w:type="dxa"/>
              <w:left w:w="100" w:type="dxa"/>
              <w:bottom w:w="100" w:type="dxa"/>
              <w:right w:w="100" w:type="dxa"/>
            </w:tcMar>
            <w:vAlign w:val="center"/>
          </w:tcPr>
          <w:p w14:paraId="195DBEB4" w14:textId="77777777" w:rsidR="00196287" w:rsidRPr="004E4504" w:rsidRDefault="00000000">
            <w:pPr>
              <w:jc w:val="both"/>
              <w:rPr>
                <w:color w:val="00B050"/>
              </w:rPr>
            </w:pPr>
            <w:r w:rsidRPr="004E4504">
              <w:rPr>
                <w:color w:val="00B050"/>
                <w:sz w:val="19"/>
                <w:szCs w:val="19"/>
              </w:rPr>
              <w:t>Deep metric learning on millions of aligned face pairs</w:t>
            </w:r>
          </w:p>
        </w:tc>
        <w:tc>
          <w:tcPr>
            <w:tcW w:w="3080" w:type="dxa"/>
            <w:tcMar>
              <w:top w:w="100" w:type="dxa"/>
              <w:left w:w="100" w:type="dxa"/>
              <w:bottom w:w="100" w:type="dxa"/>
              <w:right w:w="100" w:type="dxa"/>
            </w:tcMar>
            <w:vAlign w:val="center"/>
          </w:tcPr>
          <w:p w14:paraId="3C69C513" w14:textId="77777777" w:rsidR="00196287" w:rsidRPr="004E4504" w:rsidRDefault="00000000">
            <w:pPr>
              <w:jc w:val="both"/>
              <w:rPr>
                <w:color w:val="00B050"/>
              </w:rPr>
            </w:pPr>
            <w:r w:rsidRPr="004E4504">
              <w:rPr>
                <w:color w:val="00B050"/>
                <w:sz w:val="19"/>
                <w:szCs w:val="19"/>
              </w:rPr>
              <w:t>Major advance in facial recognition accuracy under constrained conditions</w:t>
            </w:r>
          </w:p>
        </w:tc>
        <w:tc>
          <w:tcPr>
            <w:tcW w:w="3080" w:type="dxa"/>
            <w:tcMar>
              <w:top w:w="100" w:type="dxa"/>
              <w:left w:w="100" w:type="dxa"/>
              <w:bottom w:w="100" w:type="dxa"/>
              <w:right w:w="100" w:type="dxa"/>
            </w:tcMar>
            <w:vAlign w:val="center"/>
          </w:tcPr>
          <w:p w14:paraId="40BA40E5" w14:textId="77777777" w:rsidR="00196287" w:rsidRPr="004E4504" w:rsidRDefault="00000000">
            <w:pPr>
              <w:jc w:val="both"/>
              <w:rPr>
                <w:color w:val="00B050"/>
              </w:rPr>
            </w:pPr>
            <w:r w:rsidRPr="004E4504">
              <w:rPr>
                <w:color w:val="00B050"/>
                <w:sz w:val="19"/>
                <w:szCs w:val="19"/>
              </w:rPr>
              <w:t>Performance deteriorates with occlusion, pose variation beyond ±30°, and adversarial makeup</w:t>
            </w:r>
          </w:p>
        </w:tc>
      </w:tr>
      <w:tr w:rsidR="00196287" w:rsidRPr="004E4504" w14:paraId="29AF7FEF" w14:textId="77777777">
        <w:tc>
          <w:tcPr>
            <w:tcW w:w="1300" w:type="dxa"/>
            <w:shd w:val="clear" w:color="auto" w:fill="F2F2F2"/>
            <w:tcMar>
              <w:top w:w="100" w:type="dxa"/>
              <w:left w:w="100" w:type="dxa"/>
              <w:bottom w:w="100" w:type="dxa"/>
              <w:right w:w="100" w:type="dxa"/>
            </w:tcMar>
            <w:vAlign w:val="center"/>
          </w:tcPr>
          <w:p w14:paraId="0E654B36" w14:textId="77777777" w:rsidR="00196287" w:rsidRPr="004E4504" w:rsidRDefault="00000000">
            <w:pPr>
              <w:jc w:val="both"/>
              <w:rPr>
                <w:color w:val="00B050"/>
              </w:rPr>
            </w:pPr>
            <w:r w:rsidRPr="004E4504">
              <w:rPr>
                <w:color w:val="00B050"/>
                <w:sz w:val="19"/>
                <w:szCs w:val="19"/>
              </w:rPr>
              <w:t>ArcFace [11], CosFace, MagFace</w:t>
            </w:r>
          </w:p>
        </w:tc>
        <w:tc>
          <w:tcPr>
            <w:tcW w:w="1900" w:type="dxa"/>
            <w:shd w:val="clear" w:color="auto" w:fill="F2F2F2"/>
            <w:tcMar>
              <w:top w:w="100" w:type="dxa"/>
              <w:left w:w="100" w:type="dxa"/>
              <w:bottom w:w="100" w:type="dxa"/>
              <w:right w:w="100" w:type="dxa"/>
            </w:tcMar>
            <w:vAlign w:val="center"/>
          </w:tcPr>
          <w:p w14:paraId="5F03169B" w14:textId="77777777" w:rsidR="00196287" w:rsidRPr="004E4504" w:rsidRDefault="00000000">
            <w:pPr>
              <w:jc w:val="both"/>
              <w:rPr>
                <w:color w:val="00B050"/>
              </w:rPr>
            </w:pPr>
            <w:r w:rsidRPr="004E4504">
              <w:rPr>
                <w:color w:val="00B050"/>
                <w:sz w:val="19"/>
                <w:szCs w:val="19"/>
              </w:rPr>
              <w:t>Softmax loss extended with angular margins</w:t>
            </w:r>
          </w:p>
        </w:tc>
        <w:tc>
          <w:tcPr>
            <w:tcW w:w="3080" w:type="dxa"/>
            <w:shd w:val="clear" w:color="auto" w:fill="F2F2F2"/>
            <w:tcMar>
              <w:top w:w="100" w:type="dxa"/>
              <w:left w:w="100" w:type="dxa"/>
              <w:bottom w:w="100" w:type="dxa"/>
              <w:right w:w="100" w:type="dxa"/>
            </w:tcMar>
            <w:vAlign w:val="center"/>
          </w:tcPr>
          <w:p w14:paraId="148716CC" w14:textId="77777777" w:rsidR="00196287" w:rsidRPr="004E4504" w:rsidRDefault="00000000">
            <w:pPr>
              <w:jc w:val="both"/>
              <w:rPr>
                <w:color w:val="00B050"/>
              </w:rPr>
            </w:pPr>
            <w:r w:rsidRPr="004E4504">
              <w:rPr>
                <w:color w:val="00B050"/>
                <w:sz w:val="19"/>
                <w:szCs w:val="19"/>
              </w:rPr>
              <w:t>LFW accuracy &gt; 99.8%; improved intra-class compactness and inter-class separability</w:t>
            </w:r>
          </w:p>
        </w:tc>
        <w:tc>
          <w:tcPr>
            <w:tcW w:w="3080" w:type="dxa"/>
            <w:shd w:val="clear" w:color="auto" w:fill="F2F2F2"/>
            <w:tcMar>
              <w:top w:w="100" w:type="dxa"/>
              <w:left w:w="100" w:type="dxa"/>
              <w:bottom w:w="100" w:type="dxa"/>
              <w:right w:w="100" w:type="dxa"/>
            </w:tcMar>
            <w:vAlign w:val="center"/>
          </w:tcPr>
          <w:p w14:paraId="1D824576" w14:textId="77777777" w:rsidR="00196287" w:rsidRPr="004E4504" w:rsidRDefault="00000000">
            <w:pPr>
              <w:jc w:val="both"/>
              <w:rPr>
                <w:color w:val="00B050"/>
              </w:rPr>
            </w:pPr>
            <w:r w:rsidRPr="004E4504">
              <w:rPr>
                <w:color w:val="00B050"/>
                <w:sz w:val="19"/>
                <w:szCs w:val="19"/>
              </w:rPr>
              <w:t>Brittle unimodal performance in unconstrained, real-world conditions</w:t>
            </w:r>
          </w:p>
        </w:tc>
      </w:tr>
      <w:tr w:rsidR="00196287" w:rsidRPr="004E4504" w14:paraId="0E6A45C2" w14:textId="77777777">
        <w:tc>
          <w:tcPr>
            <w:tcW w:w="1300" w:type="dxa"/>
            <w:tcMar>
              <w:top w:w="100" w:type="dxa"/>
              <w:left w:w="100" w:type="dxa"/>
              <w:bottom w:w="100" w:type="dxa"/>
              <w:right w:w="100" w:type="dxa"/>
            </w:tcMar>
            <w:vAlign w:val="center"/>
          </w:tcPr>
          <w:p w14:paraId="4CCBB2EA" w14:textId="77777777" w:rsidR="00196287" w:rsidRPr="004E4504" w:rsidRDefault="00000000">
            <w:pPr>
              <w:jc w:val="both"/>
              <w:rPr>
                <w:color w:val="00B050"/>
              </w:rPr>
            </w:pPr>
            <w:r w:rsidRPr="004E4504">
              <w:rPr>
                <w:color w:val="00B050"/>
                <w:sz w:val="19"/>
                <w:szCs w:val="19"/>
              </w:rPr>
              <w:t>Cao &amp; Jain [12]</w:t>
            </w:r>
          </w:p>
        </w:tc>
        <w:tc>
          <w:tcPr>
            <w:tcW w:w="1900" w:type="dxa"/>
            <w:tcMar>
              <w:top w:w="100" w:type="dxa"/>
              <w:left w:w="100" w:type="dxa"/>
              <w:bottom w:w="100" w:type="dxa"/>
              <w:right w:w="100" w:type="dxa"/>
            </w:tcMar>
            <w:vAlign w:val="center"/>
          </w:tcPr>
          <w:p w14:paraId="3D9B9299" w14:textId="77777777" w:rsidR="00196287" w:rsidRPr="004E4504" w:rsidRDefault="00000000">
            <w:pPr>
              <w:jc w:val="both"/>
              <w:rPr>
                <w:color w:val="00B050"/>
              </w:rPr>
            </w:pPr>
            <w:r w:rsidRPr="004E4504">
              <w:rPr>
                <w:color w:val="00B050"/>
                <w:sz w:val="19"/>
                <w:szCs w:val="19"/>
              </w:rPr>
              <w:t>Fully convolutional network for minutiae extraction</w:t>
            </w:r>
          </w:p>
        </w:tc>
        <w:tc>
          <w:tcPr>
            <w:tcW w:w="3080" w:type="dxa"/>
            <w:tcMar>
              <w:top w:w="100" w:type="dxa"/>
              <w:left w:w="100" w:type="dxa"/>
              <w:bottom w:w="100" w:type="dxa"/>
              <w:right w:w="100" w:type="dxa"/>
            </w:tcMar>
            <w:vAlign w:val="center"/>
          </w:tcPr>
          <w:p w14:paraId="1453DE63" w14:textId="77777777" w:rsidR="00196287" w:rsidRPr="004E4504" w:rsidRDefault="00000000">
            <w:pPr>
              <w:jc w:val="both"/>
              <w:rPr>
                <w:color w:val="00B050"/>
              </w:rPr>
            </w:pPr>
            <w:r w:rsidRPr="004E4504">
              <w:rPr>
                <w:color w:val="00B050"/>
                <w:sz w:val="19"/>
                <w:szCs w:val="19"/>
              </w:rPr>
              <w:t>Robust to partial prints and sensor interoperability</w:t>
            </w:r>
          </w:p>
        </w:tc>
        <w:tc>
          <w:tcPr>
            <w:tcW w:w="3080" w:type="dxa"/>
            <w:tcMar>
              <w:top w:w="100" w:type="dxa"/>
              <w:left w:w="100" w:type="dxa"/>
              <w:bottom w:w="100" w:type="dxa"/>
              <w:right w:w="100" w:type="dxa"/>
            </w:tcMar>
            <w:vAlign w:val="center"/>
          </w:tcPr>
          <w:p w14:paraId="70873788" w14:textId="77777777" w:rsidR="00196287" w:rsidRPr="004E4504" w:rsidRDefault="00000000">
            <w:pPr>
              <w:jc w:val="both"/>
              <w:rPr>
                <w:color w:val="00B050"/>
              </w:rPr>
            </w:pPr>
            <w:r w:rsidRPr="004E4504">
              <w:rPr>
                <w:color w:val="00B050"/>
                <w:sz w:val="19"/>
                <w:szCs w:val="19"/>
              </w:rPr>
              <w:t>Does not address presentation-attack (spoofing) resistance</w:t>
            </w:r>
          </w:p>
        </w:tc>
      </w:tr>
      <w:tr w:rsidR="00196287" w:rsidRPr="004E4504" w14:paraId="2B4D1993" w14:textId="77777777">
        <w:tc>
          <w:tcPr>
            <w:tcW w:w="1300" w:type="dxa"/>
            <w:shd w:val="clear" w:color="auto" w:fill="F2F2F2"/>
            <w:tcMar>
              <w:top w:w="100" w:type="dxa"/>
              <w:left w:w="100" w:type="dxa"/>
              <w:bottom w:w="100" w:type="dxa"/>
              <w:right w:w="100" w:type="dxa"/>
            </w:tcMar>
            <w:vAlign w:val="center"/>
          </w:tcPr>
          <w:p w14:paraId="1E02E5F1" w14:textId="77777777" w:rsidR="00196287" w:rsidRPr="004E4504" w:rsidRDefault="00000000">
            <w:pPr>
              <w:jc w:val="both"/>
              <w:rPr>
                <w:color w:val="00B050"/>
              </w:rPr>
            </w:pPr>
            <w:r w:rsidRPr="004E4504">
              <w:rPr>
                <w:color w:val="00B050"/>
                <w:sz w:val="19"/>
                <w:szCs w:val="19"/>
              </w:rPr>
              <w:t>Tang et al. [13]</w:t>
            </w:r>
          </w:p>
        </w:tc>
        <w:tc>
          <w:tcPr>
            <w:tcW w:w="1900" w:type="dxa"/>
            <w:shd w:val="clear" w:color="auto" w:fill="F2F2F2"/>
            <w:tcMar>
              <w:top w:w="100" w:type="dxa"/>
              <w:left w:w="100" w:type="dxa"/>
              <w:bottom w:w="100" w:type="dxa"/>
              <w:right w:w="100" w:type="dxa"/>
            </w:tcMar>
            <w:vAlign w:val="center"/>
          </w:tcPr>
          <w:p w14:paraId="703C0672" w14:textId="77777777" w:rsidR="00196287" w:rsidRPr="004E4504" w:rsidRDefault="00000000">
            <w:pPr>
              <w:jc w:val="both"/>
              <w:rPr>
                <w:color w:val="00B050"/>
              </w:rPr>
            </w:pPr>
            <w:r w:rsidRPr="004E4504">
              <w:rPr>
                <w:color w:val="00B050"/>
                <w:sz w:val="19"/>
                <w:szCs w:val="19"/>
              </w:rPr>
              <w:t>GAN-based super-resolution of latent fingerprints</w:t>
            </w:r>
          </w:p>
        </w:tc>
        <w:tc>
          <w:tcPr>
            <w:tcW w:w="3080" w:type="dxa"/>
            <w:shd w:val="clear" w:color="auto" w:fill="F2F2F2"/>
            <w:tcMar>
              <w:top w:w="100" w:type="dxa"/>
              <w:left w:w="100" w:type="dxa"/>
              <w:bottom w:w="100" w:type="dxa"/>
              <w:right w:w="100" w:type="dxa"/>
            </w:tcMar>
            <w:vAlign w:val="center"/>
          </w:tcPr>
          <w:p w14:paraId="49D03096" w14:textId="77777777" w:rsidR="00196287" w:rsidRPr="004E4504" w:rsidRDefault="00000000">
            <w:pPr>
              <w:jc w:val="both"/>
              <w:rPr>
                <w:color w:val="00B050"/>
              </w:rPr>
            </w:pPr>
            <w:r w:rsidRPr="004E4504">
              <w:rPr>
                <w:color w:val="00B050"/>
                <w:sz w:val="19"/>
                <w:szCs w:val="19"/>
              </w:rPr>
              <w:t>11.3% improvement in downstream matching rates</w:t>
            </w:r>
          </w:p>
        </w:tc>
        <w:tc>
          <w:tcPr>
            <w:tcW w:w="3080" w:type="dxa"/>
            <w:shd w:val="clear" w:color="auto" w:fill="F2F2F2"/>
            <w:tcMar>
              <w:top w:w="100" w:type="dxa"/>
              <w:left w:w="100" w:type="dxa"/>
              <w:bottom w:w="100" w:type="dxa"/>
              <w:right w:w="100" w:type="dxa"/>
            </w:tcMar>
            <w:vAlign w:val="center"/>
          </w:tcPr>
          <w:p w14:paraId="52E4B6FE" w14:textId="77777777" w:rsidR="00196287" w:rsidRPr="004E4504" w:rsidRDefault="00000000">
            <w:pPr>
              <w:jc w:val="both"/>
              <w:rPr>
                <w:color w:val="00B050"/>
              </w:rPr>
            </w:pPr>
            <w:r w:rsidRPr="004E4504">
              <w:rPr>
                <w:color w:val="00B050"/>
                <w:sz w:val="19"/>
                <w:szCs w:val="19"/>
              </w:rPr>
              <w:t>Fingerprint systems remain vulnerable to gelatin/3D-printed spoof fingers; PAD still an open challenge [14]</w:t>
            </w:r>
          </w:p>
        </w:tc>
      </w:tr>
      <w:tr w:rsidR="00196287" w:rsidRPr="004E4504" w14:paraId="4B6AA90D" w14:textId="77777777">
        <w:tc>
          <w:tcPr>
            <w:tcW w:w="1300" w:type="dxa"/>
            <w:tcMar>
              <w:top w:w="100" w:type="dxa"/>
              <w:left w:w="100" w:type="dxa"/>
              <w:bottom w:w="100" w:type="dxa"/>
              <w:right w:w="100" w:type="dxa"/>
            </w:tcMar>
            <w:vAlign w:val="center"/>
          </w:tcPr>
          <w:p w14:paraId="47DAD413" w14:textId="77777777" w:rsidR="00196287" w:rsidRPr="004E4504" w:rsidRDefault="00000000">
            <w:pPr>
              <w:jc w:val="both"/>
              <w:rPr>
                <w:color w:val="00B050"/>
              </w:rPr>
            </w:pPr>
            <w:r w:rsidRPr="004E4504">
              <w:rPr>
                <w:color w:val="00B050"/>
                <w:sz w:val="19"/>
                <w:szCs w:val="19"/>
              </w:rPr>
              <w:t>Nandakumar et al. [15]</w:t>
            </w:r>
          </w:p>
        </w:tc>
        <w:tc>
          <w:tcPr>
            <w:tcW w:w="1900" w:type="dxa"/>
            <w:tcMar>
              <w:top w:w="100" w:type="dxa"/>
              <w:left w:w="100" w:type="dxa"/>
              <w:bottom w:w="100" w:type="dxa"/>
              <w:right w:w="100" w:type="dxa"/>
            </w:tcMar>
            <w:vAlign w:val="center"/>
          </w:tcPr>
          <w:p w14:paraId="3106B52B" w14:textId="77777777" w:rsidR="00196287" w:rsidRPr="004E4504" w:rsidRDefault="00000000">
            <w:pPr>
              <w:jc w:val="both"/>
              <w:rPr>
                <w:color w:val="00B050"/>
              </w:rPr>
            </w:pPr>
            <w:r w:rsidRPr="004E4504">
              <w:rPr>
                <w:color w:val="00B050"/>
                <w:sz w:val="19"/>
                <w:szCs w:val="19"/>
              </w:rPr>
              <w:t>Likelihood ratio-based score-level fusion</w:t>
            </w:r>
          </w:p>
        </w:tc>
        <w:tc>
          <w:tcPr>
            <w:tcW w:w="3080" w:type="dxa"/>
            <w:tcMar>
              <w:top w:w="100" w:type="dxa"/>
              <w:left w:w="100" w:type="dxa"/>
              <w:bottom w:w="100" w:type="dxa"/>
              <w:right w:w="100" w:type="dxa"/>
            </w:tcMar>
            <w:vAlign w:val="center"/>
          </w:tcPr>
          <w:p w14:paraId="69610B69" w14:textId="77777777" w:rsidR="00196287" w:rsidRPr="004E4504" w:rsidRDefault="00000000">
            <w:pPr>
              <w:jc w:val="both"/>
              <w:rPr>
                <w:color w:val="00B050"/>
              </w:rPr>
            </w:pPr>
            <w:r w:rsidRPr="004E4504">
              <w:rPr>
                <w:color w:val="00B050"/>
                <w:sz w:val="19"/>
                <w:szCs w:val="19"/>
              </w:rPr>
              <w:t>Shows optimal fusion weights are data-dependent</w:t>
            </w:r>
          </w:p>
        </w:tc>
        <w:tc>
          <w:tcPr>
            <w:tcW w:w="3080" w:type="dxa"/>
            <w:tcMar>
              <w:top w:w="100" w:type="dxa"/>
              <w:left w:w="100" w:type="dxa"/>
              <w:bottom w:w="100" w:type="dxa"/>
              <w:right w:w="100" w:type="dxa"/>
            </w:tcMar>
            <w:vAlign w:val="center"/>
          </w:tcPr>
          <w:p w14:paraId="4AFF9E59" w14:textId="77777777" w:rsidR="00196287" w:rsidRPr="004E4504" w:rsidRDefault="00000000">
            <w:pPr>
              <w:jc w:val="both"/>
              <w:rPr>
                <w:color w:val="00B050"/>
              </w:rPr>
            </w:pPr>
            <w:r w:rsidRPr="004E4504">
              <w:rPr>
                <w:color w:val="00B050"/>
                <w:sz w:val="19"/>
                <w:szCs w:val="19"/>
              </w:rPr>
              <w:t>Fixed fusion weights are suboptimal; weights must be learned, adding complexity</w:t>
            </w:r>
          </w:p>
        </w:tc>
      </w:tr>
      <w:tr w:rsidR="00196287" w:rsidRPr="004E4504" w14:paraId="77E32829" w14:textId="77777777">
        <w:tc>
          <w:tcPr>
            <w:tcW w:w="1300" w:type="dxa"/>
            <w:shd w:val="clear" w:color="auto" w:fill="F2F2F2"/>
            <w:tcMar>
              <w:top w:w="100" w:type="dxa"/>
              <w:left w:w="100" w:type="dxa"/>
              <w:bottom w:w="100" w:type="dxa"/>
              <w:right w:w="100" w:type="dxa"/>
            </w:tcMar>
            <w:vAlign w:val="center"/>
          </w:tcPr>
          <w:p w14:paraId="55E44711" w14:textId="77777777" w:rsidR="00196287" w:rsidRPr="004E4504" w:rsidRDefault="00000000">
            <w:pPr>
              <w:jc w:val="both"/>
              <w:rPr>
                <w:color w:val="00B050"/>
              </w:rPr>
            </w:pPr>
            <w:r w:rsidRPr="004E4504">
              <w:rPr>
                <w:color w:val="00B050"/>
                <w:sz w:val="19"/>
                <w:szCs w:val="19"/>
              </w:rPr>
              <w:lastRenderedPageBreak/>
              <w:t>Yang et al. [16]</w:t>
            </w:r>
          </w:p>
        </w:tc>
        <w:tc>
          <w:tcPr>
            <w:tcW w:w="1900" w:type="dxa"/>
            <w:shd w:val="clear" w:color="auto" w:fill="F2F2F2"/>
            <w:tcMar>
              <w:top w:w="100" w:type="dxa"/>
              <w:left w:w="100" w:type="dxa"/>
              <w:bottom w:w="100" w:type="dxa"/>
              <w:right w:w="100" w:type="dxa"/>
            </w:tcMar>
            <w:vAlign w:val="center"/>
          </w:tcPr>
          <w:p w14:paraId="31872DDE" w14:textId="77777777" w:rsidR="00196287" w:rsidRPr="004E4504" w:rsidRDefault="00000000">
            <w:pPr>
              <w:jc w:val="both"/>
              <w:rPr>
                <w:color w:val="00B050"/>
              </w:rPr>
            </w:pPr>
            <w:r w:rsidRPr="004E4504">
              <w:rPr>
                <w:color w:val="00B050"/>
                <w:sz w:val="19"/>
                <w:szCs w:val="19"/>
              </w:rPr>
              <w:t>Canonical correlation analysis (CCA) for feature-level fusion of face and iris</w:t>
            </w:r>
          </w:p>
        </w:tc>
        <w:tc>
          <w:tcPr>
            <w:tcW w:w="3080" w:type="dxa"/>
            <w:shd w:val="clear" w:color="auto" w:fill="F2F2F2"/>
            <w:tcMar>
              <w:top w:w="100" w:type="dxa"/>
              <w:left w:w="100" w:type="dxa"/>
              <w:bottom w:w="100" w:type="dxa"/>
              <w:right w:w="100" w:type="dxa"/>
            </w:tcMar>
            <w:vAlign w:val="center"/>
          </w:tcPr>
          <w:p w14:paraId="29F77D8F" w14:textId="77777777" w:rsidR="00196287" w:rsidRPr="004E4504" w:rsidRDefault="00000000">
            <w:pPr>
              <w:jc w:val="both"/>
              <w:rPr>
                <w:color w:val="00B050"/>
              </w:rPr>
            </w:pPr>
            <w:r w:rsidRPr="004E4504">
              <w:rPr>
                <w:color w:val="00B050"/>
                <w:sz w:val="19"/>
                <w:szCs w:val="19"/>
              </w:rPr>
              <w:t>Reduces feature dimensionality while preserving discriminative information</w:t>
            </w:r>
          </w:p>
        </w:tc>
        <w:tc>
          <w:tcPr>
            <w:tcW w:w="3080" w:type="dxa"/>
            <w:shd w:val="clear" w:color="auto" w:fill="F2F2F2"/>
            <w:tcMar>
              <w:top w:w="100" w:type="dxa"/>
              <w:left w:w="100" w:type="dxa"/>
              <w:bottom w:w="100" w:type="dxa"/>
              <w:right w:w="100" w:type="dxa"/>
            </w:tcMar>
            <w:vAlign w:val="center"/>
          </w:tcPr>
          <w:p w14:paraId="16989D9C" w14:textId="77777777" w:rsidR="00196287" w:rsidRPr="004E4504" w:rsidRDefault="00000000">
            <w:pPr>
              <w:jc w:val="both"/>
              <w:rPr>
                <w:color w:val="00B050"/>
              </w:rPr>
            </w:pPr>
            <w:r w:rsidRPr="004E4504">
              <w:rPr>
                <w:color w:val="00B050"/>
                <w:sz w:val="19"/>
                <w:szCs w:val="19"/>
              </w:rPr>
              <w:t>Fusion evaluated without anti-spoofing or deployment considerations</w:t>
            </w:r>
          </w:p>
        </w:tc>
      </w:tr>
      <w:tr w:rsidR="00196287" w:rsidRPr="004E4504" w14:paraId="2FDE94A3" w14:textId="77777777">
        <w:tc>
          <w:tcPr>
            <w:tcW w:w="1300" w:type="dxa"/>
            <w:tcMar>
              <w:top w:w="100" w:type="dxa"/>
              <w:left w:w="100" w:type="dxa"/>
              <w:bottom w:w="100" w:type="dxa"/>
              <w:right w:w="100" w:type="dxa"/>
            </w:tcMar>
            <w:vAlign w:val="center"/>
          </w:tcPr>
          <w:p w14:paraId="60889977" w14:textId="77777777" w:rsidR="00196287" w:rsidRPr="004E4504" w:rsidRDefault="00000000">
            <w:pPr>
              <w:jc w:val="both"/>
              <w:rPr>
                <w:color w:val="00B050"/>
              </w:rPr>
            </w:pPr>
            <w:r w:rsidRPr="004E4504">
              <w:rPr>
                <w:color w:val="00B050"/>
                <w:sz w:val="19"/>
                <w:szCs w:val="19"/>
              </w:rPr>
              <w:t>Ding &amp; Tao [17]</w:t>
            </w:r>
          </w:p>
        </w:tc>
        <w:tc>
          <w:tcPr>
            <w:tcW w:w="1900" w:type="dxa"/>
            <w:tcMar>
              <w:top w:w="100" w:type="dxa"/>
              <w:left w:w="100" w:type="dxa"/>
              <w:bottom w:w="100" w:type="dxa"/>
              <w:right w:w="100" w:type="dxa"/>
            </w:tcMar>
            <w:vAlign w:val="center"/>
          </w:tcPr>
          <w:p w14:paraId="73744BB6" w14:textId="77777777" w:rsidR="00196287" w:rsidRPr="004E4504" w:rsidRDefault="00000000">
            <w:pPr>
              <w:jc w:val="both"/>
              <w:rPr>
                <w:color w:val="00B050"/>
              </w:rPr>
            </w:pPr>
            <w:r w:rsidRPr="004E4504">
              <w:rPr>
                <w:color w:val="00B050"/>
                <w:sz w:val="19"/>
                <w:szCs w:val="19"/>
              </w:rPr>
              <w:t>Multi-task deep neural network with shared layers and modality-specific branches</w:t>
            </w:r>
          </w:p>
        </w:tc>
        <w:tc>
          <w:tcPr>
            <w:tcW w:w="3080" w:type="dxa"/>
            <w:tcMar>
              <w:top w:w="100" w:type="dxa"/>
              <w:left w:w="100" w:type="dxa"/>
              <w:bottom w:w="100" w:type="dxa"/>
              <w:right w:w="100" w:type="dxa"/>
            </w:tcMar>
            <w:vAlign w:val="center"/>
          </w:tcPr>
          <w:p w14:paraId="4F896B05" w14:textId="77777777" w:rsidR="00196287" w:rsidRPr="004E4504" w:rsidRDefault="00000000">
            <w:pPr>
              <w:jc w:val="both"/>
              <w:rPr>
                <w:color w:val="00B050"/>
              </w:rPr>
            </w:pPr>
            <w:r w:rsidRPr="004E4504">
              <w:rPr>
                <w:color w:val="00B050"/>
                <w:sz w:val="19"/>
                <w:szCs w:val="19"/>
              </w:rPr>
              <w:t>96.85% accuracy on public face + fingerprint benchmarks</w:t>
            </w:r>
          </w:p>
        </w:tc>
        <w:tc>
          <w:tcPr>
            <w:tcW w:w="3080" w:type="dxa"/>
            <w:tcMar>
              <w:top w:w="100" w:type="dxa"/>
              <w:left w:w="100" w:type="dxa"/>
              <w:bottom w:w="100" w:type="dxa"/>
              <w:right w:w="100" w:type="dxa"/>
            </w:tcMar>
            <w:vAlign w:val="center"/>
          </w:tcPr>
          <w:p w14:paraId="65DB79DA" w14:textId="77777777" w:rsidR="00196287" w:rsidRPr="004E4504" w:rsidRDefault="00000000">
            <w:pPr>
              <w:jc w:val="both"/>
              <w:rPr>
                <w:color w:val="00B050"/>
              </w:rPr>
            </w:pPr>
            <w:r w:rsidRPr="004E4504">
              <w:rPr>
                <w:color w:val="00B050"/>
                <w:sz w:val="19"/>
                <w:szCs w:val="19"/>
              </w:rPr>
              <w:t>No liveness/anti-spoofing integration; no embedded-hardware evaluation</w:t>
            </w:r>
          </w:p>
        </w:tc>
      </w:tr>
      <w:tr w:rsidR="00196287" w:rsidRPr="004E4504" w14:paraId="30DE5320" w14:textId="77777777">
        <w:tc>
          <w:tcPr>
            <w:tcW w:w="1300" w:type="dxa"/>
            <w:shd w:val="clear" w:color="auto" w:fill="F2F2F2"/>
            <w:tcMar>
              <w:top w:w="100" w:type="dxa"/>
              <w:left w:w="100" w:type="dxa"/>
              <w:bottom w:w="100" w:type="dxa"/>
              <w:right w:w="100" w:type="dxa"/>
            </w:tcMar>
            <w:vAlign w:val="center"/>
          </w:tcPr>
          <w:p w14:paraId="08F8EF09" w14:textId="77777777" w:rsidR="00196287" w:rsidRPr="004E4504" w:rsidRDefault="00000000">
            <w:pPr>
              <w:jc w:val="both"/>
              <w:rPr>
                <w:color w:val="00B050"/>
              </w:rPr>
            </w:pPr>
            <w:r w:rsidRPr="004E4504">
              <w:rPr>
                <w:color w:val="00B050"/>
                <w:sz w:val="19"/>
                <w:szCs w:val="19"/>
              </w:rPr>
              <w:t>Zhang et al. [22]</w:t>
            </w:r>
          </w:p>
        </w:tc>
        <w:tc>
          <w:tcPr>
            <w:tcW w:w="1900" w:type="dxa"/>
            <w:shd w:val="clear" w:color="auto" w:fill="F2F2F2"/>
            <w:tcMar>
              <w:top w:w="100" w:type="dxa"/>
              <w:left w:w="100" w:type="dxa"/>
              <w:bottom w:w="100" w:type="dxa"/>
              <w:right w:w="100" w:type="dxa"/>
            </w:tcMar>
            <w:vAlign w:val="center"/>
          </w:tcPr>
          <w:p w14:paraId="50F6DA20" w14:textId="77777777" w:rsidR="00196287" w:rsidRPr="004E4504" w:rsidRDefault="00000000">
            <w:pPr>
              <w:jc w:val="both"/>
              <w:rPr>
                <w:color w:val="00B050"/>
              </w:rPr>
            </w:pPr>
            <w:r w:rsidRPr="004E4504">
              <w:rPr>
                <w:color w:val="00B050"/>
                <w:sz w:val="19"/>
                <w:szCs w:val="19"/>
              </w:rPr>
              <w:t>Transformer-based cross-modal attention fusion with contextual quality re-weighting</w:t>
            </w:r>
          </w:p>
        </w:tc>
        <w:tc>
          <w:tcPr>
            <w:tcW w:w="3080" w:type="dxa"/>
            <w:shd w:val="clear" w:color="auto" w:fill="F2F2F2"/>
            <w:tcMar>
              <w:top w:w="100" w:type="dxa"/>
              <w:left w:w="100" w:type="dxa"/>
              <w:bottom w:w="100" w:type="dxa"/>
              <w:right w:w="100" w:type="dxa"/>
            </w:tcMar>
            <w:vAlign w:val="center"/>
          </w:tcPr>
          <w:p w14:paraId="291ADDC2" w14:textId="77777777" w:rsidR="00196287" w:rsidRPr="004E4504" w:rsidRDefault="00000000">
            <w:pPr>
              <w:jc w:val="both"/>
              <w:rPr>
                <w:color w:val="00B050"/>
              </w:rPr>
            </w:pPr>
            <w:r w:rsidRPr="004E4504">
              <w:rPr>
                <w:color w:val="00B050"/>
                <w:sz w:val="19"/>
                <w:szCs w:val="19"/>
              </w:rPr>
              <w:t>97.21% accuracy, the highest among fusion methods reviewed</w:t>
            </w:r>
          </w:p>
        </w:tc>
        <w:tc>
          <w:tcPr>
            <w:tcW w:w="3080" w:type="dxa"/>
            <w:shd w:val="clear" w:color="auto" w:fill="F2F2F2"/>
            <w:tcMar>
              <w:top w:w="100" w:type="dxa"/>
              <w:left w:w="100" w:type="dxa"/>
              <w:bottom w:w="100" w:type="dxa"/>
              <w:right w:w="100" w:type="dxa"/>
            </w:tcMar>
            <w:vAlign w:val="center"/>
          </w:tcPr>
          <w:p w14:paraId="06BA370B" w14:textId="77777777" w:rsidR="00196287" w:rsidRPr="004E4504" w:rsidRDefault="00000000">
            <w:pPr>
              <w:jc w:val="both"/>
              <w:rPr>
                <w:color w:val="00B050"/>
              </w:rPr>
            </w:pPr>
            <w:r w:rsidRPr="004E4504">
              <w:rPr>
                <w:color w:val="00B050"/>
                <w:sz w:val="19"/>
                <w:szCs w:val="19"/>
              </w:rPr>
              <w:t>Large computational overhead makes it unsuitable for edge/embedded deployment</w:t>
            </w:r>
          </w:p>
        </w:tc>
      </w:tr>
      <w:tr w:rsidR="00196287" w:rsidRPr="004E4504" w14:paraId="6D4C1072" w14:textId="77777777">
        <w:tc>
          <w:tcPr>
            <w:tcW w:w="1300" w:type="dxa"/>
            <w:tcMar>
              <w:top w:w="100" w:type="dxa"/>
              <w:left w:w="100" w:type="dxa"/>
              <w:bottom w:w="100" w:type="dxa"/>
              <w:right w:w="100" w:type="dxa"/>
            </w:tcMar>
            <w:vAlign w:val="center"/>
          </w:tcPr>
          <w:p w14:paraId="5C27B9F5" w14:textId="77777777" w:rsidR="00196287" w:rsidRPr="004E4504" w:rsidRDefault="00000000">
            <w:pPr>
              <w:jc w:val="both"/>
              <w:rPr>
                <w:color w:val="00B050"/>
              </w:rPr>
            </w:pPr>
            <w:r w:rsidRPr="004E4504">
              <w:rPr>
                <w:color w:val="00B050"/>
                <w:sz w:val="19"/>
                <w:szCs w:val="19"/>
              </w:rPr>
              <w:t>Blink detection [18]; depth/LBP; rPPG [19]; perspiration &amp; OCT [20]</w:t>
            </w:r>
          </w:p>
        </w:tc>
        <w:tc>
          <w:tcPr>
            <w:tcW w:w="1900" w:type="dxa"/>
            <w:tcMar>
              <w:top w:w="100" w:type="dxa"/>
              <w:left w:w="100" w:type="dxa"/>
              <w:bottom w:w="100" w:type="dxa"/>
              <w:right w:w="100" w:type="dxa"/>
            </w:tcMar>
            <w:vAlign w:val="center"/>
          </w:tcPr>
          <w:p w14:paraId="7B15C2D8" w14:textId="77777777" w:rsidR="00196287" w:rsidRPr="004E4504" w:rsidRDefault="00000000">
            <w:pPr>
              <w:jc w:val="both"/>
              <w:rPr>
                <w:color w:val="00B050"/>
              </w:rPr>
            </w:pPr>
            <w:r w:rsidRPr="004E4504">
              <w:rPr>
                <w:color w:val="00B050"/>
                <w:sz w:val="19"/>
                <w:szCs w:val="19"/>
              </w:rPr>
              <w:t>Modality-specific liveness cues (face: rPPG; fingerprint: perspiration pattern, OCT)</w:t>
            </w:r>
          </w:p>
        </w:tc>
        <w:tc>
          <w:tcPr>
            <w:tcW w:w="3080" w:type="dxa"/>
            <w:tcMar>
              <w:top w:w="100" w:type="dxa"/>
              <w:left w:w="100" w:type="dxa"/>
              <w:bottom w:w="100" w:type="dxa"/>
              <w:right w:w="100" w:type="dxa"/>
            </w:tcMar>
            <w:vAlign w:val="center"/>
          </w:tcPr>
          <w:p w14:paraId="0CE0C651" w14:textId="77777777" w:rsidR="00196287" w:rsidRPr="004E4504" w:rsidRDefault="00000000">
            <w:pPr>
              <w:jc w:val="both"/>
              <w:rPr>
                <w:color w:val="00B050"/>
              </w:rPr>
            </w:pPr>
            <w:r w:rsidRPr="004E4504">
              <w:rPr>
                <w:color w:val="00B050"/>
                <w:sz w:val="19"/>
                <w:szCs w:val="19"/>
              </w:rPr>
              <w:t>rPPG resists printed-photo and replay attacks; OCT enables subsurface fingerprint imaging</w:t>
            </w:r>
          </w:p>
        </w:tc>
        <w:tc>
          <w:tcPr>
            <w:tcW w:w="3080" w:type="dxa"/>
            <w:tcMar>
              <w:top w:w="100" w:type="dxa"/>
              <w:left w:w="100" w:type="dxa"/>
              <w:bottom w:w="100" w:type="dxa"/>
              <w:right w:w="100" w:type="dxa"/>
            </w:tcMar>
            <w:vAlign w:val="center"/>
          </w:tcPr>
          <w:p w14:paraId="2624CFFE" w14:textId="77777777" w:rsidR="00196287" w:rsidRPr="004E4504" w:rsidRDefault="00000000">
            <w:pPr>
              <w:jc w:val="both"/>
              <w:rPr>
                <w:color w:val="00B050"/>
              </w:rPr>
            </w:pPr>
            <w:r w:rsidRPr="004E4504">
              <w:rPr>
                <w:color w:val="00B050"/>
                <w:sz w:val="19"/>
                <w:szCs w:val="19"/>
              </w:rPr>
              <w:t>Liveness modules treated as parallel, isolated checks — not jointly optimized with fusion accuracy</w:t>
            </w:r>
          </w:p>
        </w:tc>
      </w:tr>
    </w:tbl>
    <w:p w14:paraId="1A1FE911" w14:textId="77777777" w:rsidR="00196287" w:rsidRPr="004E4504" w:rsidRDefault="00000000">
      <w:pPr>
        <w:spacing w:before="140" w:after="80"/>
        <w:jc w:val="both"/>
        <w:rPr>
          <w:sz w:val="22"/>
          <w:szCs w:val="22"/>
        </w:rPr>
      </w:pPr>
      <w:r w:rsidRPr="004E4504">
        <w:rPr>
          <w:b/>
          <w:bCs/>
          <w:i/>
          <w:iCs/>
          <w:sz w:val="22"/>
          <w:szCs w:val="22"/>
        </w:rPr>
        <w:t>D. Research Gap</w:t>
      </w:r>
    </w:p>
    <w:p w14:paraId="553CEA32" w14:textId="77777777" w:rsidR="00196287" w:rsidRPr="004E4504" w:rsidRDefault="00000000">
      <w:pPr>
        <w:spacing w:after="100" w:line="276" w:lineRule="auto"/>
        <w:ind w:firstLine="360"/>
        <w:jc w:val="both"/>
        <w:rPr>
          <w:sz w:val="22"/>
          <w:szCs w:val="22"/>
        </w:rPr>
      </w:pPr>
      <w:r w:rsidRPr="004E4504">
        <w:rPr>
          <w:sz w:val="22"/>
          <w:szCs w:val="22"/>
        </w:rPr>
        <w:t>The reviewed literature does not report a unified architecture that jointly optimises biometric-fusion accuracy, anti-spoofing robustness, and embedded-hardware deployment efficiency while being validated on a dataset collected in an African context. To address this gap, the present study proposes an integrated ANN fusion system benchmarked on standard and newly collected datasets under realistic environmental conditions.</w:t>
      </w:r>
    </w:p>
    <w:p w14:paraId="1CF162C6" w14:textId="77777777" w:rsidR="00196287" w:rsidRPr="004E4504" w:rsidRDefault="00000000">
      <w:pPr>
        <w:spacing w:before="200" w:after="100"/>
        <w:jc w:val="both"/>
        <w:rPr>
          <w:sz w:val="22"/>
          <w:szCs w:val="22"/>
        </w:rPr>
      </w:pPr>
      <w:r w:rsidRPr="004E4504">
        <w:rPr>
          <w:b/>
          <w:bCs/>
          <w:sz w:val="22"/>
          <w:szCs w:val="22"/>
        </w:rPr>
        <w:t>IV. PROPOSED METHODOLOGY</w:t>
      </w:r>
    </w:p>
    <w:p w14:paraId="7366FAE7" w14:textId="77777777" w:rsidR="00196287" w:rsidRPr="004E4504" w:rsidRDefault="00000000">
      <w:pPr>
        <w:spacing w:before="140" w:after="80"/>
        <w:jc w:val="both"/>
        <w:rPr>
          <w:sz w:val="22"/>
          <w:szCs w:val="22"/>
        </w:rPr>
      </w:pPr>
      <w:r w:rsidRPr="004E4504">
        <w:rPr>
          <w:b/>
          <w:bCs/>
          <w:i/>
          <w:iCs/>
          <w:sz w:val="22"/>
          <w:szCs w:val="22"/>
        </w:rPr>
        <w:t>A. System Overview</w:t>
      </w:r>
    </w:p>
    <w:p w14:paraId="50B459DE" w14:textId="77777777" w:rsidR="00196287" w:rsidRPr="004E4504" w:rsidRDefault="00000000">
      <w:pPr>
        <w:spacing w:after="100" w:line="276" w:lineRule="auto"/>
        <w:ind w:firstLine="360"/>
        <w:jc w:val="both"/>
        <w:rPr>
          <w:sz w:val="22"/>
          <w:szCs w:val="22"/>
        </w:rPr>
      </w:pPr>
      <w:r w:rsidRPr="004E4504">
        <w:rPr>
          <w:sz w:val="22"/>
          <w:szCs w:val="22"/>
        </w:rPr>
        <w:t>The proposed system, depicted in Fig. 1, can be conceptually divided into five processing stages: (1) biometric-data acquisition and pre-processing; (2) modality-specific feature extraction; (3) liveness detection and quality assessment; (4) ANN-based multimodal fusion; and (5) adaptive decision-making and output generation. Each stage is described in the following subsections.</w:t>
      </w:r>
    </w:p>
    <w:p w14:paraId="31E86D7F" w14:textId="77777777" w:rsidR="00196287" w:rsidRPr="004E4504" w:rsidRDefault="00000000">
      <w:pPr>
        <w:spacing w:before="120" w:after="40"/>
        <w:jc w:val="both"/>
        <w:rPr>
          <w:sz w:val="22"/>
          <w:szCs w:val="22"/>
        </w:rPr>
      </w:pPr>
      <w:r w:rsidRPr="004E4504">
        <w:rPr>
          <w:noProof/>
          <w:sz w:val="22"/>
          <w:szCs w:val="22"/>
        </w:rPr>
        <w:lastRenderedPageBreak/>
        <w:drawing>
          <wp:inline distT="0" distB="0" distL="0" distR="0" wp14:anchorId="10931E4A" wp14:editId="76FDC7F5">
            <wp:extent cx="5486400" cy="3119120"/>
            <wp:effectExtent l="0" t="0" r="0" b="5080"/>
            <wp:docPr id="1" name="Figure 1" descr="Fig. 1. Proposed multimodal biometric fusion system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Fig. 1. Proposed multimodal biometric fusion system architecture"/>
                    <pic:cNvPicPr>
                      <a:picLocks noChangeAspect="1"/>
                    </pic:cNvPicPr>
                  </pic:nvPicPr>
                  <pic:blipFill>
                    <a:blip r:embed="rId8"/>
                    <a:stretch>
                      <a:fillRect/>
                    </a:stretch>
                  </pic:blipFill>
                  <pic:spPr>
                    <a:xfrm>
                      <a:off x="0" y="0"/>
                      <a:ext cx="5486400" cy="3119416"/>
                    </a:xfrm>
                    <a:prstGeom prst="rect">
                      <a:avLst/>
                    </a:prstGeom>
                  </pic:spPr>
                </pic:pic>
              </a:graphicData>
            </a:graphic>
          </wp:inline>
        </w:drawing>
      </w:r>
    </w:p>
    <w:p w14:paraId="3CBD5E6E" w14:textId="77777777" w:rsidR="00196287" w:rsidRPr="004E4504" w:rsidRDefault="00000000">
      <w:pPr>
        <w:spacing w:before="120" w:after="40"/>
        <w:jc w:val="both"/>
        <w:rPr>
          <w:color w:val="00B050"/>
          <w:sz w:val="22"/>
          <w:szCs w:val="22"/>
        </w:rPr>
      </w:pPr>
      <w:r w:rsidRPr="004E4504">
        <w:rPr>
          <w:color w:val="00B050"/>
          <w:sz w:val="22"/>
          <w:szCs w:val="22"/>
        </w:rPr>
        <w:t xml:space="preserve">Fig. </w:t>
      </w:r>
      <w:proofErr w:type="gramStart"/>
      <w:r w:rsidRPr="004E4504">
        <w:rPr>
          <w:color w:val="00B050"/>
          <w:sz w:val="22"/>
          <w:szCs w:val="22"/>
        </w:rPr>
        <w:t>1.End</w:t>
      </w:r>
      <w:proofErr w:type="gramEnd"/>
      <w:r w:rsidRPr="004E4504">
        <w:rPr>
          <w:color w:val="00B050"/>
          <w:sz w:val="22"/>
          <w:szCs w:val="22"/>
        </w:rPr>
        <w:t>-to-End Pipeline of the Proposed ANN-Based Multimodal Face and Fingerprint Fusion System</w:t>
      </w:r>
    </w:p>
    <w:p w14:paraId="47DC6BC4" w14:textId="77777777" w:rsidR="00196287" w:rsidRPr="004E4504" w:rsidRDefault="00196287">
      <w:pPr>
        <w:spacing w:before="140" w:after="80"/>
        <w:jc w:val="both"/>
        <w:rPr>
          <w:b/>
          <w:bCs/>
          <w:i/>
          <w:iCs/>
          <w:color w:val="00B050"/>
          <w:sz w:val="22"/>
          <w:szCs w:val="22"/>
        </w:rPr>
      </w:pPr>
    </w:p>
    <w:p w14:paraId="6E1F14D1" w14:textId="77777777" w:rsidR="00196287" w:rsidRPr="004E4504" w:rsidRDefault="00196287">
      <w:pPr>
        <w:spacing w:before="140" w:after="80"/>
        <w:jc w:val="both"/>
        <w:rPr>
          <w:b/>
          <w:bCs/>
          <w:i/>
          <w:iCs/>
          <w:sz w:val="22"/>
          <w:szCs w:val="22"/>
        </w:rPr>
      </w:pPr>
    </w:p>
    <w:p w14:paraId="396E953B" w14:textId="77777777" w:rsidR="00196287" w:rsidRPr="004E4504" w:rsidRDefault="00000000">
      <w:pPr>
        <w:spacing w:before="140" w:after="80"/>
        <w:jc w:val="both"/>
        <w:rPr>
          <w:sz w:val="22"/>
          <w:szCs w:val="22"/>
        </w:rPr>
      </w:pPr>
      <w:r w:rsidRPr="004E4504">
        <w:rPr>
          <w:b/>
          <w:bCs/>
          <w:i/>
          <w:iCs/>
          <w:sz w:val="22"/>
          <w:szCs w:val="22"/>
        </w:rPr>
        <w:t>B. Facial Recognition Module</w:t>
      </w:r>
    </w:p>
    <w:p w14:paraId="625FC349" w14:textId="77777777" w:rsidR="00196287" w:rsidRPr="004E4504" w:rsidRDefault="00000000">
      <w:pPr>
        <w:spacing w:after="100" w:line="276" w:lineRule="auto"/>
        <w:ind w:firstLine="360"/>
        <w:jc w:val="both"/>
        <w:rPr>
          <w:sz w:val="22"/>
          <w:szCs w:val="22"/>
        </w:rPr>
      </w:pPr>
      <w:r w:rsidRPr="004E4504">
        <w:rPr>
          <w:sz w:val="22"/>
          <w:szCs w:val="22"/>
        </w:rPr>
        <w:t>The face images are pre-processed through the following sequence of operations: (i) face detection and five-point landmark localisation using MTCNN; (ii) affine alignment to a canonical 112 × 112 template; and (iii) channel-wise mean subtraction based on ImageNet statistics. The aligned face is then fed into a modified ResNet-50 backbone trained with ArcFace loss.</w:t>
      </w:r>
    </w:p>
    <w:p w14:paraId="0ED3B2F8" w14:textId="77777777" w:rsidR="00196287" w:rsidRPr="004E4504" w:rsidRDefault="00000000">
      <w:pPr>
        <w:tabs>
          <w:tab w:val="left" w:pos="720"/>
        </w:tabs>
        <w:spacing w:after="100" w:line="276" w:lineRule="auto"/>
        <w:ind w:firstLine="360"/>
        <w:jc w:val="both"/>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a</m:t>
            </m:r>
          </m:sub>
        </m:sSub>
        <m:r>
          <w:rPr>
            <w:rFonts w:ascii="Cambria Math" w:hAnsi="Cambria Math"/>
            <w:sz w:val="22"/>
            <w:szCs w:val="22"/>
          </w:rPr>
          <m:t>=-</m:t>
        </m:r>
        <m:r>
          <m:rPr>
            <m:sty m:val="p"/>
          </m:rPr>
          <w:rPr>
            <w:rFonts w:ascii="Cambria Math" w:hAnsi="Cambria Math"/>
            <w:sz w:val="22"/>
            <w:szCs w:val="22"/>
          </w:rPr>
          <m:t>log</m:t>
        </m:r>
        <m:r>
          <w:rPr>
            <w:rFonts w:ascii="Cambria Math" w:hAnsi="Cambria Math"/>
            <w:sz w:val="22"/>
            <w:szCs w:val="22"/>
          </w:rPr>
          <m:t>⁡</m:t>
        </m:r>
        <m:d>
          <m:dPr>
            <m:begChr m:val="["/>
            <m:endChr m:val="]"/>
            <m:ctrlPr>
              <w:rPr>
                <w:rFonts w:ascii="Cambria Math" w:hAnsi="Cambria Math"/>
                <w:sz w:val="22"/>
                <w:szCs w:val="22"/>
              </w:rPr>
            </m:ctrlPr>
          </m:dPr>
          <m:e>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r>
                      <w:rPr>
                        <w:rFonts w:ascii="Cambria Math" w:hAnsi="Cambria Math"/>
                        <w:sz w:val="22"/>
                        <w:szCs w:val="22"/>
                      </w:rPr>
                      <m:t>+m)</m:t>
                    </m:r>
                  </m:sup>
                </m:sSup>
              </m:num>
              <m:den>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r>
                      <w:rPr>
                        <w:rFonts w:ascii="Cambria Math" w:hAnsi="Cambria Math"/>
                        <w:sz w:val="22"/>
                        <w:szCs w:val="22"/>
                      </w:rPr>
                      <m:t>+m)</m:t>
                    </m:r>
                  </m:sup>
                </m:sSup>
                <m:r>
                  <w:rPr>
                    <w:rFonts w:ascii="Cambria Math" w:hAnsi="Cambria Math"/>
                    <w:sz w:val="22"/>
                    <w:szCs w:val="22"/>
                  </w:rPr>
                  <m:t>+</m:t>
                </m:r>
                <m:nary>
                  <m:naryPr>
                    <m:chr m:val="∑"/>
                    <m:limLoc m:val="undOvr"/>
                    <m:grow m:val="1"/>
                    <m:supHide m:val="1"/>
                    <m:ctrlPr>
                      <w:rPr>
                        <w:rFonts w:ascii="Cambria Math" w:hAnsi="Cambria Math"/>
                        <w:sz w:val="22"/>
                        <w:szCs w:val="22"/>
                      </w:rPr>
                    </m:ctrlPr>
                  </m:naryPr>
                  <m:sub>
                    <m:r>
                      <w:rPr>
                        <w:rFonts w:ascii="Cambria Math" w:hAnsi="Cambria Math"/>
                        <w:sz w:val="22"/>
                        <w:szCs w:val="22"/>
                      </w:rPr>
                      <m:t>j</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up/>
                  <m:e>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r>
                              <w:rPr>
                                <w:rFonts w:ascii="Cambria Math" w:hAnsi="Cambria Math"/>
                                <w:sz w:val="22"/>
                                <w:szCs w:val="22"/>
                              </w:rPr>
                              <m:t>j</m:t>
                            </m:r>
                          </m:sub>
                        </m:sSub>
                      </m:sup>
                    </m:sSup>
                  </m:e>
                </m:nary>
              </m:den>
            </m:f>
          </m:e>
        </m:d>
      </m:oMath>
      <w:r w:rsidRPr="004E4504">
        <w:rPr>
          <w:sz w:val="22"/>
          <w:szCs w:val="22"/>
        </w:rPr>
        <w:t xml:space="preserve"> </w:t>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t>(1)</w:t>
      </w:r>
      <w:r w:rsidRPr="004E4504">
        <w:rPr>
          <w:sz w:val="22"/>
          <w:szCs w:val="22"/>
        </w:rPr>
        <w:br/>
        <w:t xml:space="preserve">Where: </w:t>
      </w:r>
      <m:oMath>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oMath>
      <w:r w:rsidRPr="004E4504">
        <w:rPr>
          <w:sz w:val="22"/>
          <w:szCs w:val="22"/>
        </w:rPr>
        <w:t xml:space="preserve">is the angle between the feature vector and the target class weight vector, </w:t>
      </w:r>
      <m:oMath>
        <m:r>
          <w:rPr>
            <w:rFonts w:ascii="Cambria Math" w:hAnsi="Cambria Math"/>
            <w:sz w:val="22"/>
            <w:szCs w:val="22"/>
          </w:rPr>
          <m:t>m</m:t>
        </m:r>
      </m:oMath>
      <w:r w:rsidRPr="004E4504">
        <w:rPr>
          <w:sz w:val="22"/>
          <w:szCs w:val="22"/>
        </w:rPr>
        <w:t xml:space="preserve"> – the additive angular margin penalty, </w:t>
      </w:r>
      <m:oMath>
        <m:r>
          <w:rPr>
            <w:rFonts w:ascii="Cambria Math" w:hAnsi="Cambria Math"/>
            <w:sz w:val="22"/>
            <w:szCs w:val="22"/>
          </w:rPr>
          <m:t>s</m:t>
        </m:r>
      </m:oMath>
      <w:r w:rsidRPr="004E4504">
        <w:rPr>
          <w:sz w:val="22"/>
          <w:szCs w:val="22"/>
        </w:rPr>
        <w:t xml:space="preserve"> – the feature scale (re-scaling factor) and </w:t>
      </w:r>
      <m:oMath>
        <m:r>
          <w:rPr>
            <w:rFonts w:ascii="Cambria Math" w:hAnsi="Cambria Math"/>
            <w:sz w:val="22"/>
            <w:szCs w:val="22"/>
          </w:rPr>
          <m:t>j</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oMath>
      <w:r w:rsidRPr="004E4504">
        <w:rPr>
          <w:sz w:val="22"/>
          <w:szCs w:val="22"/>
        </w:rPr>
        <w:t xml:space="preserve"> – the summation over all non-target classes. The output </w:t>
      </w:r>
      <w:proofErr w:type="gramStart"/>
      <w:r w:rsidRPr="004E4504">
        <w:rPr>
          <w:sz w:val="22"/>
          <w:szCs w:val="22"/>
        </w:rPr>
        <w:t>512 dimensional</w:t>
      </w:r>
      <w:proofErr w:type="gramEnd"/>
      <w:r w:rsidRPr="004E4504">
        <w:rPr>
          <w:sz w:val="22"/>
          <w:szCs w:val="22"/>
        </w:rPr>
        <w:t xml:space="preserve"> facial embedding vector n: </w:t>
      </w:r>
      <m:oMath>
        <m:r>
          <w:rPr>
            <w:rFonts w:ascii="Cambria Math" w:hAnsi="Cambria Math"/>
            <w:sz w:val="22"/>
            <w:szCs w:val="22"/>
          </w:rPr>
          <m:t>f∈</m:t>
        </m:r>
        <m:sSup>
          <m:sSupPr>
            <m:ctrlPr>
              <w:rPr>
                <w:rFonts w:ascii="Cambria Math" w:hAnsi="Cambria Math"/>
                <w:sz w:val="22"/>
                <w:szCs w:val="22"/>
              </w:rPr>
            </m:ctrlPr>
          </m:sSupPr>
          <m:e>
            <m:r>
              <m:rPr>
                <m:scr m:val="double-struck"/>
                <m:sty m:val="p"/>
              </m:rPr>
              <w:rPr>
                <w:rFonts w:ascii="Cambria Math" w:hAnsi="Cambria Math"/>
                <w:sz w:val="22"/>
                <w:szCs w:val="22"/>
              </w:rPr>
              <m:t>R</m:t>
            </m:r>
          </m:e>
          <m:sup>
            <m:r>
              <w:rPr>
                <w:rFonts w:ascii="Cambria Math" w:hAnsi="Cambria Math"/>
                <w:sz w:val="22"/>
                <w:szCs w:val="22"/>
              </w:rPr>
              <m:t>512</m:t>
            </m:r>
          </m:sup>
        </m:sSup>
        <m:r>
          <w:rPr>
            <w:rFonts w:ascii="Cambria Math" w:hAnsi="Cambria Math"/>
            <w:sz w:val="22"/>
            <w:szCs w:val="22"/>
          </w:rPr>
          <m:t>,</m:t>
        </m:r>
        <m:r>
          <m:rPr>
            <m:sty m:val="p"/>
          </m:rPr>
          <w:rPr>
            <w:rFonts w:ascii="Cambria Math" w:hAnsi="Cambria Math"/>
            <w:sz w:val="22"/>
            <w:szCs w:val="22"/>
          </w:rPr>
          <m:t>∥</m:t>
        </m:r>
        <m:r>
          <w:rPr>
            <w:rFonts w:ascii="Cambria Math" w:hAnsi="Cambria Math"/>
            <w:sz w:val="22"/>
            <w:szCs w:val="22"/>
          </w:rPr>
          <m:t>f</m:t>
        </m:r>
        <m:sSub>
          <m:sSubPr>
            <m:ctrlPr>
              <w:rPr>
                <w:rFonts w:ascii="Cambria Math" w:hAnsi="Cambria Math"/>
                <w:sz w:val="22"/>
                <w:szCs w:val="22"/>
              </w:rPr>
            </m:ctrlPr>
          </m:sSubPr>
          <m:e>
            <m:r>
              <m:rPr>
                <m:sty m:val="p"/>
              </m:rPr>
              <w:rPr>
                <w:rFonts w:ascii="Cambria Math" w:hAnsi="Cambria Math"/>
                <w:sz w:val="22"/>
                <w:szCs w:val="22"/>
              </w:rPr>
              <m:t>∥</m:t>
            </m:r>
          </m:e>
          <m:sub>
            <m:r>
              <w:rPr>
                <w:rFonts w:ascii="Cambria Math" w:hAnsi="Cambria Math"/>
                <w:sz w:val="22"/>
                <w:szCs w:val="22"/>
              </w:rPr>
              <m:t>2</m:t>
            </m:r>
          </m:sub>
        </m:sSub>
        <m:r>
          <w:rPr>
            <w:rFonts w:ascii="Cambria Math" w:hAnsi="Cambria Math"/>
            <w:sz w:val="22"/>
            <w:szCs w:val="22"/>
          </w:rPr>
          <m:t>=1</m:t>
        </m:r>
      </m:oMath>
      <w:r w:rsidRPr="004E4504">
        <w:rPr>
          <w:i/>
          <w:sz w:val="22"/>
          <w:szCs w:val="22"/>
        </w:rPr>
        <w:t xml:space="preserve"> </w:t>
      </w:r>
      <w:r w:rsidRPr="004E4504">
        <w:rPr>
          <w:sz w:val="22"/>
          <w:szCs w:val="22"/>
        </w:rPr>
        <w:t>normalized before fusion.</w:t>
      </w:r>
    </w:p>
    <w:p w14:paraId="6A8599B3" w14:textId="77777777" w:rsidR="00196287" w:rsidRPr="004E4504" w:rsidRDefault="00196287">
      <w:pPr>
        <w:spacing w:after="100" w:line="276" w:lineRule="auto"/>
        <w:ind w:firstLine="360"/>
        <w:jc w:val="both"/>
        <w:rPr>
          <w:sz w:val="22"/>
          <w:szCs w:val="22"/>
        </w:rPr>
      </w:pPr>
    </w:p>
    <w:p w14:paraId="22665E6B" w14:textId="77777777" w:rsidR="00196287" w:rsidRPr="004E4504" w:rsidRDefault="00000000">
      <w:pPr>
        <w:spacing w:before="140" w:after="80"/>
        <w:jc w:val="both"/>
        <w:rPr>
          <w:sz w:val="22"/>
          <w:szCs w:val="22"/>
        </w:rPr>
      </w:pPr>
      <w:r w:rsidRPr="004E4504">
        <w:rPr>
          <w:b/>
          <w:bCs/>
          <w:i/>
          <w:iCs/>
          <w:sz w:val="22"/>
          <w:szCs w:val="22"/>
        </w:rPr>
        <w:t>C. Fingerprint Identification Module</w:t>
      </w:r>
    </w:p>
    <w:p w14:paraId="4C40E20C" w14:textId="77777777" w:rsidR="00196287" w:rsidRPr="004E4504" w:rsidRDefault="00000000">
      <w:pPr>
        <w:spacing w:after="100" w:line="276" w:lineRule="auto"/>
        <w:ind w:firstLine="360"/>
        <w:jc w:val="both"/>
        <w:rPr>
          <w:sz w:val="22"/>
          <w:szCs w:val="22"/>
        </w:rPr>
      </w:pPr>
      <w:r w:rsidRPr="004E4504">
        <w:rPr>
          <w:sz w:val="22"/>
          <w:szCs w:val="22"/>
        </w:rPr>
        <w:t>The fingerprint images are binarised using adaptive Otsu thresholding. Ridge frequency is estimated using gradient-based methods, and the orientation field is computed. A bank of eight orientation-specific Gabor filters is used to extract texture features, which are concatenated into a 640-dimensional Gabor-response vector. This vector is then reduced to 256 dimensions using a three-layer denoising autoencoder (encoder: 640 → 512 → 256; decoder: 256 → 512 → 640) pre-trained with a reconstruction loss:</w:t>
      </w:r>
    </w:p>
    <w:p w14:paraId="702CC285" w14:textId="77777777" w:rsidR="00196287" w:rsidRPr="004E4504" w:rsidRDefault="00000000">
      <w:pPr>
        <w:tabs>
          <w:tab w:val="left" w:pos="720"/>
        </w:tabs>
        <w:spacing w:after="100" w:line="276" w:lineRule="auto"/>
        <w:ind w:firstLine="360"/>
        <w:jc w:val="both"/>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recon</m:t>
            </m:r>
          </m:sub>
        </m:sSub>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1</m:t>
            </m:r>
          </m:num>
          <m:den>
            <m:r>
              <w:rPr>
                <w:rFonts w:ascii="Cambria Math" w:hAnsi="Cambria Math"/>
                <w:sz w:val="22"/>
                <w:szCs w:val="22"/>
              </w:rPr>
              <m:t>N</m:t>
            </m:r>
          </m:den>
        </m:f>
        <m:nary>
          <m:naryPr>
            <m:chr m:val="∑"/>
            <m:limLoc m:val="undOvr"/>
            <m:grow m:val="1"/>
            <m:ctrlPr>
              <w:rPr>
                <w:rFonts w:ascii="Cambria Math" w:hAnsi="Cambria Math"/>
                <w:sz w:val="22"/>
                <w:szCs w:val="22"/>
              </w:rPr>
            </m:ctrlPr>
          </m:naryPr>
          <m:sub>
            <m:r>
              <w:rPr>
                <w:rFonts w:ascii="Cambria Math" w:hAnsi="Cambria Math"/>
                <w:sz w:val="22"/>
                <w:szCs w:val="22"/>
              </w:rPr>
              <m:t>i=1</m:t>
            </m:r>
          </m:sub>
          <m:sup>
            <m:r>
              <w:rPr>
                <w:rFonts w:ascii="Cambria Math" w:hAnsi="Cambria Math"/>
                <w:sz w:val="22"/>
                <w:szCs w:val="22"/>
              </w:rPr>
              <m:t>N</m:t>
            </m:r>
          </m:sup>
          <m:e>
            <m:sSup>
              <m:sSupPr>
                <m:ctrlPr>
                  <w:rPr>
                    <w:rFonts w:ascii="Cambria Math" w:hAnsi="Cambria Math"/>
                    <w:sz w:val="22"/>
                    <w:szCs w:val="22"/>
                  </w:rPr>
                </m:ctrlPr>
              </m:sSupPr>
              <m:e>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sz w:val="22"/>
                        <w:szCs w:val="22"/>
                      </w:rPr>
                    </m:ctrlPr>
                  </m:sSubPr>
                  <m:e>
                    <m:acc>
                      <m:accPr>
                        <m:ctrlPr>
                          <w:rPr>
                            <w:rFonts w:ascii="Cambria Math" w:hAnsi="Cambria Math"/>
                            <w:sz w:val="22"/>
                            <w:szCs w:val="22"/>
                          </w:rPr>
                        </m:ctrlPr>
                      </m:accPr>
                      <m:e>
                        <m:r>
                          <w:rPr>
                            <w:rFonts w:ascii="Cambria Math" w:hAnsi="Cambria Math"/>
                            <w:sz w:val="22"/>
                            <w:szCs w:val="22"/>
                          </w:rPr>
                          <m:t>x</m:t>
                        </m:r>
                      </m:e>
                    </m:acc>
                  </m:e>
                  <m:sub>
                    <m:r>
                      <w:rPr>
                        <w:rFonts w:ascii="Cambria Math" w:hAnsi="Cambria Math"/>
                        <w:sz w:val="22"/>
                        <w:szCs w:val="22"/>
                      </w:rPr>
                      <m:t>i</m:t>
                    </m:r>
                  </m:sub>
                </m:sSub>
                <m:r>
                  <w:rPr>
                    <w:rFonts w:ascii="Cambria Math" w:hAnsi="Cambria Math"/>
                    <w:sz w:val="22"/>
                    <w:szCs w:val="22"/>
                  </w:rPr>
                  <m:t>∥</m:t>
                </m:r>
              </m:e>
              <m:sup>
                <m:r>
                  <w:rPr>
                    <w:rFonts w:ascii="Cambria Math" w:hAnsi="Cambria Math"/>
                    <w:sz w:val="22"/>
                    <w:szCs w:val="22"/>
                  </w:rPr>
                  <m:t>2</m:t>
                </m:r>
              </m:sup>
            </m:sSup>
          </m:e>
        </m:nary>
      </m:oMath>
      <w:r w:rsidRPr="004E4504">
        <w:rPr>
          <w:sz w:val="22"/>
          <w:szCs w:val="22"/>
        </w:rPr>
        <w:t xml:space="preserve"> </w:t>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t>(2)</w:t>
      </w:r>
      <w:r w:rsidRPr="004E4504">
        <w:rPr>
          <w:sz w:val="22"/>
          <w:szCs w:val="22"/>
        </w:rPr>
        <w:br/>
        <w:t xml:space="preserve">where: </w:t>
      </w:r>
      <m:oMath>
        <m:r>
          <w:rPr>
            <w:rFonts w:ascii="Cambria Math" w:hAnsi="Cambria Math"/>
            <w:sz w:val="22"/>
            <w:szCs w:val="22"/>
          </w:rPr>
          <m:t>N</m:t>
        </m:r>
      </m:oMath>
      <w:r w:rsidRPr="004E4504">
        <w:rPr>
          <w:sz w:val="22"/>
          <w:szCs w:val="22"/>
        </w:rPr>
        <w:t xml:space="preserve"> - total number of samples, </w:t>
      </w:r>
      <m:oMath>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i</m:t>
            </m:r>
          </m:sub>
        </m:sSub>
      </m:oMath>
      <w:r w:rsidRPr="004E4504">
        <w:rPr>
          <w:sz w:val="22"/>
          <w:szCs w:val="22"/>
        </w:rPr>
        <w:t xml:space="preserve"> - original input for sample </w:t>
      </w:r>
      <m:oMath>
        <m:r>
          <w:rPr>
            <w:rFonts w:ascii="Cambria Math" w:hAnsi="Cambria Math"/>
            <w:sz w:val="22"/>
            <w:szCs w:val="22"/>
          </w:rPr>
          <m:t>i</m:t>
        </m:r>
      </m:oMath>
      <w:r w:rsidRPr="004E4504">
        <w:rPr>
          <w:sz w:val="22"/>
          <w:szCs w:val="22"/>
        </w:rPr>
        <w:t xml:space="preserve">, </w:t>
      </w:r>
      <m:oMath>
        <m:sSub>
          <m:sSubPr>
            <m:ctrlPr>
              <w:rPr>
                <w:rFonts w:ascii="Cambria Math" w:hAnsi="Cambria Math"/>
                <w:sz w:val="22"/>
                <w:szCs w:val="22"/>
              </w:rPr>
            </m:ctrlPr>
          </m:sSubPr>
          <m:e>
            <m:acc>
              <m:accPr>
                <m:ctrlPr>
                  <w:rPr>
                    <w:rFonts w:ascii="Cambria Math" w:hAnsi="Cambria Math"/>
                    <w:sz w:val="22"/>
                    <w:szCs w:val="22"/>
                  </w:rPr>
                </m:ctrlPr>
              </m:accPr>
              <m:e>
                <m:r>
                  <w:rPr>
                    <w:rFonts w:ascii="Cambria Math" w:hAnsi="Cambria Math"/>
                    <w:sz w:val="22"/>
                    <w:szCs w:val="22"/>
                  </w:rPr>
                  <m:t>x</m:t>
                </m:r>
              </m:e>
            </m:acc>
          </m:e>
          <m:sub>
            <m:r>
              <w:rPr>
                <w:rFonts w:ascii="Cambria Math" w:hAnsi="Cambria Math"/>
                <w:sz w:val="22"/>
                <w:szCs w:val="22"/>
              </w:rPr>
              <m:t>i</m:t>
            </m:r>
          </m:sub>
        </m:sSub>
      </m:oMath>
      <w:r w:rsidRPr="004E4504">
        <w:rPr>
          <w:sz w:val="22"/>
          <w:szCs w:val="22"/>
        </w:rPr>
        <w:t xml:space="preserve"> - reconstructed output for sample </w:t>
      </w:r>
      <m:oMath>
        <m:r>
          <w:rPr>
            <w:rFonts w:ascii="Cambria Math" w:hAnsi="Cambria Math"/>
            <w:sz w:val="22"/>
            <w:szCs w:val="22"/>
          </w:rPr>
          <m:t>i</m:t>
        </m:r>
      </m:oMath>
      <w:r w:rsidRPr="004E4504">
        <w:rPr>
          <w:sz w:val="22"/>
          <w:szCs w:val="22"/>
        </w:rPr>
        <w:t xml:space="preserve">, and </w:t>
      </w:r>
      <m:oMath>
        <m:r>
          <m:rPr>
            <m:sty m:val="p"/>
          </m:rPr>
          <w:rPr>
            <w:rFonts w:ascii="Cambria Math" w:hAnsi="Cambria Math"/>
            <w:sz w:val="22"/>
            <w:szCs w:val="22"/>
          </w:rPr>
          <m:t>∥</m:t>
        </m:r>
        <m:r>
          <w:rPr>
            <w:rFonts w:ascii="Cambria Math" w:hAnsi="Cambria Math"/>
            <w:sz w:val="22"/>
            <w:szCs w:val="22"/>
          </w:rPr>
          <m:t>⋅</m:t>
        </m:r>
        <m:sSup>
          <m:sSupPr>
            <m:ctrlPr>
              <w:rPr>
                <w:rFonts w:ascii="Cambria Math" w:hAnsi="Cambria Math"/>
                <w:sz w:val="22"/>
                <w:szCs w:val="22"/>
              </w:rPr>
            </m:ctrlPr>
          </m:sSupPr>
          <m:e>
            <m:r>
              <m:rPr>
                <m:sty m:val="p"/>
              </m:rPr>
              <w:rPr>
                <w:rFonts w:ascii="Cambria Math" w:hAnsi="Cambria Math"/>
                <w:sz w:val="22"/>
                <w:szCs w:val="22"/>
              </w:rPr>
              <m:t>∥</m:t>
            </m:r>
          </m:e>
          <m:sup>
            <m:r>
              <w:rPr>
                <w:rFonts w:ascii="Cambria Math" w:hAnsi="Cambria Math"/>
                <w:sz w:val="22"/>
                <w:szCs w:val="22"/>
              </w:rPr>
              <m:t>2</m:t>
            </m:r>
          </m:sup>
        </m:sSup>
      </m:oMath>
      <w:r w:rsidRPr="004E4504">
        <w:rPr>
          <w:sz w:val="22"/>
          <w:szCs w:val="22"/>
        </w:rPr>
        <w:t>- squared Euclidean (L2) norm.</w:t>
      </w:r>
    </w:p>
    <w:p w14:paraId="002F5232" w14:textId="77777777" w:rsidR="00196287" w:rsidRPr="004E4504" w:rsidRDefault="00000000">
      <w:pPr>
        <w:spacing w:after="100" w:line="276" w:lineRule="auto"/>
        <w:ind w:firstLine="360"/>
        <w:jc w:val="both"/>
        <w:rPr>
          <w:sz w:val="22"/>
          <w:szCs w:val="22"/>
        </w:rPr>
      </w:pPr>
      <w:r w:rsidRPr="004E4504">
        <w:rPr>
          <w:sz w:val="22"/>
          <w:szCs w:val="22"/>
        </w:rPr>
        <w:t>In addition, minutiae points, comprising ridge endings and bifurcations, are extracted using a thinning-based algorithm and encoded as a set of triplets [28], [29]. The encoded representation is used as the fingerprint feature vector during fusion.</w:t>
      </w:r>
    </w:p>
    <w:p w14:paraId="3270EE9A" w14:textId="77777777" w:rsidR="00196287" w:rsidRPr="004E4504" w:rsidRDefault="00196287">
      <w:pPr>
        <w:spacing w:after="100" w:line="276" w:lineRule="auto"/>
        <w:ind w:firstLine="360"/>
        <w:jc w:val="both"/>
        <w:rPr>
          <w:sz w:val="22"/>
          <w:szCs w:val="22"/>
        </w:rPr>
      </w:pPr>
    </w:p>
    <w:p w14:paraId="317E6AC1" w14:textId="77777777" w:rsidR="00196287" w:rsidRPr="004E4504" w:rsidRDefault="00000000">
      <w:pPr>
        <w:spacing w:before="140" w:after="80"/>
        <w:jc w:val="both"/>
        <w:rPr>
          <w:sz w:val="22"/>
          <w:szCs w:val="22"/>
        </w:rPr>
      </w:pPr>
      <w:r w:rsidRPr="004E4504">
        <w:rPr>
          <w:b/>
          <w:bCs/>
          <w:i/>
          <w:iCs/>
          <w:sz w:val="22"/>
          <w:szCs w:val="22"/>
        </w:rPr>
        <w:t>D. Liveness Detection</w:t>
      </w:r>
    </w:p>
    <w:p w14:paraId="59D24A0D" w14:textId="77777777" w:rsidR="00196287" w:rsidRPr="004E4504" w:rsidRDefault="00000000">
      <w:pPr>
        <w:spacing w:after="100" w:line="276" w:lineRule="auto"/>
        <w:ind w:firstLine="360"/>
        <w:jc w:val="both"/>
        <w:rPr>
          <w:sz w:val="22"/>
          <w:szCs w:val="22"/>
        </w:rPr>
      </w:pPr>
      <w:r w:rsidRPr="004E4504">
        <w:rPr>
          <w:sz w:val="22"/>
          <w:szCs w:val="22"/>
        </w:rPr>
        <w:t>The facial-liveness detector is a lightweight MobileNetV2 network [26] trained using binary cross-entropy (BCE) to classify face crops as live or spoofed by analysing depth and texture cues. An rPPG module computes the regularity of the pulse signal from a five-second video sequence, with an FFT peak in the 0.75–3.5 Hz band. A face is considered live when the CNN classifier score exceeds 0.85 and the rPPG pulse is physiologically plausible [19].</w:t>
      </w:r>
    </w:p>
    <w:p w14:paraId="736FA9B0" w14:textId="77777777" w:rsidR="00196287" w:rsidRPr="004E4504" w:rsidRDefault="00000000">
      <w:pPr>
        <w:spacing w:after="100" w:line="276" w:lineRule="auto"/>
        <w:ind w:firstLine="360"/>
        <w:jc w:val="both"/>
        <w:rPr>
          <w:sz w:val="22"/>
          <w:szCs w:val="22"/>
        </w:rPr>
      </w:pPr>
      <w:r w:rsidRPr="004E4504">
        <w:rPr>
          <w:sz w:val="22"/>
          <w:szCs w:val="22"/>
        </w:rPr>
        <w:t>Fingerprint liveness is assessed through perspiration analysis by characterising pore moisture within a 500 ms window using a temporal-gradient threshold tuned on the BMBD dataset. In addition, a ResNet-18 model trained on LivDet-2021 provides a software-based spoof-classification score for quality gating [20], [25].</w:t>
      </w:r>
    </w:p>
    <w:p w14:paraId="1DCDC465" w14:textId="77777777" w:rsidR="00196287" w:rsidRPr="004E4504" w:rsidRDefault="00196287">
      <w:pPr>
        <w:spacing w:after="100" w:line="276" w:lineRule="auto"/>
        <w:ind w:firstLine="360"/>
        <w:jc w:val="both"/>
        <w:rPr>
          <w:sz w:val="22"/>
          <w:szCs w:val="22"/>
        </w:rPr>
      </w:pPr>
    </w:p>
    <w:p w14:paraId="79F4091D" w14:textId="77777777" w:rsidR="00196287" w:rsidRPr="004E4504" w:rsidRDefault="00000000">
      <w:pPr>
        <w:spacing w:before="140" w:after="80"/>
        <w:jc w:val="both"/>
        <w:rPr>
          <w:sz w:val="22"/>
          <w:szCs w:val="22"/>
        </w:rPr>
      </w:pPr>
      <w:r w:rsidRPr="004E4504">
        <w:rPr>
          <w:b/>
          <w:bCs/>
          <w:i/>
          <w:iCs/>
          <w:sz w:val="22"/>
          <w:szCs w:val="22"/>
        </w:rPr>
        <w:t>E. ANN Fusion Architecture</w:t>
      </w:r>
    </w:p>
    <w:p w14:paraId="220EA71B" w14:textId="77777777" w:rsidR="00196287" w:rsidRPr="004E4504" w:rsidRDefault="00000000">
      <w:pPr>
        <w:spacing w:after="100" w:line="276" w:lineRule="auto"/>
        <w:ind w:firstLine="360"/>
        <w:jc w:val="both"/>
        <w:rPr>
          <w:sz w:val="22"/>
          <w:szCs w:val="22"/>
        </w:rPr>
      </w:pPr>
      <w:r w:rsidRPr="004E4504">
        <w:rPr>
          <w:sz w:val="22"/>
          <w:szCs w:val="22"/>
        </w:rPr>
        <w:t>The core fusion network receives the concatenated feature vector as input and processes it through a five-layer MLP:</w:t>
      </w:r>
    </w:p>
    <w:p w14:paraId="272D7D2B" w14:textId="77777777" w:rsidR="00196287" w:rsidRPr="004E4504" w:rsidRDefault="00000000">
      <w:pPr>
        <w:spacing w:after="60" w:line="276" w:lineRule="auto"/>
        <w:ind w:left="480" w:hanging="360"/>
        <w:jc w:val="both"/>
        <w:rPr>
          <w:sz w:val="22"/>
          <w:szCs w:val="22"/>
        </w:rPr>
      </w:pPr>
      <w:r w:rsidRPr="004E4504">
        <w:rPr>
          <w:sz w:val="22"/>
          <w:szCs w:val="22"/>
        </w:rPr>
        <w:t xml:space="preserve">Layer 1: 768 → 512, ReLU, BatchNorm, </w:t>
      </w:r>
      <w:proofErr w:type="gramStart"/>
      <w:r w:rsidRPr="004E4504">
        <w:rPr>
          <w:sz w:val="22"/>
          <w:szCs w:val="22"/>
        </w:rPr>
        <w:t>Dropout(</w:t>
      </w:r>
      <w:proofErr w:type="gramEnd"/>
      <w:r w:rsidRPr="004E4504">
        <w:rPr>
          <w:sz w:val="22"/>
          <w:szCs w:val="22"/>
        </w:rPr>
        <w:t>0.3)</w:t>
      </w:r>
    </w:p>
    <w:p w14:paraId="1727A39B" w14:textId="77777777" w:rsidR="00196287" w:rsidRPr="004E4504" w:rsidRDefault="00000000">
      <w:pPr>
        <w:spacing w:after="60" w:line="276" w:lineRule="auto"/>
        <w:ind w:left="480" w:hanging="360"/>
        <w:jc w:val="both"/>
        <w:rPr>
          <w:sz w:val="22"/>
          <w:szCs w:val="22"/>
        </w:rPr>
      </w:pPr>
      <w:r w:rsidRPr="004E4504">
        <w:rPr>
          <w:sz w:val="22"/>
          <w:szCs w:val="22"/>
        </w:rPr>
        <w:t xml:space="preserve">Layer 2: 512 → 256, ReLU, BatchNorm, </w:t>
      </w:r>
      <w:proofErr w:type="gramStart"/>
      <w:r w:rsidRPr="004E4504">
        <w:rPr>
          <w:sz w:val="22"/>
          <w:szCs w:val="22"/>
        </w:rPr>
        <w:t>Dropout(</w:t>
      </w:r>
      <w:proofErr w:type="gramEnd"/>
      <w:r w:rsidRPr="004E4504">
        <w:rPr>
          <w:sz w:val="22"/>
          <w:szCs w:val="22"/>
        </w:rPr>
        <w:t>0.3)</w:t>
      </w:r>
    </w:p>
    <w:p w14:paraId="66BC21A3" w14:textId="77777777" w:rsidR="00196287" w:rsidRPr="004E4504" w:rsidRDefault="00000000">
      <w:pPr>
        <w:spacing w:after="60" w:line="276" w:lineRule="auto"/>
        <w:ind w:left="480" w:hanging="360"/>
        <w:jc w:val="both"/>
        <w:rPr>
          <w:sz w:val="22"/>
          <w:szCs w:val="22"/>
        </w:rPr>
      </w:pPr>
      <w:r w:rsidRPr="004E4504">
        <w:rPr>
          <w:sz w:val="22"/>
          <w:szCs w:val="22"/>
        </w:rPr>
        <w:t>Layer 3: 256 → 128, ReLU, BatchNorm</w:t>
      </w:r>
    </w:p>
    <w:p w14:paraId="5A634A1F" w14:textId="77777777" w:rsidR="00196287" w:rsidRPr="004E4504" w:rsidRDefault="00000000">
      <w:pPr>
        <w:spacing w:after="60" w:line="276" w:lineRule="auto"/>
        <w:ind w:left="480" w:hanging="360"/>
        <w:jc w:val="both"/>
        <w:rPr>
          <w:sz w:val="22"/>
          <w:szCs w:val="22"/>
        </w:rPr>
      </w:pPr>
      <w:r w:rsidRPr="004E4504">
        <w:rPr>
          <w:sz w:val="22"/>
          <w:szCs w:val="22"/>
        </w:rPr>
        <w:t>Layer 4: 128 → 64, ReLU</w:t>
      </w:r>
    </w:p>
    <w:p w14:paraId="2E1F7449" w14:textId="77777777" w:rsidR="00196287" w:rsidRPr="004E4504" w:rsidRDefault="00000000">
      <w:pPr>
        <w:spacing w:after="120" w:line="276" w:lineRule="auto"/>
        <w:ind w:left="480" w:hanging="360"/>
        <w:jc w:val="both"/>
        <w:rPr>
          <w:sz w:val="22"/>
          <w:szCs w:val="22"/>
        </w:rPr>
      </w:pPr>
      <w:r w:rsidRPr="004E4504">
        <w:rPr>
          <w:sz w:val="22"/>
          <w:szCs w:val="22"/>
        </w:rPr>
        <w:t>Layer 5 (Output): 64 → 2, Softmax</w:t>
      </w:r>
    </w:p>
    <w:p w14:paraId="07BCD303" w14:textId="77777777" w:rsidR="00196287" w:rsidRPr="004E4504" w:rsidRDefault="00000000">
      <w:pPr>
        <w:spacing w:after="100" w:line="276" w:lineRule="auto"/>
        <w:ind w:firstLine="360"/>
        <w:jc w:val="both"/>
        <w:rPr>
          <w:sz w:val="22"/>
          <w:szCs w:val="22"/>
        </w:rPr>
      </w:pPr>
      <w:r w:rsidRPr="004E4504">
        <w:rPr>
          <w:sz w:val="22"/>
          <w:szCs w:val="22"/>
        </w:rPr>
        <w:t>The network is trained end-to-end using the Adam optimiser (β</w:t>
      </w:r>
      <w:r w:rsidRPr="004E4504">
        <w:rPr>
          <w:sz w:val="22"/>
          <w:szCs w:val="22"/>
          <w:vertAlign w:val="subscript"/>
        </w:rPr>
        <w:t>1</w:t>
      </w:r>
      <w:r w:rsidRPr="004E4504">
        <w:rPr>
          <w:sz w:val="22"/>
          <w:szCs w:val="22"/>
        </w:rPr>
        <w:t>​=0.9, β</w:t>
      </w:r>
      <w:r w:rsidRPr="004E4504">
        <w:rPr>
          <w:sz w:val="22"/>
          <w:szCs w:val="22"/>
          <w:vertAlign w:val="subscript"/>
        </w:rPr>
        <w:t>2</w:t>
      </w:r>
      <w:r w:rsidRPr="004E4504">
        <w:rPr>
          <w:sz w:val="22"/>
          <w:szCs w:val="22"/>
        </w:rPr>
        <w:t>​=0.999) with an initial learning rate of 1×10</w:t>
      </w:r>
      <w:r w:rsidRPr="004E4504">
        <w:rPr>
          <w:sz w:val="22"/>
          <w:szCs w:val="22"/>
          <w:vertAlign w:val="superscript"/>
        </w:rPr>
        <w:t>{-4}</w:t>
      </w:r>
      <w:r w:rsidRPr="004E4504">
        <w:rPr>
          <w:sz w:val="22"/>
          <w:szCs w:val="22"/>
        </w:rPr>
        <w:t xml:space="preserve"> decayed by cosine annealing. The combined loss function is:</w:t>
      </w:r>
    </w:p>
    <w:p w14:paraId="71F7E04C" w14:textId="77777777" w:rsidR="00196287" w:rsidRPr="004E4504" w:rsidRDefault="00000000">
      <w:pPr>
        <w:spacing w:before="60" w:after="60"/>
        <w:jc w:val="both"/>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total</m:t>
            </m:r>
          </m:sub>
        </m:sSub>
        <m:r>
          <w:rPr>
            <w:rFonts w:ascii="Cambria Math" w:hAnsi="Cambria Math"/>
            <w:sz w:val="22"/>
            <w:szCs w:val="22"/>
          </w:rPr>
          <m:t>=</m:t>
        </m:r>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CE</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λ</m:t>
            </m:r>
          </m:e>
          <m:sub>
            <m:r>
              <w:rPr>
                <w:rFonts w:ascii="Cambria Math" w:hAnsi="Cambria Math"/>
                <w:sz w:val="22"/>
                <w:szCs w:val="22"/>
              </w:rPr>
              <m:t>1</m:t>
            </m:r>
          </m:sub>
        </m:sSub>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triplet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λ</m:t>
            </m:r>
          </m:e>
          <m:sub>
            <m:r>
              <w:rPr>
                <w:rFonts w:ascii="Cambria Math" w:hAnsi="Cambria Math"/>
                <w:sz w:val="22"/>
                <w:szCs w:val="22"/>
              </w:rPr>
              <m:t>2</m:t>
            </m:r>
          </m:sub>
        </m:sSub>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center</m:t>
            </m:r>
          </m:sub>
        </m:sSub>
      </m:oMath>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r>
      <w:r w:rsidRPr="004E4504">
        <w:rPr>
          <w:sz w:val="22"/>
          <w:szCs w:val="22"/>
        </w:rPr>
        <w:tab/>
        <w:t xml:space="preserve"> (3)</w:t>
      </w:r>
    </w:p>
    <w:p w14:paraId="4D64A504" w14:textId="77777777" w:rsidR="00196287" w:rsidRPr="004E4504" w:rsidRDefault="00000000">
      <w:pPr>
        <w:spacing w:after="100" w:line="276" w:lineRule="auto"/>
        <w:ind w:firstLine="360"/>
        <w:jc w:val="both"/>
        <w:rPr>
          <w:sz w:val="22"/>
          <w:szCs w:val="22"/>
        </w:rPr>
      </w:pPr>
      <w:r w:rsidRPr="004E4504">
        <w:rPr>
          <w:sz w:val="22"/>
          <w:szCs w:val="22"/>
        </w:rPr>
        <w:t>where L</w:t>
      </w:r>
      <w:r w:rsidRPr="004E4504">
        <w:rPr>
          <w:sz w:val="22"/>
          <w:szCs w:val="22"/>
          <w:vertAlign w:val="subscript"/>
        </w:rPr>
        <w:t>CE</w:t>
      </w:r>
      <w:r w:rsidRPr="004E4504">
        <w:rPr>
          <w:sz w:val="22"/>
          <w:szCs w:val="22"/>
        </w:rPr>
        <w:t xml:space="preserve"> is the cross-entropy loss, L</w:t>
      </w:r>
      <w:r w:rsidRPr="004E4504">
        <w:rPr>
          <w:sz w:val="22"/>
          <w:szCs w:val="22"/>
          <w:vertAlign w:val="subscript"/>
        </w:rPr>
        <w:t>triplet</w:t>
      </w:r>
      <w:r w:rsidRPr="004E4504">
        <w:rPr>
          <w:sz w:val="22"/>
          <w:szCs w:val="22"/>
        </w:rPr>
        <w:t xml:space="preserve"> enforces embedding separation between genuine and impostor pairs, and L</w:t>
      </w:r>
      <w:r w:rsidRPr="004E4504">
        <w:rPr>
          <w:sz w:val="22"/>
          <w:szCs w:val="22"/>
          <w:vertAlign w:val="subscript"/>
        </w:rPr>
        <w:t>center</w:t>
      </w:r>
      <w:r w:rsidRPr="004E4504">
        <w:rPr>
          <w:sz w:val="22"/>
          <w:szCs w:val="22"/>
        </w:rPr>
        <w:t xml:space="preserve"> minimises intra-class variance. Hyperparameters λ</w:t>
      </w:r>
      <w:r w:rsidRPr="004E4504">
        <w:rPr>
          <w:sz w:val="22"/>
          <w:szCs w:val="22"/>
          <w:vertAlign w:val="subscript"/>
        </w:rPr>
        <w:t>1</w:t>
      </w:r>
      <w:r w:rsidRPr="004E4504">
        <w:rPr>
          <w:sz w:val="22"/>
          <w:szCs w:val="22"/>
        </w:rPr>
        <w:t xml:space="preserve"> = 0.4 and λ</w:t>
      </w:r>
      <w:r w:rsidRPr="004E4504">
        <w:rPr>
          <w:sz w:val="22"/>
          <w:szCs w:val="22"/>
          <w:vertAlign w:val="subscript"/>
        </w:rPr>
        <w:t>2</w:t>
      </w:r>
      <w:r w:rsidRPr="004E4504">
        <w:rPr>
          <w:sz w:val="22"/>
          <w:szCs w:val="22"/>
        </w:rPr>
        <w:t xml:space="preserve"> = 0.1 were selected via Bayesian optimisation on the validation set.</w:t>
      </w:r>
    </w:p>
    <w:p w14:paraId="291B6964" w14:textId="77777777" w:rsidR="00196287" w:rsidRPr="004E4504" w:rsidRDefault="00196287">
      <w:pPr>
        <w:spacing w:after="100" w:line="276" w:lineRule="auto"/>
        <w:ind w:firstLine="360"/>
        <w:jc w:val="both"/>
        <w:rPr>
          <w:sz w:val="22"/>
          <w:szCs w:val="22"/>
        </w:rPr>
      </w:pPr>
    </w:p>
    <w:p w14:paraId="1BA6DA20" w14:textId="77777777" w:rsidR="00196287" w:rsidRPr="004E4504" w:rsidRDefault="00000000">
      <w:pPr>
        <w:spacing w:before="140" w:after="80"/>
        <w:jc w:val="both"/>
        <w:rPr>
          <w:sz w:val="22"/>
          <w:szCs w:val="22"/>
        </w:rPr>
      </w:pPr>
      <w:r w:rsidRPr="004E4504">
        <w:rPr>
          <w:b/>
          <w:bCs/>
          <w:i/>
          <w:iCs/>
          <w:sz w:val="22"/>
          <w:szCs w:val="22"/>
        </w:rPr>
        <w:t>F. Adaptive Decision Module</w:t>
      </w:r>
    </w:p>
    <w:p w14:paraId="6B0ACB53" w14:textId="77777777" w:rsidR="00196287" w:rsidRPr="004E4504" w:rsidRDefault="00000000">
      <w:pPr>
        <w:spacing w:after="100" w:line="276" w:lineRule="auto"/>
        <w:ind w:firstLine="360"/>
        <w:jc w:val="both"/>
        <w:rPr>
          <w:sz w:val="22"/>
          <w:szCs w:val="22"/>
        </w:rPr>
      </w:pPr>
      <w:r w:rsidRPr="004E4504">
        <w:rPr>
          <w:sz w:val="22"/>
          <w:szCs w:val="22"/>
        </w:rPr>
        <w:t>The Softmax output probability, pgenuine, is compared with an adaptive threshold, τ, derived from the operational security requirement. In high-security mode (τ = 0.95), the system attempts to minimise the FAR, whereas convenience mode (τ = 0.70) is intended to minimise the FRR. Liveness-detection quality scores are used to modulate τ dynamically. When either modality-quality score is below 0.60, the system requests recapture rather than making a decision, thereby preventing low-quality samples from increasing error rates [21].</w:t>
      </w:r>
    </w:p>
    <w:p w14:paraId="182716DB" w14:textId="77777777" w:rsidR="00196287" w:rsidRPr="004E4504" w:rsidRDefault="00196287">
      <w:pPr>
        <w:spacing w:after="60"/>
        <w:jc w:val="both"/>
        <w:rPr>
          <w:sz w:val="22"/>
          <w:szCs w:val="22"/>
        </w:rPr>
      </w:pPr>
    </w:p>
    <w:p w14:paraId="2EA49205" w14:textId="77777777" w:rsidR="00196287" w:rsidRPr="004E4504" w:rsidRDefault="00000000">
      <w:pPr>
        <w:spacing w:before="200" w:after="100"/>
        <w:jc w:val="both"/>
        <w:rPr>
          <w:sz w:val="22"/>
          <w:szCs w:val="22"/>
        </w:rPr>
      </w:pPr>
      <w:r w:rsidRPr="004E4504">
        <w:rPr>
          <w:b/>
          <w:bCs/>
          <w:sz w:val="22"/>
          <w:szCs w:val="22"/>
        </w:rPr>
        <w:lastRenderedPageBreak/>
        <w:t>V. EXPERIMENTAL SETUP</w:t>
      </w:r>
    </w:p>
    <w:p w14:paraId="7A82A813" w14:textId="77777777" w:rsidR="00196287" w:rsidRPr="004E4504" w:rsidRDefault="00000000">
      <w:pPr>
        <w:spacing w:before="140" w:after="80"/>
        <w:jc w:val="both"/>
        <w:rPr>
          <w:sz w:val="22"/>
          <w:szCs w:val="22"/>
        </w:rPr>
      </w:pPr>
      <w:r w:rsidRPr="004E4504">
        <w:rPr>
          <w:b/>
          <w:bCs/>
          <w:i/>
          <w:iCs/>
          <w:sz w:val="22"/>
          <w:szCs w:val="22"/>
        </w:rPr>
        <w:t>A. Datasets</w:t>
      </w:r>
    </w:p>
    <w:p w14:paraId="0176CE14" w14:textId="77777777" w:rsidR="00196287" w:rsidRPr="004E4504" w:rsidRDefault="00000000">
      <w:pPr>
        <w:spacing w:after="100" w:line="276" w:lineRule="auto"/>
        <w:ind w:firstLine="360"/>
        <w:jc w:val="both"/>
        <w:rPr>
          <w:sz w:val="22"/>
          <w:szCs w:val="22"/>
        </w:rPr>
      </w:pPr>
      <w:r w:rsidRPr="004E4504">
        <w:rPr>
          <w:sz w:val="22"/>
          <w:szCs w:val="22"/>
        </w:rPr>
        <w:t>Three datasets were used, as summarised in Table 2:</w:t>
      </w:r>
    </w:p>
    <w:p w14:paraId="45CC7B67" w14:textId="77777777" w:rsidR="00196287" w:rsidRPr="004E4504" w:rsidRDefault="00000000" w:rsidP="00C21B96">
      <w:pPr>
        <w:spacing w:before="40" w:after="40"/>
        <w:jc w:val="both"/>
        <w:rPr>
          <w:b/>
          <w:bCs/>
          <w:sz w:val="22"/>
          <w:szCs w:val="22"/>
          <w:lang w:val="en-GB"/>
        </w:rPr>
      </w:pPr>
      <w:r w:rsidRPr="004E4504">
        <w:rPr>
          <w:b/>
          <w:bCs/>
          <w:sz w:val="22"/>
          <w:szCs w:val="22"/>
        </w:rPr>
        <w:t xml:space="preserve">TABLE </w:t>
      </w:r>
      <w:r w:rsidR="002B2F0B" w:rsidRPr="004E4504">
        <w:rPr>
          <w:b/>
          <w:bCs/>
          <w:sz w:val="22"/>
          <w:szCs w:val="22"/>
          <w:lang w:val="en-GB"/>
        </w:rPr>
        <w:t>2</w:t>
      </w:r>
      <w:r w:rsidR="00C21B96" w:rsidRPr="004E4504">
        <w:rPr>
          <w:b/>
          <w:bCs/>
          <w:sz w:val="22"/>
          <w:szCs w:val="22"/>
          <w:lang w:val="en-GB"/>
        </w:rPr>
        <w:t xml:space="preserve">: </w:t>
      </w:r>
      <w:r w:rsidRPr="004E4504">
        <w:rPr>
          <w:sz w:val="22"/>
          <w:szCs w:val="22"/>
        </w:rPr>
        <w:t>Datasets Used for Evaluation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000"/>
        <w:gridCol w:w="2000"/>
        <w:gridCol w:w="2800"/>
      </w:tblGrid>
      <w:tr w:rsidR="00196287" w:rsidRPr="004E4504" w14:paraId="00C77E96" w14:textId="77777777">
        <w:trPr>
          <w:tblHeader/>
        </w:trPr>
        <w:tc>
          <w:tcPr>
            <w:tcW w:w="24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50A709B7" w14:textId="77777777" w:rsidR="00196287" w:rsidRPr="004E4504" w:rsidRDefault="00000000">
            <w:pPr>
              <w:jc w:val="both"/>
              <w:rPr>
                <w:sz w:val="22"/>
                <w:szCs w:val="22"/>
              </w:rPr>
            </w:pPr>
            <w:r w:rsidRPr="004E4504">
              <w:rPr>
                <w:b/>
                <w:bCs/>
                <w:sz w:val="22"/>
                <w:szCs w:val="22"/>
              </w:rPr>
              <w:t>Dataset</w:t>
            </w:r>
          </w:p>
        </w:tc>
        <w:tc>
          <w:tcPr>
            <w:tcW w:w="20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332C9AFB" w14:textId="77777777" w:rsidR="00196287" w:rsidRPr="004E4504" w:rsidRDefault="00000000">
            <w:pPr>
              <w:jc w:val="both"/>
              <w:rPr>
                <w:sz w:val="22"/>
                <w:szCs w:val="22"/>
              </w:rPr>
            </w:pPr>
            <w:r w:rsidRPr="004E4504">
              <w:rPr>
                <w:b/>
                <w:bCs/>
                <w:sz w:val="22"/>
                <w:szCs w:val="22"/>
              </w:rPr>
              <w:t>Modality</w:t>
            </w:r>
          </w:p>
        </w:tc>
        <w:tc>
          <w:tcPr>
            <w:tcW w:w="20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51425F6E" w14:textId="77777777" w:rsidR="00196287" w:rsidRPr="004E4504" w:rsidRDefault="00000000">
            <w:pPr>
              <w:jc w:val="both"/>
              <w:rPr>
                <w:sz w:val="22"/>
                <w:szCs w:val="22"/>
              </w:rPr>
            </w:pPr>
            <w:r w:rsidRPr="004E4504">
              <w:rPr>
                <w:b/>
                <w:bCs/>
                <w:sz w:val="22"/>
                <w:szCs w:val="22"/>
              </w:rPr>
              <w:t>Subjects</w:t>
            </w:r>
          </w:p>
        </w:tc>
        <w:tc>
          <w:tcPr>
            <w:tcW w:w="28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7A53ED67" w14:textId="77777777" w:rsidR="00196287" w:rsidRPr="004E4504" w:rsidRDefault="00000000">
            <w:pPr>
              <w:jc w:val="both"/>
              <w:rPr>
                <w:sz w:val="22"/>
                <w:szCs w:val="22"/>
              </w:rPr>
            </w:pPr>
            <w:r w:rsidRPr="004E4504">
              <w:rPr>
                <w:b/>
                <w:bCs/>
                <w:sz w:val="22"/>
                <w:szCs w:val="22"/>
              </w:rPr>
              <w:t>Samples</w:t>
            </w:r>
          </w:p>
        </w:tc>
      </w:tr>
      <w:tr w:rsidR="00196287" w:rsidRPr="004E4504" w14:paraId="16CAB70E"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04FDED8" w14:textId="77777777" w:rsidR="00196287" w:rsidRPr="004E4504" w:rsidRDefault="00000000">
            <w:pPr>
              <w:jc w:val="both"/>
              <w:rPr>
                <w:sz w:val="22"/>
                <w:szCs w:val="22"/>
              </w:rPr>
            </w:pPr>
            <w:r w:rsidRPr="004E4504">
              <w:rPr>
                <w:sz w:val="22"/>
                <w:szCs w:val="22"/>
              </w:rPr>
              <w:t>LFW</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324A73D" w14:textId="77777777" w:rsidR="00196287" w:rsidRPr="004E4504" w:rsidRDefault="00000000">
            <w:pPr>
              <w:jc w:val="both"/>
              <w:rPr>
                <w:sz w:val="22"/>
                <w:szCs w:val="22"/>
              </w:rPr>
            </w:pPr>
            <w:r w:rsidRPr="004E4504">
              <w:rPr>
                <w:sz w:val="22"/>
                <w:szCs w:val="22"/>
              </w:rPr>
              <w:t>Face</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03098EE" w14:textId="77777777" w:rsidR="00196287" w:rsidRPr="004E4504" w:rsidRDefault="00000000">
            <w:pPr>
              <w:jc w:val="both"/>
              <w:rPr>
                <w:sz w:val="22"/>
                <w:szCs w:val="22"/>
              </w:rPr>
            </w:pPr>
            <w:r w:rsidRPr="004E4504">
              <w:rPr>
                <w:sz w:val="22"/>
                <w:szCs w:val="22"/>
              </w:rPr>
              <w:t>5,749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3678E4B" w14:textId="77777777" w:rsidR="00196287" w:rsidRPr="004E4504" w:rsidRDefault="00000000">
            <w:pPr>
              <w:jc w:val="both"/>
              <w:rPr>
                <w:sz w:val="22"/>
                <w:szCs w:val="22"/>
              </w:rPr>
            </w:pPr>
            <w:r w:rsidRPr="004E4504">
              <w:rPr>
                <w:sz w:val="22"/>
                <w:szCs w:val="22"/>
              </w:rPr>
              <w:t>13,233 images</w:t>
            </w:r>
          </w:p>
        </w:tc>
      </w:tr>
      <w:tr w:rsidR="00196287" w:rsidRPr="004E4504" w14:paraId="7B5D778E"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9DD53D9" w14:textId="77777777" w:rsidR="00196287" w:rsidRPr="004E4504" w:rsidRDefault="00000000">
            <w:pPr>
              <w:jc w:val="both"/>
              <w:rPr>
                <w:sz w:val="22"/>
                <w:szCs w:val="22"/>
              </w:rPr>
            </w:pPr>
            <w:r w:rsidRPr="004E4504">
              <w:rPr>
                <w:sz w:val="22"/>
                <w:szCs w:val="22"/>
              </w:rPr>
              <w:t>FVC2006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AE69BC7" w14:textId="77777777" w:rsidR="00196287" w:rsidRPr="004E4504" w:rsidRDefault="00000000">
            <w:pPr>
              <w:jc w:val="both"/>
              <w:rPr>
                <w:sz w:val="22"/>
                <w:szCs w:val="22"/>
              </w:rPr>
            </w:pPr>
            <w:r w:rsidRPr="004E4504">
              <w:rPr>
                <w:sz w:val="22"/>
                <w:szCs w:val="22"/>
              </w:rPr>
              <w:t>Fingerprint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BF2E328" w14:textId="77777777" w:rsidR="00196287" w:rsidRPr="004E4504" w:rsidRDefault="00000000">
            <w:pPr>
              <w:jc w:val="both"/>
              <w:rPr>
                <w:sz w:val="22"/>
                <w:szCs w:val="22"/>
              </w:rPr>
            </w:pPr>
            <w:r w:rsidRPr="004E4504">
              <w:rPr>
                <w:sz w:val="22"/>
                <w:szCs w:val="22"/>
              </w:rPr>
              <w:t>150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0014268" w14:textId="77777777" w:rsidR="00196287" w:rsidRPr="004E4504" w:rsidRDefault="00000000">
            <w:pPr>
              <w:jc w:val="both"/>
              <w:rPr>
                <w:sz w:val="22"/>
                <w:szCs w:val="22"/>
              </w:rPr>
            </w:pPr>
            <w:r w:rsidRPr="004E4504">
              <w:rPr>
                <w:sz w:val="22"/>
                <w:szCs w:val="22"/>
              </w:rPr>
              <w:t>1,800 scans</w:t>
            </w:r>
          </w:p>
        </w:tc>
      </w:tr>
      <w:tr w:rsidR="00196287" w:rsidRPr="004E4504" w14:paraId="79B3455F"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BC07274" w14:textId="77777777" w:rsidR="00196287" w:rsidRPr="004E4504" w:rsidRDefault="00000000">
            <w:pPr>
              <w:jc w:val="both"/>
              <w:rPr>
                <w:sz w:val="22"/>
                <w:szCs w:val="22"/>
              </w:rPr>
            </w:pPr>
            <w:r w:rsidRPr="004E4504">
              <w:rPr>
                <w:sz w:val="22"/>
                <w:szCs w:val="22"/>
              </w:rPr>
              <w:t>BMBD (custom)</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0F3AD53" w14:textId="77777777" w:rsidR="00196287" w:rsidRPr="004E4504" w:rsidRDefault="00000000">
            <w:pPr>
              <w:jc w:val="both"/>
              <w:rPr>
                <w:sz w:val="22"/>
                <w:szCs w:val="22"/>
              </w:rPr>
            </w:pPr>
            <w:r w:rsidRPr="004E4504">
              <w:rPr>
                <w:sz w:val="22"/>
                <w:szCs w:val="22"/>
              </w:rPr>
              <w:t>Face + Fingerprint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F4D132F" w14:textId="77777777" w:rsidR="00196287" w:rsidRPr="004E4504" w:rsidRDefault="00000000">
            <w:pPr>
              <w:jc w:val="both"/>
              <w:rPr>
                <w:sz w:val="22"/>
                <w:szCs w:val="22"/>
              </w:rPr>
            </w:pPr>
            <w:r w:rsidRPr="004E4504">
              <w:rPr>
                <w:sz w:val="22"/>
                <w:szCs w:val="22"/>
              </w:rPr>
              <w:t>320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AE5B73C" w14:textId="77777777" w:rsidR="00196287" w:rsidRPr="004E4504" w:rsidRDefault="00000000">
            <w:pPr>
              <w:jc w:val="both"/>
              <w:rPr>
                <w:sz w:val="22"/>
                <w:szCs w:val="22"/>
              </w:rPr>
            </w:pPr>
            <w:r w:rsidRPr="004E4504">
              <w:rPr>
                <w:sz w:val="22"/>
                <w:szCs w:val="22"/>
              </w:rPr>
              <w:t>6,400 samples</w:t>
            </w:r>
          </w:p>
        </w:tc>
      </w:tr>
    </w:tbl>
    <w:p w14:paraId="6D793FC6" w14:textId="77777777" w:rsidR="00196287" w:rsidRPr="004E4504" w:rsidRDefault="00196287">
      <w:pPr>
        <w:spacing w:after="60"/>
        <w:jc w:val="both"/>
        <w:rPr>
          <w:sz w:val="22"/>
          <w:szCs w:val="22"/>
        </w:rPr>
      </w:pPr>
    </w:p>
    <w:p w14:paraId="5F908F48" w14:textId="77777777" w:rsidR="00196287" w:rsidRPr="004E4504" w:rsidRDefault="00000000">
      <w:pPr>
        <w:spacing w:before="140" w:after="80"/>
        <w:ind w:firstLine="720"/>
        <w:jc w:val="both"/>
        <w:rPr>
          <w:sz w:val="22"/>
          <w:szCs w:val="22"/>
        </w:rPr>
      </w:pPr>
      <w:r w:rsidRPr="004E4504">
        <w:rPr>
          <w:sz w:val="22"/>
          <w:szCs w:val="22"/>
        </w:rPr>
        <w:t>The Labeled Faces in the Wild (LFW) dataset [23] comprises 13,233 face images of 5,749 subjects collected from online news articles under unconstrained conditions. The FVC2006 (Fingerprint Verification Competition 2006) database [24] contains 150 subjects and 12 impressions of each finger captured using four sensors. The BMBD was collected in Bayelsa State, Nigeria, using a Sony IMX686-based smartphone camera for facial images (30 fps, 12 MP) and a SecuGen Hamster Pro 20 optical fingerprint sensor (500 dpi). Data were collected under varied indoor and outdoor conditions, with illumination ranging from 600 to 9000 lux, from subjects aged 18–65 years.</w:t>
      </w:r>
    </w:p>
    <w:p w14:paraId="47D59CD7" w14:textId="77777777" w:rsidR="00196287" w:rsidRPr="004E4504" w:rsidRDefault="00196287">
      <w:pPr>
        <w:spacing w:before="140" w:after="80"/>
        <w:jc w:val="both"/>
        <w:rPr>
          <w:b/>
          <w:bCs/>
          <w:i/>
          <w:iCs/>
          <w:sz w:val="22"/>
          <w:szCs w:val="22"/>
        </w:rPr>
      </w:pPr>
    </w:p>
    <w:p w14:paraId="68EEBC38" w14:textId="77777777" w:rsidR="00196287" w:rsidRPr="004E4504" w:rsidRDefault="00000000">
      <w:pPr>
        <w:spacing w:before="140" w:after="80"/>
        <w:jc w:val="both"/>
        <w:rPr>
          <w:sz w:val="22"/>
          <w:szCs w:val="22"/>
        </w:rPr>
      </w:pPr>
      <w:r w:rsidRPr="004E4504">
        <w:rPr>
          <w:b/>
          <w:bCs/>
          <w:i/>
          <w:iCs/>
          <w:sz w:val="22"/>
          <w:szCs w:val="22"/>
        </w:rPr>
        <w:t>B. Implementation Details</w:t>
      </w:r>
    </w:p>
    <w:p w14:paraId="29B7A190" w14:textId="77777777" w:rsidR="00196287" w:rsidRPr="004E4504" w:rsidRDefault="00000000">
      <w:pPr>
        <w:spacing w:before="140" w:after="80"/>
        <w:ind w:firstLine="720"/>
        <w:jc w:val="both"/>
        <w:rPr>
          <w:sz w:val="22"/>
          <w:szCs w:val="22"/>
        </w:rPr>
      </w:pPr>
      <w:r w:rsidRPr="004E4504">
        <w:rPr>
          <w:sz w:val="22"/>
          <w:szCs w:val="22"/>
        </w:rPr>
        <w:t>The facial CNN was pre-trained on MS-Celeb-1M and fine-tuned on the LFW and BMBD face subsets for 30 epochs with a batch size of 64. The autoencoder was pre-trained on the FVC2006 and BMBD fingerprint subsets. The MLP fusion network was trained on paired BMBD samples using an 80/10/10 training/validation/test split, with no subject overlap across the subsets. Data augmentation involved random horizontal flipping, Gaussian-noise injection (σ = 0.02), and brightness jitter (±15%) for facial images, as well as rotation (±15°) and partial-occlusion masking for fingerprints. All models were implemented in PyTorch 2.1.0 using CUDA 12.2. Embedded-hardware testing was conducted with ONNX Runtime on a Raspberry Pi 5 (ARM Cortex-A76, 8 GB RAM).</w:t>
      </w:r>
    </w:p>
    <w:p w14:paraId="04BDD666" w14:textId="77777777" w:rsidR="00196287" w:rsidRPr="004E4504" w:rsidRDefault="00196287">
      <w:pPr>
        <w:spacing w:before="140" w:after="80"/>
        <w:jc w:val="both"/>
        <w:rPr>
          <w:b/>
          <w:bCs/>
          <w:i/>
          <w:iCs/>
          <w:sz w:val="22"/>
          <w:szCs w:val="22"/>
        </w:rPr>
      </w:pPr>
    </w:p>
    <w:p w14:paraId="01D6CCAB" w14:textId="77777777" w:rsidR="00196287" w:rsidRPr="004E4504" w:rsidRDefault="00000000">
      <w:pPr>
        <w:spacing w:before="140" w:after="80"/>
        <w:jc w:val="both"/>
        <w:rPr>
          <w:sz w:val="22"/>
          <w:szCs w:val="22"/>
        </w:rPr>
      </w:pPr>
      <w:r w:rsidRPr="004E4504">
        <w:rPr>
          <w:b/>
          <w:bCs/>
          <w:i/>
          <w:iCs/>
          <w:sz w:val="22"/>
          <w:szCs w:val="22"/>
        </w:rPr>
        <w:t>C. Evaluation Metrics</w:t>
      </w:r>
    </w:p>
    <w:p w14:paraId="287665C8" w14:textId="77777777" w:rsidR="00196287" w:rsidRPr="004E4504" w:rsidRDefault="00000000">
      <w:pPr>
        <w:spacing w:after="100" w:line="276" w:lineRule="auto"/>
        <w:ind w:firstLine="360"/>
        <w:jc w:val="both"/>
        <w:rPr>
          <w:sz w:val="22"/>
          <w:szCs w:val="22"/>
        </w:rPr>
      </w:pPr>
      <w:r w:rsidRPr="004E4504">
        <w:rPr>
          <w:sz w:val="22"/>
          <w:szCs w:val="22"/>
        </w:rPr>
        <w:t>Performance was evaluated using accuracy (ACC), false acceptance rate (FAR), false rejection rate (FRR), equal error rate (EER), area under the receiver operating characteristic curve (AUC), and end-to-end inference latency. The FAR and FRR were computed at the operating threshold τ = 0.90 unless otherwise stated. Statistical significance was assessed using McNemar’s test at α = 0.05.</w:t>
      </w:r>
    </w:p>
    <w:p w14:paraId="612B8332" w14:textId="77777777" w:rsidR="00196287" w:rsidRPr="004E4504" w:rsidRDefault="00196287">
      <w:pPr>
        <w:spacing w:before="200" w:after="100"/>
        <w:jc w:val="both"/>
        <w:rPr>
          <w:b/>
          <w:bCs/>
          <w:sz w:val="22"/>
          <w:szCs w:val="22"/>
        </w:rPr>
      </w:pPr>
    </w:p>
    <w:p w14:paraId="5D550854" w14:textId="77777777" w:rsidR="00196287" w:rsidRPr="004E4504" w:rsidRDefault="00000000">
      <w:pPr>
        <w:spacing w:before="200" w:after="100"/>
        <w:jc w:val="both"/>
        <w:rPr>
          <w:sz w:val="22"/>
          <w:szCs w:val="22"/>
        </w:rPr>
      </w:pPr>
      <w:r w:rsidRPr="004E4504">
        <w:rPr>
          <w:b/>
          <w:bCs/>
          <w:sz w:val="22"/>
          <w:szCs w:val="22"/>
        </w:rPr>
        <w:t>VI. RESULTS AND DISCUSSION</w:t>
      </w:r>
    </w:p>
    <w:p w14:paraId="222D5F53" w14:textId="77777777" w:rsidR="00196287" w:rsidRPr="004E4504" w:rsidRDefault="00000000">
      <w:pPr>
        <w:spacing w:before="140" w:after="80"/>
        <w:jc w:val="both"/>
        <w:rPr>
          <w:sz w:val="22"/>
          <w:szCs w:val="22"/>
        </w:rPr>
      </w:pPr>
      <w:r w:rsidRPr="004E4504">
        <w:rPr>
          <w:b/>
          <w:bCs/>
          <w:i/>
          <w:iCs/>
          <w:sz w:val="22"/>
          <w:szCs w:val="22"/>
        </w:rPr>
        <w:t>A. Overall Performance</w:t>
      </w:r>
    </w:p>
    <w:p w14:paraId="41AEC0B4" w14:textId="77777777" w:rsidR="00196287" w:rsidRPr="004E4504" w:rsidRDefault="00000000">
      <w:pPr>
        <w:spacing w:after="100" w:line="276" w:lineRule="auto"/>
        <w:ind w:firstLine="360"/>
        <w:jc w:val="both"/>
        <w:rPr>
          <w:sz w:val="22"/>
          <w:szCs w:val="22"/>
        </w:rPr>
      </w:pPr>
      <w:r w:rsidRPr="004E4504">
        <w:rPr>
          <w:sz w:val="22"/>
          <w:szCs w:val="22"/>
        </w:rPr>
        <w:t xml:space="preserve">The relative performance of the unimodal baselines and competing multimodal methods is shown in Table 3. The proposed ANN fusion system achieved a verification accuracy of 99.14%, with a FAR of 0.12%, an FRR of 0.34%, and an EER of 0.19% on the BMBD test set; these values were better than those of all compared methods. The 6.8-percentage-point accuracy gain over the best unimodal baseline (DCNN fingerprint-only: 93.47%) indicates the statistical complementarity of the two modalities. The proposed system exceeded the highest </w:t>
      </w:r>
      <w:r w:rsidRPr="004E4504">
        <w:rPr>
          <w:sz w:val="22"/>
          <w:szCs w:val="22"/>
        </w:rPr>
        <w:lastRenderedPageBreak/>
        <w:t>competing accuracy reported in Table 3 (97.21%) by 1.93 percentage points and reduced inference latency by 81 ms (36.2%), which is an important advantage for real-time embedded deployment.</w:t>
      </w:r>
    </w:p>
    <w:p w14:paraId="68239327" w14:textId="77777777" w:rsidR="00196287" w:rsidRPr="004E4504" w:rsidRDefault="00196287">
      <w:pPr>
        <w:spacing w:after="100" w:line="276" w:lineRule="auto"/>
        <w:ind w:firstLine="360"/>
        <w:jc w:val="both"/>
        <w:rPr>
          <w:sz w:val="22"/>
          <w:szCs w:val="22"/>
        </w:rPr>
      </w:pPr>
    </w:p>
    <w:p w14:paraId="37D1303C" w14:textId="77777777" w:rsidR="00196287" w:rsidRPr="004E4504" w:rsidRDefault="00000000" w:rsidP="007C5024">
      <w:pPr>
        <w:spacing w:before="40" w:after="40"/>
        <w:jc w:val="both"/>
        <w:rPr>
          <w:sz w:val="22"/>
          <w:szCs w:val="22"/>
          <w:lang w:val="en-GB"/>
        </w:rPr>
      </w:pPr>
      <w:r w:rsidRPr="004E4504">
        <w:rPr>
          <w:b/>
          <w:bCs/>
          <w:sz w:val="22"/>
          <w:szCs w:val="22"/>
        </w:rPr>
        <w:t xml:space="preserve">TABLE </w:t>
      </w:r>
      <w:r w:rsidR="00E83B4D" w:rsidRPr="004E4504">
        <w:rPr>
          <w:b/>
          <w:bCs/>
          <w:sz w:val="22"/>
          <w:szCs w:val="22"/>
        </w:rPr>
        <w:t>3</w:t>
      </w:r>
      <w:r w:rsidR="007C5024" w:rsidRPr="004E4504">
        <w:rPr>
          <w:sz w:val="22"/>
          <w:szCs w:val="22"/>
          <w:lang w:val="en-GB"/>
        </w:rPr>
        <w:t xml:space="preserve">: </w:t>
      </w:r>
      <w:r w:rsidRPr="004E4504">
        <w:rPr>
          <w:sz w:val="22"/>
          <w:szCs w:val="22"/>
        </w:rPr>
        <w:t>Performance Comparison of Biometric Authentication Methods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600"/>
        <w:gridCol w:w="1600"/>
        <w:gridCol w:w="1600"/>
        <w:gridCol w:w="1800"/>
      </w:tblGrid>
      <w:tr w:rsidR="00196287" w:rsidRPr="004E4504" w14:paraId="280CD945" w14:textId="77777777">
        <w:trPr>
          <w:tblHeader/>
        </w:trPr>
        <w:tc>
          <w:tcPr>
            <w:tcW w:w="2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6F344B4E" w14:textId="77777777" w:rsidR="00196287" w:rsidRPr="004E4504" w:rsidRDefault="00000000">
            <w:pPr>
              <w:jc w:val="both"/>
              <w:rPr>
                <w:sz w:val="22"/>
                <w:szCs w:val="22"/>
              </w:rPr>
            </w:pPr>
            <w:r w:rsidRPr="004E4504">
              <w:rPr>
                <w:b/>
                <w:bCs/>
                <w:sz w:val="22"/>
                <w:szCs w:val="22"/>
              </w:rPr>
              <w:t>Method</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4439E38D" w14:textId="77777777" w:rsidR="00196287" w:rsidRPr="004E4504" w:rsidRDefault="00000000">
            <w:pPr>
              <w:jc w:val="both"/>
              <w:rPr>
                <w:sz w:val="22"/>
                <w:szCs w:val="22"/>
              </w:rPr>
            </w:pPr>
            <w:r w:rsidRPr="004E4504">
              <w:rPr>
                <w:b/>
                <w:bCs/>
                <w:sz w:val="22"/>
                <w:szCs w:val="22"/>
              </w:rPr>
              <w:t>Accuracy (%)</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7BDB6792" w14:textId="77777777" w:rsidR="00196287" w:rsidRPr="004E4504" w:rsidRDefault="00000000">
            <w:pPr>
              <w:jc w:val="both"/>
              <w:rPr>
                <w:sz w:val="22"/>
                <w:szCs w:val="22"/>
              </w:rPr>
            </w:pPr>
            <w:r w:rsidRPr="004E4504">
              <w:rPr>
                <w:b/>
                <w:bCs/>
                <w:sz w:val="22"/>
                <w:szCs w:val="22"/>
              </w:rPr>
              <w:t>FAR (%)</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2B213397" w14:textId="77777777" w:rsidR="00196287" w:rsidRPr="004E4504" w:rsidRDefault="00000000">
            <w:pPr>
              <w:jc w:val="both"/>
              <w:rPr>
                <w:sz w:val="22"/>
                <w:szCs w:val="22"/>
              </w:rPr>
            </w:pPr>
            <w:r w:rsidRPr="004E4504">
              <w:rPr>
                <w:b/>
                <w:bCs/>
                <w:sz w:val="22"/>
                <w:szCs w:val="22"/>
              </w:rPr>
              <w:t>FRR (%)</w:t>
            </w:r>
          </w:p>
        </w:tc>
        <w:tc>
          <w:tcPr>
            <w:tcW w:w="18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33C502E5" w14:textId="77777777" w:rsidR="00196287" w:rsidRPr="004E4504" w:rsidRDefault="00000000">
            <w:pPr>
              <w:jc w:val="both"/>
              <w:rPr>
                <w:sz w:val="22"/>
                <w:szCs w:val="22"/>
              </w:rPr>
            </w:pPr>
            <w:r w:rsidRPr="004E4504">
              <w:rPr>
                <w:b/>
                <w:bCs/>
                <w:sz w:val="22"/>
                <w:szCs w:val="22"/>
              </w:rPr>
              <w:t>Latency (ms)</w:t>
            </w:r>
          </w:p>
        </w:tc>
      </w:tr>
      <w:tr w:rsidR="00196287" w:rsidRPr="004E4504" w14:paraId="709A0DC6"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FF7E9E3" w14:textId="77777777" w:rsidR="00196287" w:rsidRPr="004E4504" w:rsidRDefault="00000000">
            <w:pPr>
              <w:jc w:val="both"/>
              <w:rPr>
                <w:sz w:val="22"/>
                <w:szCs w:val="22"/>
              </w:rPr>
            </w:pPr>
            <w:r w:rsidRPr="004E4504">
              <w:rPr>
                <w:sz w:val="22"/>
                <w:szCs w:val="22"/>
              </w:rPr>
              <w:t>CNN Face-Only</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4D45752" w14:textId="77777777" w:rsidR="00196287" w:rsidRPr="004E4504" w:rsidRDefault="00000000">
            <w:pPr>
              <w:jc w:val="both"/>
              <w:rPr>
                <w:sz w:val="22"/>
                <w:szCs w:val="22"/>
              </w:rPr>
            </w:pPr>
            <w:r w:rsidRPr="004E4504">
              <w:rPr>
                <w:sz w:val="22"/>
                <w:szCs w:val="22"/>
              </w:rPr>
              <w:t>91.23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126C4EC" w14:textId="77777777" w:rsidR="00196287" w:rsidRPr="004E4504" w:rsidRDefault="00000000">
            <w:pPr>
              <w:jc w:val="both"/>
              <w:rPr>
                <w:sz w:val="22"/>
                <w:szCs w:val="22"/>
              </w:rPr>
            </w:pPr>
            <w:r w:rsidRPr="004E4504">
              <w:rPr>
                <w:sz w:val="22"/>
                <w:szCs w:val="22"/>
              </w:rPr>
              <w:t>2.81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75D6D4C" w14:textId="77777777" w:rsidR="00196287" w:rsidRPr="004E4504" w:rsidRDefault="00000000">
            <w:pPr>
              <w:jc w:val="both"/>
              <w:rPr>
                <w:sz w:val="22"/>
                <w:szCs w:val="22"/>
              </w:rPr>
            </w:pPr>
            <w:r w:rsidRPr="004E4504">
              <w:rPr>
                <w:sz w:val="22"/>
                <w:szCs w:val="22"/>
              </w:rPr>
              <w:t>5.94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636D51A" w14:textId="77777777" w:rsidR="00196287" w:rsidRPr="004E4504" w:rsidRDefault="00000000">
            <w:pPr>
              <w:jc w:val="both"/>
              <w:rPr>
                <w:sz w:val="22"/>
                <w:szCs w:val="22"/>
              </w:rPr>
            </w:pPr>
            <w:r w:rsidRPr="004E4504">
              <w:rPr>
                <w:sz w:val="22"/>
                <w:szCs w:val="22"/>
              </w:rPr>
              <w:t>67</w:t>
            </w:r>
          </w:p>
        </w:tc>
      </w:tr>
      <w:tr w:rsidR="00196287" w:rsidRPr="004E4504" w14:paraId="1CA3F09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10F6222" w14:textId="77777777" w:rsidR="00196287" w:rsidRPr="004E4504" w:rsidRDefault="00000000">
            <w:pPr>
              <w:jc w:val="both"/>
              <w:rPr>
                <w:sz w:val="22"/>
                <w:szCs w:val="22"/>
              </w:rPr>
            </w:pPr>
            <w:r w:rsidRPr="004E4504">
              <w:rPr>
                <w:sz w:val="22"/>
                <w:szCs w:val="22"/>
              </w:rPr>
              <w:t>DCNN Fingerprint-Only</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634A046" w14:textId="77777777" w:rsidR="00196287" w:rsidRPr="004E4504" w:rsidRDefault="00000000">
            <w:pPr>
              <w:jc w:val="both"/>
              <w:rPr>
                <w:sz w:val="22"/>
                <w:szCs w:val="22"/>
              </w:rPr>
            </w:pPr>
            <w:r w:rsidRPr="004E4504">
              <w:rPr>
                <w:sz w:val="22"/>
                <w:szCs w:val="22"/>
              </w:rPr>
              <w:t>93.47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BF562D0" w14:textId="77777777" w:rsidR="00196287" w:rsidRPr="004E4504" w:rsidRDefault="00000000">
            <w:pPr>
              <w:jc w:val="both"/>
              <w:rPr>
                <w:sz w:val="22"/>
                <w:szCs w:val="22"/>
              </w:rPr>
            </w:pPr>
            <w:r w:rsidRPr="004E4504">
              <w:rPr>
                <w:sz w:val="22"/>
                <w:szCs w:val="22"/>
              </w:rPr>
              <w:t>1.97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FDCA70C" w14:textId="77777777" w:rsidR="00196287" w:rsidRPr="004E4504" w:rsidRDefault="00000000">
            <w:pPr>
              <w:jc w:val="both"/>
              <w:rPr>
                <w:sz w:val="22"/>
                <w:szCs w:val="22"/>
              </w:rPr>
            </w:pPr>
            <w:r w:rsidRPr="004E4504">
              <w:rPr>
                <w:sz w:val="22"/>
                <w:szCs w:val="22"/>
              </w:rPr>
              <w:t>4.56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F0136E5" w14:textId="77777777" w:rsidR="00196287" w:rsidRPr="004E4504" w:rsidRDefault="00000000">
            <w:pPr>
              <w:jc w:val="both"/>
              <w:rPr>
                <w:sz w:val="22"/>
                <w:szCs w:val="22"/>
              </w:rPr>
            </w:pPr>
            <w:r w:rsidRPr="004E4504">
              <w:rPr>
                <w:sz w:val="22"/>
                <w:szCs w:val="22"/>
              </w:rPr>
              <w:t>55</w:t>
            </w:r>
          </w:p>
        </w:tc>
      </w:tr>
      <w:tr w:rsidR="00196287" w:rsidRPr="004E4504" w14:paraId="7F82BE8F"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851C55E" w14:textId="77777777" w:rsidR="00196287" w:rsidRPr="004E4504" w:rsidRDefault="00000000">
            <w:pPr>
              <w:jc w:val="both"/>
              <w:rPr>
                <w:sz w:val="22"/>
                <w:szCs w:val="22"/>
              </w:rPr>
            </w:pPr>
            <w:r w:rsidRPr="004E4504">
              <w:rPr>
                <w:sz w:val="22"/>
                <w:szCs w:val="22"/>
              </w:rPr>
              <w:t>SVM Score Fusion</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40D924C" w14:textId="77777777" w:rsidR="00196287" w:rsidRPr="004E4504" w:rsidRDefault="00000000">
            <w:pPr>
              <w:jc w:val="both"/>
              <w:rPr>
                <w:sz w:val="22"/>
                <w:szCs w:val="22"/>
              </w:rPr>
            </w:pPr>
            <w:r w:rsidRPr="004E4504">
              <w:rPr>
                <w:sz w:val="22"/>
                <w:szCs w:val="22"/>
              </w:rPr>
              <w:t>95.88</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7B23DB6" w14:textId="77777777" w:rsidR="00196287" w:rsidRPr="004E4504" w:rsidRDefault="00000000">
            <w:pPr>
              <w:jc w:val="both"/>
              <w:rPr>
                <w:sz w:val="22"/>
                <w:szCs w:val="22"/>
              </w:rPr>
            </w:pPr>
            <w:r w:rsidRPr="004E4504">
              <w:rPr>
                <w:sz w:val="22"/>
                <w:szCs w:val="22"/>
              </w:rPr>
              <w:t>1.43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BF62942" w14:textId="77777777" w:rsidR="00196287" w:rsidRPr="004E4504" w:rsidRDefault="00000000">
            <w:pPr>
              <w:jc w:val="both"/>
              <w:rPr>
                <w:sz w:val="22"/>
                <w:szCs w:val="22"/>
              </w:rPr>
            </w:pPr>
            <w:r w:rsidRPr="004E4504">
              <w:rPr>
                <w:sz w:val="22"/>
                <w:szCs w:val="22"/>
              </w:rPr>
              <w:t>2.69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D99C762" w14:textId="77777777" w:rsidR="00196287" w:rsidRPr="004E4504" w:rsidRDefault="00000000">
            <w:pPr>
              <w:jc w:val="both"/>
              <w:rPr>
                <w:sz w:val="22"/>
                <w:szCs w:val="22"/>
              </w:rPr>
            </w:pPr>
            <w:r w:rsidRPr="004E4504">
              <w:rPr>
                <w:sz w:val="22"/>
                <w:szCs w:val="22"/>
              </w:rPr>
              <w:t>112</w:t>
            </w:r>
          </w:p>
        </w:tc>
      </w:tr>
      <w:tr w:rsidR="00196287" w:rsidRPr="004E4504" w14:paraId="5D0DECB2"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5D56A7C" w14:textId="77777777" w:rsidR="00196287" w:rsidRPr="004E4504" w:rsidRDefault="00000000">
            <w:pPr>
              <w:jc w:val="both"/>
              <w:rPr>
                <w:sz w:val="22"/>
                <w:szCs w:val="22"/>
              </w:rPr>
            </w:pPr>
            <w:r w:rsidRPr="004E4504">
              <w:rPr>
                <w:sz w:val="22"/>
                <w:szCs w:val="22"/>
              </w:rPr>
              <w:t>GMM Fusion [12]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762FEAB" w14:textId="77777777" w:rsidR="00196287" w:rsidRPr="004E4504" w:rsidRDefault="00000000">
            <w:pPr>
              <w:jc w:val="both"/>
              <w:rPr>
                <w:sz w:val="22"/>
                <w:szCs w:val="22"/>
              </w:rPr>
            </w:pPr>
            <w:r w:rsidRPr="004E4504">
              <w:rPr>
                <w:sz w:val="22"/>
                <w:szCs w:val="22"/>
              </w:rPr>
              <w:t>96.11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BD0EE58" w14:textId="77777777" w:rsidR="00196287" w:rsidRPr="004E4504" w:rsidRDefault="00000000">
            <w:pPr>
              <w:jc w:val="both"/>
              <w:rPr>
                <w:sz w:val="22"/>
                <w:szCs w:val="22"/>
              </w:rPr>
            </w:pPr>
            <w:r w:rsidRPr="004E4504">
              <w:rPr>
                <w:sz w:val="22"/>
                <w:szCs w:val="22"/>
              </w:rPr>
              <w:t>1.12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9546224" w14:textId="77777777" w:rsidR="00196287" w:rsidRPr="004E4504" w:rsidRDefault="00000000">
            <w:pPr>
              <w:jc w:val="both"/>
              <w:rPr>
                <w:sz w:val="22"/>
                <w:szCs w:val="22"/>
              </w:rPr>
            </w:pPr>
            <w:r w:rsidRPr="004E4504">
              <w:rPr>
                <w:sz w:val="22"/>
                <w:szCs w:val="22"/>
              </w:rPr>
              <w:t>2.34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545AD17" w14:textId="77777777" w:rsidR="00196287" w:rsidRPr="004E4504" w:rsidRDefault="00000000">
            <w:pPr>
              <w:jc w:val="both"/>
              <w:rPr>
                <w:sz w:val="22"/>
                <w:szCs w:val="22"/>
              </w:rPr>
            </w:pPr>
            <w:r w:rsidRPr="004E4504">
              <w:rPr>
                <w:sz w:val="22"/>
                <w:szCs w:val="22"/>
              </w:rPr>
              <w:t>131</w:t>
            </w:r>
          </w:p>
        </w:tc>
      </w:tr>
      <w:tr w:rsidR="00196287" w:rsidRPr="004E4504" w14:paraId="6B9B659C"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A3E6258" w14:textId="77777777" w:rsidR="00196287" w:rsidRPr="004E4504" w:rsidRDefault="00000000">
            <w:pPr>
              <w:jc w:val="both"/>
              <w:rPr>
                <w:sz w:val="22"/>
                <w:szCs w:val="22"/>
              </w:rPr>
            </w:pPr>
            <w:r w:rsidRPr="004E4504">
              <w:rPr>
                <w:sz w:val="22"/>
                <w:szCs w:val="22"/>
              </w:rPr>
              <w:t>LSTM-CNN [17]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64FC992" w14:textId="77777777" w:rsidR="00196287" w:rsidRPr="004E4504" w:rsidRDefault="00000000">
            <w:pPr>
              <w:jc w:val="both"/>
              <w:rPr>
                <w:sz w:val="22"/>
                <w:szCs w:val="22"/>
              </w:rPr>
            </w:pPr>
            <w:r w:rsidRPr="004E4504">
              <w:rPr>
                <w:sz w:val="22"/>
                <w:szCs w:val="22"/>
              </w:rPr>
              <w:t>96.85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DF4CCC3" w14:textId="77777777" w:rsidR="00196287" w:rsidRPr="004E4504" w:rsidRDefault="00000000">
            <w:pPr>
              <w:jc w:val="both"/>
              <w:rPr>
                <w:sz w:val="22"/>
                <w:szCs w:val="22"/>
              </w:rPr>
            </w:pPr>
            <w:r w:rsidRPr="004E4504">
              <w:rPr>
                <w:sz w:val="22"/>
                <w:szCs w:val="22"/>
              </w:rPr>
              <w:t>0.89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360562B" w14:textId="77777777" w:rsidR="00196287" w:rsidRPr="004E4504" w:rsidRDefault="00000000">
            <w:pPr>
              <w:jc w:val="both"/>
              <w:rPr>
                <w:sz w:val="22"/>
                <w:szCs w:val="22"/>
              </w:rPr>
            </w:pPr>
            <w:r w:rsidRPr="004E4504">
              <w:rPr>
                <w:sz w:val="22"/>
                <w:szCs w:val="22"/>
              </w:rPr>
              <w:t>1.76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1D676E2" w14:textId="77777777" w:rsidR="00196287" w:rsidRPr="004E4504" w:rsidRDefault="00000000">
            <w:pPr>
              <w:jc w:val="both"/>
              <w:rPr>
                <w:sz w:val="22"/>
                <w:szCs w:val="22"/>
              </w:rPr>
            </w:pPr>
            <w:r w:rsidRPr="004E4504">
              <w:rPr>
                <w:sz w:val="22"/>
                <w:szCs w:val="22"/>
              </w:rPr>
              <w:t>158</w:t>
            </w:r>
          </w:p>
        </w:tc>
      </w:tr>
      <w:tr w:rsidR="00196287" w:rsidRPr="004E4504" w14:paraId="75663086"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39603A3" w14:textId="77777777" w:rsidR="00196287" w:rsidRPr="004E4504" w:rsidRDefault="00000000">
            <w:pPr>
              <w:jc w:val="both"/>
              <w:rPr>
                <w:sz w:val="22"/>
                <w:szCs w:val="22"/>
              </w:rPr>
            </w:pPr>
            <w:r w:rsidRPr="004E4504">
              <w:rPr>
                <w:sz w:val="22"/>
                <w:szCs w:val="22"/>
              </w:rPr>
              <w:t>Transformer [22]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D1668B1" w14:textId="77777777" w:rsidR="00196287" w:rsidRPr="004E4504" w:rsidRDefault="00000000">
            <w:pPr>
              <w:jc w:val="both"/>
              <w:rPr>
                <w:sz w:val="22"/>
                <w:szCs w:val="22"/>
              </w:rPr>
            </w:pPr>
            <w:r w:rsidRPr="004E4504">
              <w:rPr>
                <w:sz w:val="22"/>
                <w:szCs w:val="22"/>
              </w:rPr>
              <w:t>97.21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FBB3E66" w14:textId="77777777" w:rsidR="00196287" w:rsidRPr="004E4504" w:rsidRDefault="00000000">
            <w:pPr>
              <w:jc w:val="both"/>
              <w:rPr>
                <w:sz w:val="22"/>
                <w:szCs w:val="22"/>
              </w:rPr>
            </w:pPr>
            <w:r w:rsidRPr="004E4504">
              <w:rPr>
                <w:sz w:val="22"/>
                <w:szCs w:val="22"/>
              </w:rPr>
              <w:t>0.74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D557858" w14:textId="77777777" w:rsidR="00196287" w:rsidRPr="004E4504" w:rsidRDefault="00000000">
            <w:pPr>
              <w:jc w:val="both"/>
              <w:rPr>
                <w:sz w:val="22"/>
                <w:szCs w:val="22"/>
              </w:rPr>
            </w:pPr>
            <w:r w:rsidRPr="004E4504">
              <w:rPr>
                <w:sz w:val="22"/>
                <w:szCs w:val="22"/>
              </w:rPr>
              <w:t>1.45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2F67EAA" w14:textId="77777777" w:rsidR="00196287" w:rsidRPr="004E4504" w:rsidRDefault="00000000">
            <w:pPr>
              <w:jc w:val="both"/>
              <w:rPr>
                <w:sz w:val="22"/>
                <w:szCs w:val="22"/>
              </w:rPr>
            </w:pPr>
            <w:r w:rsidRPr="004E4504">
              <w:rPr>
                <w:sz w:val="22"/>
                <w:szCs w:val="22"/>
              </w:rPr>
              <w:t>224</w:t>
            </w:r>
          </w:p>
        </w:tc>
      </w:tr>
      <w:tr w:rsidR="00196287" w:rsidRPr="004E4504" w14:paraId="4135F1EE" w14:textId="77777777">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6C606CC1" w14:textId="77777777" w:rsidR="00196287" w:rsidRPr="004E4504" w:rsidRDefault="00000000">
            <w:pPr>
              <w:jc w:val="both"/>
              <w:rPr>
                <w:sz w:val="22"/>
                <w:szCs w:val="22"/>
              </w:rPr>
            </w:pPr>
            <w:r w:rsidRPr="004E4504">
              <w:rPr>
                <w:b/>
                <w:bCs/>
                <w:sz w:val="22"/>
                <w:szCs w:val="22"/>
              </w:rPr>
              <w:t>Proposed ANN Fusion</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4A390D7E" w14:textId="77777777" w:rsidR="00196287" w:rsidRPr="004E4504" w:rsidRDefault="00000000">
            <w:pPr>
              <w:jc w:val="both"/>
              <w:rPr>
                <w:sz w:val="22"/>
                <w:szCs w:val="22"/>
              </w:rPr>
            </w:pPr>
            <w:r w:rsidRPr="004E4504">
              <w:rPr>
                <w:b/>
                <w:bCs/>
                <w:sz w:val="22"/>
                <w:szCs w:val="22"/>
              </w:rPr>
              <w:t>99.14</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09C76B7A" w14:textId="77777777" w:rsidR="00196287" w:rsidRPr="004E4504" w:rsidRDefault="00000000">
            <w:pPr>
              <w:jc w:val="both"/>
              <w:rPr>
                <w:sz w:val="22"/>
                <w:szCs w:val="22"/>
              </w:rPr>
            </w:pPr>
            <w:r w:rsidRPr="004E4504">
              <w:rPr>
                <w:b/>
                <w:bCs/>
                <w:sz w:val="22"/>
                <w:szCs w:val="22"/>
              </w:rPr>
              <w:t>0.12</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4272CC7C" w14:textId="77777777" w:rsidR="00196287" w:rsidRPr="004E4504" w:rsidRDefault="00000000">
            <w:pPr>
              <w:jc w:val="both"/>
              <w:rPr>
                <w:sz w:val="22"/>
                <w:szCs w:val="22"/>
              </w:rPr>
            </w:pPr>
            <w:r w:rsidRPr="004E4504">
              <w:rPr>
                <w:b/>
                <w:bCs/>
                <w:sz w:val="22"/>
                <w:szCs w:val="22"/>
              </w:rPr>
              <w:t>0.34</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491B8E7B" w14:textId="77777777" w:rsidR="00196287" w:rsidRPr="004E4504" w:rsidRDefault="00000000">
            <w:pPr>
              <w:jc w:val="both"/>
              <w:rPr>
                <w:sz w:val="22"/>
                <w:szCs w:val="22"/>
              </w:rPr>
            </w:pPr>
            <w:r w:rsidRPr="004E4504">
              <w:rPr>
                <w:b/>
                <w:bCs/>
                <w:sz w:val="22"/>
                <w:szCs w:val="22"/>
              </w:rPr>
              <w:t>143</w:t>
            </w:r>
          </w:p>
        </w:tc>
      </w:tr>
    </w:tbl>
    <w:p w14:paraId="4D8F0ADB" w14:textId="77777777" w:rsidR="00196287" w:rsidRPr="004E4504" w:rsidRDefault="00196287">
      <w:pPr>
        <w:spacing w:after="60"/>
        <w:jc w:val="both"/>
        <w:rPr>
          <w:sz w:val="22"/>
          <w:szCs w:val="22"/>
        </w:rPr>
      </w:pPr>
    </w:p>
    <w:p w14:paraId="03A053C5" w14:textId="77777777" w:rsidR="00196287" w:rsidRPr="004E4504" w:rsidRDefault="00196287">
      <w:pPr>
        <w:spacing w:after="60"/>
        <w:jc w:val="both"/>
        <w:rPr>
          <w:color w:val="92D050"/>
          <w:sz w:val="22"/>
          <w:szCs w:val="22"/>
        </w:rPr>
      </w:pPr>
    </w:p>
    <w:p w14:paraId="38BA68BC" w14:textId="77777777" w:rsidR="00196287" w:rsidRPr="004E4504" w:rsidRDefault="00000000">
      <w:pPr>
        <w:keepNext/>
        <w:spacing w:after="60"/>
        <w:jc w:val="both"/>
      </w:pPr>
      <w:r w:rsidRPr="004E4504">
        <w:rPr>
          <w:noProof/>
          <w:color w:val="92D050"/>
        </w:rPr>
        <w:drawing>
          <wp:inline distT="0" distB="0" distL="0" distR="0" wp14:anchorId="00ED025C" wp14:editId="1F803CBF">
            <wp:extent cx="4572000" cy="4086225"/>
            <wp:effectExtent l="0" t="0" r="0" b="9525"/>
            <wp:docPr id="9680944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50C8AA" w14:textId="77777777" w:rsidR="00196287" w:rsidRPr="004E4504" w:rsidRDefault="00000000">
      <w:pPr>
        <w:pStyle w:val="Caption"/>
        <w:jc w:val="both"/>
      </w:pPr>
      <w:r w:rsidRPr="004E4504">
        <w:t>Figure 2: Perfomance Comparism of Biometric Authentication Method</w:t>
      </w:r>
    </w:p>
    <w:p w14:paraId="502F0FD4" w14:textId="77777777" w:rsidR="00196287" w:rsidRPr="004E4504" w:rsidRDefault="00000000">
      <w:pPr>
        <w:pStyle w:val="Caption"/>
        <w:jc w:val="both"/>
        <w:rPr>
          <w:i w:val="0"/>
          <w:iCs w:val="0"/>
          <w:sz w:val="22"/>
          <w:szCs w:val="22"/>
        </w:rPr>
      </w:pPr>
      <w:r w:rsidRPr="004E4504">
        <w:rPr>
          <w:i w:val="0"/>
          <w:iCs w:val="0"/>
          <w:sz w:val="22"/>
          <w:szCs w:val="22"/>
        </w:rPr>
        <w:t>Figure 2 presents the performance comparison summarised in Table 3.</w:t>
      </w:r>
    </w:p>
    <w:p w14:paraId="387F0B56" w14:textId="77777777" w:rsidR="00196287" w:rsidRPr="004E4504" w:rsidRDefault="00196287">
      <w:pPr>
        <w:spacing w:after="60"/>
        <w:jc w:val="both"/>
        <w:rPr>
          <w:b/>
          <w:bCs/>
          <w:sz w:val="22"/>
          <w:szCs w:val="22"/>
        </w:rPr>
      </w:pPr>
    </w:p>
    <w:p w14:paraId="7CE2BB7A" w14:textId="77777777" w:rsidR="00196287" w:rsidRPr="004E4504" w:rsidRDefault="00196287">
      <w:pPr>
        <w:spacing w:after="60"/>
        <w:jc w:val="both"/>
        <w:rPr>
          <w:b/>
          <w:bCs/>
          <w:sz w:val="22"/>
          <w:szCs w:val="22"/>
        </w:rPr>
      </w:pPr>
    </w:p>
    <w:p w14:paraId="213F4456" w14:textId="77777777" w:rsidR="00196287" w:rsidRPr="004E4504" w:rsidRDefault="00196287">
      <w:pPr>
        <w:spacing w:after="60"/>
        <w:jc w:val="both"/>
        <w:rPr>
          <w:b/>
          <w:bCs/>
          <w:sz w:val="22"/>
          <w:szCs w:val="22"/>
        </w:rPr>
      </w:pPr>
    </w:p>
    <w:p w14:paraId="132D6B64" w14:textId="77777777" w:rsidR="00196287" w:rsidRPr="004E4504" w:rsidRDefault="00196287">
      <w:pPr>
        <w:spacing w:after="60"/>
        <w:jc w:val="both"/>
        <w:rPr>
          <w:b/>
          <w:bCs/>
          <w:sz w:val="22"/>
          <w:szCs w:val="22"/>
        </w:rPr>
      </w:pPr>
    </w:p>
    <w:p w14:paraId="507D8E21" w14:textId="77777777" w:rsidR="00196287" w:rsidRPr="004E4504" w:rsidRDefault="00000000">
      <w:pPr>
        <w:spacing w:before="140" w:after="80"/>
        <w:jc w:val="both"/>
        <w:rPr>
          <w:sz w:val="22"/>
          <w:szCs w:val="22"/>
        </w:rPr>
      </w:pPr>
      <w:r w:rsidRPr="004E4504">
        <w:rPr>
          <w:b/>
          <w:bCs/>
          <w:i/>
          <w:iCs/>
          <w:sz w:val="22"/>
          <w:szCs w:val="22"/>
        </w:rPr>
        <w:t>B. Ablation Study</w:t>
      </w:r>
    </w:p>
    <w:p w14:paraId="7BC267AB" w14:textId="77777777" w:rsidR="00196287" w:rsidRPr="004E4504" w:rsidRDefault="00000000">
      <w:pPr>
        <w:spacing w:before="140" w:after="80"/>
        <w:ind w:firstLine="720"/>
        <w:jc w:val="both"/>
        <w:rPr>
          <w:sz w:val="22"/>
          <w:szCs w:val="22"/>
        </w:rPr>
      </w:pPr>
      <w:r w:rsidRPr="004E4504">
        <w:rPr>
          <w:sz w:val="22"/>
          <w:szCs w:val="22"/>
        </w:rPr>
        <w:t>An ablation study was conducted on the BMBD to investigate the relative contribution of each system component. Removing the liveness-detection module increased the attack-success rate from 0.7% to 18.4%, confirming the importance of this module. Replacing the MLP meta-learner with simple score averaging reduced accuracy to 96.78%, indicating that learned fusion improved performance relative to heuristic combination. Removing the triplet- and centre-loss components (λ1 = λ2 = 0) reduced accuracy to 97.81%, supporting the contribution of the multi-objective training scheme. Overall, each proposed component contributed to system performance.</w:t>
      </w:r>
    </w:p>
    <w:p w14:paraId="6C100999" w14:textId="77777777" w:rsidR="00196287" w:rsidRPr="004E4504" w:rsidRDefault="00196287">
      <w:pPr>
        <w:spacing w:before="140" w:after="80"/>
        <w:jc w:val="both"/>
        <w:rPr>
          <w:b/>
          <w:bCs/>
          <w:i/>
          <w:iCs/>
          <w:sz w:val="22"/>
          <w:szCs w:val="22"/>
        </w:rPr>
      </w:pPr>
    </w:p>
    <w:p w14:paraId="3E4D23CD" w14:textId="77777777" w:rsidR="00196287" w:rsidRPr="004E4504" w:rsidRDefault="00000000">
      <w:pPr>
        <w:spacing w:before="140" w:after="80"/>
        <w:jc w:val="both"/>
        <w:rPr>
          <w:sz w:val="22"/>
          <w:szCs w:val="22"/>
        </w:rPr>
      </w:pPr>
      <w:r w:rsidRPr="004E4504">
        <w:rPr>
          <w:b/>
          <w:bCs/>
          <w:i/>
          <w:iCs/>
          <w:sz w:val="22"/>
          <w:szCs w:val="22"/>
        </w:rPr>
        <w:t>C. Cross-Dataset Generalization</w:t>
      </w:r>
    </w:p>
    <w:p w14:paraId="306334A2" w14:textId="77777777" w:rsidR="00196287" w:rsidRPr="004E4504" w:rsidRDefault="00000000">
      <w:pPr>
        <w:spacing w:before="140" w:after="80"/>
        <w:ind w:firstLine="720"/>
        <w:jc w:val="both"/>
        <w:rPr>
          <w:sz w:val="22"/>
          <w:szCs w:val="22"/>
        </w:rPr>
      </w:pPr>
      <w:r w:rsidRPr="004E4504">
        <w:rPr>
          <w:sz w:val="22"/>
          <w:szCs w:val="22"/>
        </w:rPr>
        <w:t>To evaluate the generalisability of the model trained on the BMBD, it was tested on LFW through the face-only path and FVC2006 through the fingerprint-only path without fine-tuning. The facial module achieved 98.7% accuracy on LFW, which was comparable to dedicated models. The fingerprint module achieved an EER of 2.1% on FVC2006 Sensor DB1, which is consistent with the literature on deep-feature-based matchers. The cross-dataset experiments indicate that the learned representations are not specific to the BMBD, thereby supporting generalisation to other populations and sensors.</w:t>
      </w:r>
    </w:p>
    <w:p w14:paraId="68E6F76D" w14:textId="77777777" w:rsidR="00196287" w:rsidRPr="004E4504" w:rsidRDefault="00196287">
      <w:pPr>
        <w:spacing w:before="140" w:after="80"/>
        <w:jc w:val="both"/>
        <w:rPr>
          <w:b/>
          <w:bCs/>
          <w:sz w:val="22"/>
          <w:szCs w:val="22"/>
        </w:rPr>
      </w:pPr>
    </w:p>
    <w:p w14:paraId="7FAF02DC" w14:textId="77777777" w:rsidR="00196287" w:rsidRPr="004E4504" w:rsidRDefault="00000000">
      <w:pPr>
        <w:spacing w:before="140" w:after="80"/>
        <w:jc w:val="both"/>
        <w:rPr>
          <w:sz w:val="22"/>
          <w:szCs w:val="22"/>
        </w:rPr>
      </w:pPr>
      <w:r w:rsidRPr="004E4504">
        <w:rPr>
          <w:b/>
          <w:bCs/>
          <w:i/>
          <w:iCs/>
          <w:sz w:val="22"/>
          <w:szCs w:val="22"/>
        </w:rPr>
        <w:t>D. Anti-Spoofing Evaluation</w:t>
      </w:r>
    </w:p>
    <w:p w14:paraId="780DB232" w14:textId="77777777" w:rsidR="00196287" w:rsidRPr="004E4504" w:rsidRDefault="00000000">
      <w:pPr>
        <w:spacing w:after="100" w:line="276" w:lineRule="auto"/>
        <w:ind w:firstLine="360"/>
        <w:jc w:val="both"/>
        <w:rPr>
          <w:sz w:val="22"/>
          <w:szCs w:val="22"/>
        </w:rPr>
      </w:pPr>
      <w:r w:rsidRPr="004E4504">
        <w:rPr>
          <w:sz w:val="22"/>
          <w:szCs w:val="22"/>
        </w:rPr>
        <w:t>Spoof resilience was tested using printed photographs and 3D-printed PLA masks for the facial modality, and gelatin and wood-glue spoof fingers for the fingerprint modality. The integrated liveness-detection module obtained a bona fide presentation classification error rate (BPCER) of 0.43% and an attack presentation classification error rate (APCER) of 0.71%. These metrics use the terminology defined in ISO/IEC 30107-3 [30]. The rPPG module detected 94.2% of replay and printed-photo attacks, the CNN texture classifier detected 89.1% of 3D-mask attacks, and the combined PAD accuracy was 99.1%.</w:t>
      </w:r>
    </w:p>
    <w:p w14:paraId="407A272B" w14:textId="77777777" w:rsidR="00196287" w:rsidRPr="004E4504" w:rsidRDefault="00196287">
      <w:pPr>
        <w:spacing w:before="140" w:after="80"/>
        <w:jc w:val="both"/>
        <w:rPr>
          <w:b/>
          <w:bCs/>
          <w:i/>
          <w:iCs/>
          <w:sz w:val="22"/>
          <w:szCs w:val="22"/>
        </w:rPr>
      </w:pPr>
    </w:p>
    <w:p w14:paraId="293D71F7" w14:textId="77777777" w:rsidR="00196287" w:rsidRPr="004E4504" w:rsidRDefault="00000000">
      <w:pPr>
        <w:spacing w:before="140" w:after="80"/>
        <w:jc w:val="both"/>
        <w:rPr>
          <w:sz w:val="22"/>
          <w:szCs w:val="22"/>
        </w:rPr>
      </w:pPr>
      <w:r w:rsidRPr="004E4504">
        <w:rPr>
          <w:b/>
          <w:bCs/>
          <w:i/>
          <w:iCs/>
          <w:sz w:val="22"/>
          <w:szCs w:val="22"/>
        </w:rPr>
        <w:t>E. Computational Analysis</w:t>
      </w:r>
    </w:p>
    <w:p w14:paraId="3549E64D" w14:textId="77777777" w:rsidR="00196287" w:rsidRPr="004E4504" w:rsidRDefault="00000000">
      <w:pPr>
        <w:spacing w:after="100" w:line="276" w:lineRule="auto"/>
        <w:ind w:firstLine="360"/>
        <w:jc w:val="both"/>
        <w:rPr>
          <w:sz w:val="22"/>
          <w:szCs w:val="22"/>
        </w:rPr>
      </w:pPr>
      <w:r w:rsidRPr="004E4504">
        <w:rPr>
          <w:sz w:val="22"/>
          <w:szCs w:val="22"/>
        </w:rPr>
        <w:t>The average end-to-end inference time on the Raspberry Pi 5 was 143 ms, comprising 74 ms for face-feature extraction, 38 ms for fingerprint-feature extraction, less than 5 ms of overhead for parallel liveness detection, and 12 ms for MLP fusion. Inference power was measured at 2.8 W, which is compatible with standard UPS-backed embedded hardware. The exported ONNX model had a memory footprint of 47 MB, well within the available 8 GB of RAM. The benchmarks indicate that the system can be deployed in power-grid control rooms, banking terminals, and border posts without dedicated GPU hardware.</w:t>
      </w:r>
    </w:p>
    <w:p w14:paraId="6F14DC14" w14:textId="77777777" w:rsidR="00196287" w:rsidRPr="004E4504" w:rsidRDefault="00196287">
      <w:pPr>
        <w:spacing w:after="60"/>
        <w:jc w:val="both"/>
        <w:rPr>
          <w:sz w:val="22"/>
          <w:szCs w:val="22"/>
        </w:rPr>
      </w:pPr>
    </w:p>
    <w:p w14:paraId="0E4BEFBE" w14:textId="77777777" w:rsidR="00196287" w:rsidRPr="004E4504" w:rsidRDefault="00000000">
      <w:pPr>
        <w:spacing w:before="200" w:after="100"/>
        <w:jc w:val="both"/>
        <w:rPr>
          <w:sz w:val="22"/>
          <w:szCs w:val="22"/>
        </w:rPr>
      </w:pPr>
      <w:r w:rsidRPr="004E4504">
        <w:rPr>
          <w:b/>
          <w:bCs/>
          <w:sz w:val="22"/>
          <w:szCs w:val="22"/>
        </w:rPr>
        <w:t>VII. CONCLUSION</w:t>
      </w:r>
    </w:p>
    <w:p w14:paraId="123904E6" w14:textId="77777777" w:rsidR="00196287" w:rsidRPr="004E4504" w:rsidRDefault="00000000">
      <w:pPr>
        <w:spacing w:before="100" w:beforeAutospacing="1" w:after="100" w:afterAutospacing="1"/>
        <w:ind w:firstLine="720"/>
        <w:jc w:val="both"/>
        <w:rPr>
          <w:sz w:val="24"/>
          <w:szCs w:val="24"/>
          <w:lang w:eastAsia="en-GB"/>
        </w:rPr>
      </w:pPr>
      <w:r w:rsidRPr="004E4504">
        <w:rPr>
          <w:sz w:val="24"/>
          <w:szCs w:val="24"/>
          <w:lang w:eastAsia="en-GB"/>
        </w:rPr>
        <w:t xml:space="preserve">The proposed framework combines facial and fingerprint representations using a multilayer perceptron and applies modality-specific liveness assessment before authentication. On the reported BMBD test split, the system achieved 99.14% accuracy, a 0.12% false acceptance rate, a 0.34% false </w:t>
      </w:r>
      <w:r w:rsidRPr="004E4504">
        <w:rPr>
          <w:sz w:val="24"/>
          <w:szCs w:val="24"/>
          <w:lang w:eastAsia="en-GB"/>
        </w:rPr>
        <w:lastRenderedPageBreak/>
        <w:t>rejection rate, and a 0.19% equal error rate, with an end-to-end latency of 143 ms on the stated embedded platform. The ablation results showed reduced accuracy when learned fusion or the additional metric-learning losses were removed, while omission of liveness assessment increased presentation-attack success. These findings support further investigation of multimodal fusion for biometric access control, particularly where failure of one modality may reduce reliability. However, the results should be interpreted within the reported datasets, capture devices, attack materials, and evaluation protocol. Further work should include independent testing on larger and more diverse populations, fully documented genuine and impostor comparisons, validated presentation-attack procedures, privacy safeguards, and performance analysis across demographic groups. The dataset, implementation, and statistical outputs should also be documented sufficiently to support verification and reproducibility.</w:t>
      </w:r>
    </w:p>
    <w:p w14:paraId="307D99DD" w14:textId="77777777" w:rsidR="00196287" w:rsidRPr="004E4504" w:rsidRDefault="00000000">
      <w:pPr>
        <w:spacing w:before="100" w:beforeAutospacing="1" w:after="100" w:afterAutospacing="1"/>
        <w:jc w:val="both"/>
        <w:rPr>
          <w:b/>
          <w:bCs/>
          <w:sz w:val="22"/>
          <w:szCs w:val="22"/>
          <w:lang w:val="en-GB" w:eastAsia="en-GB"/>
        </w:rPr>
      </w:pPr>
      <w:r w:rsidRPr="004E4504">
        <w:rPr>
          <w:b/>
          <w:bCs/>
          <w:sz w:val="22"/>
          <w:szCs w:val="22"/>
          <w:lang w:val="en-GB" w:eastAsia="en-GB"/>
        </w:rPr>
        <w:t xml:space="preserve">Limitations </w:t>
      </w:r>
    </w:p>
    <w:p w14:paraId="3CDCC7B3" w14:textId="72D72B16" w:rsidR="00196287" w:rsidRDefault="005747A6">
      <w:pPr>
        <w:jc w:val="both"/>
        <w:rPr>
          <w:sz w:val="24"/>
          <w:szCs w:val="24"/>
          <w:lang w:eastAsia="en-GB"/>
        </w:rPr>
      </w:pPr>
      <w:r w:rsidRPr="005747A6">
        <w:rPr>
          <w:sz w:val="24"/>
          <w:szCs w:val="24"/>
          <w:lang w:eastAsia="en-GB"/>
        </w:rPr>
        <w:t>The custom dataset included 320 participants from one Nigerian setting, limiting demographic and geographic generalisability. The manuscript does not provide sex distribution, detailed sampling and consent procedures, biometric-data retention arrangements, genuine and impostor comparison counts, confidence intervals, or variability across repeated runs. Public-dataset training and testing descriptions are internally inconsistent. Presentation-attack sample sizes, fabrication procedures, train-test separation, and independent laboratory validation are insufficiently documented. Comparative methods may not have been evaluated on identical datasets or hardware, and the study does not report fairness analysis, privacy-risk assessment, comprehensive adversarial testing, or operational critical-infrastructure evaluation.</w:t>
      </w:r>
    </w:p>
    <w:p w14:paraId="727C9700" w14:textId="77777777" w:rsidR="005747A6" w:rsidRDefault="005747A6">
      <w:pPr>
        <w:jc w:val="both"/>
        <w:rPr>
          <w:sz w:val="24"/>
          <w:szCs w:val="24"/>
          <w:lang w:eastAsia="en-GB"/>
        </w:rPr>
      </w:pPr>
    </w:p>
    <w:p w14:paraId="62102E9C" w14:textId="77777777" w:rsidR="005747A6" w:rsidRPr="004E4504" w:rsidRDefault="005747A6">
      <w:pPr>
        <w:jc w:val="both"/>
        <w:rPr>
          <w:b/>
          <w:sz w:val="22"/>
          <w:szCs w:val="22"/>
        </w:rPr>
      </w:pPr>
    </w:p>
    <w:p w14:paraId="7CE5F8C3" w14:textId="77777777" w:rsidR="00196287" w:rsidRPr="004E4504" w:rsidRDefault="00000000">
      <w:pPr>
        <w:jc w:val="both"/>
        <w:rPr>
          <w:b/>
          <w:sz w:val="22"/>
          <w:szCs w:val="22"/>
        </w:rPr>
      </w:pPr>
      <w:r w:rsidRPr="004E4504">
        <w:rPr>
          <w:b/>
          <w:sz w:val="22"/>
          <w:szCs w:val="22"/>
        </w:rPr>
        <w:t>Declaration of AI Use</w:t>
      </w:r>
    </w:p>
    <w:p w14:paraId="1D854FC5" w14:textId="77777777" w:rsidR="00196287" w:rsidRPr="004E4504" w:rsidRDefault="00196287">
      <w:pPr>
        <w:jc w:val="both"/>
        <w:rPr>
          <w:sz w:val="22"/>
          <w:szCs w:val="22"/>
        </w:rPr>
      </w:pPr>
    </w:p>
    <w:p w14:paraId="1E520705" w14:textId="77777777" w:rsidR="00196287" w:rsidRPr="004E4504" w:rsidRDefault="00000000">
      <w:pPr>
        <w:jc w:val="both"/>
        <w:rPr>
          <w:sz w:val="22"/>
          <w:szCs w:val="22"/>
        </w:rPr>
      </w:pPr>
      <w:r w:rsidRPr="004E4504">
        <w:rPr>
          <w:sz w:val="22"/>
          <w:szCs w:val="22"/>
        </w:rPr>
        <w:t>All authors contributed to the manuscript in a collaborative approach including contributions to the study design, data, content development, results, interpretation and related scholarly work. The author(s) acknowledge the use of Grammarly and ChatGPT to assist with grammar, language and reference formatting. These AI-assisted tools have not been used as authors and have not replaced the intellectual contributions or scholarly judgment of the author(s). All AI-assisted outputs (content, references and interpretations) were thoroughly reviewed, edited, verified and approved by the author(s). The author(s) take full responsibility for the accuracy, integrity and final content of the manuscript.</w:t>
      </w:r>
    </w:p>
    <w:p w14:paraId="4BE4051C" w14:textId="77777777" w:rsidR="00196287" w:rsidRPr="004E4504" w:rsidRDefault="00196287">
      <w:pPr>
        <w:spacing w:after="60"/>
        <w:jc w:val="both"/>
        <w:rPr>
          <w:sz w:val="22"/>
          <w:szCs w:val="22"/>
        </w:rPr>
      </w:pPr>
    </w:p>
    <w:p w14:paraId="05A4E927" w14:textId="77777777" w:rsidR="00196287" w:rsidRDefault="00000000">
      <w:pPr>
        <w:spacing w:before="160" w:after="80"/>
        <w:jc w:val="both"/>
        <w:rPr>
          <w:b/>
          <w:bCs/>
          <w:sz w:val="22"/>
          <w:szCs w:val="22"/>
        </w:rPr>
      </w:pPr>
      <w:r w:rsidRPr="004E4504">
        <w:rPr>
          <w:b/>
          <w:bCs/>
          <w:sz w:val="22"/>
          <w:szCs w:val="22"/>
        </w:rPr>
        <w:t>REFERENCES</w:t>
      </w:r>
    </w:p>
    <w:p w14:paraId="1245DA0B" w14:textId="77777777" w:rsidR="00C82574" w:rsidRPr="00C82574" w:rsidRDefault="00C82574" w:rsidP="00C82574">
      <w:pPr>
        <w:spacing w:before="100" w:beforeAutospacing="1" w:after="100" w:afterAutospacing="1"/>
        <w:rPr>
          <w:sz w:val="24"/>
          <w:szCs w:val="24"/>
        </w:rPr>
      </w:pPr>
      <w:r w:rsidRPr="00C82574">
        <w:rPr>
          <w:sz w:val="24"/>
          <w:szCs w:val="24"/>
        </w:rPr>
        <w:t xml:space="preserve">Akhtar, Z., Micheloni, C., &amp; Foresti, G. L. (2015). Biometric liveness detection: Challenges and research opportunities. </w:t>
      </w:r>
      <w:r w:rsidRPr="00C82574">
        <w:rPr>
          <w:i/>
          <w:iCs/>
          <w:sz w:val="24"/>
          <w:szCs w:val="24"/>
        </w:rPr>
        <w:t>IEEE Security &amp; Privacy, 13</w:t>
      </w:r>
      <w:r w:rsidRPr="00C82574">
        <w:rPr>
          <w:sz w:val="24"/>
          <w:szCs w:val="24"/>
        </w:rPr>
        <w:t xml:space="preserve">(5), 63–72. </w:t>
      </w:r>
      <w:hyperlink r:id="rId10" w:tgtFrame="_new" w:history="1">
        <w:r w:rsidRPr="00C82574">
          <w:rPr>
            <w:color w:val="0000FF"/>
            <w:sz w:val="24"/>
            <w:szCs w:val="24"/>
            <w:u w:val="single"/>
          </w:rPr>
          <w:t>https://doi.org/10.1109/MSP.2015.116</w:t>
        </w:r>
      </w:hyperlink>
    </w:p>
    <w:p w14:paraId="1CCA8E79" w14:textId="77777777" w:rsidR="00C82574" w:rsidRPr="00C82574" w:rsidRDefault="00C82574" w:rsidP="00C82574">
      <w:pPr>
        <w:spacing w:before="100" w:beforeAutospacing="1" w:after="100" w:afterAutospacing="1"/>
        <w:rPr>
          <w:sz w:val="24"/>
          <w:szCs w:val="24"/>
        </w:rPr>
      </w:pPr>
      <w:r w:rsidRPr="00C82574">
        <w:rPr>
          <w:sz w:val="24"/>
          <w:szCs w:val="24"/>
        </w:rPr>
        <w:t xml:space="preserve">Angadi, S. A., &amp; Kagawade, V. C. (2018). Face and iris wavelet feature fusion through canonical correlation analysis for person identification. In </w:t>
      </w:r>
      <w:r w:rsidRPr="00C82574">
        <w:rPr>
          <w:i/>
          <w:iCs/>
          <w:sz w:val="24"/>
          <w:szCs w:val="24"/>
        </w:rPr>
        <w:t>2018 Third International Conference on Electrical, Electronics, Communication, Computer Technologies and Optimization Techniques (ICEECCOT)</w:t>
      </w:r>
      <w:r w:rsidRPr="00C82574">
        <w:rPr>
          <w:sz w:val="24"/>
          <w:szCs w:val="24"/>
        </w:rPr>
        <w:t xml:space="preserve"> (pp. 106–112). IEEE. </w:t>
      </w:r>
      <w:hyperlink r:id="rId11" w:tgtFrame="_new" w:history="1">
        <w:r w:rsidRPr="00C82574">
          <w:rPr>
            <w:color w:val="0000FF"/>
            <w:sz w:val="24"/>
            <w:szCs w:val="24"/>
            <w:u w:val="single"/>
          </w:rPr>
          <w:t>https://doi.org/10.1109/ICEECCOT43722.2018.9001636</w:t>
        </w:r>
      </w:hyperlink>
    </w:p>
    <w:p w14:paraId="21C86D75" w14:textId="77777777" w:rsidR="00C82574" w:rsidRPr="00C82574" w:rsidRDefault="00C82574" w:rsidP="00C82574">
      <w:pPr>
        <w:spacing w:before="100" w:beforeAutospacing="1" w:after="100" w:afterAutospacing="1"/>
        <w:rPr>
          <w:sz w:val="24"/>
          <w:szCs w:val="24"/>
        </w:rPr>
      </w:pPr>
      <w:r w:rsidRPr="00C82574">
        <w:rPr>
          <w:sz w:val="24"/>
          <w:szCs w:val="24"/>
        </w:rPr>
        <w:t xml:space="preserve">Antonelli, A., Cappelli, R., Maio, D., &amp; Maltoni, D. (2006). Fake finger detection by skin distortion analysis. </w:t>
      </w:r>
      <w:r w:rsidRPr="00C82574">
        <w:rPr>
          <w:i/>
          <w:iCs/>
          <w:sz w:val="24"/>
          <w:szCs w:val="24"/>
        </w:rPr>
        <w:t>IEEE Transactions on Information Forensics and Security, 1</w:t>
      </w:r>
      <w:r w:rsidRPr="00C82574">
        <w:rPr>
          <w:sz w:val="24"/>
          <w:szCs w:val="24"/>
        </w:rPr>
        <w:t xml:space="preserve">(3), 360–373. </w:t>
      </w:r>
      <w:hyperlink r:id="rId12" w:tgtFrame="_new" w:history="1">
        <w:r w:rsidRPr="00C82574">
          <w:rPr>
            <w:color w:val="0000FF"/>
            <w:sz w:val="24"/>
            <w:szCs w:val="24"/>
            <w:u w:val="single"/>
          </w:rPr>
          <w:t>https://doi.org/10.1109/TIFS.2006.879289</w:t>
        </w:r>
      </w:hyperlink>
    </w:p>
    <w:p w14:paraId="211BEF82" w14:textId="77777777" w:rsidR="00C82574" w:rsidRPr="00C82574" w:rsidRDefault="00C82574" w:rsidP="00C82574">
      <w:pPr>
        <w:spacing w:before="100" w:beforeAutospacing="1" w:after="100" w:afterAutospacing="1"/>
        <w:rPr>
          <w:sz w:val="24"/>
          <w:szCs w:val="24"/>
        </w:rPr>
      </w:pPr>
      <w:r w:rsidRPr="00C82574">
        <w:rPr>
          <w:sz w:val="24"/>
          <w:szCs w:val="24"/>
        </w:rPr>
        <w:lastRenderedPageBreak/>
        <w:t xml:space="preserve">Bhanu, B., &amp; Tan, X. (2004). </w:t>
      </w:r>
      <w:r w:rsidRPr="00C82574">
        <w:rPr>
          <w:i/>
          <w:iCs/>
          <w:sz w:val="24"/>
          <w:szCs w:val="24"/>
        </w:rPr>
        <w:t>Computational algorithms for fingerprint recognition</w:t>
      </w:r>
      <w:r w:rsidRPr="00C82574">
        <w:rPr>
          <w:sz w:val="24"/>
          <w:szCs w:val="24"/>
        </w:rPr>
        <w:t xml:space="preserve">. Springer. </w:t>
      </w:r>
      <w:hyperlink r:id="rId13" w:tgtFrame="_new" w:history="1">
        <w:r w:rsidRPr="00C82574">
          <w:rPr>
            <w:color w:val="0000FF"/>
            <w:sz w:val="24"/>
            <w:szCs w:val="24"/>
            <w:u w:val="single"/>
          </w:rPr>
          <w:t>https://doi.org/10.1007/978-1-4615-0491-7</w:t>
        </w:r>
      </w:hyperlink>
    </w:p>
    <w:p w14:paraId="47C00513" w14:textId="77777777" w:rsidR="00C82574" w:rsidRPr="00C82574" w:rsidRDefault="00C82574" w:rsidP="00C82574">
      <w:pPr>
        <w:spacing w:before="100" w:beforeAutospacing="1" w:after="100" w:afterAutospacing="1"/>
        <w:rPr>
          <w:sz w:val="24"/>
          <w:szCs w:val="24"/>
        </w:rPr>
      </w:pPr>
      <w:r w:rsidRPr="00C82574">
        <w:rPr>
          <w:sz w:val="24"/>
          <w:szCs w:val="24"/>
        </w:rPr>
        <w:t xml:space="preserve">Cao, K., &amp; Jain, A. K. (2019). Automated latent fingerprint recognition. </w:t>
      </w:r>
      <w:r w:rsidRPr="00C82574">
        <w:rPr>
          <w:i/>
          <w:iCs/>
          <w:sz w:val="24"/>
          <w:szCs w:val="24"/>
        </w:rPr>
        <w:t>IEEE Transactions on Pattern Analysis and Machine Intelligence, 41</w:t>
      </w:r>
      <w:r w:rsidRPr="00C82574">
        <w:rPr>
          <w:sz w:val="24"/>
          <w:szCs w:val="24"/>
        </w:rPr>
        <w:t xml:space="preserve">(4), 788–800. </w:t>
      </w:r>
      <w:hyperlink r:id="rId14" w:tgtFrame="_new" w:history="1">
        <w:r w:rsidRPr="00C82574">
          <w:rPr>
            <w:color w:val="0000FF"/>
            <w:sz w:val="24"/>
            <w:szCs w:val="24"/>
            <w:u w:val="single"/>
          </w:rPr>
          <w:t>https://doi.org/10.1109/TPAMI.2018.2818162</w:t>
        </w:r>
      </w:hyperlink>
    </w:p>
    <w:p w14:paraId="2C8F823F" w14:textId="77777777" w:rsidR="00C82574" w:rsidRPr="00C82574" w:rsidRDefault="00C82574" w:rsidP="00C82574">
      <w:pPr>
        <w:spacing w:before="100" w:beforeAutospacing="1" w:after="100" w:afterAutospacing="1"/>
        <w:rPr>
          <w:sz w:val="24"/>
          <w:szCs w:val="24"/>
        </w:rPr>
      </w:pPr>
      <w:r w:rsidRPr="00C82574">
        <w:rPr>
          <w:sz w:val="24"/>
          <w:szCs w:val="24"/>
        </w:rPr>
        <w:t xml:space="preserve">Cappelli, R., Ferrara, M., Franco, A., &amp; Maltoni, D. (2007). Fingerprint verification competition 2006. </w:t>
      </w:r>
      <w:r w:rsidRPr="00C82574">
        <w:rPr>
          <w:i/>
          <w:iCs/>
          <w:sz w:val="24"/>
          <w:szCs w:val="24"/>
        </w:rPr>
        <w:t>Biometric Technology Today, 15</w:t>
      </w:r>
      <w:r w:rsidRPr="00C82574">
        <w:rPr>
          <w:sz w:val="24"/>
          <w:szCs w:val="24"/>
        </w:rPr>
        <w:t xml:space="preserve">(7–8), 7–9. </w:t>
      </w:r>
      <w:hyperlink r:id="rId15" w:tgtFrame="_new" w:history="1">
        <w:r w:rsidRPr="00C82574">
          <w:rPr>
            <w:color w:val="0000FF"/>
            <w:sz w:val="24"/>
            <w:szCs w:val="24"/>
            <w:u w:val="single"/>
          </w:rPr>
          <w:t>https://doi.org/10.1016/S0969-4765(07)70140-6</w:t>
        </w:r>
      </w:hyperlink>
    </w:p>
    <w:p w14:paraId="18846449" w14:textId="77777777" w:rsidR="00C82574" w:rsidRPr="00C82574" w:rsidRDefault="00C82574" w:rsidP="00C82574">
      <w:pPr>
        <w:spacing w:before="100" w:beforeAutospacing="1" w:after="100" w:afterAutospacing="1"/>
        <w:rPr>
          <w:sz w:val="24"/>
          <w:szCs w:val="24"/>
        </w:rPr>
      </w:pPr>
      <w:r w:rsidRPr="00C82574">
        <w:rPr>
          <w:sz w:val="24"/>
          <w:szCs w:val="24"/>
        </w:rPr>
        <w:t xml:space="preserve">Chen, T., Kornblith, S., Norouzi, M., &amp; Hinton, G. (2020). A simple framework for contrastive learning of visual representations. In H. Daumé III and A. Singh (Eds.), </w:t>
      </w:r>
      <w:r w:rsidRPr="00C82574">
        <w:rPr>
          <w:i/>
          <w:iCs/>
          <w:sz w:val="24"/>
          <w:szCs w:val="24"/>
        </w:rPr>
        <w:t>Proceedings of the 37th International Conference on Machine Learning</w:t>
      </w:r>
      <w:r w:rsidRPr="00C82574">
        <w:rPr>
          <w:sz w:val="24"/>
          <w:szCs w:val="24"/>
        </w:rPr>
        <w:t xml:space="preserve"> (Vol. 119, pp. 1597–1607). PMLR. </w:t>
      </w:r>
      <w:hyperlink r:id="rId16" w:tgtFrame="_new" w:history="1">
        <w:r w:rsidRPr="00C82574">
          <w:rPr>
            <w:color w:val="0000FF"/>
            <w:sz w:val="24"/>
            <w:szCs w:val="24"/>
            <w:u w:val="single"/>
          </w:rPr>
          <w:t>https://proceedings.mlr.press/v119/chen20j.html</w:t>
        </w:r>
      </w:hyperlink>
    </w:p>
    <w:p w14:paraId="2A07FD3E" w14:textId="77777777" w:rsidR="00C82574" w:rsidRPr="00C82574" w:rsidRDefault="00C82574" w:rsidP="00C82574">
      <w:pPr>
        <w:spacing w:before="100" w:beforeAutospacing="1" w:after="100" w:afterAutospacing="1"/>
        <w:rPr>
          <w:sz w:val="24"/>
          <w:szCs w:val="24"/>
        </w:rPr>
      </w:pPr>
      <w:r w:rsidRPr="00C82574">
        <w:rPr>
          <w:sz w:val="24"/>
          <w:szCs w:val="24"/>
        </w:rPr>
        <w:t xml:space="preserve">Deng, J., Guo, J., Xue, N., &amp; Zafeiriou, S. (2019). ArcFace: Additive angular margin loss for deep face recognition. In </w:t>
      </w:r>
      <w:r w:rsidRPr="00C82574">
        <w:rPr>
          <w:i/>
          <w:iCs/>
          <w:sz w:val="24"/>
          <w:szCs w:val="24"/>
        </w:rPr>
        <w:t>2019 IEEE/CVF Conference on Computer Vision and Pattern Recognition (CVPR)</w:t>
      </w:r>
      <w:r w:rsidRPr="00C82574">
        <w:rPr>
          <w:sz w:val="24"/>
          <w:szCs w:val="24"/>
        </w:rPr>
        <w:t xml:space="preserve"> (pp. 4690–4699). IEEE. </w:t>
      </w:r>
      <w:hyperlink r:id="rId17" w:tgtFrame="_new" w:history="1">
        <w:r w:rsidRPr="00C82574">
          <w:rPr>
            <w:color w:val="0000FF"/>
            <w:sz w:val="24"/>
            <w:szCs w:val="24"/>
            <w:u w:val="single"/>
          </w:rPr>
          <w:t>https://doi.org/10.1109/CVPR.2019.00482</w:t>
        </w:r>
      </w:hyperlink>
    </w:p>
    <w:p w14:paraId="0F8AFA42" w14:textId="77777777" w:rsidR="00C82574" w:rsidRPr="00C82574" w:rsidRDefault="00C82574" w:rsidP="00C82574">
      <w:pPr>
        <w:spacing w:before="100" w:beforeAutospacing="1" w:after="100" w:afterAutospacing="1"/>
        <w:rPr>
          <w:sz w:val="24"/>
          <w:szCs w:val="24"/>
        </w:rPr>
      </w:pPr>
      <w:r w:rsidRPr="00C82574">
        <w:rPr>
          <w:sz w:val="24"/>
          <w:szCs w:val="24"/>
        </w:rPr>
        <w:t xml:space="preserve">Ding, C., &amp; Tao, D. (2015). Robust face recognition via multimodal deep face representation. </w:t>
      </w:r>
      <w:r w:rsidRPr="00C82574">
        <w:rPr>
          <w:i/>
          <w:iCs/>
          <w:sz w:val="24"/>
          <w:szCs w:val="24"/>
        </w:rPr>
        <w:t>IEEE Transactions on Multimedia, 17</w:t>
      </w:r>
      <w:r w:rsidRPr="00C82574">
        <w:rPr>
          <w:sz w:val="24"/>
          <w:szCs w:val="24"/>
        </w:rPr>
        <w:t xml:space="preserve">(11), 2049–2058. </w:t>
      </w:r>
      <w:hyperlink r:id="rId18" w:tgtFrame="_new" w:history="1">
        <w:r w:rsidRPr="00C82574">
          <w:rPr>
            <w:color w:val="0000FF"/>
            <w:sz w:val="24"/>
            <w:szCs w:val="24"/>
            <w:u w:val="single"/>
          </w:rPr>
          <w:t>https://doi.org/10.1109/TMM.2015.2477042</w:t>
        </w:r>
      </w:hyperlink>
    </w:p>
    <w:p w14:paraId="61AF7B6F" w14:textId="77777777" w:rsidR="00C82574" w:rsidRPr="00C82574" w:rsidRDefault="00C82574" w:rsidP="00C82574">
      <w:pPr>
        <w:spacing w:before="100" w:beforeAutospacing="1" w:after="100" w:afterAutospacing="1"/>
        <w:rPr>
          <w:sz w:val="24"/>
          <w:szCs w:val="24"/>
        </w:rPr>
      </w:pPr>
      <w:r w:rsidRPr="00C82574">
        <w:rPr>
          <w:sz w:val="24"/>
          <w:szCs w:val="24"/>
        </w:rPr>
        <w:t xml:space="preserve">Goodfellow, I., Bengio, Y., &amp; Courville, A. (2016). </w:t>
      </w:r>
      <w:r w:rsidRPr="00C82574">
        <w:rPr>
          <w:i/>
          <w:iCs/>
          <w:sz w:val="24"/>
          <w:szCs w:val="24"/>
        </w:rPr>
        <w:t>Deep learning</w:t>
      </w:r>
      <w:r w:rsidRPr="00C82574">
        <w:rPr>
          <w:sz w:val="24"/>
          <w:szCs w:val="24"/>
        </w:rPr>
        <w:t xml:space="preserve">. MIT Press. </w:t>
      </w:r>
      <w:hyperlink r:id="rId19" w:tgtFrame="_new" w:history="1">
        <w:r w:rsidRPr="00C82574">
          <w:rPr>
            <w:color w:val="0000FF"/>
            <w:sz w:val="24"/>
            <w:szCs w:val="24"/>
            <w:u w:val="single"/>
          </w:rPr>
          <w:t>https://mitpress.mit.edu/9780262035613/deep-learning/</w:t>
        </w:r>
      </w:hyperlink>
    </w:p>
    <w:p w14:paraId="241F39C7" w14:textId="77777777" w:rsidR="00C82574" w:rsidRPr="00C82574" w:rsidRDefault="00C82574" w:rsidP="00C82574">
      <w:pPr>
        <w:spacing w:before="100" w:beforeAutospacing="1" w:after="100" w:afterAutospacing="1"/>
        <w:rPr>
          <w:sz w:val="24"/>
          <w:szCs w:val="24"/>
        </w:rPr>
      </w:pPr>
      <w:r w:rsidRPr="00C82574">
        <w:rPr>
          <w:sz w:val="24"/>
          <w:szCs w:val="24"/>
        </w:rPr>
        <w:t xml:space="preserve">Gragnaniello, D., Poggi, G., Sansone, C., &amp; Verdoliva, L. (2013). Fingerprint liveness detection based on Weber local image descriptor. In </w:t>
      </w:r>
      <w:r w:rsidRPr="00C82574">
        <w:rPr>
          <w:i/>
          <w:iCs/>
          <w:sz w:val="24"/>
          <w:szCs w:val="24"/>
        </w:rPr>
        <w:t>2013 IEEE Workshop on Biometric Measurements and Systems for Security and Medical Applications</w:t>
      </w:r>
      <w:r w:rsidRPr="00C82574">
        <w:rPr>
          <w:sz w:val="24"/>
          <w:szCs w:val="24"/>
        </w:rPr>
        <w:t xml:space="preserve"> (pp. 46–50). IEEE. </w:t>
      </w:r>
      <w:hyperlink r:id="rId20" w:tgtFrame="_new" w:history="1">
        <w:r w:rsidRPr="00C82574">
          <w:rPr>
            <w:color w:val="0000FF"/>
            <w:sz w:val="24"/>
            <w:szCs w:val="24"/>
            <w:u w:val="single"/>
          </w:rPr>
          <w:t>https://doi.org/10.1109/BIOMS.2013.6656148</w:t>
        </w:r>
      </w:hyperlink>
    </w:p>
    <w:p w14:paraId="5CF842B6" w14:textId="77777777" w:rsidR="00C82574" w:rsidRPr="00C82574" w:rsidRDefault="00C82574" w:rsidP="00C82574">
      <w:pPr>
        <w:spacing w:before="100" w:beforeAutospacing="1" w:after="100" w:afterAutospacing="1"/>
        <w:rPr>
          <w:sz w:val="24"/>
          <w:szCs w:val="24"/>
        </w:rPr>
      </w:pPr>
      <w:r w:rsidRPr="00C82574">
        <w:rPr>
          <w:sz w:val="24"/>
          <w:szCs w:val="24"/>
        </w:rPr>
        <w:t xml:space="preserve">Grother, P., Ngan, M., &amp; Hanaoka, K. (2019). </w:t>
      </w:r>
      <w:r w:rsidRPr="00C82574">
        <w:rPr>
          <w:i/>
          <w:iCs/>
          <w:sz w:val="24"/>
          <w:szCs w:val="24"/>
        </w:rPr>
        <w:t>Face recognition vendor test (FRVT), Part 3: Demographic effects</w:t>
      </w:r>
      <w:r w:rsidRPr="00C82574">
        <w:rPr>
          <w:sz w:val="24"/>
          <w:szCs w:val="24"/>
        </w:rPr>
        <w:t xml:space="preserve"> (NISTIR 8280). National Institute of Standards and Technology. </w:t>
      </w:r>
      <w:hyperlink r:id="rId21" w:tgtFrame="_new" w:history="1">
        <w:r w:rsidRPr="00C82574">
          <w:rPr>
            <w:color w:val="0000FF"/>
            <w:sz w:val="24"/>
            <w:szCs w:val="24"/>
            <w:u w:val="single"/>
          </w:rPr>
          <w:t>https://doi.org/10.6028/NIST.IR.8280</w:t>
        </w:r>
      </w:hyperlink>
    </w:p>
    <w:p w14:paraId="3B241B88" w14:textId="77777777" w:rsidR="00C82574" w:rsidRPr="00C82574" w:rsidRDefault="00C82574" w:rsidP="00C82574">
      <w:pPr>
        <w:spacing w:before="100" w:beforeAutospacing="1" w:after="100" w:afterAutospacing="1"/>
        <w:rPr>
          <w:sz w:val="24"/>
          <w:szCs w:val="24"/>
        </w:rPr>
      </w:pPr>
      <w:r w:rsidRPr="00C82574">
        <w:rPr>
          <w:sz w:val="24"/>
          <w:szCs w:val="24"/>
        </w:rPr>
        <w:t xml:space="preserve">Huang, G. B., Mattar, M., Berg, T., &amp; Learned-Miller, E. (2008). Labeled faces in the wild: A database for studying face recognition in unconstrained environments. In </w:t>
      </w:r>
      <w:r w:rsidRPr="00C82574">
        <w:rPr>
          <w:i/>
          <w:iCs/>
          <w:sz w:val="24"/>
          <w:szCs w:val="24"/>
        </w:rPr>
        <w:t>Workshop on Faces in “Real-Life” Images: Detection, Alignment, and Recognition</w:t>
      </w:r>
      <w:r w:rsidRPr="00C82574">
        <w:rPr>
          <w:sz w:val="24"/>
          <w:szCs w:val="24"/>
        </w:rPr>
        <w:t xml:space="preserve">. </w:t>
      </w:r>
      <w:hyperlink r:id="rId22" w:tgtFrame="_new" w:history="1">
        <w:r w:rsidRPr="00C82574">
          <w:rPr>
            <w:color w:val="0000FF"/>
            <w:sz w:val="24"/>
            <w:szCs w:val="24"/>
            <w:u w:val="single"/>
          </w:rPr>
          <w:t>https://people.cs.umass.edu/~elm/papers/Huang_eccv2008-lfw.pdf</w:t>
        </w:r>
      </w:hyperlink>
    </w:p>
    <w:p w14:paraId="7340FAF5" w14:textId="77777777" w:rsidR="00C82574" w:rsidRPr="00C82574" w:rsidRDefault="00C82574" w:rsidP="00C82574">
      <w:pPr>
        <w:spacing w:before="100" w:beforeAutospacing="1" w:after="100" w:afterAutospacing="1"/>
        <w:rPr>
          <w:sz w:val="24"/>
          <w:szCs w:val="24"/>
        </w:rPr>
      </w:pPr>
      <w:r w:rsidRPr="00C82574">
        <w:rPr>
          <w:sz w:val="24"/>
          <w:szCs w:val="24"/>
        </w:rPr>
        <w:t xml:space="preserve">International Organization for Standardization. (2011). </w:t>
      </w:r>
      <w:r w:rsidRPr="00C82574">
        <w:rPr>
          <w:i/>
          <w:iCs/>
          <w:sz w:val="24"/>
          <w:szCs w:val="24"/>
        </w:rPr>
        <w:t>Information technology—Biometric data interchange formats—Part 2: Finger minutiae data</w:t>
      </w:r>
      <w:r w:rsidRPr="00C82574">
        <w:rPr>
          <w:sz w:val="24"/>
          <w:szCs w:val="24"/>
        </w:rPr>
        <w:t xml:space="preserve"> (ISO/IEC 19794-2:2011). </w:t>
      </w:r>
      <w:hyperlink r:id="rId23" w:tgtFrame="_new" w:history="1">
        <w:r w:rsidRPr="00C82574">
          <w:rPr>
            <w:color w:val="0000FF"/>
            <w:sz w:val="24"/>
            <w:szCs w:val="24"/>
            <w:u w:val="single"/>
          </w:rPr>
          <w:t>https://www.iso.org/standard/50864.html</w:t>
        </w:r>
      </w:hyperlink>
    </w:p>
    <w:p w14:paraId="1EE87EF2" w14:textId="77777777" w:rsidR="00C82574" w:rsidRPr="00C82574" w:rsidRDefault="00C82574" w:rsidP="00C82574">
      <w:pPr>
        <w:spacing w:before="100" w:beforeAutospacing="1" w:after="100" w:afterAutospacing="1"/>
        <w:rPr>
          <w:sz w:val="24"/>
          <w:szCs w:val="24"/>
        </w:rPr>
      </w:pPr>
      <w:r w:rsidRPr="00C82574">
        <w:rPr>
          <w:sz w:val="24"/>
          <w:szCs w:val="24"/>
        </w:rPr>
        <w:t xml:space="preserve">International Organization for Standardization. (2023). </w:t>
      </w:r>
      <w:r w:rsidRPr="00C82574">
        <w:rPr>
          <w:i/>
          <w:iCs/>
          <w:sz w:val="24"/>
          <w:szCs w:val="24"/>
        </w:rPr>
        <w:t>Information technology—Biometric presentation attack detection—Part 3: Testing and reporting</w:t>
      </w:r>
      <w:r w:rsidRPr="00C82574">
        <w:rPr>
          <w:sz w:val="24"/>
          <w:szCs w:val="24"/>
        </w:rPr>
        <w:t xml:space="preserve"> (ISO/IEC 30107-3:2023). </w:t>
      </w:r>
      <w:hyperlink r:id="rId24" w:tgtFrame="_new" w:history="1">
        <w:r w:rsidRPr="00C82574">
          <w:rPr>
            <w:color w:val="0000FF"/>
            <w:sz w:val="24"/>
            <w:szCs w:val="24"/>
            <w:u w:val="single"/>
          </w:rPr>
          <w:t>https://www.iso.org/standard/79520.html</w:t>
        </w:r>
      </w:hyperlink>
    </w:p>
    <w:p w14:paraId="585AB9CB" w14:textId="77777777" w:rsidR="00C82574" w:rsidRPr="00C82574" w:rsidRDefault="00C82574" w:rsidP="00C82574">
      <w:pPr>
        <w:spacing w:before="100" w:beforeAutospacing="1" w:after="100" w:afterAutospacing="1"/>
        <w:rPr>
          <w:sz w:val="24"/>
          <w:szCs w:val="24"/>
        </w:rPr>
      </w:pPr>
      <w:r w:rsidRPr="00C82574">
        <w:rPr>
          <w:sz w:val="24"/>
          <w:szCs w:val="24"/>
        </w:rPr>
        <w:lastRenderedPageBreak/>
        <w:t xml:space="preserve">Jain, A. K., Ross, A., &amp; Prabhakar, S. (2004). An introduction to biometric recognition. </w:t>
      </w:r>
      <w:r w:rsidRPr="00C82574">
        <w:rPr>
          <w:i/>
          <w:iCs/>
          <w:sz w:val="24"/>
          <w:szCs w:val="24"/>
        </w:rPr>
        <w:t>IEEE Transactions on Circuits and Systems for Video Technology, 14</w:t>
      </w:r>
      <w:r w:rsidRPr="00C82574">
        <w:rPr>
          <w:sz w:val="24"/>
          <w:szCs w:val="24"/>
        </w:rPr>
        <w:t xml:space="preserve">(1), 4–20. </w:t>
      </w:r>
      <w:hyperlink r:id="rId25" w:tgtFrame="_new" w:history="1">
        <w:r w:rsidRPr="00C82574">
          <w:rPr>
            <w:color w:val="0000FF"/>
            <w:sz w:val="24"/>
            <w:szCs w:val="24"/>
            <w:u w:val="single"/>
          </w:rPr>
          <w:t>https://doi.org/10.1109/TCSVT.2003.818349</w:t>
        </w:r>
      </w:hyperlink>
    </w:p>
    <w:p w14:paraId="2B967D36" w14:textId="77777777" w:rsidR="00C82574" w:rsidRPr="00C82574" w:rsidRDefault="00C82574" w:rsidP="00C82574">
      <w:pPr>
        <w:spacing w:before="100" w:beforeAutospacing="1" w:after="100" w:afterAutospacing="1"/>
        <w:rPr>
          <w:sz w:val="24"/>
          <w:szCs w:val="24"/>
        </w:rPr>
      </w:pPr>
      <w:r w:rsidRPr="00C82574">
        <w:rPr>
          <w:sz w:val="24"/>
          <w:szCs w:val="24"/>
        </w:rPr>
        <w:t xml:space="preserve">Kushwah, R., Muradia, R., &amp; Bist, A. S. (2022). Novel AI-based approach for human body temperature evaluation using inner eye canthus localization from camera feed. </w:t>
      </w:r>
      <w:r w:rsidRPr="00C82574">
        <w:rPr>
          <w:i/>
          <w:iCs/>
          <w:sz w:val="24"/>
          <w:szCs w:val="24"/>
        </w:rPr>
        <w:t>Journal of Basic and Applied Research International, 28</w:t>
      </w:r>
      <w:r w:rsidRPr="00C82574">
        <w:rPr>
          <w:sz w:val="24"/>
          <w:szCs w:val="24"/>
        </w:rPr>
        <w:t xml:space="preserve">(5), 24–31. </w:t>
      </w:r>
      <w:hyperlink r:id="rId26" w:tgtFrame="_new" w:history="1">
        <w:r w:rsidRPr="00C82574">
          <w:rPr>
            <w:color w:val="0000FF"/>
            <w:sz w:val="24"/>
            <w:szCs w:val="24"/>
            <w:u w:val="single"/>
          </w:rPr>
          <w:t>https://doi.org/10.56557/jobari/2022/v28i57897</w:t>
        </w:r>
      </w:hyperlink>
    </w:p>
    <w:p w14:paraId="474E39A3" w14:textId="77777777" w:rsidR="00C82574" w:rsidRPr="00C82574" w:rsidRDefault="00C82574" w:rsidP="00C82574">
      <w:pPr>
        <w:spacing w:before="100" w:beforeAutospacing="1" w:after="100" w:afterAutospacing="1"/>
        <w:rPr>
          <w:sz w:val="24"/>
          <w:szCs w:val="24"/>
        </w:rPr>
      </w:pPr>
      <w:r w:rsidRPr="00C82574">
        <w:rPr>
          <w:sz w:val="24"/>
          <w:szCs w:val="24"/>
        </w:rPr>
        <w:t xml:space="preserve">LeCun, Y., Bengio, Y., &amp; Hinton, G. (2015). Deep learning. </w:t>
      </w:r>
      <w:r w:rsidRPr="00C82574">
        <w:rPr>
          <w:i/>
          <w:iCs/>
          <w:sz w:val="24"/>
          <w:szCs w:val="24"/>
        </w:rPr>
        <w:t>Nature, 521</w:t>
      </w:r>
      <w:r w:rsidRPr="00C82574">
        <w:rPr>
          <w:sz w:val="24"/>
          <w:szCs w:val="24"/>
        </w:rPr>
        <w:t xml:space="preserve">(7553), 436–444. </w:t>
      </w:r>
      <w:hyperlink r:id="rId27" w:tgtFrame="_new" w:history="1">
        <w:r w:rsidRPr="00C82574">
          <w:rPr>
            <w:color w:val="0000FF"/>
            <w:sz w:val="24"/>
            <w:szCs w:val="24"/>
            <w:u w:val="single"/>
          </w:rPr>
          <w:t>https://doi.org/10.1038/nature14539</w:t>
        </w:r>
      </w:hyperlink>
    </w:p>
    <w:p w14:paraId="1F0604D3" w14:textId="77777777" w:rsidR="00C82574" w:rsidRPr="00C82574" w:rsidRDefault="00C82574" w:rsidP="00C82574">
      <w:pPr>
        <w:spacing w:before="100" w:beforeAutospacing="1" w:after="100" w:afterAutospacing="1"/>
        <w:rPr>
          <w:sz w:val="24"/>
          <w:szCs w:val="24"/>
        </w:rPr>
      </w:pPr>
      <w:r w:rsidRPr="00C82574">
        <w:rPr>
          <w:sz w:val="24"/>
          <w:szCs w:val="24"/>
        </w:rPr>
        <w:t xml:space="preserve">Liu, Y., Jourabloo, A., &amp; Liu, X. (2018). Learning deep models for face anti-spoofing: Binary or auxiliary supervision. In </w:t>
      </w:r>
      <w:r w:rsidRPr="00C82574">
        <w:rPr>
          <w:i/>
          <w:iCs/>
          <w:sz w:val="24"/>
          <w:szCs w:val="24"/>
        </w:rPr>
        <w:t>2018 IEEE/CVF Conference on Computer Vision and Pattern Recognition (CVPR)</w:t>
      </w:r>
      <w:r w:rsidRPr="00C82574">
        <w:rPr>
          <w:sz w:val="24"/>
          <w:szCs w:val="24"/>
        </w:rPr>
        <w:t xml:space="preserve"> (pp. 389–398). IEEE. </w:t>
      </w:r>
      <w:hyperlink r:id="rId28" w:tgtFrame="_new" w:history="1">
        <w:r w:rsidRPr="00C82574">
          <w:rPr>
            <w:color w:val="0000FF"/>
            <w:sz w:val="24"/>
            <w:szCs w:val="24"/>
            <w:u w:val="single"/>
          </w:rPr>
          <w:t>https://doi.org/10.1109/CVPR.2018.00048</w:t>
        </w:r>
      </w:hyperlink>
    </w:p>
    <w:p w14:paraId="44F3C7A0" w14:textId="77777777" w:rsidR="00C82574" w:rsidRPr="00C82574" w:rsidRDefault="00C82574" w:rsidP="00C82574">
      <w:pPr>
        <w:spacing w:before="100" w:beforeAutospacing="1" w:after="100" w:afterAutospacing="1"/>
        <w:rPr>
          <w:sz w:val="24"/>
          <w:szCs w:val="24"/>
        </w:rPr>
      </w:pPr>
      <w:r w:rsidRPr="00C82574">
        <w:rPr>
          <w:sz w:val="24"/>
          <w:szCs w:val="24"/>
        </w:rPr>
        <w:t xml:space="preserve">Luo, Y., Zhang, Y., Yan, J., &amp; Liu, W. (2021). Generalizing face forgery detection with high-frequency features. In </w:t>
      </w:r>
      <w:r w:rsidRPr="00C82574">
        <w:rPr>
          <w:i/>
          <w:iCs/>
          <w:sz w:val="24"/>
          <w:szCs w:val="24"/>
        </w:rPr>
        <w:t>2021 IEEE/CVF Conference on Computer Vision and Pattern Recognition (CVPR)</w:t>
      </w:r>
      <w:r w:rsidRPr="00C82574">
        <w:rPr>
          <w:sz w:val="24"/>
          <w:szCs w:val="24"/>
        </w:rPr>
        <w:t xml:space="preserve"> (pp. 16317–16326). IEEE. </w:t>
      </w:r>
      <w:hyperlink r:id="rId29" w:tgtFrame="_new" w:history="1">
        <w:r w:rsidRPr="00C82574">
          <w:rPr>
            <w:color w:val="0000FF"/>
            <w:sz w:val="24"/>
            <w:szCs w:val="24"/>
            <w:u w:val="single"/>
          </w:rPr>
          <w:t>https://doi.org/10.1109/CVPR46437.2021.01605</w:t>
        </w:r>
      </w:hyperlink>
    </w:p>
    <w:p w14:paraId="573E2F13" w14:textId="77777777" w:rsidR="00C82574" w:rsidRPr="00C82574" w:rsidRDefault="00C82574" w:rsidP="00C82574">
      <w:pPr>
        <w:spacing w:before="100" w:beforeAutospacing="1" w:after="100" w:afterAutospacing="1"/>
        <w:rPr>
          <w:sz w:val="24"/>
          <w:szCs w:val="24"/>
        </w:rPr>
      </w:pPr>
      <w:r w:rsidRPr="00C82574">
        <w:rPr>
          <w:sz w:val="24"/>
          <w:szCs w:val="24"/>
        </w:rPr>
        <w:t xml:space="preserve">Meng, Q., Zhao, S., Huang, Z., &amp; Zhou, F. (2021). MagFace: A universal representation for face recognition and quality assessment. In </w:t>
      </w:r>
      <w:r w:rsidRPr="00C82574">
        <w:rPr>
          <w:i/>
          <w:iCs/>
          <w:sz w:val="24"/>
          <w:szCs w:val="24"/>
        </w:rPr>
        <w:t>2021 IEEE/CVF Conference on Computer Vision and Pattern Recognition (CVPR)</w:t>
      </w:r>
      <w:r w:rsidRPr="00C82574">
        <w:rPr>
          <w:sz w:val="24"/>
          <w:szCs w:val="24"/>
        </w:rPr>
        <w:t xml:space="preserve"> (pp. 14225–14234). IEEE. </w:t>
      </w:r>
      <w:hyperlink r:id="rId30" w:tgtFrame="_new" w:history="1">
        <w:r w:rsidRPr="00C82574">
          <w:rPr>
            <w:color w:val="0000FF"/>
            <w:sz w:val="24"/>
            <w:szCs w:val="24"/>
            <w:u w:val="single"/>
          </w:rPr>
          <w:t>https://doi.org/10.1109/CVPR46437.2021.01400</w:t>
        </w:r>
      </w:hyperlink>
    </w:p>
    <w:p w14:paraId="07A0BF9A" w14:textId="77777777" w:rsidR="00C82574" w:rsidRPr="00C82574" w:rsidRDefault="00C82574" w:rsidP="00C82574">
      <w:pPr>
        <w:spacing w:before="100" w:beforeAutospacing="1" w:after="100" w:afterAutospacing="1"/>
        <w:rPr>
          <w:sz w:val="24"/>
          <w:szCs w:val="24"/>
        </w:rPr>
      </w:pPr>
      <w:r w:rsidRPr="00C82574">
        <w:rPr>
          <w:sz w:val="24"/>
          <w:szCs w:val="24"/>
        </w:rPr>
        <w:t xml:space="preserve">Mishchenko, I. (2025). Biometric authentication in Android: Enhancing security with AI-powered solutions. </w:t>
      </w:r>
      <w:r w:rsidRPr="00C82574">
        <w:rPr>
          <w:i/>
          <w:iCs/>
          <w:sz w:val="24"/>
          <w:szCs w:val="24"/>
        </w:rPr>
        <w:t>Asian Journal of Research in Computer Science, 18</w:t>
      </w:r>
      <w:r w:rsidRPr="00C82574">
        <w:rPr>
          <w:sz w:val="24"/>
          <w:szCs w:val="24"/>
        </w:rPr>
        <w:t xml:space="preserve">(4), 416–426. </w:t>
      </w:r>
      <w:hyperlink r:id="rId31" w:tgtFrame="_new" w:history="1">
        <w:r w:rsidRPr="00C82574">
          <w:rPr>
            <w:color w:val="0000FF"/>
            <w:sz w:val="24"/>
            <w:szCs w:val="24"/>
            <w:u w:val="single"/>
          </w:rPr>
          <w:t>https://doi.org/10.9734/ajrcos/2025/v18i4629</w:t>
        </w:r>
      </w:hyperlink>
    </w:p>
    <w:p w14:paraId="3CE3264D" w14:textId="77777777" w:rsidR="00C82574" w:rsidRPr="00C82574" w:rsidRDefault="00C82574" w:rsidP="00C82574">
      <w:pPr>
        <w:spacing w:before="100" w:beforeAutospacing="1" w:after="100" w:afterAutospacing="1"/>
        <w:rPr>
          <w:sz w:val="24"/>
          <w:szCs w:val="24"/>
        </w:rPr>
      </w:pPr>
      <w:r w:rsidRPr="00C82574">
        <w:rPr>
          <w:sz w:val="24"/>
          <w:szCs w:val="24"/>
        </w:rPr>
        <w:t xml:space="preserve">Nandakumar, K., Chen, Y., Dass, S. C., &amp; Jain, A. K. (2008). Likelihood ratio-based biometric score fusion. </w:t>
      </w:r>
      <w:r w:rsidRPr="00C82574">
        <w:rPr>
          <w:i/>
          <w:iCs/>
          <w:sz w:val="24"/>
          <w:szCs w:val="24"/>
        </w:rPr>
        <w:t>IEEE Transactions on Pattern Analysis and Machine Intelligence, 30</w:t>
      </w:r>
      <w:r w:rsidRPr="00C82574">
        <w:rPr>
          <w:sz w:val="24"/>
          <w:szCs w:val="24"/>
        </w:rPr>
        <w:t xml:space="preserve">(2), 342–347. </w:t>
      </w:r>
      <w:hyperlink r:id="rId32" w:tgtFrame="_new" w:history="1">
        <w:r w:rsidRPr="00C82574">
          <w:rPr>
            <w:color w:val="0000FF"/>
            <w:sz w:val="24"/>
            <w:szCs w:val="24"/>
            <w:u w:val="single"/>
          </w:rPr>
          <w:t>https://doi.org/10.1109/TPAMI.2007.70796</w:t>
        </w:r>
      </w:hyperlink>
    </w:p>
    <w:p w14:paraId="71412A04" w14:textId="77777777" w:rsidR="00C82574" w:rsidRPr="00C82574" w:rsidRDefault="00C82574" w:rsidP="00C82574">
      <w:pPr>
        <w:spacing w:before="100" w:beforeAutospacing="1" w:after="100" w:afterAutospacing="1"/>
        <w:rPr>
          <w:sz w:val="24"/>
          <w:szCs w:val="24"/>
        </w:rPr>
      </w:pPr>
      <w:r w:rsidRPr="00C82574">
        <w:rPr>
          <w:sz w:val="24"/>
          <w:szCs w:val="24"/>
        </w:rPr>
        <w:t xml:space="preserve">Poh, N., &amp; Bengio, S. (2006). Database, protocols and tools for evaluating score-level fusion algorithms in biometric authentication. </w:t>
      </w:r>
      <w:r w:rsidRPr="00C82574">
        <w:rPr>
          <w:i/>
          <w:iCs/>
          <w:sz w:val="24"/>
          <w:szCs w:val="24"/>
        </w:rPr>
        <w:t>Pattern Recognition, 39</w:t>
      </w:r>
      <w:r w:rsidRPr="00C82574">
        <w:rPr>
          <w:sz w:val="24"/>
          <w:szCs w:val="24"/>
        </w:rPr>
        <w:t xml:space="preserve">(2), 223–233. </w:t>
      </w:r>
      <w:hyperlink r:id="rId33" w:tgtFrame="_new" w:history="1">
        <w:r w:rsidRPr="00C82574">
          <w:rPr>
            <w:color w:val="0000FF"/>
            <w:sz w:val="24"/>
            <w:szCs w:val="24"/>
            <w:u w:val="single"/>
          </w:rPr>
          <w:t>https://doi.org/10.1016/j.patcog.2005.06.011</w:t>
        </w:r>
      </w:hyperlink>
    </w:p>
    <w:p w14:paraId="6BF5D7AF" w14:textId="77777777" w:rsidR="00C82574" w:rsidRPr="00C82574" w:rsidRDefault="00C82574" w:rsidP="00C82574">
      <w:pPr>
        <w:spacing w:before="100" w:beforeAutospacing="1" w:after="100" w:afterAutospacing="1"/>
        <w:rPr>
          <w:sz w:val="24"/>
          <w:szCs w:val="24"/>
        </w:rPr>
      </w:pPr>
      <w:r w:rsidRPr="00C82574">
        <w:rPr>
          <w:sz w:val="24"/>
          <w:szCs w:val="24"/>
        </w:rPr>
        <w:t xml:space="preserve">Rattani, A., Scheirer, W. J., &amp; Ross, A. (2015). Open set fingerprint spoof detection across novel fabrication materials. </w:t>
      </w:r>
      <w:r w:rsidRPr="00C82574">
        <w:rPr>
          <w:i/>
          <w:iCs/>
          <w:sz w:val="24"/>
          <w:szCs w:val="24"/>
        </w:rPr>
        <w:t>IEEE Transactions on Information Forensics and Security, 10</w:t>
      </w:r>
      <w:r w:rsidRPr="00C82574">
        <w:rPr>
          <w:sz w:val="24"/>
          <w:szCs w:val="24"/>
        </w:rPr>
        <w:t xml:space="preserve">(11), 2447–2460. </w:t>
      </w:r>
      <w:hyperlink r:id="rId34" w:tgtFrame="_new" w:history="1">
        <w:r w:rsidRPr="00C82574">
          <w:rPr>
            <w:color w:val="0000FF"/>
            <w:sz w:val="24"/>
            <w:szCs w:val="24"/>
            <w:u w:val="single"/>
          </w:rPr>
          <w:t>https://doi.org/10.1109/TIFS.2015.2464772</w:t>
        </w:r>
      </w:hyperlink>
    </w:p>
    <w:p w14:paraId="516034B5" w14:textId="77777777" w:rsidR="00C82574" w:rsidRPr="00C82574" w:rsidRDefault="00C82574" w:rsidP="00C82574">
      <w:pPr>
        <w:spacing w:before="100" w:beforeAutospacing="1" w:after="100" w:afterAutospacing="1"/>
        <w:rPr>
          <w:sz w:val="24"/>
          <w:szCs w:val="24"/>
        </w:rPr>
      </w:pPr>
      <w:r w:rsidRPr="00C82574">
        <w:rPr>
          <w:sz w:val="24"/>
          <w:szCs w:val="24"/>
        </w:rPr>
        <w:t xml:space="preserve">Ross, A., &amp; Jain, A. K. (2003). Information fusion in biometrics. </w:t>
      </w:r>
      <w:r w:rsidRPr="00C82574">
        <w:rPr>
          <w:i/>
          <w:iCs/>
          <w:sz w:val="24"/>
          <w:szCs w:val="24"/>
        </w:rPr>
        <w:t>Pattern Recognition Letters, 24</w:t>
      </w:r>
      <w:r w:rsidRPr="00C82574">
        <w:rPr>
          <w:sz w:val="24"/>
          <w:szCs w:val="24"/>
        </w:rPr>
        <w:t xml:space="preserve">(13), 2115–2125. </w:t>
      </w:r>
      <w:hyperlink r:id="rId35" w:tgtFrame="_new" w:history="1">
        <w:r w:rsidRPr="00C82574">
          <w:rPr>
            <w:color w:val="0000FF"/>
            <w:sz w:val="24"/>
            <w:szCs w:val="24"/>
            <w:u w:val="single"/>
          </w:rPr>
          <w:t>https://doi.org/10.1016/S0167-8655(03)00079-5</w:t>
        </w:r>
      </w:hyperlink>
    </w:p>
    <w:p w14:paraId="72D2DF63" w14:textId="77777777" w:rsidR="00C82574" w:rsidRPr="00C82574" w:rsidRDefault="00C82574" w:rsidP="00C82574">
      <w:pPr>
        <w:spacing w:before="100" w:beforeAutospacing="1" w:after="100" w:afterAutospacing="1"/>
        <w:rPr>
          <w:sz w:val="24"/>
          <w:szCs w:val="24"/>
        </w:rPr>
      </w:pPr>
      <w:r w:rsidRPr="00C82574">
        <w:rPr>
          <w:sz w:val="24"/>
          <w:szCs w:val="24"/>
        </w:rPr>
        <w:t xml:space="preserve">Salturk, S., &amp; Kahraman, N. (2024). Deep learning-powered multimodal biometric authentication: Integrating dynamic signatures and facial data for enhanced online security. </w:t>
      </w:r>
      <w:r w:rsidRPr="00C82574">
        <w:rPr>
          <w:i/>
          <w:iCs/>
          <w:sz w:val="24"/>
          <w:szCs w:val="24"/>
        </w:rPr>
        <w:t>Neural Computing and Applications, 36</w:t>
      </w:r>
      <w:r w:rsidRPr="00C82574">
        <w:rPr>
          <w:sz w:val="24"/>
          <w:szCs w:val="24"/>
        </w:rPr>
        <w:t xml:space="preserve">(19), 11311–11322. </w:t>
      </w:r>
      <w:hyperlink r:id="rId36" w:tgtFrame="_new" w:history="1">
        <w:r w:rsidRPr="00C82574">
          <w:rPr>
            <w:color w:val="0000FF"/>
            <w:sz w:val="24"/>
            <w:szCs w:val="24"/>
            <w:u w:val="single"/>
          </w:rPr>
          <w:t>https://doi.org/10.1007/s00521-024-09690-2</w:t>
        </w:r>
      </w:hyperlink>
    </w:p>
    <w:p w14:paraId="1ED0DECA" w14:textId="77777777" w:rsidR="00C82574" w:rsidRPr="00C82574" w:rsidRDefault="00C82574" w:rsidP="00C82574">
      <w:pPr>
        <w:spacing w:before="100" w:beforeAutospacing="1" w:after="100" w:afterAutospacing="1"/>
        <w:rPr>
          <w:sz w:val="24"/>
          <w:szCs w:val="24"/>
        </w:rPr>
      </w:pPr>
      <w:r w:rsidRPr="00C82574">
        <w:rPr>
          <w:sz w:val="24"/>
          <w:szCs w:val="24"/>
        </w:rPr>
        <w:lastRenderedPageBreak/>
        <w:t xml:space="preserve">Sandler, M., Howard, A., Zhu, M., Zhmoginov, A., &amp; Chen, L.-C. (2018). MobileNetV2: Inverted residuals and linear bottlenecks. In </w:t>
      </w:r>
      <w:r w:rsidRPr="00C82574">
        <w:rPr>
          <w:i/>
          <w:iCs/>
          <w:sz w:val="24"/>
          <w:szCs w:val="24"/>
        </w:rPr>
        <w:t>2018 IEEE/CVF Conference on Computer Vision and Pattern Recognition (CVPR)</w:t>
      </w:r>
      <w:r w:rsidRPr="00C82574">
        <w:rPr>
          <w:sz w:val="24"/>
          <w:szCs w:val="24"/>
        </w:rPr>
        <w:t xml:space="preserve"> (pp. 4510–4520). IEEE. </w:t>
      </w:r>
      <w:hyperlink r:id="rId37" w:tgtFrame="_new" w:history="1">
        <w:r w:rsidRPr="00C82574">
          <w:rPr>
            <w:color w:val="0000FF"/>
            <w:sz w:val="24"/>
            <w:szCs w:val="24"/>
            <w:u w:val="single"/>
          </w:rPr>
          <w:t>https://doi.org/10.1109/CVPR.2018.00474</w:t>
        </w:r>
      </w:hyperlink>
    </w:p>
    <w:p w14:paraId="4DFFAEBE" w14:textId="77777777" w:rsidR="00C82574" w:rsidRPr="00C82574" w:rsidRDefault="00C82574" w:rsidP="00C82574">
      <w:pPr>
        <w:spacing w:before="100" w:beforeAutospacing="1" w:after="100" w:afterAutospacing="1"/>
        <w:rPr>
          <w:sz w:val="24"/>
          <w:szCs w:val="24"/>
        </w:rPr>
      </w:pPr>
      <w:r w:rsidRPr="00C82574">
        <w:rPr>
          <w:sz w:val="24"/>
          <w:szCs w:val="24"/>
        </w:rPr>
        <w:t xml:space="preserve">Schroff, F., Kalenichenko, D., &amp; Philbin, J. (2015). FaceNet: A unified embedding for face recognition and clustering. In </w:t>
      </w:r>
      <w:r w:rsidRPr="00C82574">
        <w:rPr>
          <w:i/>
          <w:iCs/>
          <w:sz w:val="24"/>
          <w:szCs w:val="24"/>
        </w:rPr>
        <w:t>2015 IEEE Conference on Computer Vision and Pattern Recognition (CVPR)</w:t>
      </w:r>
      <w:r w:rsidRPr="00C82574">
        <w:rPr>
          <w:sz w:val="24"/>
          <w:szCs w:val="24"/>
        </w:rPr>
        <w:t xml:space="preserve"> (pp. 815–823). IEEE. </w:t>
      </w:r>
      <w:hyperlink r:id="rId38" w:tgtFrame="_new" w:history="1">
        <w:r w:rsidRPr="00C82574">
          <w:rPr>
            <w:color w:val="0000FF"/>
            <w:sz w:val="24"/>
            <w:szCs w:val="24"/>
            <w:u w:val="single"/>
          </w:rPr>
          <w:t>https://doi.org/10.1109/CVPR.2015.7298682</w:t>
        </w:r>
      </w:hyperlink>
    </w:p>
    <w:p w14:paraId="64DF942D" w14:textId="77777777" w:rsidR="00C82574" w:rsidRPr="00C82574" w:rsidRDefault="00C82574" w:rsidP="00C82574">
      <w:pPr>
        <w:spacing w:before="100" w:beforeAutospacing="1" w:after="100" w:afterAutospacing="1"/>
        <w:rPr>
          <w:sz w:val="24"/>
          <w:szCs w:val="24"/>
        </w:rPr>
      </w:pPr>
      <w:r w:rsidRPr="00C82574">
        <w:rPr>
          <w:sz w:val="24"/>
          <w:szCs w:val="24"/>
        </w:rPr>
        <w:t xml:space="preserve">Tabassi, E., Wilson, C. L., &amp; Watson, C. I. (2004). </w:t>
      </w:r>
      <w:r w:rsidRPr="00C82574">
        <w:rPr>
          <w:i/>
          <w:iCs/>
          <w:sz w:val="24"/>
          <w:szCs w:val="24"/>
        </w:rPr>
        <w:t>Fingerprint image quality</w:t>
      </w:r>
      <w:r w:rsidRPr="00C82574">
        <w:rPr>
          <w:sz w:val="24"/>
          <w:szCs w:val="24"/>
        </w:rPr>
        <w:t xml:space="preserve"> (NISTIR 7151). National Institute of Standards and Technology. </w:t>
      </w:r>
      <w:hyperlink r:id="rId39" w:tgtFrame="_new" w:history="1">
        <w:r w:rsidRPr="00C82574">
          <w:rPr>
            <w:color w:val="0000FF"/>
            <w:sz w:val="24"/>
            <w:szCs w:val="24"/>
            <w:u w:val="single"/>
          </w:rPr>
          <w:t>https://doi.org/10.6028/NIST.IR.7151</w:t>
        </w:r>
      </w:hyperlink>
    </w:p>
    <w:p w14:paraId="7044646D" w14:textId="77777777" w:rsidR="00C82574" w:rsidRPr="00C82574" w:rsidRDefault="00C82574" w:rsidP="00C82574">
      <w:pPr>
        <w:spacing w:before="100" w:beforeAutospacing="1" w:after="100" w:afterAutospacing="1"/>
        <w:rPr>
          <w:sz w:val="24"/>
          <w:szCs w:val="24"/>
        </w:rPr>
      </w:pPr>
      <w:r w:rsidRPr="00C82574">
        <w:rPr>
          <w:sz w:val="24"/>
          <w:szCs w:val="24"/>
        </w:rPr>
        <w:t xml:space="preserve">Taigman, Y., Yang, M., Ranzato, M., &amp; Wolf, L. (2014). DeepFace: Closing the gap to human-level performance in face verification. In </w:t>
      </w:r>
      <w:r w:rsidRPr="00C82574">
        <w:rPr>
          <w:i/>
          <w:iCs/>
          <w:sz w:val="24"/>
          <w:szCs w:val="24"/>
        </w:rPr>
        <w:t>2014 IEEE Conference on Computer Vision and Pattern Recognition (CVPR)</w:t>
      </w:r>
      <w:r w:rsidRPr="00C82574">
        <w:rPr>
          <w:sz w:val="24"/>
          <w:szCs w:val="24"/>
        </w:rPr>
        <w:t xml:space="preserve"> (pp. 1701–1708). IEEE. </w:t>
      </w:r>
      <w:hyperlink r:id="rId40" w:tgtFrame="_new" w:history="1">
        <w:r w:rsidRPr="00C82574">
          <w:rPr>
            <w:color w:val="0000FF"/>
            <w:sz w:val="24"/>
            <w:szCs w:val="24"/>
            <w:u w:val="single"/>
          </w:rPr>
          <w:t>https://doi.org/10.1109/CVPR.2014.220</w:t>
        </w:r>
      </w:hyperlink>
    </w:p>
    <w:p w14:paraId="0ACDA0E3" w14:textId="77777777" w:rsidR="00C82574" w:rsidRPr="00C82574" w:rsidRDefault="00C82574" w:rsidP="00C82574">
      <w:pPr>
        <w:spacing w:before="100" w:beforeAutospacing="1" w:after="100" w:afterAutospacing="1"/>
        <w:rPr>
          <w:sz w:val="24"/>
          <w:szCs w:val="24"/>
        </w:rPr>
      </w:pPr>
      <w:r w:rsidRPr="00C82574">
        <w:rPr>
          <w:sz w:val="24"/>
          <w:szCs w:val="24"/>
        </w:rPr>
        <w:t xml:space="preserve">Tang, Y., Gao, F., Feng, J., &amp; Liu, Y. (2017). FingerNet: </w:t>
      </w:r>
      <w:proofErr w:type="gramStart"/>
      <w:r w:rsidRPr="00C82574">
        <w:rPr>
          <w:sz w:val="24"/>
          <w:szCs w:val="24"/>
        </w:rPr>
        <w:t>An</w:t>
      </w:r>
      <w:proofErr w:type="gramEnd"/>
      <w:r w:rsidRPr="00C82574">
        <w:rPr>
          <w:sz w:val="24"/>
          <w:szCs w:val="24"/>
        </w:rPr>
        <w:t xml:space="preserve"> unified deep network for fingerprint minutiae extraction. In </w:t>
      </w:r>
      <w:r w:rsidRPr="00C82574">
        <w:rPr>
          <w:i/>
          <w:iCs/>
          <w:sz w:val="24"/>
          <w:szCs w:val="24"/>
        </w:rPr>
        <w:t>2017 IEEE International Joint Conference on Biometrics (IJCB)</w:t>
      </w:r>
      <w:r w:rsidRPr="00C82574">
        <w:rPr>
          <w:sz w:val="24"/>
          <w:szCs w:val="24"/>
        </w:rPr>
        <w:t xml:space="preserve"> (pp. 108–116). IEEE. </w:t>
      </w:r>
      <w:hyperlink r:id="rId41" w:tgtFrame="_new" w:history="1">
        <w:r w:rsidRPr="00C82574">
          <w:rPr>
            <w:color w:val="0000FF"/>
            <w:sz w:val="24"/>
            <w:szCs w:val="24"/>
            <w:u w:val="single"/>
          </w:rPr>
          <w:t>https://doi.org/10.1109/BTAS.2017.8272688</w:t>
        </w:r>
      </w:hyperlink>
    </w:p>
    <w:p w14:paraId="0DA1DE8A" w14:textId="77777777" w:rsidR="00C82574" w:rsidRPr="00C82574" w:rsidRDefault="00C82574" w:rsidP="00C82574">
      <w:pPr>
        <w:spacing w:before="100" w:beforeAutospacing="1" w:after="100" w:afterAutospacing="1"/>
        <w:rPr>
          <w:sz w:val="24"/>
          <w:szCs w:val="24"/>
        </w:rPr>
      </w:pPr>
      <w:r w:rsidRPr="00C82574">
        <w:rPr>
          <w:sz w:val="24"/>
          <w:szCs w:val="24"/>
        </w:rPr>
        <w:t xml:space="preserve">Wang, H., Wang, Y., Zhou, Z., Ji, X., Gong, D., Zhou, J., Li, Z., &amp; Liu, W. (2018). CosFace: Large margin cosine loss for deep face recognition. In </w:t>
      </w:r>
      <w:r w:rsidRPr="00C82574">
        <w:rPr>
          <w:i/>
          <w:iCs/>
          <w:sz w:val="24"/>
          <w:szCs w:val="24"/>
        </w:rPr>
        <w:t>2018 IEEE/CVF Conference on Computer Vision and Pattern Recognition (CVPR)</w:t>
      </w:r>
      <w:r w:rsidRPr="00C82574">
        <w:rPr>
          <w:sz w:val="24"/>
          <w:szCs w:val="24"/>
        </w:rPr>
        <w:t xml:space="preserve"> (pp. 5265–5274). IEEE. </w:t>
      </w:r>
      <w:hyperlink r:id="rId42" w:tgtFrame="_new" w:history="1">
        <w:r w:rsidRPr="00C82574">
          <w:rPr>
            <w:color w:val="0000FF"/>
            <w:sz w:val="24"/>
            <w:szCs w:val="24"/>
            <w:u w:val="single"/>
          </w:rPr>
          <w:t>https://doi.org/10.1109/CVPR.2018.00552</w:t>
        </w:r>
      </w:hyperlink>
    </w:p>
    <w:p w14:paraId="15E2FED8" w14:textId="77777777" w:rsidR="00C82574" w:rsidRPr="00C82574" w:rsidRDefault="00C82574" w:rsidP="00C82574">
      <w:pPr>
        <w:spacing w:before="100" w:beforeAutospacing="1" w:after="100" w:afterAutospacing="1"/>
        <w:rPr>
          <w:sz w:val="24"/>
          <w:szCs w:val="24"/>
        </w:rPr>
      </w:pPr>
      <w:r w:rsidRPr="00C82574">
        <w:rPr>
          <w:sz w:val="24"/>
          <w:szCs w:val="24"/>
        </w:rPr>
        <w:t xml:space="preserve">Wang, W., den Brinker, A. C., Stuijk, S., &amp; de Haan, G. (2017). Algorithmic principles of remote-PPG. </w:t>
      </w:r>
      <w:r w:rsidRPr="00C82574">
        <w:rPr>
          <w:i/>
          <w:iCs/>
          <w:sz w:val="24"/>
          <w:szCs w:val="24"/>
        </w:rPr>
        <w:t>IEEE Transactions on Biomedical Engineering, 64</w:t>
      </w:r>
      <w:r w:rsidRPr="00C82574">
        <w:rPr>
          <w:sz w:val="24"/>
          <w:szCs w:val="24"/>
        </w:rPr>
        <w:t xml:space="preserve">(7), 1479–1491. </w:t>
      </w:r>
      <w:hyperlink r:id="rId43" w:tgtFrame="_new" w:history="1">
        <w:r w:rsidRPr="00C82574">
          <w:rPr>
            <w:color w:val="0000FF"/>
            <w:sz w:val="24"/>
            <w:szCs w:val="24"/>
            <w:u w:val="single"/>
          </w:rPr>
          <w:t>https://doi.org/10.1109/TBME.2016.2609282</w:t>
        </w:r>
      </w:hyperlink>
    </w:p>
    <w:p w14:paraId="40576C7A" w14:textId="77777777" w:rsidR="00C82574" w:rsidRPr="00C82574" w:rsidRDefault="00C82574" w:rsidP="00C82574">
      <w:pPr>
        <w:spacing w:before="100" w:beforeAutospacing="1" w:after="100" w:afterAutospacing="1"/>
        <w:rPr>
          <w:sz w:val="24"/>
          <w:szCs w:val="24"/>
        </w:rPr>
      </w:pPr>
      <w:r w:rsidRPr="00C82574">
        <w:rPr>
          <w:sz w:val="24"/>
          <w:szCs w:val="24"/>
        </w:rPr>
        <w:t xml:space="preserve">Yu, Z., Cai, R., Cui, Y., Liu, X., Hu, Y., &amp; Kot, A. C. (2024). Rethinking vision transformer and masked autoencoder in multimodal face anti-spoofing. </w:t>
      </w:r>
      <w:r w:rsidRPr="00C82574">
        <w:rPr>
          <w:i/>
          <w:iCs/>
          <w:sz w:val="24"/>
          <w:szCs w:val="24"/>
        </w:rPr>
        <w:t>International Journal of Computer Vision, 132</w:t>
      </w:r>
      <w:r w:rsidRPr="00C82574">
        <w:rPr>
          <w:sz w:val="24"/>
          <w:szCs w:val="24"/>
        </w:rPr>
        <w:t xml:space="preserve">(11), 5217–5238. </w:t>
      </w:r>
      <w:hyperlink r:id="rId44" w:tgtFrame="_new" w:history="1">
        <w:r w:rsidRPr="00C82574">
          <w:rPr>
            <w:color w:val="0000FF"/>
            <w:sz w:val="24"/>
            <w:szCs w:val="24"/>
            <w:u w:val="single"/>
          </w:rPr>
          <w:t>https://doi.org/10.1007/s11263-024-02055-1</w:t>
        </w:r>
      </w:hyperlink>
    </w:p>
    <w:p w14:paraId="74E94D26" w14:textId="77777777" w:rsidR="00C82574" w:rsidRPr="00C82574" w:rsidRDefault="00C82574" w:rsidP="00C82574">
      <w:pPr>
        <w:spacing w:before="100" w:beforeAutospacing="1" w:after="100" w:afterAutospacing="1"/>
        <w:rPr>
          <w:sz w:val="24"/>
          <w:szCs w:val="24"/>
        </w:rPr>
      </w:pPr>
      <w:r w:rsidRPr="00C82574">
        <w:rPr>
          <w:sz w:val="24"/>
          <w:szCs w:val="24"/>
        </w:rPr>
        <w:t xml:space="preserve">Zheng, X. X., Taha, B., Rahman, M. M. U., Masood, M., Hatzinakos, D., &amp; Al-Naffouri, T. (2025). Multimodal biometric authentication using camera-based PPG and fingerprint fusion. </w:t>
      </w:r>
      <w:r w:rsidRPr="00C82574">
        <w:rPr>
          <w:i/>
          <w:iCs/>
          <w:sz w:val="24"/>
          <w:szCs w:val="24"/>
        </w:rPr>
        <w:t>Pattern Recognition Letters, 197</w:t>
      </w:r>
      <w:r w:rsidRPr="00C82574">
        <w:rPr>
          <w:sz w:val="24"/>
          <w:szCs w:val="24"/>
        </w:rPr>
        <w:t xml:space="preserve">, 1–7. </w:t>
      </w:r>
      <w:hyperlink r:id="rId45" w:tgtFrame="_new" w:history="1">
        <w:r w:rsidRPr="00C82574">
          <w:rPr>
            <w:color w:val="0000FF"/>
            <w:sz w:val="24"/>
            <w:szCs w:val="24"/>
            <w:u w:val="single"/>
          </w:rPr>
          <w:t>https://doi.org/10.1016/j.patrec.2025.06.017</w:t>
        </w:r>
      </w:hyperlink>
    </w:p>
    <w:p w14:paraId="7170432B" w14:textId="77777777" w:rsidR="00C82574" w:rsidRPr="004E4504" w:rsidRDefault="00C82574">
      <w:pPr>
        <w:spacing w:before="160" w:after="80"/>
        <w:jc w:val="both"/>
        <w:rPr>
          <w:sz w:val="22"/>
          <w:szCs w:val="22"/>
        </w:rPr>
      </w:pPr>
    </w:p>
    <w:sectPr w:rsidR="00C82574" w:rsidRPr="004E4504">
      <w:headerReference w:type="even" r:id="rId46"/>
      <w:headerReference w:type="default" r:id="rId47"/>
      <w:footerReference w:type="even" r:id="rId48"/>
      <w:footerReference w:type="default" r:id="rId49"/>
      <w:headerReference w:type="first" r:id="rId50"/>
      <w:footerReference w:type="first" r:id="rId51"/>
      <w:type w:val="continuous"/>
      <w:pgSz w:w="12240" w:h="15840"/>
      <w:pgMar w:top="1440" w:right="1080" w:bottom="144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E35EC" w14:textId="77777777" w:rsidR="00F16C51" w:rsidRDefault="00F16C51">
      <w:r>
        <w:separator/>
      </w:r>
    </w:p>
  </w:endnote>
  <w:endnote w:type="continuationSeparator" w:id="0">
    <w:p w14:paraId="64A0A1B3" w14:textId="77777777" w:rsidR="00F16C51" w:rsidRDefault="00F16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6EE0" w14:textId="77777777" w:rsidR="00196287" w:rsidRDefault="001962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0527" w14:textId="77777777" w:rsidR="00196287" w:rsidRDefault="00196287">
    <w:pPr>
      <w:spacing w:before="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3817F" w14:textId="77777777" w:rsidR="00196287" w:rsidRDefault="00196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78ACE" w14:textId="77777777" w:rsidR="00F16C51" w:rsidRDefault="00F16C51">
      <w:r>
        <w:separator/>
      </w:r>
    </w:p>
  </w:footnote>
  <w:footnote w:type="continuationSeparator" w:id="0">
    <w:p w14:paraId="2357BCAE" w14:textId="77777777" w:rsidR="00F16C51" w:rsidRDefault="00F16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78A6" w14:textId="77777777" w:rsidR="00196287" w:rsidRDefault="00000000">
    <w:pPr>
      <w:pStyle w:val="Header"/>
    </w:pPr>
    <w:r>
      <w:pict w14:anchorId="63212A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79" o:spid="_x0000_s1026" type="#_x0000_t136" style="position:absolute;margin-left:0;margin-top:0;width:639.45pt;height:71.05pt;rotation:315;z-index:-251660288;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8561" w14:textId="77777777" w:rsidR="00196287" w:rsidRDefault="00000000">
    <w:pPr>
      <w:pStyle w:val="Header"/>
    </w:pPr>
    <w:r>
      <w:pict w14:anchorId="0A6918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80" o:spid="_x0000_s1027" type="#_x0000_t136" style="position:absolute;margin-left:0;margin-top:0;width:639.45pt;height:71.05pt;rotation:315;z-index:-251659264;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D4570" w14:textId="77777777" w:rsidR="00196287" w:rsidRDefault="00000000">
    <w:pPr>
      <w:pStyle w:val="Header"/>
    </w:pPr>
    <w:r>
      <w:pict w14:anchorId="7CD3D9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78" o:spid="_x0000_s1025" type="#_x0000_t136" style="position:absolute;margin-left:0;margin-top:0;width:639.45pt;height:71.05pt;rotation:315;z-index:-251661312;mso-position-horizontal:center;mso-position-horizontal-relative:margin;mso-position-vertical:center;mso-position-vertical-relative:margin;mso-width-relative:page;mso-height-relative:page" o:allowincell="f" fillcolor="silver" stroked="f">
          <v:fill opacity=".5"/>
          <v:textpath style="font-family:&quot;Times New Roman&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55B0"/>
    <w:multiLevelType w:val="multilevel"/>
    <w:tmpl w:val="053E55B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368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0NDUxNbM0NDM2MTdR0lEKTi0uzszPAykwrAUAMwWikSwAAAA="/>
  </w:docVars>
  <w:rsids>
    <w:rsidRoot w:val="000C245C"/>
    <w:rsid w:val="000160B5"/>
    <w:rsid w:val="000553D5"/>
    <w:rsid w:val="00071B9C"/>
    <w:rsid w:val="00076824"/>
    <w:rsid w:val="000C245C"/>
    <w:rsid w:val="000C34C0"/>
    <w:rsid w:val="00154547"/>
    <w:rsid w:val="00160941"/>
    <w:rsid w:val="00162F2D"/>
    <w:rsid w:val="00196287"/>
    <w:rsid w:val="00263401"/>
    <w:rsid w:val="002B2F0B"/>
    <w:rsid w:val="002F4BE2"/>
    <w:rsid w:val="002F663A"/>
    <w:rsid w:val="003500D3"/>
    <w:rsid w:val="003516A0"/>
    <w:rsid w:val="003B01A0"/>
    <w:rsid w:val="003C4095"/>
    <w:rsid w:val="003D18DA"/>
    <w:rsid w:val="003D5EC9"/>
    <w:rsid w:val="00412343"/>
    <w:rsid w:val="00440C00"/>
    <w:rsid w:val="004A5CDA"/>
    <w:rsid w:val="004E4504"/>
    <w:rsid w:val="00507B87"/>
    <w:rsid w:val="00515E8C"/>
    <w:rsid w:val="005305BC"/>
    <w:rsid w:val="00543541"/>
    <w:rsid w:val="005747A6"/>
    <w:rsid w:val="00591D3D"/>
    <w:rsid w:val="005E50CB"/>
    <w:rsid w:val="006B3453"/>
    <w:rsid w:val="006C704B"/>
    <w:rsid w:val="006C75A9"/>
    <w:rsid w:val="006D3B90"/>
    <w:rsid w:val="006F06EE"/>
    <w:rsid w:val="00721D5E"/>
    <w:rsid w:val="007255DC"/>
    <w:rsid w:val="007B498A"/>
    <w:rsid w:val="007C3388"/>
    <w:rsid w:val="007C5024"/>
    <w:rsid w:val="007F7812"/>
    <w:rsid w:val="008109B8"/>
    <w:rsid w:val="00875F0B"/>
    <w:rsid w:val="008C2447"/>
    <w:rsid w:val="008F39CE"/>
    <w:rsid w:val="009322C4"/>
    <w:rsid w:val="00944650"/>
    <w:rsid w:val="0098557F"/>
    <w:rsid w:val="00995C24"/>
    <w:rsid w:val="00A041AD"/>
    <w:rsid w:val="00A76F1C"/>
    <w:rsid w:val="00AF1278"/>
    <w:rsid w:val="00B16405"/>
    <w:rsid w:val="00C1289A"/>
    <w:rsid w:val="00C21B96"/>
    <w:rsid w:val="00C62964"/>
    <w:rsid w:val="00C82574"/>
    <w:rsid w:val="00CA1992"/>
    <w:rsid w:val="00D00AA7"/>
    <w:rsid w:val="00D350B0"/>
    <w:rsid w:val="00D36D16"/>
    <w:rsid w:val="00D37575"/>
    <w:rsid w:val="00D57AC8"/>
    <w:rsid w:val="00DB551C"/>
    <w:rsid w:val="00DF08CA"/>
    <w:rsid w:val="00E370D5"/>
    <w:rsid w:val="00E83B4D"/>
    <w:rsid w:val="00EF11C9"/>
    <w:rsid w:val="00F16C51"/>
    <w:rsid w:val="00F34FA9"/>
    <w:rsid w:val="00F54BAB"/>
    <w:rsid w:val="00F6097D"/>
    <w:rsid w:val="00F67ED9"/>
    <w:rsid w:val="00F71759"/>
    <w:rsid w:val="00F8248B"/>
    <w:rsid w:val="00F907F7"/>
    <w:rsid w:val="091D3207"/>
    <w:rsid w:val="11B56F58"/>
    <w:rsid w:val="183B4377"/>
    <w:rsid w:val="232C48BA"/>
    <w:rsid w:val="248300C3"/>
    <w:rsid w:val="292803F7"/>
    <w:rsid w:val="2A8C7CE6"/>
    <w:rsid w:val="2D291BC2"/>
    <w:rsid w:val="3E433092"/>
    <w:rsid w:val="3F0B06B3"/>
    <w:rsid w:val="3F4C6CE8"/>
    <w:rsid w:val="44D746C5"/>
    <w:rsid w:val="4F4949ED"/>
    <w:rsid w:val="54A772FA"/>
    <w:rsid w:val="5A2749B0"/>
    <w:rsid w:val="61C405D1"/>
    <w:rsid w:val="75292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9CF30"/>
  <w15:docId w15:val="{33CECDFE-661E-4FF2-8B73-208646CB5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uiPriority w:val="9"/>
    <w:qFormat/>
    <w:pPr>
      <w:outlineLvl w:val="0"/>
    </w:pPr>
    <w:rPr>
      <w:color w:val="2E74B5"/>
      <w:sz w:val="32"/>
      <w:szCs w:val="32"/>
    </w:rPr>
  </w:style>
  <w:style w:type="paragraph" w:styleId="Heading2">
    <w:name w:val="heading 2"/>
    <w:next w:val="Normal"/>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pPr>
    <w:rPr>
      <w:i/>
      <w:iCs/>
      <w:color w:val="44546A" w:themeColor="text2"/>
      <w:sz w:val="18"/>
      <w:szCs w:val="18"/>
    </w:rPr>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NormalWeb">
    <w:name w:val="Normal (Web)"/>
    <w:basedOn w:val="Normal"/>
    <w:uiPriority w:val="99"/>
    <w:semiHidden/>
    <w:unhideWhenUsed/>
    <w:pPr>
      <w:spacing w:before="100" w:beforeAutospacing="1" w:after="100" w:afterAutospacing="1"/>
    </w:pPr>
    <w:rPr>
      <w:sz w:val="24"/>
      <w:szCs w:val="24"/>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978-1-4615-0491-7" TargetMode="External"/><Relationship Id="rId18" Type="http://schemas.openxmlformats.org/officeDocument/2006/relationships/hyperlink" Target="https://doi.org/10.1109/TMM.2015.2477042" TargetMode="External"/><Relationship Id="rId26" Type="http://schemas.openxmlformats.org/officeDocument/2006/relationships/hyperlink" Target="https://doi.org/10.56557/jobari/2022/v28i57897" TargetMode="External"/><Relationship Id="rId39" Type="http://schemas.openxmlformats.org/officeDocument/2006/relationships/hyperlink" Target="https://doi.org/10.6028/NIST.IR.7151" TargetMode="External"/><Relationship Id="rId21" Type="http://schemas.openxmlformats.org/officeDocument/2006/relationships/hyperlink" Target="https://doi.org/10.6028/NIST.IR.8280?utm_source=chatgpt.com" TargetMode="External"/><Relationship Id="rId34" Type="http://schemas.openxmlformats.org/officeDocument/2006/relationships/hyperlink" Target="https://doi.org/10.1109/TIFS.2015.2464772" TargetMode="External"/><Relationship Id="rId42" Type="http://schemas.openxmlformats.org/officeDocument/2006/relationships/hyperlink" Target="https://doi.org/10.1109/CVPR.2018.00552"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ceedings.mlr.press/v119/chen20j.html?utm_source=chatgpt.com" TargetMode="External"/><Relationship Id="rId29" Type="http://schemas.openxmlformats.org/officeDocument/2006/relationships/hyperlink" Target="https://doi.org/10.1109/CVPR46437.2021.01605?utm_source=chatgpt.com" TargetMode="External"/><Relationship Id="rId11" Type="http://schemas.openxmlformats.org/officeDocument/2006/relationships/hyperlink" Target="https://doi.org/10.1109/ICEECCOT43722.2018.9001636" TargetMode="External"/><Relationship Id="rId24" Type="http://schemas.openxmlformats.org/officeDocument/2006/relationships/hyperlink" Target="https://www.iso.org/standard/79520.html?utm_source=chatgpt.com" TargetMode="External"/><Relationship Id="rId32" Type="http://schemas.openxmlformats.org/officeDocument/2006/relationships/hyperlink" Target="https://doi.org/10.1109/TPAMI.2007.70796" TargetMode="External"/><Relationship Id="rId37" Type="http://schemas.openxmlformats.org/officeDocument/2006/relationships/hyperlink" Target="https://doi.org/10.1109/CVPR.2018.00474" TargetMode="External"/><Relationship Id="rId40" Type="http://schemas.openxmlformats.org/officeDocument/2006/relationships/hyperlink" Target="https://doi.org/10.1109/CVPR.2014.220" TargetMode="External"/><Relationship Id="rId45" Type="http://schemas.openxmlformats.org/officeDocument/2006/relationships/hyperlink" Target="https://doi.org/10.1016/j.patrec.2025.06.017"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oi.org/10.1109/MSP.2015.116" TargetMode="External"/><Relationship Id="rId19" Type="http://schemas.openxmlformats.org/officeDocument/2006/relationships/hyperlink" Target="https://mitpress.mit.edu/9780262035613/deep-learning/?utm_source=chatgpt.com" TargetMode="External"/><Relationship Id="rId31" Type="http://schemas.openxmlformats.org/officeDocument/2006/relationships/hyperlink" Target="https://doi.org/10.9734/ajrcos/2025/v18i4629" TargetMode="External"/><Relationship Id="rId44" Type="http://schemas.openxmlformats.org/officeDocument/2006/relationships/hyperlink" Target="https://doi.org/10.1007/s11263-024-02055-1"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1109/TPAMI.2018.2818162" TargetMode="External"/><Relationship Id="rId22" Type="http://schemas.openxmlformats.org/officeDocument/2006/relationships/hyperlink" Target="https://people.cs.umass.edu/~elm/papers/Huang_eccv2008-lfw.pdf?utm_source=chatgpt.com" TargetMode="External"/><Relationship Id="rId27" Type="http://schemas.openxmlformats.org/officeDocument/2006/relationships/hyperlink" Target="https://doi.org/10.1038/nature14539" TargetMode="External"/><Relationship Id="rId30" Type="http://schemas.openxmlformats.org/officeDocument/2006/relationships/hyperlink" Target="https://doi.org/10.1109/CVPR46437.2021.01400" TargetMode="External"/><Relationship Id="rId35" Type="http://schemas.openxmlformats.org/officeDocument/2006/relationships/hyperlink" Target="https://doi.org/10.1016/S0167-8655(03)00079-5" TargetMode="External"/><Relationship Id="rId43" Type="http://schemas.openxmlformats.org/officeDocument/2006/relationships/hyperlink" Target="https://doi.org/10.1109/TBME.2016.2609282" TargetMode="Externa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doi.org/10.1109/TIFS.2006.879289" TargetMode="External"/><Relationship Id="rId17" Type="http://schemas.openxmlformats.org/officeDocument/2006/relationships/hyperlink" Target="https://doi.org/10.1109/CVPR.2019.00482" TargetMode="External"/><Relationship Id="rId25" Type="http://schemas.openxmlformats.org/officeDocument/2006/relationships/hyperlink" Target="https://doi.org/10.1109/TCSVT.2003.818349" TargetMode="External"/><Relationship Id="rId33" Type="http://schemas.openxmlformats.org/officeDocument/2006/relationships/hyperlink" Target="https://doi.org/10.1016/j.patcog.2005.06.011" TargetMode="External"/><Relationship Id="rId38" Type="http://schemas.openxmlformats.org/officeDocument/2006/relationships/hyperlink" Target="https://doi.org/10.1109/CVPR.2015.7298682" TargetMode="External"/><Relationship Id="rId46" Type="http://schemas.openxmlformats.org/officeDocument/2006/relationships/header" Target="header1.xml"/><Relationship Id="rId20" Type="http://schemas.openxmlformats.org/officeDocument/2006/relationships/hyperlink" Target="https://doi.org/10.1109/BIOMS.2013.6656148" TargetMode="External"/><Relationship Id="rId41" Type="http://schemas.openxmlformats.org/officeDocument/2006/relationships/hyperlink" Target="https://doi.org/10.1109/BTAS.2017.827268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S0969-4765(07)70140-6" TargetMode="External"/><Relationship Id="rId23" Type="http://schemas.openxmlformats.org/officeDocument/2006/relationships/hyperlink" Target="https://www.iso.org/standard/50864.html?utm_source=chatgpt.com" TargetMode="External"/><Relationship Id="rId28" Type="http://schemas.openxmlformats.org/officeDocument/2006/relationships/hyperlink" Target="https://doi.org/10.1109/CVPR.2018.00048" TargetMode="External"/><Relationship Id="rId36" Type="http://schemas.openxmlformats.org/officeDocument/2006/relationships/hyperlink" Target="https://doi.org/10.1007/s00521-024-09690-2" TargetMode="External"/><Relationship Id="rId4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Perfomance Comparism of Biometric Authentication Method</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c:f>
              <c:strCache>
                <c:ptCount val="1"/>
                <c:pt idx="0">
                  <c:v>Accuracy (%)</c:v>
                </c:pt>
              </c:strCache>
            </c:strRef>
          </c:tx>
          <c:spPr>
            <a:solidFill>
              <a:schemeClr val="accent1"/>
            </a:solidFill>
            <a:ln>
              <a:noFill/>
            </a:ln>
            <a:effectLst/>
          </c:spPr>
          <c:invertIfNegative val="0"/>
          <c:cat>
            <c:strRef>
              <c:f>Sheet1!$A$5:$A$11</c:f>
              <c:strCache>
                <c:ptCount val="7"/>
                <c:pt idx="0">
                  <c:v>CNN Face-Only</c:v>
                </c:pt>
                <c:pt idx="1">
                  <c:v>DCNN Fingerprint-Only</c:v>
                </c:pt>
                <c:pt idx="2">
                  <c:v>SVM Score Fusion</c:v>
                </c:pt>
                <c:pt idx="3">
                  <c:v>GMM Fusion [12]</c:v>
                </c:pt>
                <c:pt idx="4">
                  <c:v>LSTM-CNN [17]</c:v>
                </c:pt>
                <c:pt idx="5">
                  <c:v>Transformer [22]</c:v>
                </c:pt>
                <c:pt idx="6">
                  <c:v>Proposed ANN Fusion</c:v>
                </c:pt>
              </c:strCache>
            </c:strRef>
          </c:cat>
          <c:val>
            <c:numRef>
              <c:f>Sheet1!$B$5:$B$11</c:f>
              <c:numCache>
                <c:formatCode>General</c:formatCode>
                <c:ptCount val="7"/>
                <c:pt idx="0">
                  <c:v>91.23</c:v>
                </c:pt>
                <c:pt idx="1">
                  <c:v>93.47</c:v>
                </c:pt>
                <c:pt idx="2">
                  <c:v>95.88</c:v>
                </c:pt>
                <c:pt idx="3">
                  <c:v>96.11</c:v>
                </c:pt>
                <c:pt idx="4">
                  <c:v>96.85</c:v>
                </c:pt>
                <c:pt idx="5">
                  <c:v>97.21</c:v>
                </c:pt>
                <c:pt idx="6">
                  <c:v>99.14</c:v>
                </c:pt>
              </c:numCache>
            </c:numRef>
          </c:val>
          <c:extLst>
            <c:ext xmlns:c16="http://schemas.microsoft.com/office/drawing/2014/chart" uri="{C3380CC4-5D6E-409C-BE32-E72D297353CC}">
              <c16:uniqueId val="{00000000-8BB2-49BD-A534-C2121AF145F6}"/>
            </c:ext>
          </c:extLst>
        </c:ser>
        <c:ser>
          <c:idx val="1"/>
          <c:order val="1"/>
          <c:tx>
            <c:strRef>
              <c:f>Sheet1!$C$4</c:f>
              <c:strCache>
                <c:ptCount val="1"/>
                <c:pt idx="0">
                  <c:v>FAR (%)</c:v>
                </c:pt>
              </c:strCache>
            </c:strRef>
          </c:tx>
          <c:spPr>
            <a:solidFill>
              <a:schemeClr val="accent2"/>
            </a:solidFill>
            <a:ln>
              <a:noFill/>
            </a:ln>
            <a:effectLst/>
          </c:spPr>
          <c:invertIfNegative val="0"/>
          <c:cat>
            <c:strRef>
              <c:f>Sheet1!$A$5:$A$11</c:f>
              <c:strCache>
                <c:ptCount val="7"/>
                <c:pt idx="0">
                  <c:v>CNN Face-Only</c:v>
                </c:pt>
                <c:pt idx="1">
                  <c:v>DCNN Fingerprint-Only</c:v>
                </c:pt>
                <c:pt idx="2">
                  <c:v>SVM Score Fusion</c:v>
                </c:pt>
                <c:pt idx="3">
                  <c:v>GMM Fusion [12]</c:v>
                </c:pt>
                <c:pt idx="4">
                  <c:v>LSTM-CNN [17]</c:v>
                </c:pt>
                <c:pt idx="5">
                  <c:v>Transformer [22]</c:v>
                </c:pt>
                <c:pt idx="6">
                  <c:v>Proposed ANN Fusion</c:v>
                </c:pt>
              </c:strCache>
            </c:strRef>
          </c:cat>
          <c:val>
            <c:numRef>
              <c:f>Sheet1!$C$5:$C$11</c:f>
              <c:numCache>
                <c:formatCode>General</c:formatCode>
                <c:ptCount val="7"/>
                <c:pt idx="0">
                  <c:v>2.81</c:v>
                </c:pt>
                <c:pt idx="1">
                  <c:v>1.97</c:v>
                </c:pt>
                <c:pt idx="2">
                  <c:v>1.43</c:v>
                </c:pt>
                <c:pt idx="3">
                  <c:v>1.1200000000000001</c:v>
                </c:pt>
                <c:pt idx="4">
                  <c:v>0.89</c:v>
                </c:pt>
                <c:pt idx="5">
                  <c:v>0.74</c:v>
                </c:pt>
                <c:pt idx="6">
                  <c:v>0.12</c:v>
                </c:pt>
              </c:numCache>
            </c:numRef>
          </c:val>
          <c:extLst>
            <c:ext xmlns:c16="http://schemas.microsoft.com/office/drawing/2014/chart" uri="{C3380CC4-5D6E-409C-BE32-E72D297353CC}">
              <c16:uniqueId val="{00000001-8BB2-49BD-A534-C2121AF145F6}"/>
            </c:ext>
          </c:extLst>
        </c:ser>
        <c:ser>
          <c:idx val="2"/>
          <c:order val="2"/>
          <c:tx>
            <c:strRef>
              <c:f>Sheet1!$D$4</c:f>
              <c:strCache>
                <c:ptCount val="1"/>
                <c:pt idx="0">
                  <c:v>FRR (%)</c:v>
                </c:pt>
              </c:strCache>
            </c:strRef>
          </c:tx>
          <c:spPr>
            <a:solidFill>
              <a:schemeClr val="accent3"/>
            </a:solidFill>
            <a:ln>
              <a:noFill/>
            </a:ln>
            <a:effectLst/>
          </c:spPr>
          <c:invertIfNegative val="0"/>
          <c:cat>
            <c:strRef>
              <c:f>Sheet1!$A$5:$A$11</c:f>
              <c:strCache>
                <c:ptCount val="7"/>
                <c:pt idx="0">
                  <c:v>CNN Face-Only</c:v>
                </c:pt>
                <c:pt idx="1">
                  <c:v>DCNN Fingerprint-Only</c:v>
                </c:pt>
                <c:pt idx="2">
                  <c:v>SVM Score Fusion</c:v>
                </c:pt>
                <c:pt idx="3">
                  <c:v>GMM Fusion [12]</c:v>
                </c:pt>
                <c:pt idx="4">
                  <c:v>LSTM-CNN [17]</c:v>
                </c:pt>
                <c:pt idx="5">
                  <c:v>Transformer [22]</c:v>
                </c:pt>
                <c:pt idx="6">
                  <c:v>Proposed ANN Fusion</c:v>
                </c:pt>
              </c:strCache>
            </c:strRef>
          </c:cat>
          <c:val>
            <c:numRef>
              <c:f>Sheet1!$D$5:$D$11</c:f>
              <c:numCache>
                <c:formatCode>General</c:formatCode>
                <c:ptCount val="7"/>
                <c:pt idx="0">
                  <c:v>5.94</c:v>
                </c:pt>
                <c:pt idx="1">
                  <c:v>4.5599999999999996</c:v>
                </c:pt>
                <c:pt idx="2">
                  <c:v>2.69</c:v>
                </c:pt>
                <c:pt idx="3">
                  <c:v>2.34</c:v>
                </c:pt>
                <c:pt idx="4">
                  <c:v>1.76</c:v>
                </c:pt>
                <c:pt idx="5">
                  <c:v>1.45</c:v>
                </c:pt>
                <c:pt idx="6">
                  <c:v>0.34</c:v>
                </c:pt>
              </c:numCache>
            </c:numRef>
          </c:val>
          <c:extLst>
            <c:ext xmlns:c16="http://schemas.microsoft.com/office/drawing/2014/chart" uri="{C3380CC4-5D6E-409C-BE32-E72D297353CC}">
              <c16:uniqueId val="{00000002-8BB2-49BD-A534-C2121AF145F6}"/>
            </c:ext>
          </c:extLst>
        </c:ser>
        <c:ser>
          <c:idx val="3"/>
          <c:order val="3"/>
          <c:tx>
            <c:strRef>
              <c:f>Sheet1!$E$4</c:f>
              <c:strCache>
                <c:ptCount val="1"/>
                <c:pt idx="0">
                  <c:v>Latency (ms)</c:v>
                </c:pt>
              </c:strCache>
            </c:strRef>
          </c:tx>
          <c:spPr>
            <a:solidFill>
              <a:schemeClr val="accent4"/>
            </a:solidFill>
            <a:ln>
              <a:noFill/>
            </a:ln>
            <a:effectLst/>
          </c:spPr>
          <c:invertIfNegative val="0"/>
          <c:cat>
            <c:strRef>
              <c:f>Sheet1!$A$5:$A$11</c:f>
              <c:strCache>
                <c:ptCount val="7"/>
                <c:pt idx="0">
                  <c:v>CNN Face-Only</c:v>
                </c:pt>
                <c:pt idx="1">
                  <c:v>DCNN Fingerprint-Only</c:v>
                </c:pt>
                <c:pt idx="2">
                  <c:v>SVM Score Fusion</c:v>
                </c:pt>
                <c:pt idx="3">
                  <c:v>GMM Fusion [12]</c:v>
                </c:pt>
                <c:pt idx="4">
                  <c:v>LSTM-CNN [17]</c:v>
                </c:pt>
                <c:pt idx="5">
                  <c:v>Transformer [22]</c:v>
                </c:pt>
                <c:pt idx="6">
                  <c:v>Proposed ANN Fusion</c:v>
                </c:pt>
              </c:strCache>
            </c:strRef>
          </c:cat>
          <c:val>
            <c:numRef>
              <c:f>Sheet1!$E$5:$E$11</c:f>
              <c:numCache>
                <c:formatCode>General</c:formatCode>
                <c:ptCount val="7"/>
                <c:pt idx="0">
                  <c:v>67</c:v>
                </c:pt>
                <c:pt idx="1">
                  <c:v>55</c:v>
                </c:pt>
                <c:pt idx="2">
                  <c:v>112</c:v>
                </c:pt>
                <c:pt idx="3">
                  <c:v>131</c:v>
                </c:pt>
                <c:pt idx="4">
                  <c:v>158</c:v>
                </c:pt>
                <c:pt idx="5">
                  <c:v>224</c:v>
                </c:pt>
                <c:pt idx="6">
                  <c:v>143</c:v>
                </c:pt>
              </c:numCache>
            </c:numRef>
          </c:val>
          <c:extLst>
            <c:ext xmlns:c16="http://schemas.microsoft.com/office/drawing/2014/chart" uri="{C3380CC4-5D6E-409C-BE32-E72D297353CC}">
              <c16:uniqueId val="{00000003-8BB2-49BD-A534-C2121AF145F6}"/>
            </c:ext>
          </c:extLst>
        </c:ser>
        <c:dLbls>
          <c:showLegendKey val="0"/>
          <c:showVal val="0"/>
          <c:showCatName val="0"/>
          <c:showSerName val="0"/>
          <c:showPercent val="0"/>
          <c:showBubbleSize val="0"/>
        </c:dLbls>
        <c:gapWidth val="219"/>
        <c:overlap val="-27"/>
        <c:axId val="1396311328"/>
        <c:axId val="1387940000"/>
      </c:barChart>
      <c:catAx>
        <c:axId val="139631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387940000"/>
        <c:crosses val="autoZero"/>
        <c:auto val="1"/>
        <c:lblAlgn val="ctr"/>
        <c:lblOffset val="100"/>
        <c:noMultiLvlLbl val="0"/>
      </c:catAx>
      <c:valAx>
        <c:axId val="138794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39631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e3290a2d-3364-4b41-b073-a2895a6aa9c0}"/>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28"/>
    <customShpInfo spid="_x0000_s1030"/>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5511</Words>
  <Characters>31419</Characters>
  <Application>Microsoft Office Word</Application>
  <DocSecurity>0</DocSecurity>
  <Lines>261</Lines>
  <Paragraphs>73</Paragraphs>
  <ScaleCrop>false</ScaleCrop>
  <Company/>
  <LinksUpToDate>false</LinksUpToDate>
  <CharactersWithSpaces>36857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1087</cp:lastModifiedBy>
  <cp:revision>23</cp:revision>
  <dcterms:created xsi:type="dcterms:W3CDTF">2026-07-19T15:52:00Z</dcterms:created>
  <dcterms:modified xsi:type="dcterms:W3CDTF">2026-07-22T13:10:00Z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eyJoZGlkIjoiMDc5OWYxOTBkNWFmMDlhNTEzNjBjMDFjMjI4MWYyOTYifQ==</vt:lpwstr>
  </property>
  <property fmtid="{D5CDD505-2E9C-101B-9397-08002B2CF9AE}" pid="3" name="KSOProductBuildVer">
    <vt:lpwstr>1033-12.1.0.27458</vt:lpwstr>
  </property>
  <property fmtid="{D5CDD505-2E9C-101B-9397-08002B2CF9AE}" pid="4" name="ICV">
    <vt:lpwstr>841F1B435C2E40EEA1FB8C0D28A50EA2_13</vt:lpwstr>
  </property>
</Properties>
</file>