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681C6" w14:textId="77777777" w:rsidR="001231B7" w:rsidRPr="008F16CA" w:rsidRDefault="001231B7" w:rsidP="00191028">
      <w:pPr>
        <w:pStyle w:val="NormalWeb"/>
        <w:jc w:val="right"/>
        <w:rPr>
          <w:rFonts w:ascii="Arial" w:hAnsi="Arial" w:cs="Arial"/>
          <w:b/>
          <w:sz w:val="32"/>
          <w:szCs w:val="32"/>
        </w:rPr>
      </w:pPr>
      <w:r w:rsidRPr="008F16CA">
        <w:rPr>
          <w:rFonts w:ascii="Arial" w:hAnsi="Arial" w:cs="Arial"/>
          <w:b/>
          <w:sz w:val="32"/>
          <w:szCs w:val="32"/>
        </w:rPr>
        <w:t>Original Research Article</w:t>
      </w:r>
    </w:p>
    <w:p w14:paraId="0EAD5B47" w14:textId="77777777" w:rsidR="0093744F" w:rsidRPr="008F16CA" w:rsidRDefault="0093744F" w:rsidP="00191028">
      <w:pPr>
        <w:pStyle w:val="NormalWeb"/>
        <w:jc w:val="right"/>
        <w:rPr>
          <w:rFonts w:ascii="Arial" w:hAnsi="Arial" w:cs="Arial"/>
          <w:b/>
          <w:sz w:val="32"/>
          <w:szCs w:val="32"/>
        </w:rPr>
      </w:pPr>
      <w:r w:rsidRPr="008F16CA">
        <w:rPr>
          <w:rFonts w:ascii="Arial" w:eastAsia="Arial" w:hAnsi="Arial"/>
          <w:b/>
          <w:sz w:val="32"/>
        </w:rPr>
        <w:t xml:space="preserve">Isolation and Evaluation of Extracellular Enzyme-Producing Endophytic Bacteria from </w:t>
      </w:r>
      <w:r w:rsidRPr="008F16CA">
        <w:rPr>
          <w:rFonts w:ascii="Arial" w:eastAsia="Arial" w:hAnsi="Arial"/>
          <w:b/>
          <w:i/>
          <w:sz w:val="32"/>
        </w:rPr>
        <w:t>Curcuma caesia</w:t>
      </w:r>
      <w:r w:rsidRPr="008F16CA">
        <w:rPr>
          <w:rFonts w:ascii="Arial" w:eastAsia="Arial" w:hAnsi="Arial"/>
          <w:b/>
          <w:sz w:val="32"/>
        </w:rPr>
        <w:t xml:space="preserve"> Roxb.</w:t>
      </w:r>
    </w:p>
    <w:p w14:paraId="2B937E2C" w14:textId="77777777" w:rsidR="00887471" w:rsidRPr="008F16CA" w:rsidRDefault="0093744F" w:rsidP="00626081">
      <w:pPr>
        <w:pStyle w:val="NormalWeb"/>
        <w:rPr>
          <w:rFonts w:ascii="Arial" w:hAnsi="Arial" w:cs="Arial"/>
          <w:b/>
        </w:rPr>
      </w:pPr>
      <w:r w:rsidRPr="008F16CA">
        <w:rPr>
          <w:rFonts w:ascii="Arial" w:hAnsi="Arial" w:cs="Arial"/>
          <w:b/>
          <w:sz w:val="22"/>
          <w:szCs w:val="22"/>
        </w:rPr>
        <w:t xml:space="preserve">                                   </w:t>
      </w:r>
    </w:p>
    <w:p w14:paraId="545C2D7B" w14:textId="77777777" w:rsidR="0093744F" w:rsidRPr="008F16CA" w:rsidRDefault="0093744F" w:rsidP="0093744F">
      <w:pPr>
        <w:pStyle w:val="Heading2"/>
        <w:rPr>
          <w:rFonts w:ascii="Arial" w:hAnsi="Arial" w:cs="Arial"/>
          <w:color w:val="auto"/>
          <w:sz w:val="22"/>
          <w:szCs w:val="22"/>
        </w:rPr>
      </w:pPr>
      <w:r w:rsidRPr="008F16CA">
        <w:rPr>
          <w:rFonts w:ascii="Arial" w:hAnsi="Arial" w:cs="Arial"/>
          <w:color w:val="auto"/>
          <w:sz w:val="22"/>
          <w:szCs w:val="22"/>
        </w:rPr>
        <w:t>Abstract</w:t>
      </w:r>
    </w:p>
    <w:p w14:paraId="6F49BD2B" w14:textId="77777777" w:rsidR="0093744F" w:rsidRPr="008F16CA" w:rsidRDefault="0093744F" w:rsidP="0093744F">
      <w:pPr>
        <w:pStyle w:val="NormalWeb"/>
        <w:jc w:val="both"/>
        <w:rPr>
          <w:rFonts w:ascii="Arial" w:hAnsi="Arial" w:cs="Arial"/>
          <w:sz w:val="20"/>
          <w:szCs w:val="20"/>
        </w:rPr>
      </w:pPr>
      <w:r w:rsidRPr="000D78D8">
        <w:rPr>
          <w:rFonts w:ascii="Arial" w:eastAsia="Arial" w:hAnsi="Arial"/>
          <w:b/>
          <w:bCs/>
          <w:sz w:val="20"/>
        </w:rPr>
        <w:t>Aims</w:t>
      </w:r>
      <w:r w:rsidRPr="008F16CA">
        <w:rPr>
          <w:rFonts w:ascii="Arial" w:eastAsia="Arial" w:hAnsi="Arial"/>
          <w:sz w:val="20"/>
        </w:rPr>
        <w:t xml:space="preserve">: The present study aimed to isolate, identify, and evaluate extracellular enzyme-producing bacterial endophytes from the rhizomes of </w:t>
      </w:r>
      <w:r w:rsidRPr="008F16CA">
        <w:rPr>
          <w:rFonts w:ascii="Arial" w:eastAsia="Arial" w:hAnsi="Arial"/>
          <w:i/>
          <w:sz w:val="20"/>
        </w:rPr>
        <w:t>Curcuma caesia</w:t>
      </w:r>
      <w:r w:rsidRPr="008F16CA">
        <w:rPr>
          <w:rFonts w:ascii="Arial" w:eastAsia="Arial" w:hAnsi="Arial"/>
          <w:sz w:val="20"/>
        </w:rPr>
        <w:t xml:space="preserve"> Roxb. and to assess their potential for biotechnological applications. Study Design: An experimental, laboratory-based study. </w:t>
      </w:r>
      <w:r w:rsidRPr="000D78D8">
        <w:rPr>
          <w:rFonts w:ascii="Arial" w:eastAsia="Arial" w:hAnsi="Arial"/>
          <w:b/>
          <w:bCs/>
          <w:sz w:val="20"/>
        </w:rPr>
        <w:t>Place and Duration of Study:</w:t>
      </w:r>
      <w:r w:rsidRPr="008F16CA">
        <w:rPr>
          <w:rFonts w:ascii="Arial" w:eastAsia="Arial" w:hAnsi="Arial"/>
          <w:sz w:val="20"/>
        </w:rPr>
        <w:t xml:space="preserve"> Department of Biotechnology, Dr B. R. Ambedkar University, Etcherla, Andhra Pradesh, India, from June to May 2025. </w:t>
      </w:r>
      <w:r w:rsidRPr="000D78D8">
        <w:rPr>
          <w:rFonts w:ascii="Arial" w:eastAsia="Arial" w:hAnsi="Arial"/>
          <w:b/>
          <w:bCs/>
          <w:sz w:val="20"/>
        </w:rPr>
        <w:t>Methodology</w:t>
      </w:r>
      <w:r w:rsidRPr="008F16CA">
        <w:rPr>
          <w:rFonts w:ascii="Arial" w:eastAsia="Arial" w:hAnsi="Arial"/>
          <w:sz w:val="20"/>
        </w:rPr>
        <w:t xml:space="preserve">: Endophytic bacteria were isolated from surface-sterilised rhizomes of </w:t>
      </w:r>
      <w:r w:rsidRPr="008F16CA">
        <w:rPr>
          <w:rFonts w:ascii="Arial" w:eastAsia="Arial" w:hAnsi="Arial"/>
          <w:i/>
          <w:sz w:val="20"/>
        </w:rPr>
        <w:t>Curcuma caesia</w:t>
      </w:r>
      <w:r w:rsidRPr="008F16CA">
        <w:rPr>
          <w:rFonts w:ascii="Arial" w:eastAsia="Arial" w:hAnsi="Arial"/>
          <w:sz w:val="20"/>
        </w:rPr>
        <w:t xml:space="preserve"> and identified through morphological, biochemical, and 16S rRNA gene sequence analyses. The isolates were screened for extracellular amylase, protease, cellulase, and lipase production using standard qualitative plate assays. Enzyme activities were quantified using the dinitrosalicylic acid (DNS) assay for amylase and cellulase, the Folin-Ciocalteu method for protease, and the olive oil emulsion titration assay for lipase. </w:t>
      </w:r>
      <w:r w:rsidRPr="000D78D8">
        <w:rPr>
          <w:rFonts w:ascii="Arial" w:eastAsia="Arial" w:hAnsi="Arial"/>
          <w:b/>
          <w:bCs/>
          <w:sz w:val="20"/>
        </w:rPr>
        <w:t>Results</w:t>
      </w:r>
      <w:r w:rsidRPr="008F16CA">
        <w:rPr>
          <w:rFonts w:ascii="Arial" w:eastAsia="Arial" w:hAnsi="Arial"/>
          <w:sz w:val="20"/>
        </w:rPr>
        <w:t xml:space="preserve">: Three bacterial endophytes were identified as </w:t>
      </w:r>
      <w:r w:rsidRPr="008F16CA">
        <w:rPr>
          <w:rFonts w:ascii="Arial" w:eastAsia="Arial" w:hAnsi="Arial"/>
          <w:i/>
          <w:sz w:val="20"/>
        </w:rPr>
        <w:t>Enterobacter hormaechei</w:t>
      </w:r>
      <w:r w:rsidRPr="008F16CA">
        <w:rPr>
          <w:rFonts w:ascii="Arial" w:eastAsia="Arial" w:hAnsi="Arial"/>
          <w:sz w:val="20"/>
        </w:rPr>
        <w:t xml:space="preserve">, </w:t>
      </w:r>
      <w:r w:rsidRPr="008F16CA">
        <w:rPr>
          <w:rFonts w:ascii="Arial" w:eastAsia="Arial" w:hAnsi="Arial"/>
          <w:i/>
          <w:sz w:val="20"/>
        </w:rPr>
        <w:t>Bacillus flexus</w:t>
      </w:r>
      <w:r w:rsidRPr="008F16CA">
        <w:rPr>
          <w:rFonts w:ascii="Arial" w:eastAsia="Arial" w:hAnsi="Arial"/>
          <w:sz w:val="20"/>
        </w:rPr>
        <w:t xml:space="preserve">, and </w:t>
      </w:r>
      <w:r w:rsidRPr="008F16CA">
        <w:rPr>
          <w:rFonts w:ascii="Arial" w:eastAsia="Arial" w:hAnsi="Arial"/>
          <w:i/>
          <w:sz w:val="20"/>
        </w:rPr>
        <w:t>Bacillus amyloliquefaciens</w:t>
      </w:r>
      <w:r w:rsidRPr="008F16CA">
        <w:rPr>
          <w:rFonts w:ascii="Arial" w:eastAsia="Arial" w:hAnsi="Arial"/>
          <w:sz w:val="20"/>
        </w:rPr>
        <w:t xml:space="preserve">. </w:t>
      </w:r>
      <w:r w:rsidRPr="008F16CA">
        <w:rPr>
          <w:rFonts w:ascii="Arial" w:eastAsia="Arial" w:hAnsi="Arial"/>
          <w:i/>
          <w:sz w:val="20"/>
        </w:rPr>
        <w:t>Enterobacter hormaechei</w:t>
      </w:r>
      <w:r w:rsidRPr="008F16CA">
        <w:rPr>
          <w:rFonts w:ascii="Arial" w:eastAsia="Arial" w:hAnsi="Arial"/>
          <w:sz w:val="20"/>
        </w:rPr>
        <w:t xml:space="preserve"> exhibited the highest amylase (85 µg/mL; 0.000047 U/mL) and protease (70 µg/mL; 0.000039 U/mL) activities. In contrast, </w:t>
      </w:r>
      <w:r w:rsidRPr="008F16CA">
        <w:rPr>
          <w:rFonts w:ascii="Arial" w:eastAsia="Arial" w:hAnsi="Arial"/>
          <w:i/>
          <w:sz w:val="20"/>
        </w:rPr>
        <w:t>Bacillus amyloliquefaciens</w:t>
      </w:r>
      <w:r w:rsidRPr="008F16CA">
        <w:rPr>
          <w:rFonts w:ascii="Arial" w:eastAsia="Arial" w:hAnsi="Arial"/>
          <w:sz w:val="20"/>
        </w:rPr>
        <w:t xml:space="preserve"> showed the highest cellulase (65 µg/mL; 0.000036 U/mL) and lipase (9.67 U/mL) activities, whereas </w:t>
      </w:r>
      <w:r w:rsidRPr="008F16CA">
        <w:rPr>
          <w:rFonts w:ascii="Arial" w:eastAsia="Arial" w:hAnsi="Arial"/>
          <w:i/>
          <w:sz w:val="20"/>
        </w:rPr>
        <w:t>Bacillus flexus</w:t>
      </w:r>
      <w:r w:rsidRPr="008F16CA">
        <w:rPr>
          <w:rFonts w:ascii="Arial" w:eastAsia="Arial" w:hAnsi="Arial"/>
          <w:sz w:val="20"/>
        </w:rPr>
        <w:t xml:space="preserve"> displayed moderate enzyme production. The variation in enzyme activity among the isolates indicated their diverse hydrolytic capabilities and functional roles in the degradation of starch, proteins, cellulose, and lipids. </w:t>
      </w:r>
      <w:r w:rsidRPr="000D78D8">
        <w:rPr>
          <w:rFonts w:ascii="Arial" w:eastAsia="Arial" w:hAnsi="Arial"/>
          <w:b/>
          <w:bCs/>
          <w:sz w:val="20"/>
        </w:rPr>
        <w:t>Conclusion</w:t>
      </w:r>
      <w:r w:rsidRPr="008F16CA">
        <w:rPr>
          <w:rFonts w:ascii="Arial" w:eastAsia="Arial" w:hAnsi="Arial"/>
          <w:sz w:val="20"/>
        </w:rPr>
        <w:t xml:space="preserve">: The bacterial endophytes associated with </w:t>
      </w:r>
      <w:r w:rsidRPr="008F16CA">
        <w:rPr>
          <w:rFonts w:ascii="Arial" w:eastAsia="Arial" w:hAnsi="Arial"/>
          <w:i/>
          <w:sz w:val="20"/>
        </w:rPr>
        <w:t>Curcuma caesia</w:t>
      </w:r>
      <w:r w:rsidRPr="008F16CA">
        <w:rPr>
          <w:rFonts w:ascii="Arial" w:eastAsia="Arial" w:hAnsi="Arial"/>
          <w:sz w:val="20"/>
        </w:rPr>
        <w:t xml:space="preserve"> possess substantial extracellular enzyme-producing potential. The superior amylase and protease activities of </w:t>
      </w:r>
      <w:r w:rsidRPr="008F16CA">
        <w:rPr>
          <w:rFonts w:ascii="Arial" w:eastAsia="Arial" w:hAnsi="Arial"/>
          <w:i/>
          <w:sz w:val="20"/>
        </w:rPr>
        <w:t>Enterobacter hormaechei</w:t>
      </w:r>
      <w:r w:rsidRPr="008F16CA">
        <w:rPr>
          <w:rFonts w:ascii="Arial" w:eastAsia="Arial" w:hAnsi="Arial"/>
          <w:sz w:val="20"/>
        </w:rPr>
        <w:t xml:space="preserve"> and the enhanced cellulase and lipase production by </w:t>
      </w:r>
      <w:r w:rsidRPr="008F16CA">
        <w:rPr>
          <w:rFonts w:ascii="Arial" w:eastAsia="Arial" w:hAnsi="Arial"/>
          <w:i/>
          <w:sz w:val="20"/>
        </w:rPr>
        <w:t>Bacillus amyloliquefaciens</w:t>
      </w:r>
      <w:r w:rsidRPr="008F16CA">
        <w:rPr>
          <w:rFonts w:ascii="Arial" w:eastAsia="Arial" w:hAnsi="Arial"/>
          <w:sz w:val="20"/>
        </w:rPr>
        <w:t xml:space="preserve"> indicate their potential for agricultural, industrial, and biotechnological applications. Further studies on enzyme purification, optimisation of production conditions, and large-scale production are recommended to evaluate their commercial potential.</w:t>
      </w:r>
    </w:p>
    <w:p w14:paraId="113909F4" w14:textId="77777777" w:rsidR="003425E2" w:rsidRDefault="0093744F" w:rsidP="003425E2">
      <w:pPr>
        <w:pStyle w:val="pdq2pgselectionanchorcontainer"/>
      </w:pPr>
      <w:r w:rsidRPr="005F737A">
        <w:rPr>
          <w:rFonts w:ascii="Arial" w:eastAsia="Arial" w:hAnsi="Arial"/>
          <w:b/>
          <w:bCs/>
          <w:sz w:val="20"/>
        </w:rPr>
        <w:t>Keywords</w:t>
      </w:r>
      <w:r w:rsidRPr="008F16CA">
        <w:rPr>
          <w:rFonts w:ascii="Arial" w:eastAsia="Arial" w:hAnsi="Arial"/>
          <w:sz w:val="20"/>
        </w:rPr>
        <w:t xml:space="preserve">: </w:t>
      </w:r>
      <w:r w:rsidR="003425E2">
        <w:rPr>
          <w:rStyle w:val="Emphasis"/>
        </w:rPr>
        <w:t xml:space="preserve">Curcuma </w:t>
      </w:r>
      <w:proofErr w:type="spellStart"/>
      <w:r w:rsidR="003425E2">
        <w:rPr>
          <w:rStyle w:val="Emphasis"/>
        </w:rPr>
        <w:t>caesia</w:t>
      </w:r>
      <w:proofErr w:type="spellEnd"/>
      <w:r w:rsidR="003425E2">
        <w:t xml:space="preserve"> </w:t>
      </w:r>
      <w:proofErr w:type="spellStart"/>
      <w:r w:rsidR="003425E2">
        <w:t>Roxb</w:t>
      </w:r>
      <w:proofErr w:type="spellEnd"/>
      <w:r w:rsidR="003425E2">
        <w:t xml:space="preserve">.; endophytic bacteria; extracellular enzymes; amylase; protease; cellulase; lipase; 16S rRNA sequencing; </w:t>
      </w:r>
      <w:r w:rsidR="003425E2">
        <w:rPr>
          <w:rStyle w:val="Emphasis"/>
        </w:rPr>
        <w:t xml:space="preserve">Enterobacter </w:t>
      </w:r>
      <w:proofErr w:type="spellStart"/>
      <w:r w:rsidR="003425E2">
        <w:rPr>
          <w:rStyle w:val="Emphasis"/>
        </w:rPr>
        <w:t>hormaechei</w:t>
      </w:r>
      <w:proofErr w:type="spellEnd"/>
      <w:r w:rsidR="003425E2">
        <w:t xml:space="preserve">; </w:t>
      </w:r>
      <w:r w:rsidR="003425E2">
        <w:rPr>
          <w:rStyle w:val="Emphasis"/>
        </w:rPr>
        <w:t xml:space="preserve">Bacillus </w:t>
      </w:r>
      <w:proofErr w:type="spellStart"/>
      <w:r w:rsidR="003425E2">
        <w:rPr>
          <w:rStyle w:val="Emphasis"/>
        </w:rPr>
        <w:t>amyloliquefaciens</w:t>
      </w:r>
      <w:proofErr w:type="spellEnd"/>
    </w:p>
    <w:p w14:paraId="5F1E04C0" w14:textId="77777777" w:rsidR="003425E2" w:rsidRDefault="003425E2" w:rsidP="003425E2">
      <w:pPr>
        <w:pStyle w:val="NormalWeb"/>
        <w:rPr>
          <w:rFonts w:ascii="Arial" w:hAnsi="Arial" w:cs="Arial"/>
          <w:b/>
          <w:bCs/>
          <w:kern w:val="36"/>
        </w:rPr>
      </w:pPr>
    </w:p>
    <w:p w14:paraId="275CEED1" w14:textId="29F9617F" w:rsidR="003045D7" w:rsidRPr="008F16CA" w:rsidRDefault="00325F90" w:rsidP="003425E2">
      <w:pPr>
        <w:pStyle w:val="NormalWeb"/>
        <w:rPr>
          <w:rFonts w:ascii="Arial" w:hAnsi="Arial" w:cs="Arial"/>
          <w:b/>
          <w:bCs/>
          <w:kern w:val="36"/>
        </w:rPr>
      </w:pPr>
      <w:r w:rsidRPr="008F16CA">
        <w:rPr>
          <w:rFonts w:ascii="Arial" w:hAnsi="Arial" w:cs="Arial"/>
          <w:b/>
          <w:bCs/>
          <w:kern w:val="36"/>
        </w:rPr>
        <w:t xml:space="preserve">1. </w:t>
      </w:r>
      <w:r w:rsidR="003045D7" w:rsidRPr="008F16CA">
        <w:rPr>
          <w:rFonts w:ascii="Arial" w:hAnsi="Arial" w:cs="Arial"/>
          <w:b/>
          <w:bCs/>
          <w:kern w:val="36"/>
        </w:rPr>
        <w:t>Introduction</w:t>
      </w:r>
    </w:p>
    <w:p w14:paraId="33428DFC" w14:textId="77777777" w:rsidR="003045D7" w:rsidRPr="008F16CA" w:rsidRDefault="003045D7" w:rsidP="003045D7">
      <w:pPr>
        <w:spacing w:before="100" w:beforeAutospacing="1" w:after="100" w:afterAutospacing="1"/>
        <w:ind w:left="0" w:firstLine="0"/>
        <w:rPr>
          <w:rFonts w:ascii="Arial" w:eastAsia="Times New Roman" w:hAnsi="Arial" w:cs="Arial"/>
          <w:kern w:val="0"/>
          <w:sz w:val="20"/>
          <w:szCs w:val="20"/>
          <w:lang w:val="en-US"/>
        </w:rPr>
      </w:pPr>
      <w:r w:rsidRPr="008F16CA">
        <w:rPr>
          <w:rFonts w:ascii="Arial" w:eastAsia="Arial" w:hAnsi="Arial"/>
          <w:sz w:val="20"/>
        </w:rPr>
        <w:t xml:space="preserve">Endophytic bacteria are microorganisms that colonise the internal tissues of healthy plants without causing disease and establish mutually beneficial relationships with their hosts. These microorganisms enhance plant growth through several mechanisms, including biological nitrogen fixation, phytohormone production, nutrient solubilisation, the synthesis of antimicrobial metabolites, and the secretion of extracellular hydrolytic enzymes. Owing to these beneficial characteristics, endophytic bacteria have attracted considerable attention as valuable resources for sustainable agriculture, environmental management, and industrial biotechnology. Their ability to produce diverse bioactive metabolites and enzymes has generated increasing interest in medicinal plants as reservoirs of novel endophytic microorganisms (Kandasamy &amp; Kathirvel, 2023; Mili et al., 2024; Rana et al., 2020). Extracellular enzymes produced by endophytic bacteria, including amylases, cellulases, proteases, and lipases, play essential roles in plant-microbe interactions by facilitating nutrient acquisition, host-tissue colonisation, and the degradation of complex organic substrates. These enzymes are also industrially important and are extensively used in the food, pharmaceutical, detergent, textile, leather, paper, biofuel, and waste-management industries because of their high </w:t>
      </w:r>
      <w:r w:rsidRPr="008F16CA">
        <w:rPr>
          <w:rFonts w:ascii="Arial" w:eastAsia="Arial" w:hAnsi="Arial"/>
          <w:sz w:val="20"/>
        </w:rPr>
        <w:lastRenderedPageBreak/>
        <w:t>catalytic efficiency and environmentally favourable nature. Consequently, the isolation of novel enzyme-producing endophytes from medicinal plants has become an important area of microbiological and biotechnological research (Kumar et al., 2017; Raghav et al., 2022; Rana et al., 2020).</w:t>
      </w:r>
    </w:p>
    <w:p w14:paraId="1B4DD005" w14:textId="77777777" w:rsidR="0033750F" w:rsidRPr="008F16CA" w:rsidRDefault="00000000">
      <w:pPr>
        <w:spacing w:before="100" w:beforeAutospacing="1" w:after="100" w:afterAutospacing="1"/>
        <w:ind w:left="0" w:firstLine="0"/>
        <w:rPr>
          <w:rFonts w:ascii="Arial" w:eastAsia="Times New Roman" w:hAnsi="Arial" w:cs="Arial"/>
          <w:kern w:val="0"/>
          <w:sz w:val="20"/>
          <w:szCs w:val="20"/>
          <w:lang w:val="en-US"/>
        </w:rPr>
      </w:pPr>
      <w:r w:rsidRPr="008F16CA">
        <w:rPr>
          <w:rFonts w:ascii="Arial" w:eastAsia="Arial" w:hAnsi="Arial"/>
          <w:sz w:val="20"/>
        </w:rPr>
        <w:t>Recent studies have further shown that endophytic bacteria from medicinal plants can combine plant growth-promoting traits with extracellular hydrolytic activities, while broader plant-microbe research has emphasised their contributions to nutrient acquisition, host defence, and stress adaptation (Ram et al., 2024; Ramanuj &amp; Shelat, 2018; Sahoo et al., 2024).</w:t>
      </w:r>
    </w:p>
    <w:p w14:paraId="133210A2" w14:textId="77777777" w:rsidR="003045D7" w:rsidRPr="008F16CA" w:rsidRDefault="003045D7" w:rsidP="003045D7">
      <w:pPr>
        <w:spacing w:before="100" w:beforeAutospacing="1" w:after="100" w:afterAutospacing="1"/>
        <w:ind w:left="0" w:firstLine="0"/>
        <w:rPr>
          <w:rFonts w:ascii="Arial" w:eastAsia="Times New Roman" w:hAnsi="Arial" w:cs="Arial"/>
          <w:kern w:val="0"/>
          <w:sz w:val="20"/>
          <w:szCs w:val="20"/>
          <w:lang w:val="en-US"/>
        </w:rPr>
      </w:pPr>
      <w:r w:rsidRPr="008F16CA">
        <w:rPr>
          <w:rFonts w:ascii="Arial" w:eastAsia="Arial" w:hAnsi="Arial"/>
          <w:i/>
          <w:sz w:val="20"/>
        </w:rPr>
        <w:t>Curcuma caesia</w:t>
      </w:r>
      <w:r w:rsidRPr="008F16CA">
        <w:rPr>
          <w:rFonts w:ascii="Arial" w:eastAsia="Arial" w:hAnsi="Arial"/>
          <w:sz w:val="20"/>
        </w:rPr>
        <w:t xml:space="preserve"> Roxb. (black turmeric), a member of the family Zingiberaceae, is a medicinal herb widely distributed in South and Southeast Asia. The rhizomes of </w:t>
      </w:r>
      <w:r w:rsidRPr="008F16CA">
        <w:rPr>
          <w:rFonts w:ascii="Arial" w:eastAsia="Arial" w:hAnsi="Arial"/>
          <w:i/>
          <w:sz w:val="20"/>
        </w:rPr>
        <w:t>C. caesia</w:t>
      </w:r>
      <w:r w:rsidRPr="008F16CA">
        <w:rPr>
          <w:rFonts w:ascii="Arial" w:eastAsia="Arial" w:hAnsi="Arial"/>
          <w:sz w:val="20"/>
        </w:rPr>
        <w:t xml:space="preserve"> have long been used in traditional medicine to treat inflammation, respiratory disorders, wounds, skin diseases, and various other ailments. Phytochemical investigations have demonstrated that the plant is rich in sesquiterpenoids, flavonoids, phenolic compounds, essential oils, and other secondary metabolites associated with antioxidant, antimicrobial, anti-inflammatory, antidiabetic, and anticancer activities. The distinctive phytochemical composition of </w:t>
      </w:r>
      <w:r w:rsidRPr="008F16CA">
        <w:rPr>
          <w:rFonts w:ascii="Arial" w:eastAsia="Arial" w:hAnsi="Arial"/>
          <w:i/>
          <w:sz w:val="20"/>
        </w:rPr>
        <w:t>C. caesia</w:t>
      </w:r>
      <w:r w:rsidRPr="008F16CA">
        <w:rPr>
          <w:rFonts w:ascii="Arial" w:eastAsia="Arial" w:hAnsi="Arial"/>
          <w:sz w:val="20"/>
        </w:rPr>
        <w:t xml:space="preserve"> also provides a favourable ecological niche for diverse endophytic microorganisms capable of producing valuable enzymes and bioactive metabolites (Anjum &amp; Chandra, 2026; Ibrahim et al., 2023). Recent studies have highlighted the diversity of endophytic microorganisms associated with species of the genus </w:t>
      </w:r>
      <w:r w:rsidRPr="008F16CA">
        <w:rPr>
          <w:rFonts w:ascii="Arial" w:eastAsia="Arial" w:hAnsi="Arial"/>
          <w:i/>
          <w:sz w:val="20"/>
        </w:rPr>
        <w:t>Curcuma</w:t>
      </w:r>
      <w:r w:rsidRPr="008F16CA">
        <w:rPr>
          <w:rFonts w:ascii="Arial" w:eastAsia="Arial" w:hAnsi="Arial"/>
          <w:sz w:val="20"/>
        </w:rPr>
        <w:t xml:space="preserve"> and their ability to produce biologically active compounds of pharmaceutical and agricultural significance. Nevertheless, investigations specifically focused on extracellular enzyme-producing bacterial endophytes from </w:t>
      </w:r>
      <w:r w:rsidRPr="008F16CA">
        <w:rPr>
          <w:rFonts w:ascii="Arial" w:eastAsia="Arial" w:hAnsi="Arial"/>
          <w:i/>
          <w:sz w:val="20"/>
        </w:rPr>
        <w:t>Curcuma caesia</w:t>
      </w:r>
      <w:r w:rsidRPr="008F16CA">
        <w:rPr>
          <w:rFonts w:ascii="Arial" w:eastAsia="Arial" w:hAnsi="Arial"/>
          <w:sz w:val="20"/>
        </w:rPr>
        <w:t xml:space="preserve"> remain limited. Most published studies have primarily emphasised the phytochemical constituents and pharmacological activities of the host plant, whereas comparatively little attention has been given to the functional characterisation of its bacterial endophytes and their enzyme-producing potential. This knowledge gap warrants further investigation to identify bacterial strains with potential biotechnological applications (Anjum &amp; Chandra, 2026; Dilkush et al., 2025; Mili et al., 2024).</w:t>
      </w:r>
    </w:p>
    <w:p w14:paraId="02B4CEE7" w14:textId="77777777" w:rsidR="0033750F" w:rsidRPr="008F16CA" w:rsidRDefault="00000000">
      <w:pPr>
        <w:spacing w:before="100" w:beforeAutospacing="1" w:after="100" w:afterAutospacing="1"/>
        <w:ind w:left="0" w:firstLine="0"/>
        <w:rPr>
          <w:rFonts w:ascii="Arial" w:eastAsia="Times New Roman" w:hAnsi="Arial" w:cs="Arial"/>
          <w:kern w:val="0"/>
          <w:sz w:val="20"/>
          <w:szCs w:val="20"/>
          <w:lang w:val="en-US"/>
        </w:rPr>
      </w:pPr>
      <w:r w:rsidRPr="008F16CA">
        <w:rPr>
          <w:rFonts w:ascii="Arial" w:eastAsia="Arial" w:hAnsi="Arial"/>
          <w:sz w:val="20"/>
        </w:rPr>
        <w:t xml:space="preserve">Evidence from </w:t>
      </w:r>
      <w:r w:rsidRPr="008F16CA">
        <w:rPr>
          <w:rFonts w:ascii="Arial" w:eastAsia="Arial" w:hAnsi="Arial"/>
          <w:i/>
          <w:sz w:val="20"/>
        </w:rPr>
        <w:t>Curcuma</w:t>
      </w:r>
      <w:r w:rsidRPr="008F16CA">
        <w:rPr>
          <w:rFonts w:ascii="Arial" w:eastAsia="Arial" w:hAnsi="Arial"/>
          <w:sz w:val="20"/>
        </w:rPr>
        <w:t xml:space="preserve"> and related Zingiberaceae hosts has identified functionally diverse bacterial endophytes, including </w:t>
      </w:r>
      <w:r w:rsidRPr="008F16CA">
        <w:rPr>
          <w:rFonts w:ascii="Arial" w:eastAsia="Arial" w:hAnsi="Arial"/>
          <w:i/>
          <w:sz w:val="20"/>
        </w:rPr>
        <w:t>Bacillus amyloliquefaciens</w:t>
      </w:r>
      <w:r w:rsidRPr="008F16CA">
        <w:rPr>
          <w:rFonts w:ascii="Arial" w:eastAsia="Arial" w:hAnsi="Arial"/>
          <w:sz w:val="20"/>
        </w:rPr>
        <w:t>, and demonstrated metabolite-mediated antagonistic activity against plant pathogens (Dilkush et al., 2026; Thankam &amp; Manuel, 2023).</w:t>
      </w:r>
    </w:p>
    <w:p w14:paraId="6D72224C" w14:textId="77777777" w:rsidR="0033750F" w:rsidRPr="008F16CA" w:rsidRDefault="00000000">
      <w:pPr>
        <w:spacing w:before="100" w:beforeAutospacing="1" w:after="100" w:afterAutospacing="1"/>
        <w:ind w:left="0" w:firstLine="0"/>
        <w:rPr>
          <w:rFonts w:ascii="Arial" w:eastAsia="Times New Roman" w:hAnsi="Arial" w:cs="Arial"/>
          <w:kern w:val="0"/>
          <w:sz w:val="20"/>
          <w:szCs w:val="20"/>
          <w:lang w:val="en-US"/>
        </w:rPr>
      </w:pPr>
      <w:r w:rsidRPr="008F16CA">
        <w:rPr>
          <w:rFonts w:ascii="Arial" w:eastAsia="Arial" w:hAnsi="Arial"/>
          <w:sz w:val="20"/>
        </w:rPr>
        <w:t xml:space="preserve">Despite these advances, a focused comparative assessment of amylase, protease, cellulase, and lipase production by culturable bacterial endophytes isolated specifically from </w:t>
      </w:r>
      <w:r w:rsidRPr="008F16CA">
        <w:rPr>
          <w:rFonts w:ascii="Arial" w:eastAsia="Arial" w:hAnsi="Arial"/>
          <w:i/>
          <w:sz w:val="20"/>
        </w:rPr>
        <w:t>C. caesia</w:t>
      </w:r>
      <w:r w:rsidRPr="008F16CA">
        <w:rPr>
          <w:rFonts w:ascii="Arial" w:eastAsia="Arial" w:hAnsi="Arial"/>
          <w:sz w:val="20"/>
        </w:rPr>
        <w:t xml:space="preserve"> rhizomes remains insufficiently documented.</w:t>
      </w:r>
    </w:p>
    <w:p w14:paraId="4E9AA829" w14:textId="77777777" w:rsidR="003045D7" w:rsidRPr="008F16CA" w:rsidRDefault="003045D7" w:rsidP="003045D7">
      <w:pPr>
        <w:spacing w:before="100" w:beforeAutospacing="1" w:after="100" w:afterAutospacing="1"/>
        <w:ind w:left="0" w:firstLine="0"/>
        <w:rPr>
          <w:rFonts w:ascii="Arial" w:eastAsia="Times New Roman" w:hAnsi="Arial" w:cs="Arial"/>
          <w:kern w:val="0"/>
          <w:sz w:val="20"/>
          <w:szCs w:val="20"/>
          <w:lang w:val="en-US"/>
        </w:rPr>
      </w:pPr>
      <w:r w:rsidRPr="008F16CA">
        <w:rPr>
          <w:rFonts w:ascii="Arial" w:eastAsia="Arial" w:hAnsi="Arial"/>
          <w:sz w:val="20"/>
        </w:rPr>
        <w:t xml:space="preserve">Therefore, the present study was undertaken to isolate endophytic bacteria from the rhizomes of </w:t>
      </w:r>
      <w:r w:rsidRPr="008F16CA">
        <w:rPr>
          <w:rFonts w:ascii="Arial" w:eastAsia="Arial" w:hAnsi="Arial"/>
          <w:i/>
          <w:sz w:val="20"/>
        </w:rPr>
        <w:t>Curcuma caesia</w:t>
      </w:r>
      <w:r w:rsidRPr="008F16CA">
        <w:rPr>
          <w:rFonts w:ascii="Arial" w:eastAsia="Arial" w:hAnsi="Arial"/>
          <w:sz w:val="20"/>
        </w:rPr>
        <w:t xml:space="preserve"> Roxb., characterise the isolates using morphological, biochemical, and molecular (16S rRNA gene) analyses, and evaluate their ability to produce extracellular hydrolytic enzymes, including amylase, protease, cellulase, and lipase. The findings provide insights into the diversity and functional potential of </w:t>
      </w:r>
      <w:r w:rsidRPr="008F16CA">
        <w:rPr>
          <w:rFonts w:ascii="Arial" w:eastAsia="Arial" w:hAnsi="Arial"/>
          <w:i/>
          <w:sz w:val="20"/>
        </w:rPr>
        <w:t>Curcuma caesia</w:t>
      </w:r>
      <w:r w:rsidRPr="008F16CA">
        <w:rPr>
          <w:rFonts w:ascii="Arial" w:eastAsia="Arial" w:hAnsi="Arial"/>
          <w:sz w:val="20"/>
        </w:rPr>
        <w:t>-associated bacterial endophytes and their prospective applications in agriculture, industrial biotechnology, and enzyme-based bioprocesses.</w:t>
      </w:r>
    </w:p>
    <w:p w14:paraId="1E3202B1" w14:textId="77777777" w:rsidR="003045D7" w:rsidRPr="008F16CA" w:rsidRDefault="00325F90" w:rsidP="00191028">
      <w:pPr>
        <w:pStyle w:val="NoSpacing"/>
        <w:ind w:left="0" w:firstLine="0"/>
        <w:rPr>
          <w:rFonts w:ascii="Arial" w:hAnsi="Arial" w:cs="Arial"/>
          <w:b/>
        </w:rPr>
      </w:pPr>
      <w:r w:rsidRPr="008F16CA">
        <w:rPr>
          <w:rFonts w:ascii="Arial" w:hAnsi="Arial" w:cs="Arial"/>
          <w:b/>
        </w:rPr>
        <w:t>2. Materials and Methods</w:t>
      </w:r>
    </w:p>
    <w:p w14:paraId="7F9DF2F3" w14:textId="77777777" w:rsidR="00F22E22" w:rsidRPr="008F16CA" w:rsidRDefault="00F22E22" w:rsidP="00F22E22">
      <w:pPr>
        <w:spacing w:before="100" w:beforeAutospacing="1" w:after="100" w:afterAutospacing="1"/>
        <w:ind w:left="0" w:firstLine="0"/>
        <w:jc w:val="left"/>
        <w:outlineLvl w:val="0"/>
        <w:rPr>
          <w:rFonts w:ascii="Arial" w:eastAsia="Times New Roman" w:hAnsi="Arial" w:cs="Arial"/>
          <w:b/>
          <w:bCs/>
          <w:kern w:val="36"/>
          <w:lang w:val="en-US"/>
        </w:rPr>
      </w:pPr>
      <w:r w:rsidRPr="008F16CA">
        <w:rPr>
          <w:rFonts w:ascii="Arial" w:eastAsia="Times New Roman" w:hAnsi="Arial" w:cs="Arial"/>
          <w:b/>
          <w:bCs/>
          <w:kern w:val="36"/>
          <w:lang w:val="en-US"/>
        </w:rPr>
        <w:t>2.1 Isolation of Endophytic Bacteria</w:t>
      </w:r>
    </w:p>
    <w:p w14:paraId="697E4C63" w14:textId="77777777" w:rsidR="00F22E22" w:rsidRPr="008F16CA" w:rsidRDefault="00F22E22" w:rsidP="00F22E22">
      <w:pPr>
        <w:spacing w:before="100" w:beforeAutospacing="1" w:after="100" w:afterAutospacing="1"/>
        <w:ind w:left="0" w:firstLine="0"/>
        <w:rPr>
          <w:rFonts w:ascii="Arial" w:eastAsia="Times New Roman" w:hAnsi="Arial" w:cs="Arial"/>
          <w:kern w:val="0"/>
          <w:sz w:val="20"/>
          <w:szCs w:val="20"/>
          <w:lang w:val="en-US"/>
        </w:rPr>
      </w:pPr>
      <w:r w:rsidRPr="008F16CA">
        <w:rPr>
          <w:rFonts w:ascii="Arial" w:eastAsia="Arial" w:hAnsi="Arial"/>
          <w:sz w:val="20"/>
        </w:rPr>
        <w:t xml:space="preserve">Fresh, healthy rhizomes of </w:t>
      </w:r>
      <w:r w:rsidRPr="008F16CA">
        <w:rPr>
          <w:rFonts w:ascii="Arial" w:eastAsia="Arial" w:hAnsi="Arial"/>
          <w:i/>
          <w:sz w:val="20"/>
        </w:rPr>
        <w:t>Curcuma caesia</w:t>
      </w:r>
      <w:r w:rsidRPr="008F16CA">
        <w:rPr>
          <w:rFonts w:ascii="Arial" w:eastAsia="Arial" w:hAnsi="Arial"/>
          <w:sz w:val="20"/>
        </w:rPr>
        <w:t xml:space="preserve"> Roxb. were thoroughly washed under running tap water to remove adhering soil particles and were then treated with 0.1% Tween 20 for 10 min. The rhizomes were rinsed several times with sterile distilled water and surface-sterilised sequentially with 70% ethanol for 60 s, 1% sodium hypochlorite for 30 s, and 0.1% mercuric chloride for 30 s. The sterilised tissues were subsequently rinsed five to six times with sterile distilled water to eliminate residual sterilising agents (Bacon &amp; White, 2000; Hallmann et al., 1997; Schulz &amp; Boyle, 2005). The surface-sterilised rhizomes were aseptically cut into segments of approximately 0.5 cm and placed on nutrient agar (NA) plates. The plates were incubated at 28 ± 2 °C for 24-48 h, and the emerging bacterial colonies were repeatedly subcultured to obtain pure isolates. The effectiveness of the surface-sterilisation procedure was verified by plating the final rinse water on nutrient agar plates. The </w:t>
      </w:r>
      <w:r w:rsidRPr="008F16CA">
        <w:rPr>
          <w:rFonts w:ascii="Arial" w:eastAsia="Arial" w:hAnsi="Arial"/>
          <w:sz w:val="20"/>
        </w:rPr>
        <w:lastRenderedPageBreak/>
        <w:t>absence of microbial growth confirmed successful surface sterilisation (Bacon &amp; White, 2000; Schulz &amp; Boyle, 2005).</w:t>
      </w:r>
    </w:p>
    <w:p w14:paraId="2D455266" w14:textId="77777777" w:rsidR="00F22E22" w:rsidRPr="008F16CA" w:rsidRDefault="00F22E22" w:rsidP="00F22E22">
      <w:pPr>
        <w:spacing w:before="100" w:beforeAutospacing="1" w:after="100" w:afterAutospacing="1"/>
        <w:ind w:left="0" w:firstLine="0"/>
        <w:outlineLvl w:val="0"/>
        <w:rPr>
          <w:rFonts w:ascii="Arial" w:eastAsia="Times New Roman" w:hAnsi="Arial" w:cs="Arial"/>
          <w:b/>
          <w:bCs/>
          <w:kern w:val="36"/>
          <w:lang w:val="en-US"/>
        </w:rPr>
      </w:pPr>
      <w:r w:rsidRPr="008F16CA">
        <w:rPr>
          <w:rFonts w:ascii="Arial" w:eastAsia="Arial" w:hAnsi="Arial"/>
          <w:b/>
          <w:color w:val="000000"/>
          <w:sz w:val="20"/>
        </w:rPr>
        <w:t>2.2 Molecular Characterisation of Bacterial Endophytes by 16S rRNA Gene Sequencing</w:t>
      </w:r>
    </w:p>
    <w:p w14:paraId="5776E420" w14:textId="77777777" w:rsidR="00F22E22" w:rsidRPr="008F16CA" w:rsidRDefault="00F22E22" w:rsidP="00F22E22">
      <w:pPr>
        <w:spacing w:before="100" w:beforeAutospacing="1" w:after="100" w:afterAutospacing="1"/>
        <w:ind w:left="0" w:firstLine="0"/>
        <w:rPr>
          <w:rFonts w:ascii="Arial" w:eastAsia="Times New Roman" w:hAnsi="Arial" w:cs="Arial"/>
          <w:kern w:val="0"/>
          <w:sz w:val="20"/>
          <w:szCs w:val="20"/>
          <w:lang w:val="en-US"/>
        </w:rPr>
      </w:pPr>
      <w:r w:rsidRPr="008F16CA">
        <w:rPr>
          <w:rFonts w:ascii="Arial" w:eastAsia="Arial" w:hAnsi="Arial"/>
          <w:sz w:val="20"/>
        </w:rPr>
        <w:t>Genomic DNA was extracted from the bacterial endophytic isolates (I1, I2, and I3), and its quality was assessed by electrophoresis on a 1.0% agarose gel. The 16S rRNA gene was amplified using universal bacterial primers according to the method described by Lane (1991). PCR products of approximately 1,500 bp were verified by agarose gel electrophoresis, purified, and subjected to bidirectional sequencing using the BigDye Terminator v3.1 Cycle Sequencing Kit on an ABI 3730xl DNA Analyzer. The resulting sequences were assembled into consensus sequences and compared with the NCBI GenBank database using the BLAST program to identify closely related bacterial species. Phylogenetic relationships among the isolates were determined using the maximum-likelihood method based on the Tamura-Nei model implemented in MEGA version 11.</w:t>
      </w:r>
    </w:p>
    <w:p w14:paraId="071A8E00" w14:textId="77777777" w:rsidR="00F22E22" w:rsidRPr="008F16CA" w:rsidRDefault="00F22E22" w:rsidP="00F22E22">
      <w:pPr>
        <w:spacing w:before="100" w:beforeAutospacing="1" w:after="100" w:afterAutospacing="1"/>
        <w:ind w:left="0" w:firstLine="0"/>
        <w:outlineLvl w:val="0"/>
        <w:rPr>
          <w:rFonts w:ascii="Arial" w:eastAsia="Times New Roman" w:hAnsi="Arial" w:cs="Arial"/>
          <w:b/>
          <w:bCs/>
          <w:kern w:val="36"/>
          <w:lang w:val="en-US"/>
        </w:rPr>
      </w:pPr>
      <w:r w:rsidRPr="008F16CA">
        <w:rPr>
          <w:rFonts w:ascii="Arial" w:eastAsia="Times New Roman" w:hAnsi="Arial" w:cs="Arial"/>
          <w:b/>
          <w:bCs/>
          <w:kern w:val="36"/>
          <w:lang w:val="en-US"/>
        </w:rPr>
        <w:t>2.3 Screening and Quantification of Extracellular Enzyme Production</w:t>
      </w:r>
    </w:p>
    <w:p w14:paraId="20C63878" w14:textId="77777777" w:rsidR="00F22E22" w:rsidRPr="008F16CA" w:rsidRDefault="00F22E22" w:rsidP="00F22E22">
      <w:pPr>
        <w:spacing w:before="100" w:beforeAutospacing="1" w:after="100" w:afterAutospacing="1"/>
        <w:ind w:left="0" w:firstLine="0"/>
        <w:rPr>
          <w:rFonts w:ascii="Arial" w:eastAsia="Times New Roman" w:hAnsi="Arial" w:cs="Arial"/>
          <w:kern w:val="0"/>
          <w:sz w:val="20"/>
          <w:szCs w:val="20"/>
          <w:lang w:val="en-US"/>
        </w:rPr>
      </w:pPr>
      <w:r w:rsidRPr="008F16CA">
        <w:rPr>
          <w:rFonts w:ascii="Arial" w:eastAsia="Arial" w:hAnsi="Arial"/>
          <w:sz w:val="20"/>
        </w:rPr>
        <w:t>The bacterial endophytic isolates were screened for extracellular enzyme production, including amylase, protease, cellulase, and lipase, using standard qualitative plate-assay methods. Amylase production was evaluated on starch agar plates. After incubation, the plates were flooded with 1% iodine solution, and the formation of a clear halo around the bacterial colonies indicated starch hydrolysis and amylase production (Bernfeld, 1955; Miller, 1959). Protease production was determined on skim-milk agar plates, where the appearance of a clear zone around the colonies confirmed proteolytic activity (Cupp-Enyard, 2008). Cellulase activity was assessed on carboxymethyl cellulose (CMC) agar plates. Following incubation, the plates were stained with 1% Congo red and destained with 1 M NaCl. Clear halos around the colonies indicated cellulose degradation (Gupta et al., 2012). Lipase production was evaluated on olive oil agar medium, and clear hydrolysis zones around the bacterial colonies confirmed lipolytic activity (Hasan et al., 2006; Sharma et al., 2001).</w:t>
      </w:r>
    </w:p>
    <w:p w14:paraId="6F711C59" w14:textId="77777777" w:rsidR="00F22E22" w:rsidRPr="008F16CA" w:rsidRDefault="00F22E22" w:rsidP="00F22E22">
      <w:pPr>
        <w:spacing w:before="100" w:beforeAutospacing="1" w:after="100" w:afterAutospacing="1"/>
        <w:ind w:left="0" w:firstLine="0"/>
        <w:rPr>
          <w:rFonts w:ascii="Arial" w:eastAsia="Times New Roman" w:hAnsi="Arial" w:cs="Arial"/>
          <w:kern w:val="0"/>
          <w:sz w:val="20"/>
          <w:szCs w:val="20"/>
          <w:lang w:val="en-US"/>
        </w:rPr>
      </w:pPr>
      <w:r w:rsidRPr="008F16CA">
        <w:rPr>
          <w:rFonts w:ascii="Arial" w:eastAsia="Arial" w:hAnsi="Arial"/>
          <w:sz w:val="20"/>
        </w:rPr>
        <w:t>For the quantitative enzyme assays, the bacterial isolates were cultured in their respective production media and incubated at 37 °C under optimised conditions. The cultures were centrifuged at 5,000 rpm for 10 min, and the resulting cell-free supernatants were collected as crude enzyme extracts.</w:t>
      </w:r>
    </w:p>
    <w:p w14:paraId="61596A7B" w14:textId="77777777" w:rsidR="00F22E22" w:rsidRPr="008F16CA" w:rsidRDefault="00F22E22" w:rsidP="00F22E22">
      <w:pPr>
        <w:spacing w:before="100" w:beforeAutospacing="1" w:after="100" w:afterAutospacing="1"/>
        <w:ind w:left="0" w:firstLine="0"/>
        <w:rPr>
          <w:rFonts w:ascii="Arial" w:eastAsia="Times New Roman" w:hAnsi="Arial" w:cs="Arial"/>
          <w:kern w:val="0"/>
          <w:sz w:val="20"/>
          <w:szCs w:val="20"/>
          <w:lang w:val="en-US"/>
        </w:rPr>
      </w:pPr>
      <w:r w:rsidRPr="008F16CA">
        <w:rPr>
          <w:rFonts w:ascii="Arial" w:eastAsia="Arial" w:hAnsi="Arial"/>
          <w:sz w:val="20"/>
        </w:rPr>
        <w:t>Amylase and cellulase activities were quantified using the 3,5-dinitrosalicylic acid (DNS) method, with starch and carboxymethyl cellulose as the respective substrates. The concentration of reducing sugars released during substrate hydrolysis was determined by measuring absorbance at 540 nm, and enzyme activities were calculated using a glucose standard curve (Miller, 1959).</w:t>
      </w:r>
    </w:p>
    <w:p w14:paraId="3E56DD1B" w14:textId="77777777" w:rsidR="00F22E22" w:rsidRPr="008F16CA" w:rsidRDefault="00F22E22" w:rsidP="00F22E22">
      <w:pPr>
        <w:spacing w:before="100" w:beforeAutospacing="1" w:after="100" w:afterAutospacing="1"/>
        <w:ind w:left="0" w:firstLine="0"/>
        <w:rPr>
          <w:rFonts w:ascii="Arial" w:eastAsia="Times New Roman" w:hAnsi="Arial" w:cs="Arial"/>
          <w:kern w:val="0"/>
          <w:sz w:val="20"/>
          <w:szCs w:val="20"/>
          <w:lang w:val="en-US"/>
        </w:rPr>
      </w:pPr>
      <w:r w:rsidRPr="008F16CA">
        <w:rPr>
          <w:rFonts w:ascii="Arial" w:eastAsia="Arial" w:hAnsi="Arial"/>
          <w:sz w:val="20"/>
        </w:rPr>
        <w:t>Protease activity was determined using the casein hydrolysis method with Folin-Ciocalteu reagent, and absorbance was measured at 660 nm. Enzyme activity was calculated using a tyrosine standard curve (Cupp-Enyard, 2008).</w:t>
      </w:r>
    </w:p>
    <w:p w14:paraId="256D2848" w14:textId="77777777" w:rsidR="00F22E22" w:rsidRPr="008F16CA" w:rsidRDefault="00F22E22" w:rsidP="00F22E22">
      <w:pPr>
        <w:spacing w:before="100" w:beforeAutospacing="1" w:after="100" w:afterAutospacing="1"/>
        <w:ind w:left="0" w:firstLine="0"/>
        <w:rPr>
          <w:rFonts w:ascii="Arial" w:eastAsia="Times New Roman" w:hAnsi="Arial" w:cs="Arial"/>
          <w:kern w:val="0"/>
          <w:sz w:val="20"/>
          <w:szCs w:val="20"/>
          <w:lang w:val="en-US"/>
        </w:rPr>
      </w:pPr>
      <w:r w:rsidRPr="008F16CA">
        <w:rPr>
          <w:rFonts w:ascii="Arial" w:eastAsia="Arial" w:hAnsi="Arial"/>
          <w:sz w:val="20"/>
        </w:rPr>
        <w:t>Lipase activity was determined using an olive oil emulsion substrate. The crude enzyme extract, immobilised in calcium alginate beads, was incubated with the substrate at 37 °C for 30 min. The liberated free fatty acids were titrated against 0.05 N NaOH using phenolphthalein as the indicator. Lipase activity was calculated using the following equation:</w:t>
      </w:r>
    </w:p>
    <w:p w14:paraId="67AF12F8" w14:textId="77777777" w:rsidR="00F22E22" w:rsidRPr="008F16CA" w:rsidRDefault="00F22E22" w:rsidP="00F22E22">
      <w:pPr>
        <w:spacing w:before="100" w:beforeAutospacing="1" w:after="100" w:afterAutospacing="1"/>
        <w:ind w:left="0" w:firstLine="0"/>
        <w:rPr>
          <w:rFonts w:ascii="Arial" w:eastAsia="Times New Roman" w:hAnsi="Arial" w:cs="Arial"/>
          <w:kern w:val="0"/>
          <w:sz w:val="20"/>
          <w:szCs w:val="20"/>
          <w:lang w:val="en-US"/>
        </w:rPr>
      </w:pPr>
      <w:r w:rsidRPr="008F16CA">
        <w:rPr>
          <w:rFonts w:ascii="Arial" w:eastAsia="Times New Roman" w:hAnsi="Arial" w:cs="Arial"/>
          <w:bCs/>
          <w:kern w:val="0"/>
          <w:sz w:val="20"/>
          <w:szCs w:val="20"/>
          <w:lang w:val="en-US"/>
        </w:rPr>
        <w:t>Enzyme activity (U) = (V × N × 1000) / T</w:t>
      </w:r>
    </w:p>
    <w:p w14:paraId="42779281" w14:textId="77777777" w:rsidR="00F22E22" w:rsidRPr="008F16CA" w:rsidRDefault="00F22E22" w:rsidP="00F22E22">
      <w:pPr>
        <w:spacing w:before="100" w:beforeAutospacing="1" w:after="100" w:afterAutospacing="1"/>
        <w:ind w:left="0" w:firstLine="0"/>
        <w:rPr>
          <w:rFonts w:ascii="Arial" w:eastAsia="Times New Roman" w:hAnsi="Arial" w:cs="Arial"/>
          <w:kern w:val="0"/>
          <w:sz w:val="20"/>
          <w:szCs w:val="20"/>
          <w:lang w:val="en-US"/>
        </w:rPr>
      </w:pPr>
      <w:r w:rsidRPr="008F16CA">
        <w:rPr>
          <w:rFonts w:ascii="Arial" w:eastAsia="Arial" w:hAnsi="Arial"/>
          <w:sz w:val="20"/>
        </w:rPr>
        <w:t>where V is the volume of NaOH consumed (mL), N is the normality of NaOH, and T is the incubation time (min) (Hasan et al., 2006).</w:t>
      </w:r>
    </w:p>
    <w:p w14:paraId="003C339D" w14:textId="77777777" w:rsidR="00DE31C8" w:rsidRPr="008F16CA" w:rsidRDefault="00DE31C8" w:rsidP="00067344">
      <w:pPr>
        <w:pStyle w:val="NormalWeb"/>
        <w:jc w:val="both"/>
        <w:rPr>
          <w:rFonts w:ascii="Arial" w:hAnsi="Arial" w:cs="Arial"/>
          <w:b/>
          <w:sz w:val="22"/>
          <w:szCs w:val="22"/>
        </w:rPr>
      </w:pPr>
      <w:r w:rsidRPr="008F16CA">
        <w:rPr>
          <w:rFonts w:ascii="Arial" w:hAnsi="Arial" w:cs="Arial"/>
          <w:b/>
          <w:sz w:val="22"/>
          <w:szCs w:val="22"/>
        </w:rPr>
        <w:t>3. Results</w:t>
      </w:r>
    </w:p>
    <w:p w14:paraId="2094ABDC" w14:textId="77777777" w:rsidR="00026F12" w:rsidRPr="008F16CA" w:rsidRDefault="00026F12" w:rsidP="00026F12">
      <w:pPr>
        <w:pStyle w:val="Heading2"/>
        <w:rPr>
          <w:rFonts w:ascii="Arial" w:hAnsi="Arial" w:cs="Arial"/>
          <w:color w:val="auto"/>
          <w:sz w:val="22"/>
          <w:szCs w:val="22"/>
        </w:rPr>
      </w:pPr>
      <w:r w:rsidRPr="008F16CA">
        <w:rPr>
          <w:rFonts w:ascii="Arial" w:hAnsi="Arial" w:cs="Arial"/>
          <w:color w:val="auto"/>
          <w:sz w:val="22"/>
          <w:szCs w:val="22"/>
        </w:rPr>
        <w:lastRenderedPageBreak/>
        <w:t>3.1 Isolation and Molecular Identification of Bacterial Endophytes</w:t>
      </w:r>
    </w:p>
    <w:p w14:paraId="0291D5A4" w14:textId="77777777" w:rsidR="00026F12" w:rsidRPr="008F16CA" w:rsidRDefault="00026F12" w:rsidP="00026F12">
      <w:pPr>
        <w:pStyle w:val="NormalWeb"/>
        <w:jc w:val="both"/>
        <w:rPr>
          <w:rFonts w:ascii="Arial" w:hAnsi="Arial" w:cs="Arial"/>
          <w:sz w:val="20"/>
          <w:szCs w:val="20"/>
        </w:rPr>
      </w:pPr>
      <w:r w:rsidRPr="008F16CA">
        <w:rPr>
          <w:rFonts w:ascii="Arial" w:eastAsia="Arial" w:hAnsi="Arial"/>
          <w:sz w:val="20"/>
        </w:rPr>
        <w:t xml:space="preserve">Three bacterial endophytes were successfully isolated from the rhizomes of </w:t>
      </w:r>
      <w:r w:rsidRPr="008F16CA">
        <w:rPr>
          <w:rFonts w:ascii="Arial" w:eastAsia="Arial" w:hAnsi="Arial"/>
          <w:i/>
          <w:sz w:val="20"/>
        </w:rPr>
        <w:t>Curcuma caesia</w:t>
      </w:r>
      <w:r w:rsidRPr="008F16CA">
        <w:rPr>
          <w:rFonts w:ascii="Arial" w:eastAsia="Arial" w:hAnsi="Arial"/>
          <w:sz w:val="20"/>
        </w:rPr>
        <w:t xml:space="preserve">. Based on morphological characteristics, biochemical analyses, and 16S rRNA gene sequencing, the isolates were identified as </w:t>
      </w:r>
      <w:r w:rsidRPr="008F16CA">
        <w:rPr>
          <w:rFonts w:ascii="Arial" w:eastAsia="Arial" w:hAnsi="Arial"/>
          <w:i/>
          <w:sz w:val="20"/>
        </w:rPr>
        <w:t>Enterobacter hormaechei</w:t>
      </w:r>
      <w:r w:rsidRPr="008F16CA">
        <w:rPr>
          <w:rFonts w:ascii="Arial" w:eastAsia="Arial" w:hAnsi="Arial"/>
          <w:sz w:val="20"/>
        </w:rPr>
        <w:t xml:space="preserve">, </w:t>
      </w:r>
      <w:r w:rsidRPr="008F16CA">
        <w:rPr>
          <w:rFonts w:ascii="Arial" w:eastAsia="Arial" w:hAnsi="Arial"/>
          <w:i/>
          <w:sz w:val="20"/>
        </w:rPr>
        <w:t>Bacillus flexus</w:t>
      </w:r>
      <w:r w:rsidRPr="008F16CA">
        <w:rPr>
          <w:rFonts w:ascii="Arial" w:eastAsia="Arial" w:hAnsi="Arial"/>
          <w:sz w:val="20"/>
        </w:rPr>
        <w:t xml:space="preserve">, and </w:t>
      </w:r>
      <w:r w:rsidRPr="008F16CA">
        <w:rPr>
          <w:rFonts w:ascii="Arial" w:eastAsia="Arial" w:hAnsi="Arial"/>
          <w:i/>
          <w:sz w:val="20"/>
        </w:rPr>
        <w:t>Bacillus amyloliquefaciens</w:t>
      </w:r>
      <w:r w:rsidRPr="008F16CA">
        <w:rPr>
          <w:rFonts w:ascii="Arial" w:eastAsia="Arial" w:hAnsi="Arial"/>
          <w:sz w:val="20"/>
        </w:rPr>
        <w:t>. These bacterial endophytes were subsequently selected for the qualitative and quantitative evaluation of extracellular amylase, protease, cellulase, and lipase production.</w:t>
      </w:r>
    </w:p>
    <w:p w14:paraId="2FBDB7B7" w14:textId="77777777" w:rsidR="000423FF" w:rsidRPr="008F16CA" w:rsidRDefault="000423FF" w:rsidP="000423FF">
      <w:pPr>
        <w:pStyle w:val="Heading2"/>
        <w:rPr>
          <w:rFonts w:ascii="Arial" w:hAnsi="Arial" w:cs="Arial"/>
          <w:color w:val="auto"/>
          <w:sz w:val="22"/>
          <w:szCs w:val="22"/>
        </w:rPr>
      </w:pPr>
      <w:r w:rsidRPr="008F16CA">
        <w:rPr>
          <w:rFonts w:ascii="Arial" w:hAnsi="Arial" w:cs="Arial"/>
          <w:color w:val="auto"/>
          <w:sz w:val="22"/>
          <w:szCs w:val="22"/>
        </w:rPr>
        <w:t>3.2 Screening of Bacterial Endophytes for Extracellular Enzyme Production</w:t>
      </w:r>
    </w:p>
    <w:p w14:paraId="1C3DB7BC" w14:textId="77777777" w:rsidR="000423FF" w:rsidRPr="008F16CA" w:rsidRDefault="000423FF" w:rsidP="000423FF">
      <w:pPr>
        <w:pStyle w:val="Heading3"/>
        <w:rPr>
          <w:rFonts w:ascii="Arial" w:hAnsi="Arial" w:cs="Arial"/>
          <w:color w:val="auto"/>
        </w:rPr>
      </w:pPr>
      <w:r w:rsidRPr="008F16CA">
        <w:rPr>
          <w:rFonts w:ascii="Arial" w:hAnsi="Arial" w:cs="Arial"/>
          <w:color w:val="auto"/>
        </w:rPr>
        <w:t>Amylase Activity</w:t>
      </w:r>
    </w:p>
    <w:p w14:paraId="06BE6005" w14:textId="77777777" w:rsidR="000423FF" w:rsidRPr="008F16CA" w:rsidRDefault="000423FF" w:rsidP="000423FF">
      <w:pPr>
        <w:pStyle w:val="NormalWeb"/>
        <w:jc w:val="both"/>
        <w:rPr>
          <w:rFonts w:ascii="Arial" w:hAnsi="Arial" w:cs="Arial"/>
          <w:sz w:val="20"/>
          <w:szCs w:val="20"/>
        </w:rPr>
      </w:pPr>
      <w:r w:rsidRPr="008F16CA">
        <w:rPr>
          <w:rFonts w:ascii="Arial" w:eastAsia="Arial" w:hAnsi="Arial"/>
          <w:sz w:val="20"/>
        </w:rPr>
        <w:t>The amylase activity of the bacterial endophytic isolates was quantitatively determined using the 3,5-dinitrosalicylic acid (DNS) assay with glucose as the standard. The production of reducing sugars following starch hydrolysis was measured colourimetrically at 540 nm. All three isolates exhibited extracellular amylase activity, indicating their ability to hydrolyse starch. Differences in absorbance values among the isolates reflected variation in amylase production and starch-degrading potential (Table 1).</w:t>
      </w:r>
    </w:p>
    <w:p w14:paraId="5076668C" w14:textId="77777777" w:rsidR="000C0D7E" w:rsidRPr="008F16CA" w:rsidRDefault="000C0D7E" w:rsidP="0071313D">
      <w:pPr>
        <w:pStyle w:val="NormalWeb"/>
        <w:spacing w:line="360" w:lineRule="auto"/>
        <w:jc w:val="both"/>
        <w:rPr>
          <w:rFonts w:ascii="Arial" w:hAnsi="Arial" w:cs="Arial"/>
          <w:b/>
          <w:sz w:val="22"/>
          <w:szCs w:val="22"/>
        </w:rPr>
      </w:pPr>
      <w:r w:rsidRPr="008F16CA">
        <w:rPr>
          <w:rFonts w:ascii="Arial" w:hAnsi="Arial" w:cs="Arial"/>
          <w:b/>
          <w:sz w:val="22"/>
          <w:szCs w:val="22"/>
        </w:rPr>
        <w:t xml:space="preserve">Table 1: </w:t>
      </w:r>
      <w:r w:rsidR="0071313D" w:rsidRPr="008F16CA">
        <w:rPr>
          <w:rFonts w:ascii="Arial" w:hAnsi="Arial" w:cs="Arial"/>
          <w:b/>
          <w:sz w:val="22"/>
          <w:szCs w:val="22"/>
        </w:rPr>
        <w:t>Estimation of Amylase Activity of Bacterial Endophytes Using the DNS Assay</w:t>
      </w:r>
    </w:p>
    <w:tbl>
      <w:tblPr>
        <w:tblStyle w:val="TableGrid"/>
        <w:tblW w:w="9493" w:type="dxa"/>
        <w:tblInd w:w="113" w:type="dxa"/>
        <w:tblLayout w:type="fixed"/>
        <w:tblLook w:val="04A0" w:firstRow="1" w:lastRow="0" w:firstColumn="1" w:lastColumn="0" w:noHBand="0" w:noVBand="1"/>
      </w:tblPr>
      <w:tblGrid>
        <w:gridCol w:w="2263"/>
        <w:gridCol w:w="1418"/>
        <w:gridCol w:w="1098"/>
        <w:gridCol w:w="1312"/>
        <w:gridCol w:w="1275"/>
        <w:gridCol w:w="851"/>
        <w:gridCol w:w="1276"/>
      </w:tblGrid>
      <w:tr w:rsidR="000C0D7E" w:rsidRPr="008F16CA" w14:paraId="06DA75E2" w14:textId="77777777" w:rsidTr="000C0D7E">
        <w:trPr>
          <w:trHeight w:val="1266"/>
        </w:trPr>
        <w:tc>
          <w:tcPr>
            <w:tcW w:w="2263" w:type="dxa"/>
          </w:tcPr>
          <w:p w14:paraId="6948F4AE" w14:textId="77777777" w:rsidR="000C0D7E" w:rsidRPr="008F16CA" w:rsidRDefault="000C0D7E" w:rsidP="00A67EE4">
            <w:pPr>
              <w:tabs>
                <w:tab w:val="center" w:pos="1023"/>
                <w:tab w:val="right" w:pos="2047"/>
              </w:tabs>
              <w:spacing w:line="480" w:lineRule="auto"/>
              <w:jc w:val="center"/>
              <w:rPr>
                <w:rFonts w:ascii="Arial" w:hAnsi="Arial" w:cs="Arial"/>
                <w:b/>
                <w:bCs/>
                <w:sz w:val="20"/>
                <w:szCs w:val="20"/>
                <w:lang w:eastAsia="zh-CN"/>
              </w:rPr>
            </w:pPr>
            <w:r w:rsidRPr="008F16CA">
              <w:rPr>
                <w:rFonts w:ascii="Arial" w:hAnsi="Arial" w:cs="Arial"/>
                <w:b/>
                <w:bCs/>
                <w:sz w:val="20"/>
                <w:szCs w:val="20"/>
                <w:lang w:eastAsia="zh-CN"/>
              </w:rPr>
              <w:t>S.NO</w:t>
            </w:r>
          </w:p>
        </w:tc>
        <w:tc>
          <w:tcPr>
            <w:tcW w:w="1418" w:type="dxa"/>
          </w:tcPr>
          <w:p w14:paraId="2EDF9FAA" w14:textId="77777777" w:rsidR="000C0D7E" w:rsidRPr="008F16CA" w:rsidRDefault="000C0D7E" w:rsidP="00A67EE4">
            <w:pPr>
              <w:spacing w:line="480" w:lineRule="auto"/>
              <w:jc w:val="center"/>
              <w:rPr>
                <w:rFonts w:ascii="Arial" w:hAnsi="Arial" w:cs="Arial"/>
                <w:b/>
                <w:bCs/>
                <w:sz w:val="20"/>
                <w:szCs w:val="20"/>
                <w:lang w:eastAsia="zh-CN"/>
              </w:rPr>
            </w:pPr>
            <w:r w:rsidRPr="008F16CA">
              <w:rPr>
                <w:rFonts w:ascii="Arial" w:hAnsi="Arial" w:cs="Arial"/>
                <w:b/>
                <w:bCs/>
                <w:sz w:val="20"/>
                <w:szCs w:val="20"/>
                <w:lang w:eastAsia="zh-CN"/>
              </w:rPr>
              <w:t>Std Glucose</w:t>
            </w:r>
          </w:p>
          <w:p w14:paraId="53FCF82D" w14:textId="77777777" w:rsidR="00A67EE4" w:rsidRPr="008F16CA" w:rsidRDefault="00A67EE4" w:rsidP="00A67EE4">
            <w:pPr>
              <w:spacing w:line="480" w:lineRule="auto"/>
              <w:jc w:val="center"/>
              <w:rPr>
                <w:rFonts w:ascii="Arial" w:hAnsi="Arial" w:cs="Arial"/>
                <w:b/>
                <w:bCs/>
                <w:sz w:val="20"/>
                <w:szCs w:val="20"/>
                <w:lang w:eastAsia="zh-CN"/>
              </w:rPr>
            </w:pPr>
            <w:r w:rsidRPr="008F16CA">
              <w:rPr>
                <w:rFonts w:ascii="Arial" w:hAnsi="Arial" w:cs="Arial"/>
                <w:b/>
                <w:bCs/>
                <w:sz w:val="20"/>
                <w:szCs w:val="20"/>
                <w:lang w:eastAsia="zh-CN"/>
              </w:rPr>
              <w:t>ml</w:t>
            </w:r>
          </w:p>
        </w:tc>
        <w:tc>
          <w:tcPr>
            <w:tcW w:w="1098" w:type="dxa"/>
          </w:tcPr>
          <w:p w14:paraId="2AC9B1C3" w14:textId="77777777" w:rsidR="000C0D7E" w:rsidRPr="008F16CA" w:rsidRDefault="000C0D7E" w:rsidP="00A67EE4">
            <w:pPr>
              <w:spacing w:line="480" w:lineRule="auto"/>
              <w:jc w:val="center"/>
              <w:rPr>
                <w:rFonts w:ascii="Arial" w:hAnsi="Arial" w:cs="Arial"/>
                <w:b/>
                <w:bCs/>
                <w:sz w:val="20"/>
                <w:szCs w:val="20"/>
                <w:lang w:eastAsia="zh-CN"/>
              </w:rPr>
            </w:pPr>
            <w:r w:rsidRPr="008F16CA">
              <w:rPr>
                <w:rFonts w:ascii="Arial" w:hAnsi="Arial" w:cs="Arial"/>
                <w:b/>
                <w:bCs/>
                <w:sz w:val="20"/>
                <w:szCs w:val="20"/>
                <w:lang w:eastAsia="zh-CN"/>
              </w:rPr>
              <w:t>Vol of water</w:t>
            </w:r>
          </w:p>
          <w:p w14:paraId="16B55065" w14:textId="77777777" w:rsidR="00A67EE4" w:rsidRPr="008F16CA" w:rsidRDefault="00A67EE4" w:rsidP="00A67EE4">
            <w:pPr>
              <w:spacing w:line="480" w:lineRule="auto"/>
              <w:jc w:val="center"/>
              <w:rPr>
                <w:rFonts w:ascii="Arial" w:hAnsi="Arial" w:cs="Arial"/>
                <w:b/>
                <w:bCs/>
                <w:sz w:val="20"/>
                <w:szCs w:val="20"/>
                <w:lang w:eastAsia="zh-CN"/>
              </w:rPr>
            </w:pPr>
            <w:r w:rsidRPr="008F16CA">
              <w:rPr>
                <w:rFonts w:ascii="Arial" w:hAnsi="Arial" w:cs="Arial"/>
                <w:b/>
                <w:bCs/>
                <w:sz w:val="20"/>
                <w:szCs w:val="20"/>
                <w:lang w:eastAsia="zh-CN"/>
              </w:rPr>
              <w:t>ml</w:t>
            </w:r>
          </w:p>
        </w:tc>
        <w:tc>
          <w:tcPr>
            <w:tcW w:w="1312" w:type="dxa"/>
          </w:tcPr>
          <w:p w14:paraId="44DA0244" w14:textId="77777777" w:rsidR="000C0D7E" w:rsidRPr="008F16CA" w:rsidRDefault="000C0D7E" w:rsidP="00A67EE4">
            <w:pPr>
              <w:spacing w:line="480" w:lineRule="auto"/>
              <w:jc w:val="center"/>
              <w:rPr>
                <w:rFonts w:ascii="Arial" w:hAnsi="Arial" w:cs="Arial"/>
                <w:b/>
                <w:bCs/>
                <w:sz w:val="20"/>
                <w:szCs w:val="20"/>
                <w:lang w:eastAsia="zh-CN"/>
              </w:rPr>
            </w:pPr>
            <w:r w:rsidRPr="008F16CA">
              <w:rPr>
                <w:rFonts w:ascii="Arial" w:hAnsi="Arial" w:cs="Arial"/>
                <w:b/>
                <w:bCs/>
                <w:sz w:val="20"/>
                <w:szCs w:val="20"/>
                <w:lang w:eastAsia="zh-CN"/>
              </w:rPr>
              <w:t>Conc. of glucose</w:t>
            </w:r>
          </w:p>
          <w:p w14:paraId="7A95C0CB" w14:textId="77777777" w:rsidR="00A67EE4" w:rsidRPr="008F16CA" w:rsidRDefault="00A67EE4" w:rsidP="00A67EE4">
            <w:pPr>
              <w:spacing w:line="480" w:lineRule="auto"/>
              <w:jc w:val="center"/>
              <w:rPr>
                <w:rFonts w:ascii="Arial" w:hAnsi="Arial" w:cs="Arial"/>
                <w:b/>
                <w:bCs/>
                <w:sz w:val="20"/>
                <w:szCs w:val="20"/>
                <w:lang w:eastAsia="zh-CN"/>
              </w:rPr>
            </w:pPr>
            <w:r w:rsidRPr="008F16CA">
              <w:rPr>
                <w:rFonts w:ascii="Arial" w:hAnsi="Arial" w:cs="Arial"/>
                <w:b/>
                <w:sz w:val="20"/>
                <w:szCs w:val="20"/>
              </w:rPr>
              <w:t>(µg mL</w:t>
            </w:r>
            <w:r w:rsidRPr="008F16CA">
              <w:rPr>
                <w:rFonts w:cs="Arial"/>
                <w:b/>
                <w:sz w:val="20"/>
                <w:szCs w:val="20"/>
              </w:rPr>
              <w:t>⁻</w:t>
            </w:r>
            <w:r w:rsidRPr="008F16CA">
              <w:rPr>
                <w:rFonts w:ascii="Arial" w:hAnsi="Arial" w:cs="Arial"/>
                <w:b/>
                <w:sz w:val="20"/>
                <w:szCs w:val="20"/>
              </w:rPr>
              <w:t>¹)</w:t>
            </w:r>
          </w:p>
        </w:tc>
        <w:tc>
          <w:tcPr>
            <w:tcW w:w="1275" w:type="dxa"/>
          </w:tcPr>
          <w:p w14:paraId="5E1220A2" w14:textId="77777777" w:rsidR="000C0D7E" w:rsidRPr="008F16CA" w:rsidRDefault="000C0D7E" w:rsidP="00A67EE4">
            <w:pPr>
              <w:spacing w:line="480" w:lineRule="auto"/>
              <w:jc w:val="center"/>
              <w:rPr>
                <w:rFonts w:ascii="Arial" w:hAnsi="Arial" w:cs="Arial"/>
                <w:b/>
                <w:bCs/>
                <w:sz w:val="20"/>
                <w:szCs w:val="20"/>
                <w:lang w:eastAsia="zh-CN"/>
              </w:rPr>
            </w:pPr>
            <w:r w:rsidRPr="008F16CA">
              <w:rPr>
                <w:rFonts w:ascii="Arial" w:hAnsi="Arial" w:cs="Arial"/>
                <w:b/>
                <w:bCs/>
                <w:sz w:val="20"/>
                <w:szCs w:val="20"/>
                <w:lang w:eastAsia="zh-CN"/>
              </w:rPr>
              <w:t>DNS reagent</w:t>
            </w:r>
          </w:p>
          <w:p w14:paraId="787ACE79" w14:textId="77777777" w:rsidR="00A67EE4" w:rsidRPr="008F16CA" w:rsidRDefault="00A67EE4" w:rsidP="00A67EE4">
            <w:pPr>
              <w:spacing w:line="480" w:lineRule="auto"/>
              <w:jc w:val="center"/>
              <w:rPr>
                <w:rFonts w:ascii="Arial" w:hAnsi="Arial" w:cs="Arial"/>
                <w:b/>
                <w:bCs/>
                <w:sz w:val="20"/>
                <w:szCs w:val="20"/>
                <w:lang w:eastAsia="zh-CN"/>
              </w:rPr>
            </w:pPr>
            <w:r w:rsidRPr="008F16CA">
              <w:rPr>
                <w:rFonts w:ascii="Arial" w:hAnsi="Arial" w:cs="Arial"/>
                <w:b/>
                <w:bCs/>
                <w:sz w:val="20"/>
                <w:szCs w:val="20"/>
                <w:lang w:eastAsia="zh-CN"/>
              </w:rPr>
              <w:t>ml</w:t>
            </w:r>
          </w:p>
        </w:tc>
        <w:tc>
          <w:tcPr>
            <w:tcW w:w="851" w:type="dxa"/>
          </w:tcPr>
          <w:p w14:paraId="1A50002E" w14:textId="77777777" w:rsidR="000C0D7E" w:rsidRPr="008F16CA" w:rsidRDefault="000C0D7E" w:rsidP="00A67EE4">
            <w:pPr>
              <w:spacing w:line="480" w:lineRule="auto"/>
              <w:jc w:val="center"/>
              <w:rPr>
                <w:rFonts w:ascii="Arial" w:hAnsi="Arial" w:cs="Arial"/>
                <w:b/>
                <w:bCs/>
                <w:sz w:val="20"/>
                <w:szCs w:val="20"/>
                <w:lang w:eastAsia="zh-CN"/>
              </w:rPr>
            </w:pPr>
            <w:proofErr w:type="gramStart"/>
            <w:r w:rsidRPr="008F16CA">
              <w:rPr>
                <w:rFonts w:ascii="Arial" w:hAnsi="Arial" w:cs="Arial"/>
                <w:b/>
                <w:bCs/>
                <w:sz w:val="20"/>
                <w:szCs w:val="20"/>
                <w:lang w:eastAsia="zh-CN"/>
              </w:rPr>
              <w:t>O.D</w:t>
            </w:r>
            <w:proofErr w:type="gramEnd"/>
          </w:p>
        </w:tc>
        <w:tc>
          <w:tcPr>
            <w:tcW w:w="1276" w:type="dxa"/>
          </w:tcPr>
          <w:p w14:paraId="0A23A0E2" w14:textId="77777777" w:rsidR="000C0D7E" w:rsidRPr="008F16CA" w:rsidRDefault="000C0D7E" w:rsidP="00A67EE4">
            <w:pPr>
              <w:spacing w:line="480" w:lineRule="auto"/>
              <w:jc w:val="center"/>
              <w:rPr>
                <w:rFonts w:ascii="Arial" w:hAnsi="Arial" w:cs="Arial"/>
                <w:b/>
                <w:bCs/>
                <w:sz w:val="20"/>
                <w:szCs w:val="20"/>
                <w:lang w:eastAsia="zh-CN"/>
              </w:rPr>
            </w:pPr>
            <w:r w:rsidRPr="008F16CA">
              <w:rPr>
                <w:rFonts w:ascii="Arial" w:hAnsi="Arial" w:cs="Arial"/>
                <w:b/>
                <w:bCs/>
                <w:sz w:val="20"/>
                <w:szCs w:val="20"/>
                <w:lang w:eastAsia="zh-CN"/>
              </w:rPr>
              <w:t>Net O.D</w:t>
            </w:r>
          </w:p>
          <w:p w14:paraId="13DFAC1C" w14:textId="77777777" w:rsidR="00A67EE4" w:rsidRPr="008F16CA" w:rsidRDefault="00A67EE4" w:rsidP="00A67EE4">
            <w:pPr>
              <w:spacing w:line="480" w:lineRule="auto"/>
              <w:jc w:val="center"/>
              <w:rPr>
                <w:rFonts w:ascii="Arial" w:hAnsi="Arial" w:cs="Arial"/>
                <w:b/>
                <w:bCs/>
                <w:sz w:val="20"/>
                <w:szCs w:val="20"/>
                <w:lang w:eastAsia="zh-CN"/>
              </w:rPr>
            </w:pPr>
            <w:r w:rsidRPr="008F16CA">
              <w:rPr>
                <w:rFonts w:ascii="Arial" w:hAnsi="Arial" w:cs="Arial"/>
                <w:b/>
                <w:bCs/>
                <w:sz w:val="20"/>
                <w:szCs w:val="20"/>
                <w:lang w:eastAsia="zh-CN"/>
              </w:rPr>
              <w:t>540 nm</w:t>
            </w:r>
          </w:p>
        </w:tc>
      </w:tr>
      <w:tr w:rsidR="000C0D7E" w:rsidRPr="008F16CA" w14:paraId="3E797B1C" w14:textId="77777777" w:rsidTr="000C0D7E">
        <w:tc>
          <w:tcPr>
            <w:tcW w:w="2263" w:type="dxa"/>
          </w:tcPr>
          <w:p w14:paraId="05E90C10" w14:textId="77777777" w:rsidR="000C0D7E" w:rsidRPr="008F16CA" w:rsidRDefault="000C0D7E" w:rsidP="000C0D7E">
            <w:pPr>
              <w:spacing w:line="480" w:lineRule="auto"/>
              <w:ind w:left="0" w:firstLine="0"/>
              <w:jc w:val="left"/>
              <w:rPr>
                <w:rFonts w:ascii="Arial" w:hAnsi="Arial" w:cs="Arial"/>
                <w:sz w:val="20"/>
                <w:szCs w:val="20"/>
                <w:lang w:val="en-US"/>
              </w:rPr>
            </w:pPr>
            <w:r w:rsidRPr="008F16CA">
              <w:rPr>
                <w:rFonts w:ascii="Arial" w:hAnsi="Arial" w:cs="Arial"/>
                <w:sz w:val="20"/>
                <w:szCs w:val="20"/>
              </w:rPr>
              <w:t>1</w:t>
            </w:r>
          </w:p>
        </w:tc>
        <w:tc>
          <w:tcPr>
            <w:tcW w:w="1418" w:type="dxa"/>
          </w:tcPr>
          <w:p w14:paraId="588074B0" w14:textId="77777777" w:rsidR="000C0D7E" w:rsidRPr="008F16CA" w:rsidRDefault="000C0D7E" w:rsidP="000C0D7E">
            <w:pPr>
              <w:spacing w:line="480" w:lineRule="auto"/>
              <w:ind w:left="0" w:firstLine="0"/>
              <w:jc w:val="left"/>
              <w:rPr>
                <w:rFonts w:ascii="Arial" w:hAnsi="Arial" w:cs="Arial"/>
                <w:sz w:val="20"/>
                <w:szCs w:val="20"/>
                <w:lang w:val="en-US"/>
              </w:rPr>
            </w:pPr>
            <w:r w:rsidRPr="008F16CA">
              <w:rPr>
                <w:rFonts w:ascii="Arial" w:hAnsi="Arial" w:cs="Arial"/>
                <w:sz w:val="20"/>
                <w:szCs w:val="20"/>
              </w:rPr>
              <w:t xml:space="preserve">Blank </w:t>
            </w:r>
          </w:p>
        </w:tc>
        <w:tc>
          <w:tcPr>
            <w:tcW w:w="1098" w:type="dxa"/>
          </w:tcPr>
          <w:p w14:paraId="53096A97" w14:textId="77777777" w:rsidR="000C0D7E" w:rsidRPr="008F16CA" w:rsidRDefault="000C0D7E" w:rsidP="000C0D7E">
            <w:pPr>
              <w:spacing w:line="480" w:lineRule="auto"/>
              <w:ind w:left="0" w:firstLine="0"/>
              <w:jc w:val="left"/>
              <w:rPr>
                <w:rFonts w:ascii="Arial" w:hAnsi="Arial" w:cs="Arial"/>
                <w:sz w:val="20"/>
                <w:szCs w:val="20"/>
                <w:lang w:val="en-US"/>
              </w:rPr>
            </w:pPr>
            <w:r w:rsidRPr="008F16CA">
              <w:rPr>
                <w:rFonts w:ascii="Arial" w:hAnsi="Arial" w:cs="Arial"/>
                <w:sz w:val="20"/>
                <w:szCs w:val="20"/>
              </w:rPr>
              <w:t>1</w:t>
            </w:r>
          </w:p>
        </w:tc>
        <w:tc>
          <w:tcPr>
            <w:tcW w:w="1312" w:type="dxa"/>
          </w:tcPr>
          <w:p w14:paraId="2B4AF6DA" w14:textId="77777777" w:rsidR="000C0D7E" w:rsidRPr="008F16CA" w:rsidRDefault="000C0D7E" w:rsidP="000C0D7E">
            <w:pPr>
              <w:spacing w:line="480" w:lineRule="auto"/>
              <w:ind w:left="0" w:firstLine="0"/>
              <w:jc w:val="left"/>
              <w:rPr>
                <w:rFonts w:ascii="Arial" w:hAnsi="Arial" w:cs="Arial"/>
                <w:sz w:val="20"/>
                <w:szCs w:val="20"/>
                <w:lang w:val="en-US"/>
              </w:rPr>
            </w:pPr>
            <w:r w:rsidRPr="008F16CA">
              <w:rPr>
                <w:rFonts w:ascii="Arial" w:hAnsi="Arial" w:cs="Arial"/>
                <w:sz w:val="20"/>
                <w:szCs w:val="20"/>
              </w:rPr>
              <w:t>-</w:t>
            </w:r>
          </w:p>
        </w:tc>
        <w:tc>
          <w:tcPr>
            <w:tcW w:w="1275" w:type="dxa"/>
          </w:tcPr>
          <w:p w14:paraId="75ECD46C" w14:textId="77777777" w:rsidR="000C0D7E" w:rsidRPr="008F16CA" w:rsidRDefault="000C0D7E" w:rsidP="000C0D7E">
            <w:pPr>
              <w:spacing w:line="480" w:lineRule="auto"/>
              <w:ind w:left="0" w:firstLine="0"/>
              <w:jc w:val="left"/>
              <w:rPr>
                <w:rFonts w:ascii="Arial" w:hAnsi="Arial" w:cs="Arial"/>
                <w:sz w:val="20"/>
                <w:szCs w:val="20"/>
                <w:lang w:val="en-US"/>
              </w:rPr>
            </w:pPr>
            <w:r w:rsidRPr="008F16CA">
              <w:rPr>
                <w:rFonts w:ascii="Arial" w:hAnsi="Arial" w:cs="Arial"/>
                <w:sz w:val="20"/>
                <w:szCs w:val="20"/>
              </w:rPr>
              <w:t>1</w:t>
            </w:r>
          </w:p>
        </w:tc>
        <w:tc>
          <w:tcPr>
            <w:tcW w:w="851" w:type="dxa"/>
          </w:tcPr>
          <w:p w14:paraId="199E1B2A" w14:textId="77777777" w:rsidR="000C0D7E" w:rsidRPr="008F16CA" w:rsidRDefault="000C0D7E" w:rsidP="000C0D7E">
            <w:pPr>
              <w:spacing w:line="480" w:lineRule="auto"/>
              <w:ind w:left="0" w:firstLine="0"/>
              <w:jc w:val="left"/>
              <w:rPr>
                <w:rFonts w:ascii="Arial" w:hAnsi="Arial" w:cs="Arial"/>
                <w:sz w:val="20"/>
                <w:szCs w:val="20"/>
                <w:lang w:val="en-US"/>
              </w:rPr>
            </w:pPr>
            <w:r w:rsidRPr="008F16CA">
              <w:rPr>
                <w:rFonts w:ascii="Arial" w:hAnsi="Arial" w:cs="Arial"/>
                <w:sz w:val="20"/>
                <w:szCs w:val="20"/>
              </w:rPr>
              <w:t>0.15</w:t>
            </w:r>
          </w:p>
        </w:tc>
        <w:tc>
          <w:tcPr>
            <w:tcW w:w="1276" w:type="dxa"/>
          </w:tcPr>
          <w:p w14:paraId="6184CB56" w14:textId="77777777" w:rsidR="000C0D7E" w:rsidRPr="008F16CA" w:rsidRDefault="000C0D7E" w:rsidP="000C0D7E">
            <w:pPr>
              <w:spacing w:line="480" w:lineRule="auto"/>
              <w:ind w:left="0" w:firstLine="0"/>
              <w:jc w:val="left"/>
              <w:rPr>
                <w:rFonts w:ascii="Arial" w:hAnsi="Arial" w:cs="Arial"/>
                <w:sz w:val="20"/>
                <w:szCs w:val="20"/>
                <w:lang w:val="en-US"/>
              </w:rPr>
            </w:pPr>
          </w:p>
        </w:tc>
      </w:tr>
      <w:tr w:rsidR="000C0D7E" w:rsidRPr="008F16CA" w14:paraId="3159B1A1" w14:textId="77777777" w:rsidTr="000C0D7E">
        <w:trPr>
          <w:trHeight w:val="313"/>
        </w:trPr>
        <w:tc>
          <w:tcPr>
            <w:tcW w:w="2263" w:type="dxa"/>
          </w:tcPr>
          <w:p w14:paraId="5574A4FB" w14:textId="77777777" w:rsidR="000C0D7E" w:rsidRPr="008F16CA" w:rsidRDefault="000C0D7E" w:rsidP="000C0D7E">
            <w:pPr>
              <w:spacing w:line="480" w:lineRule="auto"/>
              <w:ind w:left="0" w:firstLine="0"/>
              <w:jc w:val="left"/>
              <w:rPr>
                <w:rFonts w:ascii="Arial" w:hAnsi="Arial" w:cs="Arial"/>
                <w:sz w:val="20"/>
                <w:szCs w:val="20"/>
                <w:lang w:val="en-US"/>
              </w:rPr>
            </w:pPr>
            <w:r w:rsidRPr="008F16CA">
              <w:rPr>
                <w:rFonts w:ascii="Arial" w:hAnsi="Arial" w:cs="Arial"/>
                <w:sz w:val="20"/>
                <w:szCs w:val="20"/>
              </w:rPr>
              <w:t>2</w:t>
            </w:r>
          </w:p>
        </w:tc>
        <w:tc>
          <w:tcPr>
            <w:tcW w:w="1418" w:type="dxa"/>
          </w:tcPr>
          <w:p w14:paraId="76EA19C8" w14:textId="77777777" w:rsidR="000C0D7E" w:rsidRPr="008F16CA" w:rsidRDefault="000C0D7E" w:rsidP="000C0D7E">
            <w:pPr>
              <w:spacing w:line="480" w:lineRule="auto"/>
              <w:ind w:left="0" w:firstLine="0"/>
              <w:jc w:val="left"/>
              <w:rPr>
                <w:rFonts w:ascii="Arial" w:hAnsi="Arial" w:cs="Arial"/>
                <w:sz w:val="20"/>
                <w:szCs w:val="20"/>
                <w:lang w:val="en-US"/>
              </w:rPr>
            </w:pPr>
            <w:r w:rsidRPr="008F16CA">
              <w:rPr>
                <w:rFonts w:ascii="Arial" w:hAnsi="Arial" w:cs="Arial"/>
                <w:sz w:val="20"/>
                <w:szCs w:val="20"/>
              </w:rPr>
              <w:t>0.2</w:t>
            </w:r>
          </w:p>
        </w:tc>
        <w:tc>
          <w:tcPr>
            <w:tcW w:w="1098" w:type="dxa"/>
          </w:tcPr>
          <w:p w14:paraId="0DEBFD61" w14:textId="77777777" w:rsidR="000C0D7E" w:rsidRPr="008F16CA" w:rsidRDefault="000C0D7E" w:rsidP="000C0D7E">
            <w:pPr>
              <w:spacing w:line="480" w:lineRule="auto"/>
              <w:ind w:left="0" w:firstLine="0"/>
              <w:jc w:val="left"/>
              <w:rPr>
                <w:rFonts w:ascii="Arial" w:hAnsi="Arial" w:cs="Arial"/>
                <w:sz w:val="20"/>
                <w:szCs w:val="20"/>
                <w:lang w:val="en-US"/>
              </w:rPr>
            </w:pPr>
            <w:r w:rsidRPr="008F16CA">
              <w:rPr>
                <w:rFonts w:ascii="Arial" w:hAnsi="Arial" w:cs="Arial"/>
                <w:sz w:val="20"/>
                <w:szCs w:val="20"/>
              </w:rPr>
              <w:t>0.8</w:t>
            </w:r>
          </w:p>
        </w:tc>
        <w:tc>
          <w:tcPr>
            <w:tcW w:w="1312" w:type="dxa"/>
          </w:tcPr>
          <w:p w14:paraId="31641F1F" w14:textId="77777777" w:rsidR="000C0D7E" w:rsidRPr="008F16CA" w:rsidRDefault="000C0D7E" w:rsidP="000C0D7E">
            <w:pPr>
              <w:spacing w:line="480" w:lineRule="auto"/>
              <w:ind w:left="0" w:firstLine="0"/>
              <w:jc w:val="left"/>
              <w:rPr>
                <w:rFonts w:ascii="Arial" w:hAnsi="Arial" w:cs="Arial"/>
                <w:sz w:val="20"/>
                <w:szCs w:val="20"/>
                <w:lang w:val="en-US"/>
              </w:rPr>
            </w:pPr>
            <w:r w:rsidRPr="008F16CA">
              <w:rPr>
                <w:rFonts w:ascii="Arial" w:hAnsi="Arial" w:cs="Arial"/>
                <w:sz w:val="20"/>
                <w:szCs w:val="20"/>
              </w:rPr>
              <w:t>20</w:t>
            </w:r>
          </w:p>
        </w:tc>
        <w:tc>
          <w:tcPr>
            <w:tcW w:w="1275" w:type="dxa"/>
          </w:tcPr>
          <w:p w14:paraId="690ABA88" w14:textId="77777777" w:rsidR="000C0D7E" w:rsidRPr="008F16CA" w:rsidRDefault="000C0D7E" w:rsidP="000C0D7E">
            <w:pPr>
              <w:spacing w:line="480" w:lineRule="auto"/>
              <w:ind w:left="0" w:firstLine="0"/>
              <w:jc w:val="left"/>
              <w:rPr>
                <w:rFonts w:ascii="Arial" w:hAnsi="Arial" w:cs="Arial"/>
                <w:sz w:val="20"/>
                <w:szCs w:val="20"/>
                <w:lang w:val="en-US"/>
              </w:rPr>
            </w:pPr>
            <w:r w:rsidRPr="008F16CA">
              <w:rPr>
                <w:rFonts w:ascii="Arial" w:hAnsi="Arial" w:cs="Arial"/>
                <w:sz w:val="20"/>
                <w:szCs w:val="20"/>
              </w:rPr>
              <w:t>1</w:t>
            </w:r>
          </w:p>
        </w:tc>
        <w:tc>
          <w:tcPr>
            <w:tcW w:w="851" w:type="dxa"/>
          </w:tcPr>
          <w:p w14:paraId="5BA2DE2D" w14:textId="77777777" w:rsidR="000C0D7E" w:rsidRPr="008F16CA" w:rsidRDefault="000C0D7E" w:rsidP="000C0D7E">
            <w:pPr>
              <w:spacing w:line="480" w:lineRule="auto"/>
              <w:ind w:left="0" w:firstLine="0"/>
              <w:jc w:val="left"/>
              <w:rPr>
                <w:rFonts w:ascii="Arial" w:hAnsi="Arial" w:cs="Arial"/>
                <w:sz w:val="20"/>
                <w:szCs w:val="20"/>
                <w:lang w:val="en-US"/>
              </w:rPr>
            </w:pPr>
            <w:r w:rsidRPr="008F16CA">
              <w:rPr>
                <w:rFonts w:ascii="Arial" w:hAnsi="Arial" w:cs="Arial"/>
                <w:sz w:val="20"/>
                <w:szCs w:val="20"/>
              </w:rPr>
              <w:t>0.30</w:t>
            </w:r>
          </w:p>
        </w:tc>
        <w:tc>
          <w:tcPr>
            <w:tcW w:w="1276" w:type="dxa"/>
          </w:tcPr>
          <w:p w14:paraId="12325E56" w14:textId="77777777" w:rsidR="000C0D7E" w:rsidRPr="008F16CA" w:rsidRDefault="000C0D7E" w:rsidP="000C0D7E">
            <w:pPr>
              <w:spacing w:line="480" w:lineRule="auto"/>
              <w:ind w:left="0" w:firstLine="0"/>
              <w:jc w:val="left"/>
              <w:rPr>
                <w:rFonts w:ascii="Arial" w:hAnsi="Arial" w:cs="Arial"/>
                <w:sz w:val="20"/>
                <w:szCs w:val="20"/>
                <w:lang w:val="en-US"/>
              </w:rPr>
            </w:pPr>
            <w:r w:rsidRPr="008F16CA">
              <w:rPr>
                <w:rFonts w:ascii="Arial" w:hAnsi="Arial" w:cs="Arial"/>
                <w:sz w:val="20"/>
                <w:szCs w:val="20"/>
              </w:rPr>
              <w:t>0.15</w:t>
            </w:r>
          </w:p>
        </w:tc>
      </w:tr>
      <w:tr w:rsidR="000C0D7E" w:rsidRPr="008F16CA" w14:paraId="71D28428" w14:textId="77777777" w:rsidTr="000C0D7E">
        <w:trPr>
          <w:trHeight w:val="401"/>
        </w:trPr>
        <w:tc>
          <w:tcPr>
            <w:tcW w:w="2263" w:type="dxa"/>
          </w:tcPr>
          <w:p w14:paraId="590043A8" w14:textId="77777777" w:rsidR="000C0D7E" w:rsidRPr="008F16CA" w:rsidRDefault="000C0D7E" w:rsidP="000C0D7E">
            <w:pPr>
              <w:spacing w:line="480" w:lineRule="auto"/>
              <w:ind w:left="0" w:firstLine="0"/>
              <w:jc w:val="left"/>
              <w:rPr>
                <w:rFonts w:ascii="Arial" w:hAnsi="Arial" w:cs="Arial"/>
                <w:sz w:val="20"/>
                <w:szCs w:val="20"/>
              </w:rPr>
            </w:pPr>
            <w:r w:rsidRPr="008F16CA">
              <w:rPr>
                <w:rFonts w:ascii="Arial" w:hAnsi="Arial" w:cs="Arial"/>
                <w:sz w:val="20"/>
                <w:szCs w:val="20"/>
              </w:rPr>
              <w:t>3</w:t>
            </w:r>
          </w:p>
        </w:tc>
        <w:tc>
          <w:tcPr>
            <w:tcW w:w="1418" w:type="dxa"/>
          </w:tcPr>
          <w:p w14:paraId="7A305985" w14:textId="77777777" w:rsidR="000C0D7E" w:rsidRPr="008F16CA" w:rsidRDefault="000C0D7E" w:rsidP="000C0D7E">
            <w:pPr>
              <w:spacing w:line="480" w:lineRule="auto"/>
              <w:ind w:left="0" w:firstLine="0"/>
              <w:jc w:val="left"/>
              <w:rPr>
                <w:rFonts w:ascii="Arial" w:hAnsi="Arial" w:cs="Arial"/>
                <w:sz w:val="20"/>
                <w:szCs w:val="20"/>
                <w:lang w:val="en-US"/>
              </w:rPr>
            </w:pPr>
            <w:r w:rsidRPr="008F16CA">
              <w:rPr>
                <w:rFonts w:ascii="Arial" w:hAnsi="Arial" w:cs="Arial"/>
                <w:sz w:val="20"/>
                <w:szCs w:val="20"/>
              </w:rPr>
              <w:t>0.4</w:t>
            </w:r>
          </w:p>
        </w:tc>
        <w:tc>
          <w:tcPr>
            <w:tcW w:w="1098" w:type="dxa"/>
          </w:tcPr>
          <w:p w14:paraId="2BE74D30" w14:textId="77777777" w:rsidR="000C0D7E" w:rsidRPr="008F16CA" w:rsidRDefault="000C0D7E" w:rsidP="000C0D7E">
            <w:pPr>
              <w:spacing w:line="480" w:lineRule="auto"/>
              <w:ind w:left="0" w:firstLine="0"/>
              <w:jc w:val="left"/>
              <w:rPr>
                <w:rFonts w:ascii="Arial" w:hAnsi="Arial" w:cs="Arial"/>
                <w:sz w:val="20"/>
                <w:szCs w:val="20"/>
                <w:lang w:val="en-US"/>
              </w:rPr>
            </w:pPr>
            <w:r w:rsidRPr="008F16CA">
              <w:rPr>
                <w:rFonts w:ascii="Arial" w:hAnsi="Arial" w:cs="Arial"/>
                <w:sz w:val="20"/>
                <w:szCs w:val="20"/>
              </w:rPr>
              <w:t>0.6</w:t>
            </w:r>
          </w:p>
        </w:tc>
        <w:tc>
          <w:tcPr>
            <w:tcW w:w="1312" w:type="dxa"/>
          </w:tcPr>
          <w:p w14:paraId="6388E64E" w14:textId="77777777" w:rsidR="000C0D7E" w:rsidRPr="008F16CA" w:rsidRDefault="000C0D7E" w:rsidP="000C0D7E">
            <w:pPr>
              <w:spacing w:line="480" w:lineRule="auto"/>
              <w:ind w:left="0" w:firstLine="0"/>
              <w:jc w:val="left"/>
              <w:rPr>
                <w:rFonts w:ascii="Arial" w:hAnsi="Arial" w:cs="Arial"/>
                <w:sz w:val="20"/>
                <w:szCs w:val="20"/>
                <w:lang w:val="en-US"/>
              </w:rPr>
            </w:pPr>
            <w:r w:rsidRPr="008F16CA">
              <w:rPr>
                <w:rFonts w:ascii="Arial" w:hAnsi="Arial" w:cs="Arial"/>
                <w:sz w:val="20"/>
                <w:szCs w:val="20"/>
              </w:rPr>
              <w:t>40</w:t>
            </w:r>
          </w:p>
        </w:tc>
        <w:tc>
          <w:tcPr>
            <w:tcW w:w="1275" w:type="dxa"/>
          </w:tcPr>
          <w:p w14:paraId="15F81D33" w14:textId="77777777" w:rsidR="000C0D7E" w:rsidRPr="008F16CA" w:rsidRDefault="000C0D7E" w:rsidP="000C0D7E">
            <w:pPr>
              <w:spacing w:line="480" w:lineRule="auto"/>
              <w:ind w:left="0" w:firstLine="0"/>
              <w:jc w:val="left"/>
              <w:rPr>
                <w:rFonts w:ascii="Arial" w:hAnsi="Arial" w:cs="Arial"/>
                <w:sz w:val="20"/>
                <w:szCs w:val="20"/>
                <w:lang w:val="en-US"/>
              </w:rPr>
            </w:pPr>
            <w:r w:rsidRPr="008F16CA">
              <w:rPr>
                <w:rFonts w:ascii="Arial" w:hAnsi="Arial" w:cs="Arial"/>
                <w:sz w:val="20"/>
                <w:szCs w:val="20"/>
              </w:rPr>
              <w:t>1</w:t>
            </w:r>
          </w:p>
        </w:tc>
        <w:tc>
          <w:tcPr>
            <w:tcW w:w="851" w:type="dxa"/>
          </w:tcPr>
          <w:p w14:paraId="6A84DF5A" w14:textId="77777777" w:rsidR="000C0D7E" w:rsidRPr="008F16CA" w:rsidRDefault="000C0D7E" w:rsidP="000C0D7E">
            <w:pPr>
              <w:spacing w:line="480" w:lineRule="auto"/>
              <w:jc w:val="left"/>
              <w:rPr>
                <w:rFonts w:ascii="Arial" w:hAnsi="Arial" w:cs="Arial"/>
                <w:sz w:val="20"/>
                <w:szCs w:val="20"/>
              </w:rPr>
            </w:pPr>
            <w:r w:rsidRPr="008F16CA">
              <w:rPr>
                <w:rFonts w:ascii="Arial" w:hAnsi="Arial" w:cs="Arial"/>
                <w:sz w:val="20"/>
                <w:szCs w:val="20"/>
              </w:rPr>
              <w:t>0.33</w:t>
            </w:r>
          </w:p>
          <w:p w14:paraId="067977E2" w14:textId="77777777" w:rsidR="000C0D7E" w:rsidRPr="008F16CA" w:rsidRDefault="000C0D7E" w:rsidP="000C0D7E">
            <w:pPr>
              <w:spacing w:line="480" w:lineRule="auto"/>
              <w:ind w:left="0" w:firstLine="0"/>
              <w:jc w:val="left"/>
              <w:rPr>
                <w:rFonts w:ascii="Arial" w:hAnsi="Arial" w:cs="Arial"/>
                <w:sz w:val="20"/>
                <w:szCs w:val="20"/>
                <w:lang w:val="en-US"/>
              </w:rPr>
            </w:pPr>
          </w:p>
        </w:tc>
        <w:tc>
          <w:tcPr>
            <w:tcW w:w="1276" w:type="dxa"/>
          </w:tcPr>
          <w:p w14:paraId="7CF8DA10" w14:textId="77777777" w:rsidR="000C0D7E" w:rsidRPr="008F16CA" w:rsidRDefault="000C0D7E" w:rsidP="000C0D7E">
            <w:pPr>
              <w:spacing w:line="480" w:lineRule="auto"/>
              <w:ind w:left="0" w:firstLine="0"/>
              <w:jc w:val="left"/>
              <w:rPr>
                <w:rFonts w:ascii="Arial" w:hAnsi="Arial" w:cs="Arial"/>
                <w:sz w:val="20"/>
                <w:szCs w:val="20"/>
                <w:lang w:val="en-US"/>
              </w:rPr>
            </w:pPr>
            <w:r w:rsidRPr="008F16CA">
              <w:rPr>
                <w:rFonts w:ascii="Arial" w:hAnsi="Arial" w:cs="Arial"/>
                <w:sz w:val="20"/>
                <w:szCs w:val="20"/>
              </w:rPr>
              <w:t>0.18</w:t>
            </w:r>
          </w:p>
        </w:tc>
      </w:tr>
      <w:tr w:rsidR="000C0D7E" w:rsidRPr="008F16CA" w14:paraId="622DF884" w14:textId="77777777" w:rsidTr="000C0D7E">
        <w:trPr>
          <w:trHeight w:val="283"/>
        </w:trPr>
        <w:tc>
          <w:tcPr>
            <w:tcW w:w="2263" w:type="dxa"/>
          </w:tcPr>
          <w:p w14:paraId="3424E58C" w14:textId="77777777" w:rsidR="000C0D7E" w:rsidRPr="008F16CA" w:rsidRDefault="000C0D7E" w:rsidP="000C0D7E">
            <w:pPr>
              <w:spacing w:line="480" w:lineRule="auto"/>
              <w:ind w:left="0" w:firstLine="0"/>
              <w:jc w:val="left"/>
              <w:rPr>
                <w:rFonts w:ascii="Arial" w:hAnsi="Arial" w:cs="Arial"/>
                <w:sz w:val="20"/>
                <w:szCs w:val="20"/>
                <w:lang w:val="en-US"/>
              </w:rPr>
            </w:pPr>
            <w:r w:rsidRPr="008F16CA">
              <w:rPr>
                <w:rFonts w:ascii="Arial" w:hAnsi="Arial" w:cs="Arial"/>
                <w:sz w:val="20"/>
                <w:szCs w:val="20"/>
              </w:rPr>
              <w:t>4</w:t>
            </w:r>
          </w:p>
        </w:tc>
        <w:tc>
          <w:tcPr>
            <w:tcW w:w="1418" w:type="dxa"/>
          </w:tcPr>
          <w:p w14:paraId="0686FECF" w14:textId="77777777" w:rsidR="000C0D7E" w:rsidRPr="008F16CA" w:rsidRDefault="000C0D7E" w:rsidP="000C0D7E">
            <w:pPr>
              <w:spacing w:line="480" w:lineRule="auto"/>
              <w:ind w:left="0" w:firstLine="0"/>
              <w:jc w:val="left"/>
              <w:rPr>
                <w:rFonts w:ascii="Arial" w:hAnsi="Arial" w:cs="Arial"/>
                <w:sz w:val="20"/>
                <w:szCs w:val="20"/>
                <w:lang w:val="en-US"/>
              </w:rPr>
            </w:pPr>
            <w:r w:rsidRPr="008F16CA">
              <w:rPr>
                <w:rFonts w:ascii="Arial" w:hAnsi="Arial" w:cs="Arial"/>
                <w:sz w:val="20"/>
                <w:szCs w:val="20"/>
              </w:rPr>
              <w:t>0.6</w:t>
            </w:r>
          </w:p>
        </w:tc>
        <w:tc>
          <w:tcPr>
            <w:tcW w:w="1098" w:type="dxa"/>
          </w:tcPr>
          <w:p w14:paraId="03EA019A" w14:textId="77777777" w:rsidR="000C0D7E" w:rsidRPr="008F16CA" w:rsidRDefault="000C0D7E" w:rsidP="000C0D7E">
            <w:pPr>
              <w:spacing w:line="480" w:lineRule="auto"/>
              <w:ind w:left="0" w:firstLine="0"/>
              <w:jc w:val="left"/>
              <w:rPr>
                <w:rFonts w:ascii="Arial" w:hAnsi="Arial" w:cs="Arial"/>
                <w:sz w:val="20"/>
                <w:szCs w:val="20"/>
                <w:lang w:val="en-US"/>
              </w:rPr>
            </w:pPr>
            <w:r w:rsidRPr="008F16CA">
              <w:rPr>
                <w:rFonts w:ascii="Arial" w:hAnsi="Arial" w:cs="Arial"/>
                <w:sz w:val="20"/>
                <w:szCs w:val="20"/>
              </w:rPr>
              <w:t>0.4</w:t>
            </w:r>
          </w:p>
        </w:tc>
        <w:tc>
          <w:tcPr>
            <w:tcW w:w="1312" w:type="dxa"/>
          </w:tcPr>
          <w:p w14:paraId="434C1F7A" w14:textId="77777777" w:rsidR="000C0D7E" w:rsidRPr="008F16CA" w:rsidRDefault="000C0D7E" w:rsidP="000C0D7E">
            <w:pPr>
              <w:spacing w:line="480" w:lineRule="auto"/>
              <w:ind w:left="0" w:firstLine="0"/>
              <w:jc w:val="left"/>
              <w:rPr>
                <w:rFonts w:ascii="Arial" w:hAnsi="Arial" w:cs="Arial"/>
                <w:sz w:val="20"/>
                <w:szCs w:val="20"/>
                <w:lang w:val="en-US"/>
              </w:rPr>
            </w:pPr>
            <w:r w:rsidRPr="008F16CA">
              <w:rPr>
                <w:rFonts w:ascii="Arial" w:hAnsi="Arial" w:cs="Arial"/>
                <w:sz w:val="20"/>
                <w:szCs w:val="20"/>
              </w:rPr>
              <w:t>60</w:t>
            </w:r>
          </w:p>
        </w:tc>
        <w:tc>
          <w:tcPr>
            <w:tcW w:w="1275" w:type="dxa"/>
          </w:tcPr>
          <w:p w14:paraId="5A605D71" w14:textId="77777777" w:rsidR="000C0D7E" w:rsidRPr="008F16CA" w:rsidRDefault="000C0D7E" w:rsidP="000C0D7E">
            <w:pPr>
              <w:spacing w:line="480" w:lineRule="auto"/>
              <w:ind w:left="0" w:firstLine="0"/>
              <w:jc w:val="left"/>
              <w:rPr>
                <w:rFonts w:ascii="Arial" w:hAnsi="Arial" w:cs="Arial"/>
                <w:sz w:val="20"/>
                <w:szCs w:val="20"/>
                <w:lang w:val="en-US"/>
              </w:rPr>
            </w:pPr>
            <w:r w:rsidRPr="008F16CA">
              <w:rPr>
                <w:rFonts w:ascii="Arial" w:hAnsi="Arial" w:cs="Arial"/>
                <w:sz w:val="20"/>
                <w:szCs w:val="20"/>
              </w:rPr>
              <w:t>1</w:t>
            </w:r>
          </w:p>
        </w:tc>
        <w:tc>
          <w:tcPr>
            <w:tcW w:w="851" w:type="dxa"/>
          </w:tcPr>
          <w:p w14:paraId="3DED94E3" w14:textId="77777777" w:rsidR="000C0D7E" w:rsidRPr="008F16CA" w:rsidRDefault="000C0D7E" w:rsidP="000C0D7E">
            <w:pPr>
              <w:spacing w:line="480" w:lineRule="auto"/>
              <w:ind w:left="0" w:firstLine="0"/>
              <w:jc w:val="left"/>
              <w:rPr>
                <w:rFonts w:ascii="Arial" w:hAnsi="Arial" w:cs="Arial"/>
                <w:sz w:val="20"/>
                <w:szCs w:val="20"/>
                <w:lang w:val="en-US"/>
              </w:rPr>
            </w:pPr>
            <w:r w:rsidRPr="008F16CA">
              <w:rPr>
                <w:rFonts w:ascii="Arial" w:hAnsi="Arial" w:cs="Arial"/>
                <w:sz w:val="20"/>
                <w:szCs w:val="20"/>
              </w:rPr>
              <w:t>0.37</w:t>
            </w:r>
          </w:p>
        </w:tc>
        <w:tc>
          <w:tcPr>
            <w:tcW w:w="1276" w:type="dxa"/>
          </w:tcPr>
          <w:p w14:paraId="5E75A453" w14:textId="77777777" w:rsidR="000C0D7E" w:rsidRPr="008F16CA" w:rsidRDefault="000C0D7E" w:rsidP="000C0D7E">
            <w:pPr>
              <w:spacing w:line="480" w:lineRule="auto"/>
              <w:ind w:left="0" w:firstLine="0"/>
              <w:jc w:val="left"/>
              <w:rPr>
                <w:rFonts w:ascii="Arial" w:hAnsi="Arial" w:cs="Arial"/>
                <w:sz w:val="20"/>
                <w:szCs w:val="20"/>
                <w:lang w:val="en-US"/>
              </w:rPr>
            </w:pPr>
            <w:r w:rsidRPr="008F16CA">
              <w:rPr>
                <w:rFonts w:ascii="Arial" w:hAnsi="Arial" w:cs="Arial"/>
                <w:sz w:val="20"/>
                <w:szCs w:val="20"/>
              </w:rPr>
              <w:t>0.22</w:t>
            </w:r>
          </w:p>
        </w:tc>
      </w:tr>
      <w:tr w:rsidR="000C0D7E" w:rsidRPr="008F16CA" w14:paraId="7FF8558A" w14:textId="77777777" w:rsidTr="000C0D7E">
        <w:tc>
          <w:tcPr>
            <w:tcW w:w="2263" w:type="dxa"/>
          </w:tcPr>
          <w:p w14:paraId="18A3BD2B" w14:textId="77777777" w:rsidR="000C0D7E" w:rsidRPr="008F16CA" w:rsidRDefault="000C0D7E" w:rsidP="000C0D7E">
            <w:pPr>
              <w:spacing w:line="480" w:lineRule="auto"/>
              <w:ind w:left="0" w:firstLine="0"/>
              <w:jc w:val="left"/>
              <w:rPr>
                <w:rFonts w:ascii="Arial" w:hAnsi="Arial" w:cs="Arial"/>
                <w:sz w:val="20"/>
                <w:szCs w:val="20"/>
                <w:lang w:val="en-US"/>
              </w:rPr>
            </w:pPr>
            <w:r w:rsidRPr="008F16CA">
              <w:rPr>
                <w:rFonts w:ascii="Arial" w:hAnsi="Arial" w:cs="Arial"/>
                <w:sz w:val="20"/>
                <w:szCs w:val="20"/>
              </w:rPr>
              <w:t>5</w:t>
            </w:r>
          </w:p>
        </w:tc>
        <w:tc>
          <w:tcPr>
            <w:tcW w:w="1418" w:type="dxa"/>
          </w:tcPr>
          <w:p w14:paraId="5C9CCC99" w14:textId="77777777" w:rsidR="000C0D7E" w:rsidRPr="008F16CA" w:rsidRDefault="000C0D7E" w:rsidP="000C0D7E">
            <w:pPr>
              <w:spacing w:line="480" w:lineRule="auto"/>
              <w:ind w:left="0" w:firstLine="0"/>
              <w:jc w:val="left"/>
              <w:rPr>
                <w:rFonts w:ascii="Arial" w:hAnsi="Arial" w:cs="Arial"/>
                <w:sz w:val="20"/>
                <w:szCs w:val="20"/>
                <w:lang w:val="en-US"/>
              </w:rPr>
            </w:pPr>
            <w:r w:rsidRPr="008F16CA">
              <w:rPr>
                <w:rFonts w:ascii="Arial" w:hAnsi="Arial" w:cs="Arial"/>
                <w:sz w:val="20"/>
                <w:szCs w:val="20"/>
              </w:rPr>
              <w:t>0.8</w:t>
            </w:r>
          </w:p>
        </w:tc>
        <w:tc>
          <w:tcPr>
            <w:tcW w:w="1098" w:type="dxa"/>
          </w:tcPr>
          <w:p w14:paraId="0661E958" w14:textId="77777777" w:rsidR="000C0D7E" w:rsidRPr="008F16CA" w:rsidRDefault="000C0D7E" w:rsidP="000C0D7E">
            <w:pPr>
              <w:spacing w:line="480" w:lineRule="auto"/>
              <w:ind w:left="0" w:firstLine="0"/>
              <w:jc w:val="left"/>
              <w:rPr>
                <w:rFonts w:ascii="Arial" w:hAnsi="Arial" w:cs="Arial"/>
                <w:sz w:val="20"/>
                <w:szCs w:val="20"/>
                <w:lang w:val="en-US"/>
              </w:rPr>
            </w:pPr>
            <w:r w:rsidRPr="008F16CA">
              <w:rPr>
                <w:rFonts w:ascii="Arial" w:hAnsi="Arial" w:cs="Arial"/>
                <w:sz w:val="20"/>
                <w:szCs w:val="20"/>
              </w:rPr>
              <w:t>0.2</w:t>
            </w:r>
          </w:p>
        </w:tc>
        <w:tc>
          <w:tcPr>
            <w:tcW w:w="1312" w:type="dxa"/>
          </w:tcPr>
          <w:p w14:paraId="75418DB0" w14:textId="77777777" w:rsidR="000C0D7E" w:rsidRPr="008F16CA" w:rsidRDefault="000C0D7E" w:rsidP="000C0D7E">
            <w:pPr>
              <w:spacing w:line="480" w:lineRule="auto"/>
              <w:ind w:left="0" w:firstLine="0"/>
              <w:jc w:val="left"/>
              <w:rPr>
                <w:rFonts w:ascii="Arial" w:hAnsi="Arial" w:cs="Arial"/>
                <w:sz w:val="20"/>
                <w:szCs w:val="20"/>
                <w:lang w:val="en-US"/>
              </w:rPr>
            </w:pPr>
            <w:r w:rsidRPr="008F16CA">
              <w:rPr>
                <w:rFonts w:ascii="Arial" w:hAnsi="Arial" w:cs="Arial"/>
                <w:sz w:val="20"/>
                <w:szCs w:val="20"/>
              </w:rPr>
              <w:t>80</w:t>
            </w:r>
          </w:p>
        </w:tc>
        <w:tc>
          <w:tcPr>
            <w:tcW w:w="1275" w:type="dxa"/>
          </w:tcPr>
          <w:p w14:paraId="6EE58608" w14:textId="77777777" w:rsidR="000C0D7E" w:rsidRPr="008F16CA" w:rsidRDefault="000C0D7E" w:rsidP="000C0D7E">
            <w:pPr>
              <w:spacing w:line="480" w:lineRule="auto"/>
              <w:ind w:left="0" w:firstLine="0"/>
              <w:jc w:val="left"/>
              <w:rPr>
                <w:rFonts w:ascii="Arial" w:hAnsi="Arial" w:cs="Arial"/>
                <w:sz w:val="20"/>
                <w:szCs w:val="20"/>
                <w:lang w:val="en-US"/>
              </w:rPr>
            </w:pPr>
            <w:r w:rsidRPr="008F16CA">
              <w:rPr>
                <w:rFonts w:ascii="Arial" w:hAnsi="Arial" w:cs="Arial"/>
                <w:sz w:val="20"/>
                <w:szCs w:val="20"/>
              </w:rPr>
              <w:t>1</w:t>
            </w:r>
          </w:p>
        </w:tc>
        <w:tc>
          <w:tcPr>
            <w:tcW w:w="851" w:type="dxa"/>
          </w:tcPr>
          <w:p w14:paraId="7653CCBA" w14:textId="77777777" w:rsidR="000C0D7E" w:rsidRPr="008F16CA" w:rsidRDefault="000C0D7E" w:rsidP="000C0D7E">
            <w:pPr>
              <w:spacing w:line="480" w:lineRule="auto"/>
              <w:ind w:left="0" w:firstLine="0"/>
              <w:jc w:val="left"/>
              <w:rPr>
                <w:rFonts w:ascii="Arial" w:hAnsi="Arial" w:cs="Arial"/>
                <w:sz w:val="20"/>
                <w:szCs w:val="20"/>
                <w:lang w:val="en-US"/>
              </w:rPr>
            </w:pPr>
            <w:r w:rsidRPr="008F16CA">
              <w:rPr>
                <w:rFonts w:ascii="Arial" w:hAnsi="Arial" w:cs="Arial"/>
                <w:sz w:val="20"/>
                <w:szCs w:val="20"/>
              </w:rPr>
              <w:t>0.40</w:t>
            </w:r>
          </w:p>
        </w:tc>
        <w:tc>
          <w:tcPr>
            <w:tcW w:w="1276" w:type="dxa"/>
          </w:tcPr>
          <w:p w14:paraId="07E1E419" w14:textId="77777777" w:rsidR="000C0D7E" w:rsidRPr="008F16CA" w:rsidRDefault="000C0D7E" w:rsidP="000C0D7E">
            <w:pPr>
              <w:spacing w:line="480" w:lineRule="auto"/>
              <w:ind w:left="0" w:firstLine="0"/>
              <w:jc w:val="left"/>
              <w:rPr>
                <w:rFonts w:ascii="Arial" w:hAnsi="Arial" w:cs="Arial"/>
                <w:sz w:val="20"/>
                <w:szCs w:val="20"/>
                <w:lang w:val="en-US"/>
              </w:rPr>
            </w:pPr>
            <w:r w:rsidRPr="008F16CA">
              <w:rPr>
                <w:rFonts w:ascii="Arial" w:hAnsi="Arial" w:cs="Arial"/>
                <w:sz w:val="20"/>
                <w:szCs w:val="20"/>
              </w:rPr>
              <w:t>0.25</w:t>
            </w:r>
          </w:p>
        </w:tc>
      </w:tr>
      <w:tr w:rsidR="000C0D7E" w:rsidRPr="008F16CA" w14:paraId="04921725" w14:textId="77777777" w:rsidTr="000C0D7E">
        <w:tc>
          <w:tcPr>
            <w:tcW w:w="2263" w:type="dxa"/>
          </w:tcPr>
          <w:p w14:paraId="74F693C1" w14:textId="77777777" w:rsidR="000C0D7E" w:rsidRPr="008F16CA" w:rsidRDefault="000C0D7E" w:rsidP="000C0D7E">
            <w:pPr>
              <w:spacing w:line="480" w:lineRule="auto"/>
              <w:ind w:left="0" w:firstLine="0"/>
              <w:jc w:val="left"/>
              <w:rPr>
                <w:rFonts w:ascii="Arial" w:hAnsi="Arial" w:cs="Arial"/>
                <w:sz w:val="20"/>
                <w:szCs w:val="20"/>
                <w:lang w:val="en-US"/>
              </w:rPr>
            </w:pPr>
            <w:r w:rsidRPr="008F16CA">
              <w:rPr>
                <w:rFonts w:ascii="Arial" w:hAnsi="Arial" w:cs="Arial"/>
                <w:sz w:val="20"/>
                <w:szCs w:val="20"/>
              </w:rPr>
              <w:t>6</w:t>
            </w:r>
          </w:p>
        </w:tc>
        <w:tc>
          <w:tcPr>
            <w:tcW w:w="1418" w:type="dxa"/>
          </w:tcPr>
          <w:p w14:paraId="328F406F" w14:textId="77777777" w:rsidR="000C0D7E" w:rsidRPr="008F16CA" w:rsidRDefault="000C0D7E" w:rsidP="000C0D7E">
            <w:pPr>
              <w:spacing w:line="480" w:lineRule="auto"/>
              <w:ind w:left="0" w:firstLine="0"/>
              <w:jc w:val="left"/>
              <w:rPr>
                <w:rFonts w:ascii="Arial" w:hAnsi="Arial" w:cs="Arial"/>
                <w:sz w:val="20"/>
                <w:szCs w:val="20"/>
                <w:lang w:val="en-US"/>
              </w:rPr>
            </w:pPr>
            <w:r w:rsidRPr="008F16CA">
              <w:rPr>
                <w:rFonts w:ascii="Arial" w:hAnsi="Arial" w:cs="Arial"/>
                <w:sz w:val="20"/>
                <w:szCs w:val="20"/>
              </w:rPr>
              <w:t>1</w:t>
            </w:r>
          </w:p>
        </w:tc>
        <w:tc>
          <w:tcPr>
            <w:tcW w:w="1098" w:type="dxa"/>
          </w:tcPr>
          <w:p w14:paraId="3CA7BCC3" w14:textId="77777777" w:rsidR="000C0D7E" w:rsidRPr="008F16CA" w:rsidRDefault="000C0D7E" w:rsidP="000C0D7E">
            <w:pPr>
              <w:spacing w:line="480" w:lineRule="auto"/>
              <w:ind w:left="0" w:firstLine="0"/>
              <w:jc w:val="left"/>
              <w:rPr>
                <w:rFonts w:ascii="Arial" w:hAnsi="Arial" w:cs="Arial"/>
                <w:sz w:val="20"/>
                <w:szCs w:val="20"/>
                <w:lang w:val="en-US"/>
              </w:rPr>
            </w:pPr>
            <w:r w:rsidRPr="008F16CA">
              <w:rPr>
                <w:rFonts w:ascii="Arial" w:hAnsi="Arial" w:cs="Arial"/>
                <w:sz w:val="20"/>
                <w:szCs w:val="20"/>
              </w:rPr>
              <w:t>-</w:t>
            </w:r>
          </w:p>
        </w:tc>
        <w:tc>
          <w:tcPr>
            <w:tcW w:w="1312" w:type="dxa"/>
          </w:tcPr>
          <w:p w14:paraId="0A0167E6" w14:textId="77777777" w:rsidR="000C0D7E" w:rsidRPr="008F16CA" w:rsidRDefault="000C0D7E" w:rsidP="000C0D7E">
            <w:pPr>
              <w:spacing w:line="480" w:lineRule="auto"/>
              <w:ind w:left="0" w:firstLine="0"/>
              <w:jc w:val="left"/>
              <w:rPr>
                <w:rFonts w:ascii="Arial" w:hAnsi="Arial" w:cs="Arial"/>
                <w:sz w:val="20"/>
                <w:szCs w:val="20"/>
                <w:lang w:val="en-US"/>
              </w:rPr>
            </w:pPr>
            <w:r w:rsidRPr="008F16CA">
              <w:rPr>
                <w:rFonts w:ascii="Arial" w:hAnsi="Arial" w:cs="Arial"/>
                <w:sz w:val="20"/>
                <w:szCs w:val="20"/>
              </w:rPr>
              <w:t>100</w:t>
            </w:r>
          </w:p>
        </w:tc>
        <w:tc>
          <w:tcPr>
            <w:tcW w:w="1275" w:type="dxa"/>
          </w:tcPr>
          <w:p w14:paraId="72FB9AF9" w14:textId="77777777" w:rsidR="000C0D7E" w:rsidRPr="008F16CA" w:rsidRDefault="000C0D7E" w:rsidP="000C0D7E">
            <w:pPr>
              <w:spacing w:line="480" w:lineRule="auto"/>
              <w:ind w:left="0" w:firstLine="0"/>
              <w:jc w:val="left"/>
              <w:rPr>
                <w:rFonts w:ascii="Arial" w:hAnsi="Arial" w:cs="Arial"/>
                <w:sz w:val="20"/>
                <w:szCs w:val="20"/>
                <w:lang w:val="en-US"/>
              </w:rPr>
            </w:pPr>
            <w:r w:rsidRPr="008F16CA">
              <w:rPr>
                <w:rFonts w:ascii="Arial" w:hAnsi="Arial" w:cs="Arial"/>
                <w:sz w:val="20"/>
                <w:szCs w:val="20"/>
              </w:rPr>
              <w:t>1</w:t>
            </w:r>
          </w:p>
        </w:tc>
        <w:tc>
          <w:tcPr>
            <w:tcW w:w="851" w:type="dxa"/>
          </w:tcPr>
          <w:p w14:paraId="39753A0B" w14:textId="77777777" w:rsidR="000C0D7E" w:rsidRPr="008F16CA" w:rsidRDefault="000C0D7E" w:rsidP="000C0D7E">
            <w:pPr>
              <w:spacing w:line="480" w:lineRule="auto"/>
              <w:ind w:left="0" w:firstLine="0"/>
              <w:jc w:val="left"/>
              <w:rPr>
                <w:rFonts w:ascii="Arial" w:hAnsi="Arial" w:cs="Arial"/>
                <w:sz w:val="20"/>
                <w:szCs w:val="20"/>
                <w:lang w:val="en-US"/>
              </w:rPr>
            </w:pPr>
            <w:r w:rsidRPr="008F16CA">
              <w:rPr>
                <w:rFonts w:ascii="Arial" w:hAnsi="Arial" w:cs="Arial"/>
                <w:sz w:val="20"/>
                <w:szCs w:val="20"/>
              </w:rPr>
              <w:t>0.45</w:t>
            </w:r>
          </w:p>
        </w:tc>
        <w:tc>
          <w:tcPr>
            <w:tcW w:w="1276" w:type="dxa"/>
          </w:tcPr>
          <w:p w14:paraId="61408DF0" w14:textId="77777777" w:rsidR="000C0D7E" w:rsidRPr="008F16CA" w:rsidRDefault="000C0D7E" w:rsidP="000C0D7E">
            <w:pPr>
              <w:spacing w:line="480" w:lineRule="auto"/>
              <w:ind w:left="0" w:firstLine="0"/>
              <w:jc w:val="left"/>
              <w:rPr>
                <w:rFonts w:ascii="Arial" w:hAnsi="Arial" w:cs="Arial"/>
                <w:sz w:val="20"/>
                <w:szCs w:val="20"/>
                <w:lang w:val="en-US"/>
              </w:rPr>
            </w:pPr>
            <w:r w:rsidRPr="008F16CA">
              <w:rPr>
                <w:rFonts w:ascii="Arial" w:hAnsi="Arial" w:cs="Arial"/>
                <w:sz w:val="20"/>
                <w:szCs w:val="20"/>
              </w:rPr>
              <w:t>0.30</w:t>
            </w:r>
          </w:p>
        </w:tc>
      </w:tr>
      <w:tr w:rsidR="000C0D7E" w:rsidRPr="008F16CA" w14:paraId="03491173" w14:textId="77777777" w:rsidTr="000C0D7E">
        <w:tc>
          <w:tcPr>
            <w:tcW w:w="2263" w:type="dxa"/>
          </w:tcPr>
          <w:p w14:paraId="738E8994" w14:textId="77777777" w:rsidR="000C0D7E" w:rsidRPr="008F16CA" w:rsidRDefault="000C0D7E" w:rsidP="000C0D7E">
            <w:pPr>
              <w:spacing w:line="480" w:lineRule="auto"/>
              <w:ind w:left="0" w:firstLine="0"/>
              <w:jc w:val="left"/>
              <w:rPr>
                <w:rFonts w:ascii="Arial" w:hAnsi="Arial" w:cs="Arial"/>
                <w:i/>
                <w:sz w:val="20"/>
                <w:szCs w:val="20"/>
              </w:rPr>
            </w:pPr>
            <w:r w:rsidRPr="008F16CA">
              <w:rPr>
                <w:rFonts w:ascii="Arial" w:hAnsi="Arial" w:cs="Arial"/>
                <w:i/>
                <w:sz w:val="20"/>
                <w:szCs w:val="20"/>
              </w:rPr>
              <w:t xml:space="preserve">Enterobacter </w:t>
            </w:r>
            <w:proofErr w:type="spellStart"/>
            <w:r w:rsidRPr="008F16CA">
              <w:rPr>
                <w:rFonts w:ascii="Arial" w:hAnsi="Arial" w:cs="Arial"/>
                <w:i/>
                <w:sz w:val="20"/>
                <w:szCs w:val="20"/>
              </w:rPr>
              <w:t>hormaechei</w:t>
            </w:r>
            <w:proofErr w:type="spellEnd"/>
          </w:p>
        </w:tc>
        <w:tc>
          <w:tcPr>
            <w:tcW w:w="1418" w:type="dxa"/>
          </w:tcPr>
          <w:p w14:paraId="3E40FA3D" w14:textId="77777777" w:rsidR="000C0D7E" w:rsidRPr="008F16CA" w:rsidRDefault="000C0D7E" w:rsidP="000C0D7E">
            <w:pPr>
              <w:spacing w:line="480" w:lineRule="auto"/>
              <w:ind w:left="0" w:firstLine="0"/>
              <w:jc w:val="left"/>
              <w:rPr>
                <w:rFonts w:ascii="Arial" w:hAnsi="Arial" w:cs="Arial"/>
                <w:sz w:val="20"/>
                <w:szCs w:val="20"/>
              </w:rPr>
            </w:pPr>
            <w:r w:rsidRPr="008F16CA">
              <w:rPr>
                <w:rFonts w:ascii="Arial" w:hAnsi="Arial" w:cs="Arial"/>
                <w:sz w:val="20"/>
                <w:szCs w:val="20"/>
              </w:rPr>
              <w:t>1</w:t>
            </w:r>
          </w:p>
        </w:tc>
        <w:tc>
          <w:tcPr>
            <w:tcW w:w="1098" w:type="dxa"/>
          </w:tcPr>
          <w:p w14:paraId="5DCCB938" w14:textId="77777777" w:rsidR="000C0D7E" w:rsidRPr="008F16CA" w:rsidRDefault="000C0D7E" w:rsidP="000C0D7E">
            <w:pPr>
              <w:spacing w:line="480" w:lineRule="auto"/>
              <w:ind w:left="0" w:firstLine="0"/>
              <w:jc w:val="left"/>
              <w:rPr>
                <w:rFonts w:ascii="Arial" w:hAnsi="Arial" w:cs="Arial"/>
                <w:sz w:val="20"/>
                <w:szCs w:val="20"/>
                <w:lang w:val="en-US"/>
              </w:rPr>
            </w:pPr>
            <w:r w:rsidRPr="008F16CA">
              <w:rPr>
                <w:rFonts w:ascii="Arial" w:hAnsi="Arial" w:cs="Arial"/>
                <w:sz w:val="20"/>
                <w:szCs w:val="20"/>
              </w:rPr>
              <w:t>-</w:t>
            </w:r>
          </w:p>
        </w:tc>
        <w:tc>
          <w:tcPr>
            <w:tcW w:w="1312" w:type="dxa"/>
          </w:tcPr>
          <w:p w14:paraId="11EA88FD" w14:textId="77777777" w:rsidR="000C0D7E" w:rsidRPr="008F16CA" w:rsidRDefault="000C0D7E" w:rsidP="000C0D7E">
            <w:pPr>
              <w:spacing w:line="480" w:lineRule="auto"/>
              <w:ind w:left="0" w:firstLine="0"/>
              <w:jc w:val="left"/>
              <w:rPr>
                <w:rFonts w:ascii="Arial" w:hAnsi="Arial" w:cs="Arial"/>
                <w:sz w:val="20"/>
                <w:szCs w:val="20"/>
                <w:lang w:val="en-US"/>
              </w:rPr>
            </w:pPr>
          </w:p>
        </w:tc>
        <w:tc>
          <w:tcPr>
            <w:tcW w:w="1275" w:type="dxa"/>
          </w:tcPr>
          <w:p w14:paraId="6D961E1C" w14:textId="77777777" w:rsidR="000C0D7E" w:rsidRPr="008F16CA" w:rsidRDefault="000C0D7E" w:rsidP="000C0D7E">
            <w:pPr>
              <w:spacing w:line="480" w:lineRule="auto"/>
              <w:ind w:left="0" w:firstLine="0"/>
              <w:jc w:val="left"/>
              <w:rPr>
                <w:rFonts w:ascii="Arial" w:hAnsi="Arial" w:cs="Arial"/>
                <w:sz w:val="20"/>
                <w:szCs w:val="20"/>
                <w:lang w:val="en-US"/>
              </w:rPr>
            </w:pPr>
            <w:r w:rsidRPr="008F16CA">
              <w:rPr>
                <w:rFonts w:ascii="Arial" w:hAnsi="Arial" w:cs="Arial"/>
                <w:sz w:val="20"/>
                <w:szCs w:val="20"/>
              </w:rPr>
              <w:t>1</w:t>
            </w:r>
          </w:p>
        </w:tc>
        <w:tc>
          <w:tcPr>
            <w:tcW w:w="851" w:type="dxa"/>
          </w:tcPr>
          <w:p w14:paraId="330E0DF6" w14:textId="77777777" w:rsidR="000C0D7E" w:rsidRPr="008F16CA" w:rsidRDefault="000C0D7E" w:rsidP="000C0D7E">
            <w:pPr>
              <w:spacing w:line="480" w:lineRule="auto"/>
              <w:ind w:left="0" w:firstLine="0"/>
              <w:jc w:val="left"/>
              <w:rPr>
                <w:rFonts w:ascii="Arial" w:hAnsi="Arial" w:cs="Arial"/>
                <w:sz w:val="20"/>
                <w:szCs w:val="20"/>
                <w:lang w:val="en-US"/>
              </w:rPr>
            </w:pPr>
            <w:r w:rsidRPr="008F16CA">
              <w:rPr>
                <w:rFonts w:ascii="Arial" w:hAnsi="Arial" w:cs="Arial"/>
                <w:sz w:val="20"/>
                <w:szCs w:val="20"/>
              </w:rPr>
              <w:t>0.31</w:t>
            </w:r>
          </w:p>
        </w:tc>
        <w:tc>
          <w:tcPr>
            <w:tcW w:w="1276" w:type="dxa"/>
          </w:tcPr>
          <w:p w14:paraId="3D3A5E86" w14:textId="77777777" w:rsidR="000C0D7E" w:rsidRPr="008F16CA" w:rsidRDefault="000C0D7E" w:rsidP="000C0D7E">
            <w:pPr>
              <w:spacing w:line="480" w:lineRule="auto"/>
              <w:ind w:left="0" w:firstLine="0"/>
              <w:jc w:val="left"/>
              <w:rPr>
                <w:rFonts w:ascii="Arial" w:hAnsi="Arial" w:cs="Arial"/>
                <w:sz w:val="20"/>
                <w:szCs w:val="20"/>
                <w:lang w:val="en-US"/>
              </w:rPr>
            </w:pPr>
            <w:r w:rsidRPr="008F16CA">
              <w:rPr>
                <w:rFonts w:ascii="Arial" w:hAnsi="Arial" w:cs="Arial"/>
                <w:sz w:val="20"/>
                <w:szCs w:val="20"/>
              </w:rPr>
              <w:t>0.</w:t>
            </w:r>
            <w:r w:rsidR="0071313D" w:rsidRPr="008F16CA">
              <w:rPr>
                <w:rFonts w:ascii="Arial" w:hAnsi="Arial" w:cs="Arial"/>
                <w:sz w:val="20"/>
                <w:szCs w:val="20"/>
              </w:rPr>
              <w:t>16</w:t>
            </w:r>
          </w:p>
        </w:tc>
      </w:tr>
      <w:tr w:rsidR="000C0D7E" w:rsidRPr="008F16CA" w14:paraId="51523281" w14:textId="77777777" w:rsidTr="005D17F3">
        <w:trPr>
          <w:trHeight w:val="607"/>
        </w:trPr>
        <w:tc>
          <w:tcPr>
            <w:tcW w:w="2263" w:type="dxa"/>
          </w:tcPr>
          <w:p w14:paraId="252F294B" w14:textId="77777777" w:rsidR="000C0D7E" w:rsidRPr="008F16CA" w:rsidRDefault="000C0D7E" w:rsidP="000C0D7E">
            <w:pPr>
              <w:spacing w:line="480" w:lineRule="auto"/>
              <w:ind w:left="0" w:firstLine="0"/>
              <w:jc w:val="left"/>
              <w:rPr>
                <w:rFonts w:ascii="Arial" w:hAnsi="Arial" w:cs="Arial"/>
                <w:i/>
                <w:sz w:val="20"/>
                <w:szCs w:val="20"/>
              </w:rPr>
            </w:pPr>
            <w:r w:rsidRPr="008F16CA">
              <w:rPr>
                <w:rFonts w:ascii="Arial" w:hAnsi="Arial" w:cs="Arial"/>
                <w:i/>
                <w:sz w:val="20"/>
                <w:szCs w:val="20"/>
              </w:rPr>
              <w:t xml:space="preserve">B. flexus </w:t>
            </w:r>
          </w:p>
        </w:tc>
        <w:tc>
          <w:tcPr>
            <w:tcW w:w="1418" w:type="dxa"/>
          </w:tcPr>
          <w:p w14:paraId="1D4FE4CA" w14:textId="77777777" w:rsidR="000C0D7E" w:rsidRPr="008F16CA" w:rsidRDefault="000C0D7E" w:rsidP="000C0D7E">
            <w:pPr>
              <w:spacing w:line="480" w:lineRule="auto"/>
              <w:ind w:left="0" w:firstLine="0"/>
              <w:jc w:val="left"/>
              <w:rPr>
                <w:rFonts w:ascii="Arial" w:hAnsi="Arial" w:cs="Arial"/>
                <w:sz w:val="20"/>
                <w:szCs w:val="20"/>
              </w:rPr>
            </w:pPr>
            <w:r w:rsidRPr="008F16CA">
              <w:rPr>
                <w:rFonts w:ascii="Arial" w:hAnsi="Arial" w:cs="Arial"/>
                <w:sz w:val="20"/>
                <w:szCs w:val="20"/>
              </w:rPr>
              <w:t>1</w:t>
            </w:r>
          </w:p>
        </w:tc>
        <w:tc>
          <w:tcPr>
            <w:tcW w:w="1098" w:type="dxa"/>
          </w:tcPr>
          <w:p w14:paraId="1D08C8E4" w14:textId="77777777" w:rsidR="000C0D7E" w:rsidRPr="008F16CA" w:rsidRDefault="000C0D7E" w:rsidP="000C0D7E">
            <w:pPr>
              <w:spacing w:line="480" w:lineRule="auto"/>
              <w:ind w:left="0" w:firstLine="0"/>
              <w:jc w:val="left"/>
              <w:rPr>
                <w:rFonts w:ascii="Arial" w:hAnsi="Arial" w:cs="Arial"/>
                <w:sz w:val="20"/>
                <w:szCs w:val="20"/>
                <w:lang w:val="en-US"/>
              </w:rPr>
            </w:pPr>
            <w:r w:rsidRPr="008F16CA">
              <w:rPr>
                <w:rFonts w:ascii="Arial" w:hAnsi="Arial" w:cs="Arial"/>
                <w:sz w:val="20"/>
                <w:szCs w:val="20"/>
              </w:rPr>
              <w:t>-</w:t>
            </w:r>
          </w:p>
        </w:tc>
        <w:tc>
          <w:tcPr>
            <w:tcW w:w="1312" w:type="dxa"/>
          </w:tcPr>
          <w:p w14:paraId="750F8C72" w14:textId="77777777" w:rsidR="000C0D7E" w:rsidRPr="008F16CA" w:rsidRDefault="000C0D7E" w:rsidP="000C0D7E">
            <w:pPr>
              <w:spacing w:line="480" w:lineRule="auto"/>
              <w:ind w:left="0" w:firstLine="0"/>
              <w:jc w:val="left"/>
              <w:rPr>
                <w:rFonts w:ascii="Arial" w:hAnsi="Arial" w:cs="Arial"/>
                <w:sz w:val="20"/>
                <w:szCs w:val="20"/>
                <w:lang w:val="en-US"/>
              </w:rPr>
            </w:pPr>
          </w:p>
        </w:tc>
        <w:tc>
          <w:tcPr>
            <w:tcW w:w="1275" w:type="dxa"/>
          </w:tcPr>
          <w:p w14:paraId="708BE567" w14:textId="77777777" w:rsidR="000C0D7E" w:rsidRPr="008F16CA" w:rsidRDefault="000C0D7E" w:rsidP="000C0D7E">
            <w:pPr>
              <w:spacing w:line="480" w:lineRule="auto"/>
              <w:ind w:left="0" w:firstLine="0"/>
              <w:jc w:val="left"/>
              <w:rPr>
                <w:rFonts w:ascii="Arial" w:hAnsi="Arial" w:cs="Arial"/>
                <w:sz w:val="20"/>
                <w:szCs w:val="20"/>
                <w:lang w:val="en-US"/>
              </w:rPr>
            </w:pPr>
            <w:r w:rsidRPr="008F16CA">
              <w:rPr>
                <w:rFonts w:ascii="Arial" w:hAnsi="Arial" w:cs="Arial"/>
                <w:sz w:val="20"/>
                <w:szCs w:val="20"/>
              </w:rPr>
              <w:t>1</w:t>
            </w:r>
          </w:p>
        </w:tc>
        <w:tc>
          <w:tcPr>
            <w:tcW w:w="851" w:type="dxa"/>
          </w:tcPr>
          <w:p w14:paraId="41EC8127" w14:textId="77777777" w:rsidR="000C0D7E" w:rsidRPr="008F16CA" w:rsidRDefault="000C0D7E" w:rsidP="000C0D7E">
            <w:pPr>
              <w:spacing w:line="480" w:lineRule="auto"/>
              <w:ind w:left="0" w:firstLine="0"/>
              <w:jc w:val="left"/>
              <w:rPr>
                <w:rFonts w:ascii="Arial" w:hAnsi="Arial" w:cs="Arial"/>
                <w:sz w:val="20"/>
                <w:szCs w:val="20"/>
                <w:lang w:val="en-US"/>
              </w:rPr>
            </w:pPr>
            <w:r w:rsidRPr="008F16CA">
              <w:rPr>
                <w:rFonts w:ascii="Arial" w:hAnsi="Arial" w:cs="Arial"/>
                <w:sz w:val="20"/>
                <w:szCs w:val="20"/>
              </w:rPr>
              <w:t>0.34</w:t>
            </w:r>
          </w:p>
        </w:tc>
        <w:tc>
          <w:tcPr>
            <w:tcW w:w="1276" w:type="dxa"/>
          </w:tcPr>
          <w:p w14:paraId="29237BD4" w14:textId="77777777" w:rsidR="000C0D7E" w:rsidRPr="008F16CA" w:rsidRDefault="000C0D7E" w:rsidP="000C0D7E">
            <w:pPr>
              <w:spacing w:line="480" w:lineRule="auto"/>
              <w:ind w:left="0" w:firstLine="0"/>
              <w:jc w:val="left"/>
              <w:rPr>
                <w:rFonts w:ascii="Arial" w:hAnsi="Arial" w:cs="Arial"/>
                <w:sz w:val="20"/>
                <w:szCs w:val="20"/>
                <w:lang w:val="en-US"/>
              </w:rPr>
            </w:pPr>
            <w:r w:rsidRPr="008F16CA">
              <w:rPr>
                <w:rFonts w:ascii="Arial" w:hAnsi="Arial" w:cs="Arial"/>
                <w:sz w:val="20"/>
                <w:szCs w:val="20"/>
              </w:rPr>
              <w:t>0.</w:t>
            </w:r>
            <w:r w:rsidR="0071313D" w:rsidRPr="008F16CA">
              <w:rPr>
                <w:rFonts w:ascii="Arial" w:hAnsi="Arial" w:cs="Arial"/>
                <w:sz w:val="20"/>
                <w:szCs w:val="20"/>
              </w:rPr>
              <w:t>19</w:t>
            </w:r>
          </w:p>
        </w:tc>
      </w:tr>
      <w:tr w:rsidR="000C0D7E" w:rsidRPr="008F16CA" w14:paraId="64C67F6D" w14:textId="77777777" w:rsidTr="000C0D7E">
        <w:tc>
          <w:tcPr>
            <w:tcW w:w="2263" w:type="dxa"/>
          </w:tcPr>
          <w:p w14:paraId="59686B6F" w14:textId="77777777" w:rsidR="000C0D7E" w:rsidRPr="008F16CA" w:rsidRDefault="000C0D7E" w:rsidP="000C0D7E">
            <w:pPr>
              <w:spacing w:line="480" w:lineRule="auto"/>
              <w:jc w:val="left"/>
              <w:rPr>
                <w:rFonts w:ascii="Arial" w:hAnsi="Arial" w:cs="Arial"/>
                <w:i/>
                <w:sz w:val="20"/>
                <w:szCs w:val="20"/>
                <w:lang w:val="en-US"/>
              </w:rPr>
            </w:pPr>
            <w:r w:rsidRPr="008F16CA">
              <w:rPr>
                <w:rFonts w:ascii="Arial" w:hAnsi="Arial" w:cs="Arial"/>
                <w:i/>
                <w:sz w:val="20"/>
                <w:szCs w:val="20"/>
              </w:rPr>
              <w:t xml:space="preserve">B. </w:t>
            </w:r>
            <w:proofErr w:type="spellStart"/>
            <w:r w:rsidRPr="008F16CA">
              <w:rPr>
                <w:rFonts w:ascii="Arial" w:hAnsi="Arial" w:cs="Arial"/>
                <w:i/>
                <w:sz w:val="20"/>
                <w:szCs w:val="20"/>
              </w:rPr>
              <w:t>amyloliquefaciens</w:t>
            </w:r>
            <w:proofErr w:type="spellEnd"/>
          </w:p>
        </w:tc>
        <w:tc>
          <w:tcPr>
            <w:tcW w:w="1418" w:type="dxa"/>
          </w:tcPr>
          <w:p w14:paraId="15EE62BC" w14:textId="77777777" w:rsidR="000C0D7E" w:rsidRPr="008F16CA" w:rsidRDefault="000C0D7E" w:rsidP="000C0D7E">
            <w:pPr>
              <w:spacing w:line="480" w:lineRule="auto"/>
              <w:ind w:left="0" w:firstLine="0"/>
              <w:jc w:val="left"/>
              <w:rPr>
                <w:rFonts w:ascii="Arial" w:hAnsi="Arial" w:cs="Arial"/>
                <w:sz w:val="20"/>
                <w:szCs w:val="20"/>
                <w:lang w:val="en-US"/>
              </w:rPr>
            </w:pPr>
            <w:r w:rsidRPr="008F16CA">
              <w:rPr>
                <w:rFonts w:ascii="Arial" w:hAnsi="Arial" w:cs="Arial"/>
                <w:sz w:val="20"/>
                <w:szCs w:val="20"/>
              </w:rPr>
              <w:t>1</w:t>
            </w:r>
          </w:p>
        </w:tc>
        <w:tc>
          <w:tcPr>
            <w:tcW w:w="1098" w:type="dxa"/>
          </w:tcPr>
          <w:p w14:paraId="754E7EDD" w14:textId="77777777" w:rsidR="000C0D7E" w:rsidRPr="008F16CA" w:rsidRDefault="000C0D7E" w:rsidP="000C0D7E">
            <w:pPr>
              <w:spacing w:line="480" w:lineRule="auto"/>
              <w:ind w:left="0" w:firstLine="0"/>
              <w:jc w:val="left"/>
              <w:rPr>
                <w:rFonts w:ascii="Arial" w:hAnsi="Arial" w:cs="Arial"/>
                <w:sz w:val="20"/>
                <w:szCs w:val="20"/>
                <w:lang w:val="en-US"/>
              </w:rPr>
            </w:pPr>
            <w:r w:rsidRPr="008F16CA">
              <w:rPr>
                <w:rFonts w:ascii="Arial" w:hAnsi="Arial" w:cs="Arial"/>
                <w:sz w:val="20"/>
                <w:szCs w:val="20"/>
              </w:rPr>
              <w:t>-</w:t>
            </w:r>
          </w:p>
        </w:tc>
        <w:tc>
          <w:tcPr>
            <w:tcW w:w="1312" w:type="dxa"/>
          </w:tcPr>
          <w:p w14:paraId="5F65E9CE" w14:textId="77777777" w:rsidR="000C0D7E" w:rsidRPr="008F16CA" w:rsidRDefault="000C0D7E" w:rsidP="000C0D7E">
            <w:pPr>
              <w:spacing w:line="480" w:lineRule="auto"/>
              <w:ind w:left="0" w:firstLine="0"/>
              <w:jc w:val="left"/>
              <w:rPr>
                <w:rFonts w:ascii="Arial" w:hAnsi="Arial" w:cs="Arial"/>
                <w:sz w:val="20"/>
                <w:szCs w:val="20"/>
                <w:lang w:val="en-US"/>
              </w:rPr>
            </w:pPr>
          </w:p>
        </w:tc>
        <w:tc>
          <w:tcPr>
            <w:tcW w:w="1275" w:type="dxa"/>
          </w:tcPr>
          <w:p w14:paraId="63C7780C" w14:textId="77777777" w:rsidR="000C0D7E" w:rsidRPr="008F16CA" w:rsidRDefault="000C0D7E" w:rsidP="000C0D7E">
            <w:pPr>
              <w:spacing w:line="480" w:lineRule="auto"/>
              <w:ind w:left="0" w:firstLine="0"/>
              <w:jc w:val="left"/>
              <w:rPr>
                <w:rFonts w:ascii="Arial" w:hAnsi="Arial" w:cs="Arial"/>
                <w:sz w:val="20"/>
                <w:szCs w:val="20"/>
                <w:lang w:val="en-US"/>
              </w:rPr>
            </w:pPr>
            <w:r w:rsidRPr="008F16CA">
              <w:rPr>
                <w:rFonts w:ascii="Arial" w:hAnsi="Arial" w:cs="Arial"/>
                <w:sz w:val="20"/>
                <w:szCs w:val="20"/>
                <w:lang w:val="en-US"/>
              </w:rPr>
              <w:t>1</w:t>
            </w:r>
          </w:p>
        </w:tc>
        <w:tc>
          <w:tcPr>
            <w:tcW w:w="851" w:type="dxa"/>
          </w:tcPr>
          <w:p w14:paraId="765559FE" w14:textId="77777777" w:rsidR="000C0D7E" w:rsidRPr="008F16CA" w:rsidRDefault="000C0D7E" w:rsidP="000C0D7E">
            <w:pPr>
              <w:spacing w:line="480" w:lineRule="auto"/>
              <w:ind w:left="0" w:firstLine="0"/>
              <w:jc w:val="left"/>
              <w:rPr>
                <w:rFonts w:ascii="Arial" w:hAnsi="Arial" w:cs="Arial"/>
                <w:sz w:val="20"/>
                <w:szCs w:val="20"/>
                <w:lang w:val="en-US"/>
              </w:rPr>
            </w:pPr>
            <w:r w:rsidRPr="008F16CA">
              <w:rPr>
                <w:rFonts w:ascii="Arial" w:hAnsi="Arial" w:cs="Arial"/>
                <w:sz w:val="20"/>
                <w:szCs w:val="20"/>
              </w:rPr>
              <w:t>0.37</w:t>
            </w:r>
          </w:p>
        </w:tc>
        <w:tc>
          <w:tcPr>
            <w:tcW w:w="1276" w:type="dxa"/>
          </w:tcPr>
          <w:p w14:paraId="436A6C38" w14:textId="77777777" w:rsidR="000C0D7E" w:rsidRPr="008F16CA" w:rsidRDefault="000C0D7E" w:rsidP="000C0D7E">
            <w:pPr>
              <w:spacing w:line="480" w:lineRule="auto"/>
              <w:ind w:left="0" w:firstLine="0"/>
              <w:jc w:val="left"/>
              <w:rPr>
                <w:rFonts w:ascii="Arial" w:hAnsi="Arial" w:cs="Arial"/>
                <w:sz w:val="20"/>
                <w:szCs w:val="20"/>
                <w:lang w:val="en-US"/>
              </w:rPr>
            </w:pPr>
            <w:r w:rsidRPr="008F16CA">
              <w:rPr>
                <w:rFonts w:ascii="Arial" w:hAnsi="Arial" w:cs="Arial"/>
                <w:sz w:val="20"/>
                <w:szCs w:val="20"/>
              </w:rPr>
              <w:t>0.22</w:t>
            </w:r>
          </w:p>
        </w:tc>
      </w:tr>
    </w:tbl>
    <w:p w14:paraId="2E1365B2" w14:textId="77777777" w:rsidR="00191028" w:rsidRPr="008F16CA" w:rsidRDefault="000423FF" w:rsidP="000C0D7E">
      <w:pPr>
        <w:pStyle w:val="isselectedend"/>
        <w:jc w:val="both"/>
        <w:rPr>
          <w:rFonts w:ascii="Arial" w:hAnsi="Arial" w:cs="Arial"/>
          <w:b/>
          <w:sz w:val="20"/>
          <w:szCs w:val="20"/>
        </w:rPr>
      </w:pPr>
      <w:r w:rsidRPr="008F16CA">
        <w:rPr>
          <w:rFonts w:ascii="Arial" w:hAnsi="Arial" w:cs="Arial"/>
          <w:b/>
          <w:sz w:val="20"/>
          <w:szCs w:val="20"/>
        </w:rPr>
        <w:t xml:space="preserve">Quantitative estimation of extracellular amylase activity in bacterial endophytic isolates using the </w:t>
      </w:r>
      <w:proofErr w:type="spellStart"/>
      <w:r w:rsidRPr="008F16CA">
        <w:rPr>
          <w:rFonts w:ascii="Arial" w:hAnsi="Arial" w:cs="Arial"/>
          <w:b/>
          <w:sz w:val="20"/>
          <w:szCs w:val="20"/>
        </w:rPr>
        <w:t>dinitrosalicylic</w:t>
      </w:r>
      <w:proofErr w:type="spellEnd"/>
      <w:r w:rsidRPr="008F16CA">
        <w:rPr>
          <w:rFonts w:ascii="Arial" w:hAnsi="Arial" w:cs="Arial"/>
          <w:b/>
          <w:sz w:val="20"/>
          <w:szCs w:val="20"/>
        </w:rPr>
        <w:t xml:space="preserve"> acid (DNS) assay. Variations in absorbance values among the isolates indicate differences in amylase production and starch-hydrolyzing ability.</w:t>
      </w:r>
    </w:p>
    <w:p w14:paraId="39312320" w14:textId="77777777" w:rsidR="000423FF" w:rsidRPr="008F16CA" w:rsidRDefault="000423FF" w:rsidP="000C0D7E">
      <w:pPr>
        <w:pStyle w:val="isselectedend"/>
        <w:jc w:val="both"/>
        <w:rPr>
          <w:rFonts w:ascii="Arial" w:hAnsi="Arial" w:cs="Arial"/>
          <w:sz w:val="20"/>
          <w:szCs w:val="20"/>
        </w:rPr>
      </w:pPr>
      <w:r w:rsidRPr="008F16CA">
        <w:rPr>
          <w:rFonts w:ascii="Arial" w:hAnsi="Arial" w:cs="Arial"/>
          <w:sz w:val="20"/>
          <w:szCs w:val="20"/>
        </w:rPr>
        <w:t xml:space="preserve">Standard glucose calibration curve and quantitative estimation of extracellular amylase activity in </w:t>
      </w:r>
      <w:r w:rsidRPr="008F16CA">
        <w:rPr>
          <w:rStyle w:val="Emphasis"/>
          <w:rFonts w:ascii="Arial" w:hAnsi="Arial" w:cs="Arial"/>
          <w:sz w:val="20"/>
          <w:szCs w:val="20"/>
        </w:rPr>
        <w:t xml:space="preserve">Enterobacter </w:t>
      </w:r>
      <w:proofErr w:type="spellStart"/>
      <w:r w:rsidRPr="008F16CA">
        <w:rPr>
          <w:rStyle w:val="Emphasis"/>
          <w:rFonts w:ascii="Arial" w:hAnsi="Arial" w:cs="Arial"/>
          <w:sz w:val="20"/>
          <w:szCs w:val="20"/>
        </w:rPr>
        <w:t>hormaechei</w:t>
      </w:r>
      <w:proofErr w:type="spellEnd"/>
      <w:r w:rsidRPr="008F16CA">
        <w:rPr>
          <w:rFonts w:ascii="Arial" w:hAnsi="Arial" w:cs="Arial"/>
          <w:sz w:val="20"/>
          <w:szCs w:val="20"/>
        </w:rPr>
        <w:t xml:space="preserve">, </w:t>
      </w:r>
      <w:r w:rsidRPr="008F16CA">
        <w:rPr>
          <w:rStyle w:val="Emphasis"/>
          <w:rFonts w:ascii="Arial" w:hAnsi="Arial" w:cs="Arial"/>
          <w:sz w:val="20"/>
          <w:szCs w:val="20"/>
        </w:rPr>
        <w:t>Bacillus flexus</w:t>
      </w:r>
      <w:r w:rsidRPr="008F16CA">
        <w:rPr>
          <w:rFonts w:ascii="Arial" w:hAnsi="Arial" w:cs="Arial"/>
          <w:sz w:val="20"/>
          <w:szCs w:val="20"/>
        </w:rPr>
        <w:t xml:space="preserve">, and </w:t>
      </w:r>
      <w:r w:rsidRPr="008F16CA">
        <w:rPr>
          <w:rStyle w:val="Emphasis"/>
          <w:rFonts w:ascii="Arial" w:hAnsi="Arial" w:cs="Arial"/>
          <w:sz w:val="20"/>
          <w:szCs w:val="20"/>
        </w:rPr>
        <w:t xml:space="preserve">Bacillus </w:t>
      </w:r>
      <w:proofErr w:type="spellStart"/>
      <w:r w:rsidRPr="008F16CA">
        <w:rPr>
          <w:rStyle w:val="Emphasis"/>
          <w:rFonts w:ascii="Arial" w:hAnsi="Arial" w:cs="Arial"/>
          <w:sz w:val="20"/>
          <w:szCs w:val="20"/>
        </w:rPr>
        <w:t>amyloliquefaciens</w:t>
      </w:r>
      <w:proofErr w:type="spellEnd"/>
      <w:r w:rsidRPr="008F16CA">
        <w:rPr>
          <w:rFonts w:ascii="Arial" w:hAnsi="Arial" w:cs="Arial"/>
          <w:sz w:val="20"/>
          <w:szCs w:val="20"/>
        </w:rPr>
        <w:t xml:space="preserve"> determined by the DNS </w:t>
      </w:r>
      <w:r w:rsidRPr="008F16CA">
        <w:rPr>
          <w:rFonts w:ascii="Arial" w:hAnsi="Arial" w:cs="Arial"/>
          <w:sz w:val="20"/>
          <w:szCs w:val="20"/>
        </w:rPr>
        <w:lastRenderedPageBreak/>
        <w:t>assay. The variation in absorbance values indicates differences in amylase production among th</w:t>
      </w:r>
      <w:r w:rsidR="00494DC3" w:rsidRPr="008F16CA">
        <w:rPr>
          <w:rFonts w:ascii="Arial" w:hAnsi="Arial" w:cs="Arial"/>
          <w:sz w:val="20"/>
          <w:szCs w:val="20"/>
        </w:rPr>
        <w:t xml:space="preserve">e bacterial endophytic </w:t>
      </w:r>
      <w:proofErr w:type="gramStart"/>
      <w:r w:rsidR="00494DC3" w:rsidRPr="008F16CA">
        <w:rPr>
          <w:rFonts w:ascii="Arial" w:hAnsi="Arial" w:cs="Arial"/>
          <w:sz w:val="20"/>
          <w:szCs w:val="20"/>
        </w:rPr>
        <w:t>isolates( Figure</w:t>
      </w:r>
      <w:proofErr w:type="gramEnd"/>
      <w:r w:rsidR="00494DC3" w:rsidRPr="008F16CA">
        <w:rPr>
          <w:rFonts w:ascii="Arial" w:hAnsi="Arial" w:cs="Arial"/>
          <w:sz w:val="20"/>
          <w:szCs w:val="20"/>
        </w:rPr>
        <w:t xml:space="preserve"> 1).</w:t>
      </w:r>
    </w:p>
    <w:p w14:paraId="2D1D44B7" w14:textId="77777777" w:rsidR="00494DC3" w:rsidRPr="008F16CA" w:rsidRDefault="00494DC3" w:rsidP="000C0D7E">
      <w:pPr>
        <w:pStyle w:val="NormalWeb"/>
        <w:jc w:val="both"/>
        <w:rPr>
          <w:rFonts w:ascii="Arial" w:hAnsi="Arial" w:cs="Arial"/>
          <w:b/>
          <w:sz w:val="22"/>
          <w:szCs w:val="22"/>
        </w:rPr>
      </w:pPr>
      <w:r w:rsidRPr="008F16CA">
        <w:rPr>
          <w:rFonts w:ascii="Arial" w:hAnsi="Arial" w:cs="Arial"/>
          <w:b/>
          <w:sz w:val="22"/>
          <w:szCs w:val="22"/>
        </w:rPr>
        <w:t xml:space="preserve">Figure 1: Glucose Standard Curve and Comparative Analysis of Extracellular Amylase Production by </w:t>
      </w:r>
      <w:r w:rsidRPr="008F16CA">
        <w:rPr>
          <w:rStyle w:val="Emphasis"/>
          <w:rFonts w:ascii="Arial" w:hAnsi="Arial" w:cs="Arial"/>
          <w:b/>
          <w:sz w:val="22"/>
          <w:szCs w:val="22"/>
        </w:rPr>
        <w:t xml:space="preserve">Enterobacter </w:t>
      </w:r>
      <w:proofErr w:type="spellStart"/>
      <w:r w:rsidRPr="008F16CA">
        <w:rPr>
          <w:rStyle w:val="Emphasis"/>
          <w:rFonts w:ascii="Arial" w:hAnsi="Arial" w:cs="Arial"/>
          <w:b/>
          <w:sz w:val="22"/>
          <w:szCs w:val="22"/>
        </w:rPr>
        <w:t>hormaechei</w:t>
      </w:r>
      <w:proofErr w:type="spellEnd"/>
      <w:r w:rsidRPr="008F16CA">
        <w:rPr>
          <w:rFonts w:ascii="Arial" w:hAnsi="Arial" w:cs="Arial"/>
          <w:b/>
          <w:sz w:val="22"/>
          <w:szCs w:val="22"/>
        </w:rPr>
        <w:t xml:space="preserve">, </w:t>
      </w:r>
      <w:r w:rsidRPr="008F16CA">
        <w:rPr>
          <w:rStyle w:val="Emphasis"/>
          <w:rFonts w:ascii="Arial" w:hAnsi="Arial" w:cs="Arial"/>
          <w:b/>
          <w:sz w:val="22"/>
          <w:szCs w:val="22"/>
        </w:rPr>
        <w:t>Bacillus flexus</w:t>
      </w:r>
      <w:r w:rsidRPr="008F16CA">
        <w:rPr>
          <w:rFonts w:ascii="Arial" w:hAnsi="Arial" w:cs="Arial"/>
          <w:b/>
          <w:sz w:val="22"/>
          <w:szCs w:val="22"/>
        </w:rPr>
        <w:t xml:space="preserve">, and </w:t>
      </w:r>
      <w:r w:rsidRPr="008F16CA">
        <w:rPr>
          <w:rStyle w:val="Emphasis"/>
          <w:rFonts w:ascii="Arial" w:hAnsi="Arial" w:cs="Arial"/>
          <w:b/>
          <w:sz w:val="22"/>
          <w:szCs w:val="22"/>
        </w:rPr>
        <w:t xml:space="preserve">Bacillus </w:t>
      </w:r>
      <w:proofErr w:type="spellStart"/>
      <w:r w:rsidRPr="008F16CA">
        <w:rPr>
          <w:rStyle w:val="Emphasis"/>
          <w:rFonts w:ascii="Arial" w:hAnsi="Arial" w:cs="Arial"/>
          <w:b/>
          <w:sz w:val="22"/>
          <w:szCs w:val="22"/>
        </w:rPr>
        <w:t>amyloliquefaciens</w:t>
      </w:r>
      <w:proofErr w:type="spellEnd"/>
      <w:r w:rsidRPr="008F16CA">
        <w:rPr>
          <w:rFonts w:ascii="Arial" w:hAnsi="Arial" w:cs="Arial"/>
          <w:b/>
          <w:sz w:val="22"/>
          <w:szCs w:val="22"/>
        </w:rPr>
        <w:t xml:space="preserve"> using the DNS Assay</w:t>
      </w:r>
    </w:p>
    <w:p w14:paraId="56E1DBE6" w14:textId="77777777" w:rsidR="000C0D7E" w:rsidRPr="008F16CA" w:rsidRDefault="00D77DE1" w:rsidP="000C0D7E">
      <w:pPr>
        <w:pStyle w:val="NormalWeb"/>
        <w:jc w:val="both"/>
        <w:rPr>
          <w:rFonts w:ascii="Arial" w:hAnsi="Arial" w:cs="Arial"/>
          <w:b/>
          <w:sz w:val="20"/>
          <w:szCs w:val="20"/>
        </w:rPr>
      </w:pPr>
      <w:r w:rsidRPr="008F16CA">
        <w:rPr>
          <w:rFonts w:ascii="Arial" w:hAnsi="Arial" w:cs="Arial"/>
          <w:b/>
          <w:noProof/>
          <w:sz w:val="20"/>
          <w:szCs w:val="20"/>
        </w:rPr>
        <w:drawing>
          <wp:inline distT="0" distB="0" distL="0" distR="0" wp14:anchorId="71A4B77A" wp14:editId="571FA553">
            <wp:extent cx="5731510" cy="4506595"/>
            <wp:effectExtent l="38100" t="57150" r="116840" b="103505"/>
            <wp:docPr id="10" name="Picture 9" descr="Amylase_Standard_Curve_With_Isolates_The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ylase_Standard_Curve_With_Isolates_Thesis.png"/>
                    <pic:cNvPicPr/>
                  </pic:nvPicPr>
                  <pic:blipFill>
                    <a:blip r:embed="rId7" cstate="print"/>
                    <a:stretch>
                      <a:fillRect/>
                    </a:stretch>
                  </pic:blipFill>
                  <pic:spPr>
                    <a:xfrm>
                      <a:off x="0" y="0"/>
                      <a:ext cx="5731510" cy="45065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1BDE1F8" w14:textId="77777777" w:rsidR="000423FF" w:rsidRPr="008F16CA" w:rsidRDefault="000423FF" w:rsidP="00505D2E">
      <w:pPr>
        <w:pStyle w:val="NormalWeb"/>
        <w:jc w:val="both"/>
        <w:rPr>
          <w:rFonts w:ascii="Arial" w:hAnsi="Arial" w:cs="Arial"/>
          <w:sz w:val="20"/>
          <w:szCs w:val="20"/>
        </w:rPr>
      </w:pPr>
      <w:r w:rsidRPr="008F16CA">
        <w:rPr>
          <w:rFonts w:ascii="Arial" w:hAnsi="Arial" w:cs="Arial"/>
          <w:b/>
          <w:sz w:val="20"/>
          <w:szCs w:val="20"/>
        </w:rPr>
        <w:t xml:space="preserve">Extracellular amylase activity of </w:t>
      </w:r>
      <w:r w:rsidRPr="008F16CA">
        <w:rPr>
          <w:rStyle w:val="Emphasis"/>
          <w:rFonts w:ascii="Arial" w:hAnsi="Arial" w:cs="Arial"/>
          <w:b/>
          <w:sz w:val="20"/>
          <w:szCs w:val="20"/>
        </w:rPr>
        <w:t xml:space="preserve">Enterobacter </w:t>
      </w:r>
      <w:proofErr w:type="spellStart"/>
      <w:r w:rsidRPr="008F16CA">
        <w:rPr>
          <w:rStyle w:val="Emphasis"/>
          <w:rFonts w:ascii="Arial" w:hAnsi="Arial" w:cs="Arial"/>
          <w:b/>
          <w:sz w:val="20"/>
          <w:szCs w:val="20"/>
        </w:rPr>
        <w:t>hormaechei</w:t>
      </w:r>
      <w:proofErr w:type="spellEnd"/>
      <w:r w:rsidRPr="008F16CA">
        <w:rPr>
          <w:rFonts w:ascii="Arial" w:hAnsi="Arial" w:cs="Arial"/>
          <w:b/>
          <w:sz w:val="20"/>
          <w:szCs w:val="20"/>
        </w:rPr>
        <w:t xml:space="preserve">, </w:t>
      </w:r>
      <w:r w:rsidRPr="008F16CA">
        <w:rPr>
          <w:rStyle w:val="Emphasis"/>
          <w:rFonts w:ascii="Arial" w:hAnsi="Arial" w:cs="Arial"/>
          <w:b/>
          <w:sz w:val="20"/>
          <w:szCs w:val="20"/>
        </w:rPr>
        <w:t>Bacillus flexus</w:t>
      </w:r>
      <w:r w:rsidRPr="008F16CA">
        <w:rPr>
          <w:rFonts w:ascii="Arial" w:hAnsi="Arial" w:cs="Arial"/>
          <w:b/>
          <w:sz w:val="20"/>
          <w:szCs w:val="20"/>
        </w:rPr>
        <w:t xml:space="preserve">, and </w:t>
      </w:r>
      <w:r w:rsidRPr="008F16CA">
        <w:rPr>
          <w:rStyle w:val="Emphasis"/>
          <w:rFonts w:ascii="Arial" w:hAnsi="Arial" w:cs="Arial"/>
          <w:b/>
          <w:sz w:val="20"/>
          <w:szCs w:val="20"/>
        </w:rPr>
        <w:t xml:space="preserve">Bacillus </w:t>
      </w:r>
      <w:proofErr w:type="spellStart"/>
      <w:r w:rsidRPr="008F16CA">
        <w:rPr>
          <w:rStyle w:val="Emphasis"/>
          <w:rFonts w:ascii="Arial" w:hAnsi="Arial" w:cs="Arial"/>
          <w:b/>
          <w:sz w:val="20"/>
          <w:szCs w:val="20"/>
        </w:rPr>
        <w:t>amyloliquefaciens</w:t>
      </w:r>
      <w:proofErr w:type="spellEnd"/>
      <w:r w:rsidRPr="008F16CA">
        <w:rPr>
          <w:rFonts w:ascii="Arial" w:hAnsi="Arial" w:cs="Arial"/>
          <w:b/>
          <w:sz w:val="20"/>
          <w:szCs w:val="20"/>
        </w:rPr>
        <w:t xml:space="preserve"> determined by</w:t>
      </w:r>
      <w:r w:rsidR="00D77DE1" w:rsidRPr="008F16CA">
        <w:rPr>
          <w:rFonts w:ascii="Arial" w:hAnsi="Arial" w:cs="Arial"/>
          <w:b/>
          <w:sz w:val="20"/>
          <w:szCs w:val="20"/>
        </w:rPr>
        <w:t xml:space="preserve"> the </w:t>
      </w:r>
      <w:r w:rsidRPr="008F16CA">
        <w:rPr>
          <w:rFonts w:ascii="Arial" w:hAnsi="Arial" w:cs="Arial"/>
          <w:b/>
          <w:sz w:val="20"/>
          <w:szCs w:val="20"/>
        </w:rPr>
        <w:t>DNS assay based on reducing sugar production following starch hydrolysis</w:t>
      </w:r>
      <w:r w:rsidRPr="008F16CA">
        <w:rPr>
          <w:rFonts w:ascii="Arial" w:hAnsi="Arial" w:cs="Arial"/>
          <w:sz w:val="20"/>
          <w:szCs w:val="20"/>
        </w:rPr>
        <w:t>.</w:t>
      </w:r>
    </w:p>
    <w:p w14:paraId="5C92B1A5" w14:textId="77777777" w:rsidR="00095762" w:rsidRPr="008F16CA" w:rsidRDefault="00095762" w:rsidP="00D77DE1">
      <w:pPr>
        <w:pStyle w:val="NormalWeb"/>
        <w:jc w:val="both"/>
        <w:rPr>
          <w:rFonts w:ascii="Arial" w:hAnsi="Arial" w:cs="Arial"/>
          <w:b/>
          <w:sz w:val="20"/>
          <w:szCs w:val="20"/>
        </w:rPr>
      </w:pPr>
      <w:r w:rsidRPr="008F16CA">
        <w:rPr>
          <w:rFonts w:ascii="Arial" w:eastAsia="Arial" w:hAnsi="Arial"/>
          <w:sz w:val="20"/>
        </w:rPr>
        <w:t xml:space="preserve">The extracellular protease activity of the bacterial endophytic isolates was quantitatively determined using the Folin-Ciocalteu (FC) assay with tyrosine as the standard. All three isolates, </w:t>
      </w:r>
      <w:r w:rsidRPr="008F16CA">
        <w:rPr>
          <w:rFonts w:ascii="Arial" w:eastAsia="Arial" w:hAnsi="Arial"/>
          <w:i/>
          <w:sz w:val="20"/>
        </w:rPr>
        <w:t>Enterobacter hormaechei</w:t>
      </w:r>
      <w:r w:rsidRPr="008F16CA">
        <w:rPr>
          <w:rFonts w:ascii="Arial" w:eastAsia="Arial" w:hAnsi="Arial"/>
          <w:sz w:val="20"/>
        </w:rPr>
        <w:t xml:space="preserve">, </w:t>
      </w:r>
      <w:r w:rsidRPr="008F16CA">
        <w:rPr>
          <w:rFonts w:ascii="Arial" w:eastAsia="Arial" w:hAnsi="Arial"/>
          <w:i/>
          <w:sz w:val="20"/>
        </w:rPr>
        <w:t>Bacillus flexus</w:t>
      </w:r>
      <w:r w:rsidRPr="008F16CA">
        <w:rPr>
          <w:rFonts w:ascii="Arial" w:eastAsia="Arial" w:hAnsi="Arial"/>
          <w:sz w:val="20"/>
        </w:rPr>
        <w:t xml:space="preserve">, and </w:t>
      </w:r>
      <w:r w:rsidRPr="008F16CA">
        <w:rPr>
          <w:rFonts w:ascii="Arial" w:eastAsia="Arial" w:hAnsi="Arial"/>
          <w:i/>
          <w:sz w:val="20"/>
        </w:rPr>
        <w:t>Bacillus amyloliquefaciens</w:t>
      </w:r>
      <w:r w:rsidRPr="008F16CA">
        <w:rPr>
          <w:rFonts w:ascii="Arial" w:eastAsia="Arial" w:hAnsi="Arial"/>
          <w:sz w:val="20"/>
        </w:rPr>
        <w:t>, exhibited protease activity, demonstrating their ability to hydrolyse casein. Differences in absorbance values among the isolates indicated variation in protease production and proteolytic potential, suggesting a possible role in nutrient cycling and beneficial plant-microbe interactions (Table 2).</w:t>
      </w:r>
    </w:p>
    <w:p w14:paraId="02B5FCE2" w14:textId="77777777" w:rsidR="00505D2E" w:rsidRPr="008F16CA" w:rsidRDefault="00505D2E" w:rsidP="00C64E53">
      <w:pPr>
        <w:pStyle w:val="NormalWeb"/>
        <w:jc w:val="both"/>
        <w:rPr>
          <w:rFonts w:ascii="Arial" w:hAnsi="Arial" w:cs="Arial"/>
          <w:b/>
          <w:sz w:val="22"/>
          <w:szCs w:val="22"/>
        </w:rPr>
      </w:pPr>
      <w:r w:rsidRPr="008F16CA">
        <w:rPr>
          <w:rFonts w:ascii="Arial" w:hAnsi="Arial" w:cs="Arial"/>
          <w:b/>
          <w:sz w:val="22"/>
          <w:szCs w:val="22"/>
        </w:rPr>
        <w:t>Table 2:</w:t>
      </w:r>
      <w:r w:rsidR="00095762" w:rsidRPr="008F16CA">
        <w:rPr>
          <w:rFonts w:ascii="Arial" w:hAnsi="Arial" w:cs="Arial"/>
          <w:b/>
          <w:sz w:val="22"/>
          <w:szCs w:val="22"/>
        </w:rPr>
        <w:t xml:space="preserve"> Extracellular protease activity of bacterial endophytic isolates determined by the Folin–</w:t>
      </w:r>
      <w:proofErr w:type="spellStart"/>
      <w:r w:rsidR="00095762" w:rsidRPr="008F16CA">
        <w:rPr>
          <w:rFonts w:ascii="Arial" w:hAnsi="Arial" w:cs="Arial"/>
          <w:b/>
          <w:sz w:val="22"/>
          <w:szCs w:val="22"/>
        </w:rPr>
        <w:t>Ciocalteu</w:t>
      </w:r>
      <w:proofErr w:type="spellEnd"/>
      <w:r w:rsidR="00095762" w:rsidRPr="008F16CA">
        <w:rPr>
          <w:rFonts w:ascii="Arial" w:hAnsi="Arial" w:cs="Arial"/>
          <w:b/>
          <w:sz w:val="22"/>
          <w:szCs w:val="22"/>
        </w:rPr>
        <w:t xml:space="preserve"> assay using tyrosine as the standard.</w:t>
      </w:r>
      <w:r w:rsidRPr="008F16CA">
        <w:rPr>
          <w:rFonts w:ascii="Arial" w:hAnsi="Arial" w:cs="Arial"/>
          <w:b/>
          <w:sz w:val="22"/>
          <w:szCs w:val="22"/>
        </w:rPr>
        <w:t xml:space="preserve"> </w:t>
      </w:r>
    </w:p>
    <w:tbl>
      <w:tblPr>
        <w:tblStyle w:val="TableGrid"/>
        <w:tblW w:w="9634" w:type="dxa"/>
        <w:tblInd w:w="113" w:type="dxa"/>
        <w:tblLayout w:type="fixed"/>
        <w:tblLook w:val="04A0" w:firstRow="1" w:lastRow="0" w:firstColumn="1" w:lastColumn="0" w:noHBand="0" w:noVBand="1"/>
      </w:tblPr>
      <w:tblGrid>
        <w:gridCol w:w="1413"/>
        <w:gridCol w:w="1134"/>
        <w:gridCol w:w="1134"/>
        <w:gridCol w:w="1134"/>
        <w:gridCol w:w="1439"/>
        <w:gridCol w:w="1069"/>
        <w:gridCol w:w="903"/>
        <w:gridCol w:w="1408"/>
      </w:tblGrid>
      <w:tr w:rsidR="00505D2E" w:rsidRPr="008F16CA" w14:paraId="722F8744" w14:textId="77777777" w:rsidTr="00494DC3">
        <w:tc>
          <w:tcPr>
            <w:tcW w:w="1413" w:type="dxa"/>
          </w:tcPr>
          <w:p w14:paraId="1AB319D5" w14:textId="77777777" w:rsidR="00505D2E" w:rsidRPr="008F16CA" w:rsidRDefault="00505D2E" w:rsidP="00A67EE4">
            <w:pPr>
              <w:pStyle w:val="NormalWeb"/>
              <w:spacing w:line="480" w:lineRule="auto"/>
              <w:jc w:val="center"/>
              <w:rPr>
                <w:rFonts w:ascii="Arial" w:hAnsi="Arial" w:cs="Arial"/>
                <w:b/>
                <w:bCs/>
                <w:sz w:val="20"/>
                <w:szCs w:val="20"/>
              </w:rPr>
            </w:pPr>
            <w:r w:rsidRPr="008F16CA">
              <w:rPr>
                <w:rFonts w:ascii="Arial" w:hAnsi="Arial" w:cs="Arial"/>
                <w:b/>
                <w:bCs/>
                <w:sz w:val="20"/>
                <w:szCs w:val="20"/>
              </w:rPr>
              <w:t>S.NO</w:t>
            </w:r>
          </w:p>
        </w:tc>
        <w:tc>
          <w:tcPr>
            <w:tcW w:w="1134" w:type="dxa"/>
          </w:tcPr>
          <w:p w14:paraId="63F2CEE7" w14:textId="77777777" w:rsidR="00505D2E" w:rsidRPr="008F16CA" w:rsidRDefault="00505D2E" w:rsidP="00A67EE4">
            <w:pPr>
              <w:pStyle w:val="NormalWeb"/>
              <w:spacing w:line="480" w:lineRule="auto"/>
              <w:jc w:val="center"/>
              <w:rPr>
                <w:rFonts w:ascii="Arial" w:hAnsi="Arial" w:cs="Arial"/>
                <w:b/>
                <w:bCs/>
                <w:sz w:val="20"/>
                <w:szCs w:val="20"/>
              </w:rPr>
            </w:pPr>
            <w:r w:rsidRPr="008F16CA">
              <w:rPr>
                <w:rFonts w:ascii="Arial" w:hAnsi="Arial" w:cs="Arial"/>
                <w:b/>
                <w:bCs/>
                <w:sz w:val="20"/>
                <w:szCs w:val="20"/>
              </w:rPr>
              <w:t>Std Tyrosine</w:t>
            </w:r>
            <w:r w:rsidR="00095762" w:rsidRPr="008F16CA">
              <w:rPr>
                <w:rFonts w:ascii="Arial" w:hAnsi="Arial" w:cs="Arial"/>
                <w:b/>
                <w:bCs/>
                <w:sz w:val="20"/>
                <w:szCs w:val="20"/>
              </w:rPr>
              <w:t xml:space="preserve"> </w:t>
            </w:r>
            <w:r w:rsidR="00095762" w:rsidRPr="008F16CA">
              <w:rPr>
                <w:rFonts w:ascii="Arial" w:hAnsi="Arial" w:cs="Arial"/>
                <w:b/>
                <w:bCs/>
                <w:sz w:val="20"/>
                <w:szCs w:val="20"/>
              </w:rPr>
              <w:lastRenderedPageBreak/>
              <w:t>ml</w:t>
            </w:r>
          </w:p>
        </w:tc>
        <w:tc>
          <w:tcPr>
            <w:tcW w:w="1134" w:type="dxa"/>
          </w:tcPr>
          <w:p w14:paraId="74F8728B" w14:textId="77777777" w:rsidR="00505D2E" w:rsidRPr="008F16CA" w:rsidRDefault="00095762" w:rsidP="00A67EE4">
            <w:pPr>
              <w:pStyle w:val="NormalWeb"/>
              <w:spacing w:line="480" w:lineRule="auto"/>
              <w:jc w:val="center"/>
              <w:rPr>
                <w:rFonts w:ascii="Arial" w:hAnsi="Arial" w:cs="Arial"/>
                <w:b/>
                <w:bCs/>
                <w:sz w:val="20"/>
                <w:szCs w:val="20"/>
              </w:rPr>
            </w:pPr>
            <w:r w:rsidRPr="008F16CA">
              <w:rPr>
                <w:rFonts w:ascii="Arial" w:hAnsi="Arial" w:cs="Arial"/>
                <w:b/>
                <w:bCs/>
                <w:sz w:val="20"/>
                <w:szCs w:val="20"/>
              </w:rPr>
              <w:lastRenderedPageBreak/>
              <w:t>Distilled water ml</w:t>
            </w:r>
          </w:p>
        </w:tc>
        <w:tc>
          <w:tcPr>
            <w:tcW w:w="1134" w:type="dxa"/>
          </w:tcPr>
          <w:p w14:paraId="7A4F3DA5" w14:textId="77777777" w:rsidR="00505D2E" w:rsidRPr="008F16CA" w:rsidRDefault="00505D2E" w:rsidP="00A67EE4">
            <w:pPr>
              <w:pStyle w:val="NormalWeb"/>
              <w:spacing w:line="480" w:lineRule="auto"/>
              <w:jc w:val="center"/>
              <w:rPr>
                <w:rFonts w:ascii="Arial" w:hAnsi="Arial" w:cs="Arial"/>
                <w:b/>
                <w:bCs/>
                <w:sz w:val="20"/>
                <w:szCs w:val="20"/>
              </w:rPr>
            </w:pPr>
            <w:r w:rsidRPr="008F16CA">
              <w:rPr>
                <w:rFonts w:ascii="Arial" w:hAnsi="Arial" w:cs="Arial"/>
                <w:b/>
                <w:bCs/>
                <w:sz w:val="20"/>
                <w:szCs w:val="20"/>
              </w:rPr>
              <w:t>Cons of Tyrosine</w:t>
            </w:r>
            <w:r w:rsidR="00095762" w:rsidRPr="008F16CA">
              <w:rPr>
                <w:rFonts w:ascii="Arial" w:hAnsi="Arial" w:cs="Arial"/>
                <w:b/>
                <w:bCs/>
                <w:sz w:val="20"/>
                <w:szCs w:val="20"/>
              </w:rPr>
              <w:t xml:space="preserve"> </w:t>
            </w:r>
            <w:r w:rsidR="00095762" w:rsidRPr="008F16CA">
              <w:rPr>
                <w:rFonts w:ascii="Arial" w:hAnsi="Arial" w:cs="Arial"/>
                <w:b/>
                <w:sz w:val="20"/>
                <w:szCs w:val="20"/>
              </w:rPr>
              <w:lastRenderedPageBreak/>
              <w:t>(µg mL</w:t>
            </w:r>
            <w:r w:rsidR="00095762" w:rsidRPr="008F16CA">
              <w:rPr>
                <w:rFonts w:cs="Arial"/>
                <w:b/>
                <w:sz w:val="20"/>
                <w:szCs w:val="20"/>
              </w:rPr>
              <w:t>⁻</w:t>
            </w:r>
            <w:r w:rsidR="00095762" w:rsidRPr="008F16CA">
              <w:rPr>
                <w:rFonts w:ascii="Arial" w:hAnsi="Arial" w:cs="Arial"/>
                <w:b/>
                <w:sz w:val="20"/>
                <w:szCs w:val="20"/>
              </w:rPr>
              <w:t>¹)</w:t>
            </w:r>
          </w:p>
        </w:tc>
        <w:tc>
          <w:tcPr>
            <w:tcW w:w="1439" w:type="dxa"/>
          </w:tcPr>
          <w:p w14:paraId="4CFCEC96" w14:textId="77777777" w:rsidR="00505D2E" w:rsidRPr="008F16CA" w:rsidRDefault="00095762" w:rsidP="00A67EE4">
            <w:pPr>
              <w:pStyle w:val="NormalWeb"/>
              <w:spacing w:line="480" w:lineRule="auto"/>
              <w:jc w:val="center"/>
              <w:rPr>
                <w:rFonts w:ascii="Arial" w:hAnsi="Arial" w:cs="Arial"/>
                <w:b/>
                <w:bCs/>
                <w:sz w:val="20"/>
                <w:szCs w:val="20"/>
              </w:rPr>
            </w:pPr>
            <w:r w:rsidRPr="008F16CA">
              <w:rPr>
                <w:rFonts w:ascii="Arial" w:hAnsi="Arial" w:cs="Arial"/>
                <w:b/>
                <w:sz w:val="20"/>
                <w:szCs w:val="20"/>
              </w:rPr>
              <w:lastRenderedPageBreak/>
              <w:t xml:space="preserve">Alkaline Copper </w:t>
            </w:r>
            <w:r w:rsidRPr="008F16CA">
              <w:rPr>
                <w:rFonts w:ascii="Arial" w:hAnsi="Arial" w:cs="Arial"/>
                <w:b/>
                <w:sz w:val="20"/>
                <w:szCs w:val="20"/>
              </w:rPr>
              <w:lastRenderedPageBreak/>
              <w:t>Sulphate (A+B) (mL)</w:t>
            </w:r>
          </w:p>
        </w:tc>
        <w:tc>
          <w:tcPr>
            <w:tcW w:w="1069" w:type="dxa"/>
          </w:tcPr>
          <w:p w14:paraId="1E0D03E5" w14:textId="77777777" w:rsidR="00A67EE4" w:rsidRPr="008F16CA" w:rsidRDefault="00505D2E" w:rsidP="00A67EE4">
            <w:pPr>
              <w:pStyle w:val="NormalWeb"/>
              <w:spacing w:line="480" w:lineRule="auto"/>
              <w:jc w:val="center"/>
              <w:rPr>
                <w:rFonts w:ascii="Arial" w:hAnsi="Arial" w:cs="Arial"/>
                <w:b/>
                <w:bCs/>
                <w:sz w:val="20"/>
                <w:szCs w:val="20"/>
              </w:rPr>
            </w:pPr>
            <w:r w:rsidRPr="008F16CA">
              <w:rPr>
                <w:rFonts w:ascii="Arial" w:hAnsi="Arial" w:cs="Arial"/>
                <w:b/>
                <w:bCs/>
                <w:sz w:val="20"/>
                <w:szCs w:val="20"/>
              </w:rPr>
              <w:lastRenderedPageBreak/>
              <w:t xml:space="preserve">Vol of F.C </w:t>
            </w:r>
            <w:r w:rsidR="00A67EE4" w:rsidRPr="008F16CA">
              <w:rPr>
                <w:rFonts w:ascii="Arial" w:hAnsi="Arial" w:cs="Arial"/>
                <w:b/>
                <w:bCs/>
                <w:sz w:val="20"/>
                <w:szCs w:val="20"/>
              </w:rPr>
              <w:lastRenderedPageBreak/>
              <w:t>reagent ml</w:t>
            </w:r>
          </w:p>
        </w:tc>
        <w:tc>
          <w:tcPr>
            <w:tcW w:w="903" w:type="dxa"/>
          </w:tcPr>
          <w:p w14:paraId="745B3404" w14:textId="77777777" w:rsidR="00505D2E" w:rsidRPr="008F16CA" w:rsidRDefault="00505D2E" w:rsidP="00A67EE4">
            <w:pPr>
              <w:pStyle w:val="NormalWeb"/>
              <w:spacing w:line="480" w:lineRule="auto"/>
              <w:jc w:val="center"/>
              <w:rPr>
                <w:rFonts w:ascii="Arial" w:hAnsi="Arial" w:cs="Arial"/>
                <w:b/>
                <w:bCs/>
                <w:sz w:val="20"/>
                <w:szCs w:val="20"/>
              </w:rPr>
            </w:pPr>
            <w:r w:rsidRPr="008F16CA">
              <w:rPr>
                <w:rFonts w:ascii="Arial" w:hAnsi="Arial" w:cs="Arial"/>
                <w:b/>
                <w:bCs/>
                <w:sz w:val="20"/>
                <w:szCs w:val="20"/>
              </w:rPr>
              <w:lastRenderedPageBreak/>
              <w:t>O.D</w:t>
            </w:r>
          </w:p>
          <w:p w14:paraId="69E776C3" w14:textId="77777777" w:rsidR="00505D2E" w:rsidRPr="008F16CA" w:rsidRDefault="00505D2E" w:rsidP="00A67EE4">
            <w:pPr>
              <w:pStyle w:val="NormalWeb"/>
              <w:spacing w:line="480" w:lineRule="auto"/>
              <w:jc w:val="center"/>
              <w:rPr>
                <w:rFonts w:ascii="Arial" w:hAnsi="Arial" w:cs="Arial"/>
                <w:b/>
                <w:bCs/>
                <w:sz w:val="20"/>
                <w:szCs w:val="20"/>
              </w:rPr>
            </w:pPr>
            <w:r w:rsidRPr="008F16CA">
              <w:rPr>
                <w:rFonts w:ascii="Arial" w:hAnsi="Arial" w:cs="Arial"/>
                <w:b/>
                <w:bCs/>
                <w:sz w:val="20"/>
                <w:szCs w:val="20"/>
              </w:rPr>
              <w:lastRenderedPageBreak/>
              <w:t>660 nm</w:t>
            </w:r>
          </w:p>
        </w:tc>
        <w:tc>
          <w:tcPr>
            <w:tcW w:w="1408" w:type="dxa"/>
          </w:tcPr>
          <w:p w14:paraId="6FC3F3AC" w14:textId="77777777" w:rsidR="00095762" w:rsidRPr="008F16CA" w:rsidRDefault="00505D2E" w:rsidP="00A67EE4">
            <w:pPr>
              <w:pStyle w:val="NormalWeb"/>
              <w:spacing w:line="480" w:lineRule="auto"/>
              <w:jc w:val="center"/>
              <w:rPr>
                <w:rFonts w:ascii="Arial" w:hAnsi="Arial" w:cs="Arial"/>
                <w:b/>
                <w:bCs/>
                <w:sz w:val="20"/>
                <w:szCs w:val="20"/>
              </w:rPr>
            </w:pPr>
            <w:r w:rsidRPr="008F16CA">
              <w:rPr>
                <w:rFonts w:ascii="Arial" w:hAnsi="Arial" w:cs="Arial"/>
                <w:b/>
                <w:bCs/>
                <w:sz w:val="20"/>
                <w:szCs w:val="20"/>
              </w:rPr>
              <w:lastRenderedPageBreak/>
              <w:t>Net O.D</w:t>
            </w:r>
          </w:p>
          <w:p w14:paraId="4B680FB6" w14:textId="77777777" w:rsidR="00505D2E" w:rsidRPr="008F16CA" w:rsidRDefault="00505D2E" w:rsidP="00A67EE4">
            <w:pPr>
              <w:pStyle w:val="NormalWeb"/>
              <w:spacing w:line="480" w:lineRule="auto"/>
              <w:jc w:val="center"/>
              <w:rPr>
                <w:rFonts w:ascii="Arial" w:hAnsi="Arial" w:cs="Arial"/>
                <w:b/>
                <w:bCs/>
                <w:sz w:val="20"/>
                <w:szCs w:val="20"/>
              </w:rPr>
            </w:pPr>
            <w:r w:rsidRPr="008F16CA">
              <w:rPr>
                <w:rFonts w:ascii="Arial" w:hAnsi="Arial" w:cs="Arial"/>
                <w:b/>
                <w:bCs/>
                <w:sz w:val="20"/>
                <w:szCs w:val="20"/>
              </w:rPr>
              <w:lastRenderedPageBreak/>
              <w:t>660nm</w:t>
            </w:r>
          </w:p>
        </w:tc>
      </w:tr>
      <w:tr w:rsidR="00505D2E" w:rsidRPr="008F16CA" w14:paraId="0382C64A" w14:textId="77777777" w:rsidTr="00494DC3">
        <w:trPr>
          <w:trHeight w:val="387"/>
        </w:trPr>
        <w:tc>
          <w:tcPr>
            <w:tcW w:w="1413" w:type="dxa"/>
          </w:tcPr>
          <w:p w14:paraId="246526DA" w14:textId="77777777" w:rsidR="00505D2E" w:rsidRPr="008F16CA" w:rsidRDefault="00505D2E" w:rsidP="00505D2E">
            <w:pPr>
              <w:spacing w:line="480" w:lineRule="auto"/>
              <w:jc w:val="left"/>
              <w:rPr>
                <w:rFonts w:ascii="Arial" w:hAnsi="Arial" w:cs="Arial"/>
                <w:sz w:val="20"/>
                <w:szCs w:val="20"/>
              </w:rPr>
            </w:pPr>
            <w:r w:rsidRPr="008F16CA">
              <w:rPr>
                <w:rFonts w:ascii="Arial" w:hAnsi="Arial" w:cs="Arial"/>
                <w:sz w:val="20"/>
                <w:szCs w:val="20"/>
              </w:rPr>
              <w:lastRenderedPageBreak/>
              <w:t xml:space="preserve">Blank </w:t>
            </w:r>
          </w:p>
        </w:tc>
        <w:tc>
          <w:tcPr>
            <w:tcW w:w="1134" w:type="dxa"/>
          </w:tcPr>
          <w:p w14:paraId="57904971" w14:textId="77777777" w:rsidR="00505D2E" w:rsidRPr="008F16CA" w:rsidRDefault="00505D2E" w:rsidP="00505D2E">
            <w:pPr>
              <w:spacing w:line="480" w:lineRule="auto"/>
              <w:jc w:val="center"/>
              <w:rPr>
                <w:rFonts w:ascii="Arial" w:hAnsi="Arial" w:cs="Arial"/>
                <w:sz w:val="20"/>
                <w:szCs w:val="20"/>
              </w:rPr>
            </w:pPr>
            <w:r w:rsidRPr="008F16CA">
              <w:rPr>
                <w:rFonts w:ascii="Arial" w:hAnsi="Arial" w:cs="Arial"/>
                <w:sz w:val="20"/>
                <w:szCs w:val="20"/>
              </w:rPr>
              <w:t>-</w:t>
            </w:r>
          </w:p>
        </w:tc>
        <w:tc>
          <w:tcPr>
            <w:tcW w:w="1134" w:type="dxa"/>
          </w:tcPr>
          <w:p w14:paraId="555E627E" w14:textId="77777777" w:rsidR="00505D2E" w:rsidRPr="008F16CA" w:rsidRDefault="00505D2E" w:rsidP="00505D2E">
            <w:pPr>
              <w:spacing w:line="480" w:lineRule="auto"/>
              <w:jc w:val="center"/>
              <w:rPr>
                <w:rFonts w:ascii="Arial" w:hAnsi="Arial" w:cs="Arial"/>
                <w:sz w:val="20"/>
                <w:szCs w:val="20"/>
              </w:rPr>
            </w:pPr>
            <w:r w:rsidRPr="008F16CA">
              <w:rPr>
                <w:rFonts w:ascii="Arial" w:hAnsi="Arial" w:cs="Arial"/>
                <w:sz w:val="20"/>
                <w:szCs w:val="20"/>
              </w:rPr>
              <w:t>1</w:t>
            </w:r>
          </w:p>
        </w:tc>
        <w:tc>
          <w:tcPr>
            <w:tcW w:w="1134" w:type="dxa"/>
          </w:tcPr>
          <w:p w14:paraId="20F571F0" w14:textId="77777777" w:rsidR="00505D2E" w:rsidRPr="008F16CA" w:rsidRDefault="00505D2E" w:rsidP="00505D2E">
            <w:pPr>
              <w:spacing w:line="480" w:lineRule="auto"/>
              <w:jc w:val="center"/>
              <w:rPr>
                <w:rFonts w:ascii="Arial" w:hAnsi="Arial" w:cs="Arial"/>
                <w:sz w:val="20"/>
                <w:szCs w:val="20"/>
              </w:rPr>
            </w:pPr>
            <w:r w:rsidRPr="008F16CA">
              <w:rPr>
                <w:rFonts w:ascii="Arial" w:hAnsi="Arial" w:cs="Arial"/>
                <w:sz w:val="20"/>
                <w:szCs w:val="20"/>
              </w:rPr>
              <w:t>-</w:t>
            </w:r>
          </w:p>
        </w:tc>
        <w:tc>
          <w:tcPr>
            <w:tcW w:w="1439" w:type="dxa"/>
          </w:tcPr>
          <w:p w14:paraId="0320C8D3" w14:textId="77777777" w:rsidR="00505D2E" w:rsidRPr="008F16CA" w:rsidRDefault="00505D2E" w:rsidP="00505D2E">
            <w:pPr>
              <w:spacing w:line="480" w:lineRule="auto"/>
              <w:jc w:val="center"/>
              <w:rPr>
                <w:rFonts w:ascii="Arial" w:hAnsi="Arial" w:cs="Arial"/>
                <w:sz w:val="20"/>
                <w:szCs w:val="20"/>
              </w:rPr>
            </w:pPr>
            <w:r w:rsidRPr="008F16CA">
              <w:rPr>
                <w:rFonts w:ascii="Arial" w:hAnsi="Arial" w:cs="Arial"/>
                <w:sz w:val="20"/>
                <w:szCs w:val="20"/>
              </w:rPr>
              <w:t>5</w:t>
            </w:r>
          </w:p>
        </w:tc>
        <w:tc>
          <w:tcPr>
            <w:tcW w:w="1069" w:type="dxa"/>
          </w:tcPr>
          <w:p w14:paraId="1BC508D1" w14:textId="77777777" w:rsidR="00505D2E" w:rsidRPr="008F16CA" w:rsidRDefault="00505D2E" w:rsidP="00505D2E">
            <w:pPr>
              <w:spacing w:line="480" w:lineRule="auto"/>
              <w:jc w:val="center"/>
              <w:rPr>
                <w:rFonts w:ascii="Arial" w:hAnsi="Arial" w:cs="Arial"/>
                <w:sz w:val="20"/>
                <w:szCs w:val="20"/>
              </w:rPr>
            </w:pPr>
            <w:r w:rsidRPr="008F16CA">
              <w:rPr>
                <w:rFonts w:ascii="Arial" w:hAnsi="Arial" w:cs="Arial"/>
                <w:sz w:val="20"/>
                <w:szCs w:val="20"/>
              </w:rPr>
              <w:t>1.5</w:t>
            </w:r>
          </w:p>
        </w:tc>
        <w:tc>
          <w:tcPr>
            <w:tcW w:w="903" w:type="dxa"/>
          </w:tcPr>
          <w:p w14:paraId="70EFFC50" w14:textId="77777777" w:rsidR="00505D2E" w:rsidRPr="008F16CA" w:rsidRDefault="00505D2E" w:rsidP="00505D2E">
            <w:pPr>
              <w:spacing w:line="480" w:lineRule="auto"/>
              <w:jc w:val="center"/>
              <w:rPr>
                <w:rFonts w:ascii="Arial" w:hAnsi="Arial" w:cs="Arial"/>
                <w:sz w:val="20"/>
                <w:szCs w:val="20"/>
              </w:rPr>
            </w:pPr>
            <w:r w:rsidRPr="008F16CA">
              <w:rPr>
                <w:rFonts w:ascii="Arial" w:hAnsi="Arial" w:cs="Arial"/>
                <w:sz w:val="20"/>
                <w:szCs w:val="20"/>
              </w:rPr>
              <w:t>0.06</w:t>
            </w:r>
          </w:p>
        </w:tc>
        <w:tc>
          <w:tcPr>
            <w:tcW w:w="1408" w:type="dxa"/>
          </w:tcPr>
          <w:p w14:paraId="41AF775B" w14:textId="77777777" w:rsidR="00505D2E" w:rsidRPr="008F16CA" w:rsidRDefault="00505D2E" w:rsidP="00505D2E">
            <w:pPr>
              <w:spacing w:line="480" w:lineRule="auto"/>
              <w:jc w:val="center"/>
              <w:rPr>
                <w:rFonts w:ascii="Arial" w:hAnsi="Arial" w:cs="Arial"/>
                <w:sz w:val="20"/>
                <w:szCs w:val="20"/>
              </w:rPr>
            </w:pPr>
          </w:p>
        </w:tc>
      </w:tr>
      <w:tr w:rsidR="00505D2E" w:rsidRPr="008F16CA" w14:paraId="667EC2B7" w14:textId="77777777" w:rsidTr="00494DC3">
        <w:trPr>
          <w:trHeight w:val="407"/>
        </w:trPr>
        <w:tc>
          <w:tcPr>
            <w:tcW w:w="1413" w:type="dxa"/>
          </w:tcPr>
          <w:p w14:paraId="4AFDAB65" w14:textId="77777777" w:rsidR="00505D2E" w:rsidRPr="008F16CA" w:rsidRDefault="00505D2E" w:rsidP="00505D2E">
            <w:pPr>
              <w:spacing w:line="480" w:lineRule="auto"/>
              <w:jc w:val="left"/>
              <w:rPr>
                <w:rFonts w:ascii="Arial" w:hAnsi="Arial" w:cs="Arial"/>
                <w:sz w:val="20"/>
                <w:szCs w:val="20"/>
              </w:rPr>
            </w:pPr>
            <w:r w:rsidRPr="008F16CA">
              <w:rPr>
                <w:rFonts w:ascii="Arial" w:hAnsi="Arial" w:cs="Arial"/>
                <w:sz w:val="20"/>
                <w:szCs w:val="20"/>
              </w:rPr>
              <w:t>1</w:t>
            </w:r>
          </w:p>
        </w:tc>
        <w:tc>
          <w:tcPr>
            <w:tcW w:w="1134" w:type="dxa"/>
          </w:tcPr>
          <w:p w14:paraId="00A52979" w14:textId="77777777" w:rsidR="00505D2E" w:rsidRPr="008F16CA" w:rsidRDefault="00505D2E" w:rsidP="00505D2E">
            <w:pPr>
              <w:spacing w:line="480" w:lineRule="auto"/>
              <w:jc w:val="center"/>
              <w:rPr>
                <w:rFonts w:ascii="Arial" w:hAnsi="Arial" w:cs="Arial"/>
                <w:sz w:val="20"/>
                <w:szCs w:val="20"/>
              </w:rPr>
            </w:pPr>
            <w:r w:rsidRPr="008F16CA">
              <w:rPr>
                <w:rFonts w:ascii="Arial" w:hAnsi="Arial" w:cs="Arial"/>
                <w:sz w:val="20"/>
                <w:szCs w:val="20"/>
              </w:rPr>
              <w:t>0.2</w:t>
            </w:r>
          </w:p>
        </w:tc>
        <w:tc>
          <w:tcPr>
            <w:tcW w:w="1134" w:type="dxa"/>
          </w:tcPr>
          <w:p w14:paraId="5B34AA06" w14:textId="77777777" w:rsidR="00505D2E" w:rsidRPr="008F16CA" w:rsidRDefault="00505D2E" w:rsidP="00505D2E">
            <w:pPr>
              <w:spacing w:line="480" w:lineRule="auto"/>
              <w:jc w:val="center"/>
              <w:rPr>
                <w:rFonts w:ascii="Arial" w:hAnsi="Arial" w:cs="Arial"/>
                <w:sz w:val="20"/>
                <w:szCs w:val="20"/>
              </w:rPr>
            </w:pPr>
            <w:r w:rsidRPr="008F16CA">
              <w:rPr>
                <w:rFonts w:ascii="Arial" w:hAnsi="Arial" w:cs="Arial"/>
                <w:sz w:val="20"/>
                <w:szCs w:val="20"/>
              </w:rPr>
              <w:t>0.8</w:t>
            </w:r>
          </w:p>
        </w:tc>
        <w:tc>
          <w:tcPr>
            <w:tcW w:w="1134" w:type="dxa"/>
          </w:tcPr>
          <w:p w14:paraId="0E6B8253" w14:textId="77777777" w:rsidR="00505D2E" w:rsidRPr="008F16CA" w:rsidRDefault="00505D2E" w:rsidP="00505D2E">
            <w:pPr>
              <w:spacing w:line="480" w:lineRule="auto"/>
              <w:jc w:val="center"/>
              <w:rPr>
                <w:rFonts w:ascii="Arial" w:hAnsi="Arial" w:cs="Arial"/>
                <w:sz w:val="20"/>
                <w:szCs w:val="20"/>
              </w:rPr>
            </w:pPr>
            <w:r w:rsidRPr="008F16CA">
              <w:rPr>
                <w:rFonts w:ascii="Arial" w:hAnsi="Arial" w:cs="Arial"/>
                <w:sz w:val="20"/>
                <w:szCs w:val="20"/>
              </w:rPr>
              <w:t>20</w:t>
            </w:r>
          </w:p>
        </w:tc>
        <w:tc>
          <w:tcPr>
            <w:tcW w:w="1439" w:type="dxa"/>
          </w:tcPr>
          <w:p w14:paraId="4D73566F" w14:textId="77777777" w:rsidR="00505D2E" w:rsidRPr="008F16CA" w:rsidRDefault="00505D2E" w:rsidP="00505D2E">
            <w:pPr>
              <w:spacing w:line="480" w:lineRule="auto"/>
              <w:jc w:val="center"/>
              <w:rPr>
                <w:rFonts w:ascii="Arial" w:hAnsi="Arial" w:cs="Arial"/>
                <w:sz w:val="20"/>
                <w:szCs w:val="20"/>
              </w:rPr>
            </w:pPr>
            <w:r w:rsidRPr="008F16CA">
              <w:rPr>
                <w:rFonts w:ascii="Arial" w:hAnsi="Arial" w:cs="Arial"/>
                <w:sz w:val="20"/>
                <w:szCs w:val="20"/>
              </w:rPr>
              <w:t>5</w:t>
            </w:r>
          </w:p>
        </w:tc>
        <w:tc>
          <w:tcPr>
            <w:tcW w:w="1069" w:type="dxa"/>
          </w:tcPr>
          <w:p w14:paraId="5CC7C793" w14:textId="77777777" w:rsidR="00505D2E" w:rsidRPr="008F16CA" w:rsidRDefault="00505D2E" w:rsidP="00505D2E">
            <w:pPr>
              <w:spacing w:line="480" w:lineRule="auto"/>
              <w:jc w:val="center"/>
              <w:rPr>
                <w:rFonts w:ascii="Arial" w:hAnsi="Arial" w:cs="Arial"/>
                <w:sz w:val="20"/>
                <w:szCs w:val="20"/>
              </w:rPr>
            </w:pPr>
            <w:r w:rsidRPr="008F16CA">
              <w:rPr>
                <w:rFonts w:ascii="Arial" w:hAnsi="Arial" w:cs="Arial"/>
                <w:sz w:val="20"/>
                <w:szCs w:val="20"/>
              </w:rPr>
              <w:t>1.5</w:t>
            </w:r>
          </w:p>
        </w:tc>
        <w:tc>
          <w:tcPr>
            <w:tcW w:w="903" w:type="dxa"/>
          </w:tcPr>
          <w:p w14:paraId="774037C7" w14:textId="77777777" w:rsidR="00505D2E" w:rsidRPr="008F16CA" w:rsidRDefault="00505D2E" w:rsidP="00505D2E">
            <w:pPr>
              <w:spacing w:line="480" w:lineRule="auto"/>
              <w:jc w:val="center"/>
              <w:rPr>
                <w:rFonts w:ascii="Arial" w:hAnsi="Arial" w:cs="Arial"/>
                <w:sz w:val="20"/>
                <w:szCs w:val="20"/>
              </w:rPr>
            </w:pPr>
            <w:r w:rsidRPr="008F16CA">
              <w:rPr>
                <w:rFonts w:ascii="Arial" w:hAnsi="Arial" w:cs="Arial"/>
                <w:sz w:val="20"/>
                <w:szCs w:val="20"/>
              </w:rPr>
              <w:t>0.15</w:t>
            </w:r>
          </w:p>
        </w:tc>
        <w:tc>
          <w:tcPr>
            <w:tcW w:w="1408" w:type="dxa"/>
          </w:tcPr>
          <w:p w14:paraId="75A8C447" w14:textId="77777777" w:rsidR="00505D2E" w:rsidRPr="008F16CA" w:rsidRDefault="00505D2E" w:rsidP="00505D2E">
            <w:pPr>
              <w:spacing w:line="480" w:lineRule="auto"/>
              <w:jc w:val="center"/>
              <w:rPr>
                <w:rFonts w:ascii="Arial" w:hAnsi="Arial" w:cs="Arial"/>
                <w:sz w:val="20"/>
                <w:szCs w:val="20"/>
              </w:rPr>
            </w:pPr>
            <w:r w:rsidRPr="008F16CA">
              <w:rPr>
                <w:rFonts w:ascii="Arial" w:hAnsi="Arial" w:cs="Arial"/>
                <w:sz w:val="20"/>
                <w:szCs w:val="20"/>
              </w:rPr>
              <w:t>0.09</w:t>
            </w:r>
          </w:p>
        </w:tc>
      </w:tr>
      <w:tr w:rsidR="00505D2E" w:rsidRPr="008F16CA" w14:paraId="690842F7" w14:textId="77777777" w:rsidTr="00494DC3">
        <w:trPr>
          <w:trHeight w:val="471"/>
        </w:trPr>
        <w:tc>
          <w:tcPr>
            <w:tcW w:w="1413" w:type="dxa"/>
          </w:tcPr>
          <w:p w14:paraId="2800C81D" w14:textId="77777777" w:rsidR="00505D2E" w:rsidRPr="008F16CA" w:rsidRDefault="00505D2E" w:rsidP="00505D2E">
            <w:pPr>
              <w:spacing w:line="480" w:lineRule="auto"/>
              <w:jc w:val="left"/>
              <w:rPr>
                <w:rFonts w:ascii="Arial" w:hAnsi="Arial" w:cs="Arial"/>
                <w:sz w:val="20"/>
                <w:szCs w:val="20"/>
              </w:rPr>
            </w:pPr>
            <w:r w:rsidRPr="008F16CA">
              <w:rPr>
                <w:rFonts w:ascii="Arial" w:hAnsi="Arial" w:cs="Arial"/>
                <w:sz w:val="20"/>
                <w:szCs w:val="20"/>
              </w:rPr>
              <w:t>2</w:t>
            </w:r>
          </w:p>
        </w:tc>
        <w:tc>
          <w:tcPr>
            <w:tcW w:w="1134" w:type="dxa"/>
          </w:tcPr>
          <w:p w14:paraId="4109CE03" w14:textId="77777777" w:rsidR="00505D2E" w:rsidRPr="008F16CA" w:rsidRDefault="00505D2E" w:rsidP="00505D2E">
            <w:pPr>
              <w:spacing w:line="480" w:lineRule="auto"/>
              <w:jc w:val="center"/>
              <w:rPr>
                <w:rFonts w:ascii="Arial" w:hAnsi="Arial" w:cs="Arial"/>
                <w:sz w:val="20"/>
                <w:szCs w:val="20"/>
              </w:rPr>
            </w:pPr>
            <w:r w:rsidRPr="008F16CA">
              <w:rPr>
                <w:rFonts w:ascii="Arial" w:hAnsi="Arial" w:cs="Arial"/>
                <w:sz w:val="20"/>
                <w:szCs w:val="20"/>
              </w:rPr>
              <w:t>0.4</w:t>
            </w:r>
          </w:p>
        </w:tc>
        <w:tc>
          <w:tcPr>
            <w:tcW w:w="1134" w:type="dxa"/>
          </w:tcPr>
          <w:p w14:paraId="30311BE3" w14:textId="77777777" w:rsidR="00505D2E" w:rsidRPr="008F16CA" w:rsidRDefault="00505D2E" w:rsidP="00505D2E">
            <w:pPr>
              <w:spacing w:line="480" w:lineRule="auto"/>
              <w:jc w:val="center"/>
              <w:rPr>
                <w:rFonts w:ascii="Arial" w:hAnsi="Arial" w:cs="Arial"/>
                <w:sz w:val="20"/>
                <w:szCs w:val="20"/>
              </w:rPr>
            </w:pPr>
            <w:r w:rsidRPr="008F16CA">
              <w:rPr>
                <w:rFonts w:ascii="Arial" w:hAnsi="Arial" w:cs="Arial"/>
                <w:sz w:val="20"/>
                <w:szCs w:val="20"/>
              </w:rPr>
              <w:t>0.6</w:t>
            </w:r>
          </w:p>
        </w:tc>
        <w:tc>
          <w:tcPr>
            <w:tcW w:w="1134" w:type="dxa"/>
          </w:tcPr>
          <w:p w14:paraId="6707A24A" w14:textId="77777777" w:rsidR="00505D2E" w:rsidRPr="008F16CA" w:rsidRDefault="00505D2E" w:rsidP="00505D2E">
            <w:pPr>
              <w:spacing w:line="480" w:lineRule="auto"/>
              <w:jc w:val="center"/>
              <w:rPr>
                <w:rFonts w:ascii="Arial" w:hAnsi="Arial" w:cs="Arial"/>
                <w:sz w:val="20"/>
                <w:szCs w:val="20"/>
              </w:rPr>
            </w:pPr>
            <w:r w:rsidRPr="008F16CA">
              <w:rPr>
                <w:rFonts w:ascii="Arial" w:hAnsi="Arial" w:cs="Arial"/>
                <w:sz w:val="20"/>
                <w:szCs w:val="20"/>
              </w:rPr>
              <w:t>40</w:t>
            </w:r>
          </w:p>
        </w:tc>
        <w:tc>
          <w:tcPr>
            <w:tcW w:w="1439" w:type="dxa"/>
          </w:tcPr>
          <w:p w14:paraId="2AE9CE05" w14:textId="77777777" w:rsidR="00505D2E" w:rsidRPr="008F16CA" w:rsidRDefault="00505D2E" w:rsidP="00505D2E">
            <w:pPr>
              <w:spacing w:line="480" w:lineRule="auto"/>
              <w:jc w:val="center"/>
              <w:rPr>
                <w:rFonts w:ascii="Arial" w:hAnsi="Arial" w:cs="Arial"/>
                <w:sz w:val="20"/>
                <w:szCs w:val="20"/>
              </w:rPr>
            </w:pPr>
            <w:r w:rsidRPr="008F16CA">
              <w:rPr>
                <w:rFonts w:ascii="Arial" w:hAnsi="Arial" w:cs="Arial"/>
                <w:sz w:val="20"/>
                <w:szCs w:val="20"/>
              </w:rPr>
              <w:t>5</w:t>
            </w:r>
          </w:p>
        </w:tc>
        <w:tc>
          <w:tcPr>
            <w:tcW w:w="1069" w:type="dxa"/>
          </w:tcPr>
          <w:p w14:paraId="66916730" w14:textId="77777777" w:rsidR="00505D2E" w:rsidRPr="008F16CA" w:rsidRDefault="00505D2E" w:rsidP="00505D2E">
            <w:pPr>
              <w:spacing w:line="480" w:lineRule="auto"/>
              <w:jc w:val="center"/>
              <w:rPr>
                <w:rFonts w:ascii="Arial" w:hAnsi="Arial" w:cs="Arial"/>
                <w:sz w:val="20"/>
                <w:szCs w:val="20"/>
              </w:rPr>
            </w:pPr>
            <w:r w:rsidRPr="008F16CA">
              <w:rPr>
                <w:rFonts w:ascii="Arial" w:hAnsi="Arial" w:cs="Arial"/>
                <w:sz w:val="20"/>
                <w:szCs w:val="20"/>
              </w:rPr>
              <w:t>1.5</w:t>
            </w:r>
          </w:p>
        </w:tc>
        <w:tc>
          <w:tcPr>
            <w:tcW w:w="903" w:type="dxa"/>
          </w:tcPr>
          <w:p w14:paraId="73308050" w14:textId="77777777" w:rsidR="00505D2E" w:rsidRPr="008F16CA" w:rsidRDefault="00505D2E" w:rsidP="00505D2E">
            <w:pPr>
              <w:spacing w:line="480" w:lineRule="auto"/>
              <w:jc w:val="center"/>
              <w:rPr>
                <w:rFonts w:ascii="Arial" w:hAnsi="Arial" w:cs="Arial"/>
                <w:sz w:val="20"/>
                <w:szCs w:val="20"/>
              </w:rPr>
            </w:pPr>
            <w:r w:rsidRPr="008F16CA">
              <w:rPr>
                <w:rFonts w:ascii="Arial" w:hAnsi="Arial" w:cs="Arial"/>
                <w:sz w:val="20"/>
                <w:szCs w:val="20"/>
              </w:rPr>
              <w:t>0.18</w:t>
            </w:r>
          </w:p>
        </w:tc>
        <w:tc>
          <w:tcPr>
            <w:tcW w:w="1408" w:type="dxa"/>
          </w:tcPr>
          <w:p w14:paraId="26B78223" w14:textId="77777777" w:rsidR="00505D2E" w:rsidRPr="008F16CA" w:rsidRDefault="00505D2E" w:rsidP="00505D2E">
            <w:pPr>
              <w:spacing w:line="480" w:lineRule="auto"/>
              <w:jc w:val="center"/>
              <w:rPr>
                <w:rFonts w:ascii="Arial" w:hAnsi="Arial" w:cs="Arial"/>
                <w:sz w:val="20"/>
                <w:szCs w:val="20"/>
              </w:rPr>
            </w:pPr>
            <w:r w:rsidRPr="008F16CA">
              <w:rPr>
                <w:rFonts w:ascii="Arial" w:hAnsi="Arial" w:cs="Arial"/>
                <w:sz w:val="20"/>
                <w:szCs w:val="20"/>
              </w:rPr>
              <w:t>0.12</w:t>
            </w:r>
          </w:p>
        </w:tc>
      </w:tr>
      <w:tr w:rsidR="00505D2E" w:rsidRPr="008F16CA" w14:paraId="31D86510" w14:textId="77777777" w:rsidTr="00494DC3">
        <w:trPr>
          <w:trHeight w:val="380"/>
        </w:trPr>
        <w:tc>
          <w:tcPr>
            <w:tcW w:w="1413" w:type="dxa"/>
          </w:tcPr>
          <w:p w14:paraId="7CFDFE27" w14:textId="77777777" w:rsidR="00505D2E" w:rsidRPr="008F16CA" w:rsidRDefault="00505D2E" w:rsidP="00505D2E">
            <w:pPr>
              <w:spacing w:line="480" w:lineRule="auto"/>
              <w:jc w:val="left"/>
              <w:rPr>
                <w:rFonts w:ascii="Arial" w:hAnsi="Arial" w:cs="Arial"/>
                <w:sz w:val="20"/>
                <w:szCs w:val="20"/>
              </w:rPr>
            </w:pPr>
            <w:r w:rsidRPr="008F16CA">
              <w:rPr>
                <w:rFonts w:ascii="Arial" w:hAnsi="Arial" w:cs="Arial"/>
                <w:sz w:val="20"/>
                <w:szCs w:val="20"/>
              </w:rPr>
              <w:t>3</w:t>
            </w:r>
          </w:p>
        </w:tc>
        <w:tc>
          <w:tcPr>
            <w:tcW w:w="1134" w:type="dxa"/>
          </w:tcPr>
          <w:p w14:paraId="370C2B1C" w14:textId="77777777" w:rsidR="00505D2E" w:rsidRPr="008F16CA" w:rsidRDefault="00505D2E" w:rsidP="00505D2E">
            <w:pPr>
              <w:spacing w:line="480" w:lineRule="auto"/>
              <w:jc w:val="center"/>
              <w:rPr>
                <w:rFonts w:ascii="Arial" w:hAnsi="Arial" w:cs="Arial"/>
                <w:sz w:val="20"/>
                <w:szCs w:val="20"/>
              </w:rPr>
            </w:pPr>
            <w:r w:rsidRPr="008F16CA">
              <w:rPr>
                <w:rFonts w:ascii="Arial" w:hAnsi="Arial" w:cs="Arial"/>
                <w:sz w:val="20"/>
                <w:szCs w:val="20"/>
              </w:rPr>
              <w:t>0.6</w:t>
            </w:r>
          </w:p>
        </w:tc>
        <w:tc>
          <w:tcPr>
            <w:tcW w:w="1134" w:type="dxa"/>
          </w:tcPr>
          <w:p w14:paraId="68DE9E45" w14:textId="77777777" w:rsidR="00505D2E" w:rsidRPr="008F16CA" w:rsidRDefault="00505D2E" w:rsidP="00505D2E">
            <w:pPr>
              <w:spacing w:line="480" w:lineRule="auto"/>
              <w:jc w:val="center"/>
              <w:rPr>
                <w:rFonts w:ascii="Arial" w:hAnsi="Arial" w:cs="Arial"/>
                <w:sz w:val="20"/>
                <w:szCs w:val="20"/>
              </w:rPr>
            </w:pPr>
            <w:r w:rsidRPr="008F16CA">
              <w:rPr>
                <w:rFonts w:ascii="Arial" w:hAnsi="Arial" w:cs="Arial"/>
                <w:sz w:val="20"/>
                <w:szCs w:val="20"/>
              </w:rPr>
              <w:t>0.4</w:t>
            </w:r>
          </w:p>
        </w:tc>
        <w:tc>
          <w:tcPr>
            <w:tcW w:w="1134" w:type="dxa"/>
          </w:tcPr>
          <w:p w14:paraId="3F6AB9BF" w14:textId="77777777" w:rsidR="00505D2E" w:rsidRPr="008F16CA" w:rsidRDefault="00505D2E" w:rsidP="00505D2E">
            <w:pPr>
              <w:spacing w:line="480" w:lineRule="auto"/>
              <w:jc w:val="center"/>
              <w:rPr>
                <w:rFonts w:ascii="Arial" w:hAnsi="Arial" w:cs="Arial"/>
                <w:sz w:val="20"/>
                <w:szCs w:val="20"/>
              </w:rPr>
            </w:pPr>
            <w:r w:rsidRPr="008F16CA">
              <w:rPr>
                <w:rFonts w:ascii="Arial" w:hAnsi="Arial" w:cs="Arial"/>
                <w:sz w:val="20"/>
                <w:szCs w:val="20"/>
              </w:rPr>
              <w:t>60</w:t>
            </w:r>
          </w:p>
        </w:tc>
        <w:tc>
          <w:tcPr>
            <w:tcW w:w="1439" w:type="dxa"/>
          </w:tcPr>
          <w:p w14:paraId="7C64B7D0" w14:textId="77777777" w:rsidR="00505D2E" w:rsidRPr="008F16CA" w:rsidRDefault="00505D2E" w:rsidP="00505D2E">
            <w:pPr>
              <w:spacing w:line="480" w:lineRule="auto"/>
              <w:jc w:val="center"/>
              <w:rPr>
                <w:rFonts w:ascii="Arial" w:hAnsi="Arial" w:cs="Arial"/>
                <w:sz w:val="20"/>
                <w:szCs w:val="20"/>
              </w:rPr>
            </w:pPr>
            <w:r w:rsidRPr="008F16CA">
              <w:rPr>
                <w:rFonts w:ascii="Arial" w:hAnsi="Arial" w:cs="Arial"/>
                <w:sz w:val="20"/>
                <w:szCs w:val="20"/>
              </w:rPr>
              <w:t>5</w:t>
            </w:r>
          </w:p>
        </w:tc>
        <w:tc>
          <w:tcPr>
            <w:tcW w:w="1069" w:type="dxa"/>
          </w:tcPr>
          <w:p w14:paraId="3EECA830" w14:textId="77777777" w:rsidR="00505D2E" w:rsidRPr="008F16CA" w:rsidRDefault="00505D2E" w:rsidP="00505D2E">
            <w:pPr>
              <w:spacing w:line="480" w:lineRule="auto"/>
              <w:jc w:val="center"/>
              <w:rPr>
                <w:rFonts w:ascii="Arial" w:hAnsi="Arial" w:cs="Arial"/>
                <w:sz w:val="20"/>
                <w:szCs w:val="20"/>
              </w:rPr>
            </w:pPr>
            <w:r w:rsidRPr="008F16CA">
              <w:rPr>
                <w:rFonts w:ascii="Arial" w:hAnsi="Arial" w:cs="Arial"/>
                <w:sz w:val="20"/>
                <w:szCs w:val="20"/>
              </w:rPr>
              <w:t>1.5</w:t>
            </w:r>
          </w:p>
        </w:tc>
        <w:tc>
          <w:tcPr>
            <w:tcW w:w="903" w:type="dxa"/>
          </w:tcPr>
          <w:p w14:paraId="17FD1C92" w14:textId="77777777" w:rsidR="00505D2E" w:rsidRPr="008F16CA" w:rsidRDefault="00505D2E" w:rsidP="00505D2E">
            <w:pPr>
              <w:spacing w:line="480" w:lineRule="auto"/>
              <w:jc w:val="center"/>
              <w:rPr>
                <w:rFonts w:ascii="Arial" w:hAnsi="Arial" w:cs="Arial"/>
                <w:sz w:val="20"/>
                <w:szCs w:val="20"/>
              </w:rPr>
            </w:pPr>
            <w:r w:rsidRPr="008F16CA">
              <w:rPr>
                <w:rFonts w:ascii="Arial" w:hAnsi="Arial" w:cs="Arial"/>
                <w:sz w:val="20"/>
                <w:szCs w:val="20"/>
              </w:rPr>
              <w:t>0.24</w:t>
            </w:r>
          </w:p>
        </w:tc>
        <w:tc>
          <w:tcPr>
            <w:tcW w:w="1408" w:type="dxa"/>
          </w:tcPr>
          <w:p w14:paraId="643DCC6D" w14:textId="77777777" w:rsidR="00505D2E" w:rsidRPr="008F16CA" w:rsidRDefault="00505D2E" w:rsidP="00505D2E">
            <w:pPr>
              <w:spacing w:line="480" w:lineRule="auto"/>
              <w:jc w:val="center"/>
              <w:rPr>
                <w:rFonts w:ascii="Arial" w:hAnsi="Arial" w:cs="Arial"/>
                <w:sz w:val="20"/>
                <w:szCs w:val="20"/>
              </w:rPr>
            </w:pPr>
            <w:r w:rsidRPr="008F16CA">
              <w:rPr>
                <w:rFonts w:ascii="Arial" w:hAnsi="Arial" w:cs="Arial"/>
                <w:sz w:val="20"/>
                <w:szCs w:val="20"/>
              </w:rPr>
              <w:t>0.18</w:t>
            </w:r>
          </w:p>
        </w:tc>
      </w:tr>
      <w:tr w:rsidR="00505D2E" w:rsidRPr="008F16CA" w14:paraId="2BC571C5" w14:textId="77777777" w:rsidTr="00494DC3">
        <w:trPr>
          <w:trHeight w:val="474"/>
        </w:trPr>
        <w:tc>
          <w:tcPr>
            <w:tcW w:w="1413" w:type="dxa"/>
          </w:tcPr>
          <w:p w14:paraId="55A9ED21" w14:textId="77777777" w:rsidR="00505D2E" w:rsidRPr="008F16CA" w:rsidRDefault="00505D2E" w:rsidP="00505D2E">
            <w:pPr>
              <w:spacing w:line="480" w:lineRule="auto"/>
              <w:jc w:val="left"/>
              <w:rPr>
                <w:rFonts w:ascii="Arial" w:hAnsi="Arial" w:cs="Arial"/>
                <w:sz w:val="20"/>
                <w:szCs w:val="20"/>
              </w:rPr>
            </w:pPr>
            <w:r w:rsidRPr="008F16CA">
              <w:rPr>
                <w:rFonts w:ascii="Arial" w:hAnsi="Arial" w:cs="Arial"/>
                <w:sz w:val="20"/>
                <w:szCs w:val="20"/>
              </w:rPr>
              <w:t>4</w:t>
            </w:r>
          </w:p>
        </w:tc>
        <w:tc>
          <w:tcPr>
            <w:tcW w:w="1134" w:type="dxa"/>
          </w:tcPr>
          <w:p w14:paraId="72FAEE6A" w14:textId="77777777" w:rsidR="00505D2E" w:rsidRPr="008F16CA" w:rsidRDefault="00505D2E" w:rsidP="00505D2E">
            <w:pPr>
              <w:spacing w:line="480" w:lineRule="auto"/>
              <w:jc w:val="center"/>
              <w:rPr>
                <w:rFonts w:ascii="Arial" w:hAnsi="Arial" w:cs="Arial"/>
                <w:sz w:val="20"/>
                <w:szCs w:val="20"/>
              </w:rPr>
            </w:pPr>
            <w:r w:rsidRPr="008F16CA">
              <w:rPr>
                <w:rFonts w:ascii="Arial" w:hAnsi="Arial" w:cs="Arial"/>
                <w:sz w:val="20"/>
                <w:szCs w:val="20"/>
              </w:rPr>
              <w:t>0.8</w:t>
            </w:r>
          </w:p>
        </w:tc>
        <w:tc>
          <w:tcPr>
            <w:tcW w:w="1134" w:type="dxa"/>
          </w:tcPr>
          <w:p w14:paraId="1F995A23" w14:textId="77777777" w:rsidR="00505D2E" w:rsidRPr="008F16CA" w:rsidRDefault="00505D2E" w:rsidP="00505D2E">
            <w:pPr>
              <w:spacing w:line="480" w:lineRule="auto"/>
              <w:jc w:val="center"/>
              <w:rPr>
                <w:rFonts w:ascii="Arial" w:hAnsi="Arial" w:cs="Arial"/>
                <w:sz w:val="20"/>
                <w:szCs w:val="20"/>
              </w:rPr>
            </w:pPr>
            <w:r w:rsidRPr="008F16CA">
              <w:rPr>
                <w:rFonts w:ascii="Arial" w:hAnsi="Arial" w:cs="Arial"/>
                <w:sz w:val="20"/>
                <w:szCs w:val="20"/>
              </w:rPr>
              <w:t>0.2</w:t>
            </w:r>
          </w:p>
        </w:tc>
        <w:tc>
          <w:tcPr>
            <w:tcW w:w="1134" w:type="dxa"/>
          </w:tcPr>
          <w:p w14:paraId="5923AD7B" w14:textId="77777777" w:rsidR="00505D2E" w:rsidRPr="008F16CA" w:rsidRDefault="00505D2E" w:rsidP="00505D2E">
            <w:pPr>
              <w:spacing w:line="480" w:lineRule="auto"/>
              <w:jc w:val="center"/>
              <w:rPr>
                <w:rFonts w:ascii="Arial" w:hAnsi="Arial" w:cs="Arial"/>
                <w:sz w:val="20"/>
                <w:szCs w:val="20"/>
              </w:rPr>
            </w:pPr>
            <w:r w:rsidRPr="008F16CA">
              <w:rPr>
                <w:rFonts w:ascii="Arial" w:hAnsi="Arial" w:cs="Arial"/>
                <w:sz w:val="20"/>
                <w:szCs w:val="20"/>
              </w:rPr>
              <w:t>80</w:t>
            </w:r>
          </w:p>
        </w:tc>
        <w:tc>
          <w:tcPr>
            <w:tcW w:w="1439" w:type="dxa"/>
          </w:tcPr>
          <w:p w14:paraId="48C32D70" w14:textId="77777777" w:rsidR="00505D2E" w:rsidRPr="008F16CA" w:rsidRDefault="00505D2E" w:rsidP="00505D2E">
            <w:pPr>
              <w:spacing w:line="480" w:lineRule="auto"/>
              <w:jc w:val="center"/>
              <w:rPr>
                <w:rFonts w:ascii="Arial" w:hAnsi="Arial" w:cs="Arial"/>
                <w:sz w:val="20"/>
                <w:szCs w:val="20"/>
              </w:rPr>
            </w:pPr>
            <w:r w:rsidRPr="008F16CA">
              <w:rPr>
                <w:rFonts w:ascii="Arial" w:hAnsi="Arial" w:cs="Arial"/>
                <w:sz w:val="20"/>
                <w:szCs w:val="20"/>
              </w:rPr>
              <w:t>5</w:t>
            </w:r>
          </w:p>
        </w:tc>
        <w:tc>
          <w:tcPr>
            <w:tcW w:w="1069" w:type="dxa"/>
          </w:tcPr>
          <w:p w14:paraId="02B2EECB" w14:textId="77777777" w:rsidR="00505D2E" w:rsidRPr="008F16CA" w:rsidRDefault="00505D2E" w:rsidP="00505D2E">
            <w:pPr>
              <w:spacing w:line="480" w:lineRule="auto"/>
              <w:jc w:val="center"/>
              <w:rPr>
                <w:rFonts w:ascii="Arial" w:hAnsi="Arial" w:cs="Arial"/>
                <w:sz w:val="20"/>
                <w:szCs w:val="20"/>
              </w:rPr>
            </w:pPr>
            <w:r w:rsidRPr="008F16CA">
              <w:rPr>
                <w:rFonts w:ascii="Arial" w:hAnsi="Arial" w:cs="Arial"/>
                <w:sz w:val="20"/>
                <w:szCs w:val="20"/>
              </w:rPr>
              <w:t>1.5</w:t>
            </w:r>
          </w:p>
        </w:tc>
        <w:tc>
          <w:tcPr>
            <w:tcW w:w="903" w:type="dxa"/>
          </w:tcPr>
          <w:p w14:paraId="257F91B4" w14:textId="77777777" w:rsidR="00505D2E" w:rsidRPr="008F16CA" w:rsidRDefault="00505D2E" w:rsidP="00505D2E">
            <w:pPr>
              <w:spacing w:line="480" w:lineRule="auto"/>
              <w:jc w:val="center"/>
              <w:rPr>
                <w:rFonts w:ascii="Arial" w:hAnsi="Arial" w:cs="Arial"/>
                <w:sz w:val="20"/>
                <w:szCs w:val="20"/>
              </w:rPr>
            </w:pPr>
            <w:r w:rsidRPr="008F16CA">
              <w:rPr>
                <w:rFonts w:ascii="Arial" w:hAnsi="Arial" w:cs="Arial"/>
                <w:sz w:val="20"/>
                <w:szCs w:val="20"/>
              </w:rPr>
              <w:t>0.28</w:t>
            </w:r>
          </w:p>
        </w:tc>
        <w:tc>
          <w:tcPr>
            <w:tcW w:w="1408" w:type="dxa"/>
          </w:tcPr>
          <w:p w14:paraId="2A056376" w14:textId="77777777" w:rsidR="00505D2E" w:rsidRPr="008F16CA" w:rsidRDefault="00505D2E" w:rsidP="00505D2E">
            <w:pPr>
              <w:spacing w:line="480" w:lineRule="auto"/>
              <w:jc w:val="center"/>
              <w:rPr>
                <w:rFonts w:ascii="Arial" w:hAnsi="Arial" w:cs="Arial"/>
                <w:sz w:val="20"/>
                <w:szCs w:val="20"/>
              </w:rPr>
            </w:pPr>
            <w:r w:rsidRPr="008F16CA">
              <w:rPr>
                <w:rFonts w:ascii="Arial" w:hAnsi="Arial" w:cs="Arial"/>
                <w:sz w:val="20"/>
                <w:szCs w:val="20"/>
              </w:rPr>
              <w:t>0.22</w:t>
            </w:r>
          </w:p>
        </w:tc>
      </w:tr>
      <w:tr w:rsidR="00505D2E" w:rsidRPr="008F16CA" w14:paraId="553597A1" w14:textId="77777777" w:rsidTr="00494DC3">
        <w:trPr>
          <w:trHeight w:val="440"/>
        </w:trPr>
        <w:tc>
          <w:tcPr>
            <w:tcW w:w="1413" w:type="dxa"/>
          </w:tcPr>
          <w:p w14:paraId="50AA6C7B" w14:textId="77777777" w:rsidR="00505D2E" w:rsidRPr="008F16CA" w:rsidRDefault="00505D2E" w:rsidP="00505D2E">
            <w:pPr>
              <w:spacing w:line="480" w:lineRule="auto"/>
              <w:jc w:val="left"/>
              <w:rPr>
                <w:rFonts w:ascii="Arial" w:hAnsi="Arial" w:cs="Arial"/>
                <w:sz w:val="20"/>
                <w:szCs w:val="20"/>
              </w:rPr>
            </w:pPr>
            <w:r w:rsidRPr="008F16CA">
              <w:rPr>
                <w:rFonts w:ascii="Arial" w:hAnsi="Arial" w:cs="Arial"/>
                <w:sz w:val="20"/>
                <w:szCs w:val="20"/>
              </w:rPr>
              <w:t>5</w:t>
            </w:r>
          </w:p>
        </w:tc>
        <w:tc>
          <w:tcPr>
            <w:tcW w:w="1134" w:type="dxa"/>
          </w:tcPr>
          <w:p w14:paraId="35108353" w14:textId="77777777" w:rsidR="00505D2E" w:rsidRPr="008F16CA" w:rsidRDefault="00505D2E" w:rsidP="00505D2E">
            <w:pPr>
              <w:spacing w:line="480" w:lineRule="auto"/>
              <w:jc w:val="center"/>
              <w:rPr>
                <w:rFonts w:ascii="Arial" w:hAnsi="Arial" w:cs="Arial"/>
                <w:sz w:val="20"/>
                <w:szCs w:val="20"/>
              </w:rPr>
            </w:pPr>
            <w:r w:rsidRPr="008F16CA">
              <w:rPr>
                <w:rFonts w:ascii="Arial" w:hAnsi="Arial" w:cs="Arial"/>
                <w:sz w:val="20"/>
                <w:szCs w:val="20"/>
              </w:rPr>
              <w:t>1</w:t>
            </w:r>
          </w:p>
        </w:tc>
        <w:tc>
          <w:tcPr>
            <w:tcW w:w="1134" w:type="dxa"/>
          </w:tcPr>
          <w:p w14:paraId="558ADC6B" w14:textId="77777777" w:rsidR="00505D2E" w:rsidRPr="008F16CA" w:rsidRDefault="00505D2E" w:rsidP="00505D2E">
            <w:pPr>
              <w:spacing w:line="480" w:lineRule="auto"/>
              <w:jc w:val="center"/>
              <w:rPr>
                <w:rFonts w:ascii="Arial" w:hAnsi="Arial" w:cs="Arial"/>
                <w:sz w:val="20"/>
                <w:szCs w:val="20"/>
              </w:rPr>
            </w:pPr>
            <w:r w:rsidRPr="008F16CA">
              <w:rPr>
                <w:rFonts w:ascii="Arial" w:hAnsi="Arial" w:cs="Arial"/>
                <w:sz w:val="20"/>
                <w:szCs w:val="20"/>
              </w:rPr>
              <w:t>-</w:t>
            </w:r>
          </w:p>
        </w:tc>
        <w:tc>
          <w:tcPr>
            <w:tcW w:w="1134" w:type="dxa"/>
          </w:tcPr>
          <w:p w14:paraId="4B36E9D5" w14:textId="77777777" w:rsidR="00505D2E" w:rsidRPr="008F16CA" w:rsidRDefault="00505D2E" w:rsidP="00505D2E">
            <w:pPr>
              <w:spacing w:line="480" w:lineRule="auto"/>
              <w:jc w:val="center"/>
              <w:rPr>
                <w:rFonts w:ascii="Arial" w:hAnsi="Arial" w:cs="Arial"/>
                <w:sz w:val="20"/>
                <w:szCs w:val="20"/>
              </w:rPr>
            </w:pPr>
            <w:r w:rsidRPr="008F16CA">
              <w:rPr>
                <w:rFonts w:ascii="Arial" w:hAnsi="Arial" w:cs="Arial"/>
                <w:sz w:val="20"/>
                <w:szCs w:val="20"/>
              </w:rPr>
              <w:t>100</w:t>
            </w:r>
          </w:p>
        </w:tc>
        <w:tc>
          <w:tcPr>
            <w:tcW w:w="1439" w:type="dxa"/>
          </w:tcPr>
          <w:p w14:paraId="14B57EFA" w14:textId="77777777" w:rsidR="00505D2E" w:rsidRPr="008F16CA" w:rsidRDefault="00505D2E" w:rsidP="00505D2E">
            <w:pPr>
              <w:spacing w:line="480" w:lineRule="auto"/>
              <w:jc w:val="center"/>
              <w:rPr>
                <w:rFonts w:ascii="Arial" w:hAnsi="Arial" w:cs="Arial"/>
                <w:sz w:val="20"/>
                <w:szCs w:val="20"/>
              </w:rPr>
            </w:pPr>
            <w:r w:rsidRPr="008F16CA">
              <w:rPr>
                <w:rFonts w:ascii="Arial" w:hAnsi="Arial" w:cs="Arial"/>
                <w:sz w:val="20"/>
                <w:szCs w:val="20"/>
              </w:rPr>
              <w:t>5</w:t>
            </w:r>
          </w:p>
        </w:tc>
        <w:tc>
          <w:tcPr>
            <w:tcW w:w="1069" w:type="dxa"/>
          </w:tcPr>
          <w:p w14:paraId="11D4F432" w14:textId="77777777" w:rsidR="00505D2E" w:rsidRPr="008F16CA" w:rsidRDefault="00505D2E" w:rsidP="00505D2E">
            <w:pPr>
              <w:spacing w:line="480" w:lineRule="auto"/>
              <w:jc w:val="center"/>
              <w:rPr>
                <w:rFonts w:ascii="Arial" w:hAnsi="Arial" w:cs="Arial"/>
                <w:sz w:val="20"/>
                <w:szCs w:val="20"/>
              </w:rPr>
            </w:pPr>
            <w:r w:rsidRPr="008F16CA">
              <w:rPr>
                <w:rFonts w:ascii="Arial" w:hAnsi="Arial" w:cs="Arial"/>
                <w:sz w:val="20"/>
                <w:szCs w:val="20"/>
              </w:rPr>
              <w:t>1.5</w:t>
            </w:r>
          </w:p>
        </w:tc>
        <w:tc>
          <w:tcPr>
            <w:tcW w:w="903" w:type="dxa"/>
          </w:tcPr>
          <w:p w14:paraId="31A8DE8F" w14:textId="77777777" w:rsidR="00505D2E" w:rsidRPr="008F16CA" w:rsidRDefault="00505D2E" w:rsidP="00505D2E">
            <w:pPr>
              <w:spacing w:line="480" w:lineRule="auto"/>
              <w:jc w:val="center"/>
              <w:rPr>
                <w:rFonts w:ascii="Arial" w:hAnsi="Arial" w:cs="Arial"/>
                <w:sz w:val="20"/>
                <w:szCs w:val="20"/>
              </w:rPr>
            </w:pPr>
            <w:r w:rsidRPr="008F16CA">
              <w:rPr>
                <w:rFonts w:ascii="Arial" w:hAnsi="Arial" w:cs="Arial"/>
                <w:sz w:val="20"/>
                <w:szCs w:val="20"/>
              </w:rPr>
              <w:t>0.32</w:t>
            </w:r>
          </w:p>
        </w:tc>
        <w:tc>
          <w:tcPr>
            <w:tcW w:w="1408" w:type="dxa"/>
          </w:tcPr>
          <w:p w14:paraId="366ED6DC" w14:textId="77777777" w:rsidR="00505D2E" w:rsidRPr="008F16CA" w:rsidRDefault="00505D2E" w:rsidP="00505D2E">
            <w:pPr>
              <w:spacing w:line="480" w:lineRule="auto"/>
              <w:jc w:val="center"/>
              <w:rPr>
                <w:rFonts w:ascii="Arial" w:hAnsi="Arial" w:cs="Arial"/>
                <w:sz w:val="20"/>
                <w:szCs w:val="20"/>
              </w:rPr>
            </w:pPr>
            <w:r w:rsidRPr="008F16CA">
              <w:rPr>
                <w:rFonts w:ascii="Arial" w:hAnsi="Arial" w:cs="Arial"/>
                <w:sz w:val="20"/>
                <w:szCs w:val="20"/>
              </w:rPr>
              <w:t>0.26</w:t>
            </w:r>
          </w:p>
        </w:tc>
      </w:tr>
      <w:tr w:rsidR="00505D2E" w:rsidRPr="008F16CA" w14:paraId="1B1FEABF" w14:textId="77777777" w:rsidTr="00494DC3">
        <w:trPr>
          <w:trHeight w:val="646"/>
        </w:trPr>
        <w:tc>
          <w:tcPr>
            <w:tcW w:w="1413" w:type="dxa"/>
          </w:tcPr>
          <w:p w14:paraId="0406CFF0" w14:textId="77777777" w:rsidR="00505D2E" w:rsidRPr="008F16CA" w:rsidRDefault="00505D2E" w:rsidP="00505D2E">
            <w:pPr>
              <w:pStyle w:val="NormalWeb"/>
              <w:spacing w:line="480" w:lineRule="auto"/>
              <w:rPr>
                <w:rFonts w:ascii="Arial" w:hAnsi="Arial" w:cs="Arial"/>
                <w:i/>
                <w:sz w:val="20"/>
                <w:szCs w:val="20"/>
              </w:rPr>
            </w:pPr>
            <w:r w:rsidRPr="008F16CA">
              <w:rPr>
                <w:rFonts w:ascii="Arial" w:hAnsi="Arial" w:cs="Arial"/>
                <w:i/>
                <w:sz w:val="20"/>
                <w:szCs w:val="20"/>
              </w:rPr>
              <w:t xml:space="preserve">Enterobacter </w:t>
            </w:r>
            <w:proofErr w:type="spellStart"/>
            <w:r w:rsidRPr="008F16CA">
              <w:rPr>
                <w:rFonts w:ascii="Arial" w:hAnsi="Arial" w:cs="Arial"/>
                <w:i/>
                <w:sz w:val="20"/>
                <w:szCs w:val="20"/>
              </w:rPr>
              <w:t>hormaechei</w:t>
            </w:r>
            <w:proofErr w:type="spellEnd"/>
          </w:p>
          <w:p w14:paraId="1463D280" w14:textId="77777777" w:rsidR="00505D2E" w:rsidRPr="008F16CA" w:rsidRDefault="00505D2E" w:rsidP="00505D2E">
            <w:pPr>
              <w:spacing w:line="480" w:lineRule="auto"/>
              <w:jc w:val="left"/>
              <w:rPr>
                <w:rFonts w:ascii="Arial" w:hAnsi="Arial" w:cs="Arial"/>
                <w:b/>
                <w:i/>
                <w:sz w:val="20"/>
                <w:szCs w:val="20"/>
              </w:rPr>
            </w:pPr>
          </w:p>
        </w:tc>
        <w:tc>
          <w:tcPr>
            <w:tcW w:w="1134" w:type="dxa"/>
          </w:tcPr>
          <w:p w14:paraId="548F47B3" w14:textId="77777777" w:rsidR="00505D2E" w:rsidRPr="008F16CA" w:rsidRDefault="00505D2E" w:rsidP="00505D2E">
            <w:pPr>
              <w:spacing w:line="480" w:lineRule="auto"/>
              <w:jc w:val="center"/>
              <w:rPr>
                <w:rFonts w:ascii="Arial" w:hAnsi="Arial" w:cs="Arial"/>
                <w:sz w:val="20"/>
                <w:szCs w:val="20"/>
              </w:rPr>
            </w:pPr>
          </w:p>
        </w:tc>
        <w:tc>
          <w:tcPr>
            <w:tcW w:w="1134" w:type="dxa"/>
          </w:tcPr>
          <w:p w14:paraId="17BE77A5" w14:textId="77777777" w:rsidR="00505D2E" w:rsidRPr="008F16CA" w:rsidRDefault="00505D2E" w:rsidP="00505D2E">
            <w:pPr>
              <w:spacing w:line="480" w:lineRule="auto"/>
              <w:jc w:val="center"/>
              <w:rPr>
                <w:rFonts w:ascii="Arial" w:hAnsi="Arial" w:cs="Arial"/>
                <w:sz w:val="20"/>
                <w:szCs w:val="20"/>
              </w:rPr>
            </w:pPr>
            <w:r w:rsidRPr="008F16CA">
              <w:rPr>
                <w:rFonts w:ascii="Arial" w:hAnsi="Arial" w:cs="Arial"/>
                <w:sz w:val="20"/>
                <w:szCs w:val="20"/>
              </w:rPr>
              <w:t>-</w:t>
            </w:r>
          </w:p>
        </w:tc>
        <w:tc>
          <w:tcPr>
            <w:tcW w:w="1134" w:type="dxa"/>
          </w:tcPr>
          <w:p w14:paraId="0100B1B6" w14:textId="77777777" w:rsidR="00505D2E" w:rsidRPr="008F16CA" w:rsidRDefault="00505D2E" w:rsidP="00505D2E">
            <w:pPr>
              <w:spacing w:line="480" w:lineRule="auto"/>
              <w:jc w:val="center"/>
              <w:rPr>
                <w:rFonts w:ascii="Arial" w:hAnsi="Arial" w:cs="Arial"/>
                <w:sz w:val="20"/>
                <w:szCs w:val="20"/>
              </w:rPr>
            </w:pPr>
          </w:p>
        </w:tc>
        <w:tc>
          <w:tcPr>
            <w:tcW w:w="1439" w:type="dxa"/>
          </w:tcPr>
          <w:p w14:paraId="12AE5282" w14:textId="77777777" w:rsidR="00505D2E" w:rsidRPr="008F16CA" w:rsidRDefault="00505D2E" w:rsidP="00505D2E">
            <w:pPr>
              <w:spacing w:line="480" w:lineRule="auto"/>
              <w:jc w:val="center"/>
              <w:rPr>
                <w:rFonts w:ascii="Arial" w:hAnsi="Arial" w:cs="Arial"/>
                <w:sz w:val="20"/>
                <w:szCs w:val="20"/>
              </w:rPr>
            </w:pPr>
            <w:r w:rsidRPr="008F16CA">
              <w:rPr>
                <w:rFonts w:ascii="Arial" w:hAnsi="Arial" w:cs="Arial"/>
                <w:sz w:val="20"/>
                <w:szCs w:val="20"/>
              </w:rPr>
              <w:t>5</w:t>
            </w:r>
          </w:p>
        </w:tc>
        <w:tc>
          <w:tcPr>
            <w:tcW w:w="1069" w:type="dxa"/>
          </w:tcPr>
          <w:p w14:paraId="44A01254" w14:textId="77777777" w:rsidR="00505D2E" w:rsidRPr="008F16CA" w:rsidRDefault="00505D2E" w:rsidP="00505D2E">
            <w:pPr>
              <w:spacing w:line="480" w:lineRule="auto"/>
              <w:jc w:val="center"/>
              <w:rPr>
                <w:rFonts w:ascii="Arial" w:hAnsi="Arial" w:cs="Arial"/>
                <w:sz w:val="20"/>
                <w:szCs w:val="20"/>
              </w:rPr>
            </w:pPr>
            <w:r w:rsidRPr="008F16CA">
              <w:rPr>
                <w:rFonts w:ascii="Arial" w:hAnsi="Arial" w:cs="Arial"/>
                <w:sz w:val="20"/>
                <w:szCs w:val="20"/>
              </w:rPr>
              <w:t>1.5</w:t>
            </w:r>
          </w:p>
        </w:tc>
        <w:tc>
          <w:tcPr>
            <w:tcW w:w="903" w:type="dxa"/>
          </w:tcPr>
          <w:p w14:paraId="4BEC0256" w14:textId="77777777" w:rsidR="00505D2E" w:rsidRPr="008F16CA" w:rsidRDefault="00505D2E" w:rsidP="00505D2E">
            <w:pPr>
              <w:spacing w:line="480" w:lineRule="auto"/>
              <w:jc w:val="center"/>
              <w:rPr>
                <w:rFonts w:ascii="Arial" w:hAnsi="Arial" w:cs="Arial"/>
                <w:sz w:val="20"/>
                <w:szCs w:val="20"/>
              </w:rPr>
            </w:pPr>
            <w:r w:rsidRPr="008F16CA">
              <w:rPr>
                <w:rFonts w:ascii="Arial" w:hAnsi="Arial" w:cs="Arial"/>
                <w:sz w:val="20"/>
                <w:szCs w:val="20"/>
              </w:rPr>
              <w:t>0.27</w:t>
            </w:r>
          </w:p>
        </w:tc>
        <w:tc>
          <w:tcPr>
            <w:tcW w:w="1408" w:type="dxa"/>
          </w:tcPr>
          <w:p w14:paraId="382268EC" w14:textId="77777777" w:rsidR="00505D2E" w:rsidRPr="008F16CA" w:rsidRDefault="00505D2E" w:rsidP="00505D2E">
            <w:pPr>
              <w:spacing w:line="480" w:lineRule="auto"/>
              <w:jc w:val="center"/>
              <w:rPr>
                <w:rFonts w:ascii="Arial" w:hAnsi="Arial" w:cs="Arial"/>
                <w:sz w:val="20"/>
                <w:szCs w:val="20"/>
              </w:rPr>
            </w:pPr>
            <w:r w:rsidRPr="008F16CA">
              <w:rPr>
                <w:rFonts w:ascii="Arial" w:hAnsi="Arial" w:cs="Arial"/>
                <w:sz w:val="20"/>
                <w:szCs w:val="20"/>
              </w:rPr>
              <w:t>0.2</w:t>
            </w:r>
            <w:r w:rsidR="000423FF" w:rsidRPr="008F16CA">
              <w:rPr>
                <w:rFonts w:ascii="Arial" w:hAnsi="Arial" w:cs="Arial"/>
                <w:sz w:val="20"/>
                <w:szCs w:val="20"/>
              </w:rPr>
              <w:t>1</w:t>
            </w:r>
          </w:p>
        </w:tc>
      </w:tr>
      <w:tr w:rsidR="00505D2E" w:rsidRPr="008F16CA" w14:paraId="1EE0FF6D" w14:textId="77777777" w:rsidTr="00494DC3">
        <w:trPr>
          <w:trHeight w:val="419"/>
        </w:trPr>
        <w:tc>
          <w:tcPr>
            <w:tcW w:w="1413" w:type="dxa"/>
          </w:tcPr>
          <w:p w14:paraId="327D6007" w14:textId="77777777" w:rsidR="00505D2E" w:rsidRPr="008F16CA" w:rsidRDefault="00505D2E" w:rsidP="00505D2E">
            <w:pPr>
              <w:pStyle w:val="NormalWeb"/>
              <w:spacing w:line="480" w:lineRule="auto"/>
              <w:rPr>
                <w:rFonts w:ascii="Arial" w:hAnsi="Arial" w:cs="Arial"/>
                <w:i/>
                <w:sz w:val="20"/>
                <w:szCs w:val="20"/>
              </w:rPr>
            </w:pPr>
            <w:r w:rsidRPr="008F16CA">
              <w:rPr>
                <w:rFonts w:ascii="Arial" w:hAnsi="Arial" w:cs="Arial"/>
                <w:i/>
                <w:sz w:val="20"/>
                <w:szCs w:val="20"/>
              </w:rPr>
              <w:t>Bacillus flexus</w:t>
            </w:r>
          </w:p>
          <w:p w14:paraId="0ED9C0B1" w14:textId="77777777" w:rsidR="00505D2E" w:rsidRPr="008F16CA" w:rsidRDefault="00505D2E" w:rsidP="00505D2E">
            <w:pPr>
              <w:spacing w:line="480" w:lineRule="auto"/>
              <w:jc w:val="left"/>
              <w:rPr>
                <w:rFonts w:ascii="Arial" w:hAnsi="Arial" w:cs="Arial"/>
                <w:b/>
                <w:i/>
                <w:sz w:val="20"/>
                <w:szCs w:val="20"/>
              </w:rPr>
            </w:pPr>
          </w:p>
        </w:tc>
        <w:tc>
          <w:tcPr>
            <w:tcW w:w="1134" w:type="dxa"/>
          </w:tcPr>
          <w:p w14:paraId="52C1F91A" w14:textId="77777777" w:rsidR="00505D2E" w:rsidRPr="008F16CA" w:rsidRDefault="00505D2E" w:rsidP="00505D2E">
            <w:pPr>
              <w:spacing w:line="480" w:lineRule="auto"/>
              <w:jc w:val="center"/>
              <w:rPr>
                <w:rFonts w:ascii="Arial" w:hAnsi="Arial" w:cs="Arial"/>
                <w:sz w:val="20"/>
                <w:szCs w:val="20"/>
              </w:rPr>
            </w:pPr>
          </w:p>
        </w:tc>
        <w:tc>
          <w:tcPr>
            <w:tcW w:w="1134" w:type="dxa"/>
          </w:tcPr>
          <w:p w14:paraId="767E3A20" w14:textId="77777777" w:rsidR="00505D2E" w:rsidRPr="008F16CA" w:rsidRDefault="00505D2E" w:rsidP="00505D2E">
            <w:pPr>
              <w:spacing w:line="480" w:lineRule="auto"/>
              <w:jc w:val="center"/>
              <w:rPr>
                <w:rFonts w:ascii="Arial" w:hAnsi="Arial" w:cs="Arial"/>
                <w:sz w:val="20"/>
                <w:szCs w:val="20"/>
              </w:rPr>
            </w:pPr>
            <w:r w:rsidRPr="008F16CA">
              <w:rPr>
                <w:rFonts w:ascii="Arial" w:hAnsi="Arial" w:cs="Arial"/>
                <w:sz w:val="20"/>
                <w:szCs w:val="20"/>
              </w:rPr>
              <w:t>-</w:t>
            </w:r>
          </w:p>
        </w:tc>
        <w:tc>
          <w:tcPr>
            <w:tcW w:w="1134" w:type="dxa"/>
          </w:tcPr>
          <w:p w14:paraId="6388DC1A" w14:textId="77777777" w:rsidR="00505D2E" w:rsidRPr="008F16CA" w:rsidRDefault="00505D2E" w:rsidP="00505D2E">
            <w:pPr>
              <w:spacing w:line="480" w:lineRule="auto"/>
              <w:jc w:val="center"/>
              <w:rPr>
                <w:rFonts w:ascii="Arial" w:hAnsi="Arial" w:cs="Arial"/>
                <w:sz w:val="20"/>
                <w:szCs w:val="20"/>
              </w:rPr>
            </w:pPr>
          </w:p>
        </w:tc>
        <w:tc>
          <w:tcPr>
            <w:tcW w:w="1439" w:type="dxa"/>
          </w:tcPr>
          <w:p w14:paraId="1470C2AA" w14:textId="77777777" w:rsidR="00505D2E" w:rsidRPr="008F16CA" w:rsidRDefault="00505D2E" w:rsidP="00505D2E">
            <w:pPr>
              <w:spacing w:line="480" w:lineRule="auto"/>
              <w:jc w:val="center"/>
              <w:rPr>
                <w:rFonts w:ascii="Arial" w:hAnsi="Arial" w:cs="Arial"/>
                <w:sz w:val="20"/>
                <w:szCs w:val="20"/>
              </w:rPr>
            </w:pPr>
            <w:r w:rsidRPr="008F16CA">
              <w:rPr>
                <w:rFonts w:ascii="Arial" w:hAnsi="Arial" w:cs="Arial"/>
                <w:sz w:val="20"/>
                <w:szCs w:val="20"/>
              </w:rPr>
              <w:t>5</w:t>
            </w:r>
          </w:p>
        </w:tc>
        <w:tc>
          <w:tcPr>
            <w:tcW w:w="1069" w:type="dxa"/>
          </w:tcPr>
          <w:p w14:paraId="44E8B8D7" w14:textId="77777777" w:rsidR="00505D2E" w:rsidRPr="008F16CA" w:rsidRDefault="00505D2E" w:rsidP="00505D2E">
            <w:pPr>
              <w:spacing w:line="480" w:lineRule="auto"/>
              <w:jc w:val="center"/>
              <w:rPr>
                <w:rFonts w:ascii="Arial" w:hAnsi="Arial" w:cs="Arial"/>
                <w:sz w:val="20"/>
                <w:szCs w:val="20"/>
              </w:rPr>
            </w:pPr>
            <w:r w:rsidRPr="008F16CA">
              <w:rPr>
                <w:rFonts w:ascii="Arial" w:hAnsi="Arial" w:cs="Arial"/>
                <w:sz w:val="20"/>
                <w:szCs w:val="20"/>
              </w:rPr>
              <w:t>1.5</w:t>
            </w:r>
          </w:p>
        </w:tc>
        <w:tc>
          <w:tcPr>
            <w:tcW w:w="903" w:type="dxa"/>
          </w:tcPr>
          <w:p w14:paraId="2F07FC14" w14:textId="77777777" w:rsidR="00505D2E" w:rsidRPr="008F16CA" w:rsidRDefault="00505D2E" w:rsidP="00505D2E">
            <w:pPr>
              <w:spacing w:line="480" w:lineRule="auto"/>
              <w:jc w:val="center"/>
              <w:rPr>
                <w:rFonts w:ascii="Arial" w:hAnsi="Arial" w:cs="Arial"/>
                <w:sz w:val="20"/>
                <w:szCs w:val="20"/>
              </w:rPr>
            </w:pPr>
            <w:r w:rsidRPr="008F16CA">
              <w:rPr>
                <w:rFonts w:ascii="Arial" w:hAnsi="Arial" w:cs="Arial"/>
                <w:sz w:val="20"/>
                <w:szCs w:val="20"/>
              </w:rPr>
              <w:t>0.30</w:t>
            </w:r>
          </w:p>
        </w:tc>
        <w:tc>
          <w:tcPr>
            <w:tcW w:w="1408" w:type="dxa"/>
          </w:tcPr>
          <w:p w14:paraId="605E5B4A" w14:textId="77777777" w:rsidR="00505D2E" w:rsidRPr="008F16CA" w:rsidRDefault="00505D2E" w:rsidP="00505D2E">
            <w:pPr>
              <w:spacing w:line="480" w:lineRule="auto"/>
              <w:jc w:val="center"/>
              <w:rPr>
                <w:rFonts w:ascii="Arial" w:hAnsi="Arial" w:cs="Arial"/>
                <w:sz w:val="20"/>
                <w:szCs w:val="20"/>
              </w:rPr>
            </w:pPr>
            <w:r w:rsidRPr="008F16CA">
              <w:rPr>
                <w:rFonts w:ascii="Arial" w:hAnsi="Arial" w:cs="Arial"/>
                <w:sz w:val="20"/>
                <w:szCs w:val="20"/>
              </w:rPr>
              <w:t>0.</w:t>
            </w:r>
            <w:r w:rsidR="000423FF" w:rsidRPr="008F16CA">
              <w:rPr>
                <w:rFonts w:ascii="Arial" w:hAnsi="Arial" w:cs="Arial"/>
                <w:sz w:val="20"/>
                <w:szCs w:val="20"/>
              </w:rPr>
              <w:t>24</w:t>
            </w:r>
          </w:p>
        </w:tc>
      </w:tr>
      <w:tr w:rsidR="00505D2E" w:rsidRPr="008F16CA" w14:paraId="49AD7883" w14:textId="77777777" w:rsidTr="00494DC3">
        <w:tc>
          <w:tcPr>
            <w:tcW w:w="1413" w:type="dxa"/>
          </w:tcPr>
          <w:p w14:paraId="38B3AE66" w14:textId="77777777" w:rsidR="00505D2E" w:rsidRPr="008F16CA" w:rsidRDefault="00505D2E" w:rsidP="00505D2E">
            <w:pPr>
              <w:pStyle w:val="NormalWeb"/>
              <w:spacing w:line="480" w:lineRule="auto"/>
              <w:rPr>
                <w:rFonts w:ascii="Arial" w:hAnsi="Arial" w:cs="Arial"/>
                <w:i/>
                <w:sz w:val="20"/>
                <w:szCs w:val="20"/>
              </w:rPr>
            </w:pPr>
            <w:r w:rsidRPr="008F16CA">
              <w:rPr>
                <w:rFonts w:ascii="Arial" w:hAnsi="Arial" w:cs="Arial"/>
                <w:i/>
                <w:sz w:val="20"/>
                <w:szCs w:val="20"/>
              </w:rPr>
              <w:t xml:space="preserve">Bacillus </w:t>
            </w:r>
            <w:proofErr w:type="spellStart"/>
            <w:r w:rsidRPr="008F16CA">
              <w:rPr>
                <w:rFonts w:ascii="Arial" w:hAnsi="Arial" w:cs="Arial"/>
                <w:i/>
                <w:sz w:val="20"/>
                <w:szCs w:val="20"/>
              </w:rPr>
              <w:t>amyloliquefaciens</w:t>
            </w:r>
            <w:proofErr w:type="spellEnd"/>
          </w:p>
        </w:tc>
        <w:tc>
          <w:tcPr>
            <w:tcW w:w="1134" w:type="dxa"/>
          </w:tcPr>
          <w:p w14:paraId="60364290" w14:textId="77777777" w:rsidR="00505D2E" w:rsidRPr="008F16CA" w:rsidRDefault="00505D2E" w:rsidP="00505D2E">
            <w:pPr>
              <w:spacing w:line="480" w:lineRule="auto"/>
              <w:jc w:val="center"/>
              <w:rPr>
                <w:rFonts w:ascii="Arial" w:hAnsi="Arial" w:cs="Arial"/>
                <w:sz w:val="20"/>
                <w:szCs w:val="20"/>
              </w:rPr>
            </w:pPr>
          </w:p>
        </w:tc>
        <w:tc>
          <w:tcPr>
            <w:tcW w:w="1134" w:type="dxa"/>
          </w:tcPr>
          <w:p w14:paraId="1CA48168" w14:textId="77777777" w:rsidR="00505D2E" w:rsidRPr="008F16CA" w:rsidRDefault="00505D2E" w:rsidP="00505D2E">
            <w:pPr>
              <w:spacing w:line="480" w:lineRule="auto"/>
              <w:jc w:val="center"/>
              <w:rPr>
                <w:rFonts w:ascii="Arial" w:hAnsi="Arial" w:cs="Arial"/>
                <w:sz w:val="20"/>
                <w:szCs w:val="20"/>
              </w:rPr>
            </w:pPr>
            <w:r w:rsidRPr="008F16CA">
              <w:rPr>
                <w:rFonts w:ascii="Arial" w:hAnsi="Arial" w:cs="Arial"/>
                <w:sz w:val="20"/>
                <w:szCs w:val="20"/>
              </w:rPr>
              <w:t>-</w:t>
            </w:r>
          </w:p>
        </w:tc>
        <w:tc>
          <w:tcPr>
            <w:tcW w:w="1134" w:type="dxa"/>
          </w:tcPr>
          <w:p w14:paraId="6E052641" w14:textId="77777777" w:rsidR="00505D2E" w:rsidRPr="008F16CA" w:rsidRDefault="00505D2E" w:rsidP="00505D2E">
            <w:pPr>
              <w:spacing w:line="480" w:lineRule="auto"/>
              <w:jc w:val="center"/>
              <w:rPr>
                <w:rFonts w:ascii="Arial" w:hAnsi="Arial" w:cs="Arial"/>
                <w:sz w:val="20"/>
                <w:szCs w:val="20"/>
              </w:rPr>
            </w:pPr>
          </w:p>
        </w:tc>
        <w:tc>
          <w:tcPr>
            <w:tcW w:w="1439" w:type="dxa"/>
          </w:tcPr>
          <w:p w14:paraId="569983A6" w14:textId="77777777" w:rsidR="00505D2E" w:rsidRPr="008F16CA" w:rsidRDefault="00505D2E" w:rsidP="00505D2E">
            <w:pPr>
              <w:spacing w:line="480" w:lineRule="auto"/>
              <w:jc w:val="center"/>
              <w:rPr>
                <w:rFonts w:ascii="Arial" w:hAnsi="Arial" w:cs="Arial"/>
                <w:sz w:val="20"/>
                <w:szCs w:val="20"/>
              </w:rPr>
            </w:pPr>
            <w:r w:rsidRPr="008F16CA">
              <w:rPr>
                <w:rFonts w:ascii="Arial" w:hAnsi="Arial" w:cs="Arial"/>
                <w:sz w:val="20"/>
                <w:szCs w:val="20"/>
              </w:rPr>
              <w:t>5</w:t>
            </w:r>
          </w:p>
        </w:tc>
        <w:tc>
          <w:tcPr>
            <w:tcW w:w="1069" w:type="dxa"/>
          </w:tcPr>
          <w:p w14:paraId="5A5C50D8" w14:textId="77777777" w:rsidR="00505D2E" w:rsidRPr="008F16CA" w:rsidRDefault="00505D2E" w:rsidP="00505D2E">
            <w:pPr>
              <w:spacing w:line="480" w:lineRule="auto"/>
              <w:jc w:val="center"/>
              <w:rPr>
                <w:rFonts w:ascii="Arial" w:hAnsi="Arial" w:cs="Arial"/>
                <w:sz w:val="20"/>
                <w:szCs w:val="20"/>
              </w:rPr>
            </w:pPr>
            <w:r w:rsidRPr="008F16CA">
              <w:rPr>
                <w:rFonts w:ascii="Arial" w:hAnsi="Arial" w:cs="Arial"/>
                <w:sz w:val="20"/>
                <w:szCs w:val="20"/>
              </w:rPr>
              <w:t>1.5</w:t>
            </w:r>
          </w:p>
        </w:tc>
        <w:tc>
          <w:tcPr>
            <w:tcW w:w="903" w:type="dxa"/>
          </w:tcPr>
          <w:p w14:paraId="22964AA2" w14:textId="77777777" w:rsidR="00505D2E" w:rsidRPr="008F16CA" w:rsidRDefault="00505D2E" w:rsidP="00505D2E">
            <w:pPr>
              <w:spacing w:line="480" w:lineRule="auto"/>
              <w:jc w:val="center"/>
              <w:rPr>
                <w:rFonts w:ascii="Arial" w:hAnsi="Arial" w:cs="Arial"/>
                <w:sz w:val="20"/>
                <w:szCs w:val="20"/>
              </w:rPr>
            </w:pPr>
            <w:r w:rsidRPr="008F16CA">
              <w:rPr>
                <w:rFonts w:ascii="Arial" w:hAnsi="Arial" w:cs="Arial"/>
                <w:sz w:val="20"/>
                <w:szCs w:val="20"/>
              </w:rPr>
              <w:t>0.32</w:t>
            </w:r>
          </w:p>
        </w:tc>
        <w:tc>
          <w:tcPr>
            <w:tcW w:w="1408" w:type="dxa"/>
          </w:tcPr>
          <w:p w14:paraId="7AB9EC5C" w14:textId="77777777" w:rsidR="00505D2E" w:rsidRPr="008F16CA" w:rsidRDefault="00505D2E" w:rsidP="00505D2E">
            <w:pPr>
              <w:spacing w:line="480" w:lineRule="auto"/>
              <w:jc w:val="center"/>
              <w:rPr>
                <w:rFonts w:ascii="Arial" w:hAnsi="Arial" w:cs="Arial"/>
                <w:sz w:val="20"/>
                <w:szCs w:val="20"/>
              </w:rPr>
            </w:pPr>
            <w:r w:rsidRPr="008F16CA">
              <w:rPr>
                <w:rFonts w:ascii="Arial" w:hAnsi="Arial" w:cs="Arial"/>
                <w:sz w:val="20"/>
                <w:szCs w:val="20"/>
              </w:rPr>
              <w:t>0.2</w:t>
            </w:r>
            <w:r w:rsidR="000423FF" w:rsidRPr="008F16CA">
              <w:rPr>
                <w:rFonts w:ascii="Arial" w:hAnsi="Arial" w:cs="Arial"/>
                <w:sz w:val="20"/>
                <w:szCs w:val="20"/>
              </w:rPr>
              <w:t>6</w:t>
            </w:r>
          </w:p>
        </w:tc>
      </w:tr>
    </w:tbl>
    <w:p w14:paraId="1EF5136E" w14:textId="77777777" w:rsidR="00505D2E" w:rsidRPr="008F16CA" w:rsidRDefault="00505D2E" w:rsidP="00505D2E">
      <w:pPr>
        <w:pStyle w:val="NormalWeb"/>
        <w:jc w:val="both"/>
        <w:rPr>
          <w:rFonts w:ascii="Arial" w:hAnsi="Arial" w:cs="Arial"/>
          <w:b/>
          <w:sz w:val="20"/>
          <w:szCs w:val="20"/>
        </w:rPr>
      </w:pPr>
      <w:r w:rsidRPr="008F16CA">
        <w:rPr>
          <w:rFonts w:ascii="Arial" w:hAnsi="Arial" w:cs="Arial"/>
          <w:b/>
          <w:sz w:val="20"/>
          <w:szCs w:val="20"/>
        </w:rPr>
        <w:t>Quantitative estimation of extracellular protease activity of bacterial endophytic isolates using the Folin–</w:t>
      </w:r>
      <w:proofErr w:type="spellStart"/>
      <w:r w:rsidRPr="008F16CA">
        <w:rPr>
          <w:rFonts w:ascii="Arial" w:hAnsi="Arial" w:cs="Arial"/>
          <w:b/>
          <w:sz w:val="20"/>
          <w:szCs w:val="20"/>
        </w:rPr>
        <w:t>Ciocalteu</w:t>
      </w:r>
      <w:proofErr w:type="spellEnd"/>
      <w:r w:rsidRPr="008F16CA">
        <w:rPr>
          <w:rFonts w:ascii="Arial" w:hAnsi="Arial" w:cs="Arial"/>
          <w:b/>
          <w:sz w:val="20"/>
          <w:szCs w:val="20"/>
        </w:rPr>
        <w:t xml:space="preserve"> assay with tyrosine as the standard.</w:t>
      </w:r>
    </w:p>
    <w:p w14:paraId="3AF734A2" w14:textId="77777777" w:rsidR="00C64E53" w:rsidRPr="008F16CA" w:rsidRDefault="00C64E53" w:rsidP="00C64E53">
      <w:pPr>
        <w:pStyle w:val="NormalWeb"/>
        <w:jc w:val="both"/>
        <w:rPr>
          <w:rFonts w:ascii="Arial" w:hAnsi="Arial" w:cs="Arial"/>
          <w:sz w:val="20"/>
          <w:szCs w:val="20"/>
        </w:rPr>
      </w:pPr>
      <w:r w:rsidRPr="008F16CA">
        <w:rPr>
          <w:rFonts w:ascii="Arial" w:eastAsia="Arial" w:hAnsi="Arial"/>
          <w:sz w:val="20"/>
        </w:rPr>
        <w:t>The extracellular protease activity of the bacterial endophytic isolates was quantified using the Folin-Ciocalteu assay with tyrosine as the standard. All three isolates—</w:t>
      </w:r>
      <w:r w:rsidRPr="008F16CA">
        <w:rPr>
          <w:rFonts w:ascii="Arial" w:eastAsia="Arial" w:hAnsi="Arial"/>
          <w:i/>
          <w:sz w:val="20"/>
        </w:rPr>
        <w:t>Enterobacter hormaechei</w:t>
      </w:r>
      <w:r w:rsidRPr="008F16CA">
        <w:rPr>
          <w:rFonts w:ascii="Arial" w:eastAsia="Arial" w:hAnsi="Arial"/>
          <w:sz w:val="20"/>
        </w:rPr>
        <w:t xml:space="preserve">, </w:t>
      </w:r>
      <w:r w:rsidRPr="008F16CA">
        <w:rPr>
          <w:rFonts w:ascii="Arial" w:eastAsia="Arial" w:hAnsi="Arial"/>
          <w:i/>
          <w:sz w:val="20"/>
        </w:rPr>
        <w:t>Bacillus flexus</w:t>
      </w:r>
      <w:r w:rsidRPr="008F16CA">
        <w:rPr>
          <w:rFonts w:ascii="Arial" w:eastAsia="Arial" w:hAnsi="Arial"/>
          <w:sz w:val="20"/>
        </w:rPr>
        <w:t xml:space="preserve">, and </w:t>
      </w:r>
      <w:r w:rsidRPr="008F16CA">
        <w:rPr>
          <w:rFonts w:ascii="Arial" w:eastAsia="Arial" w:hAnsi="Arial"/>
          <w:i/>
          <w:sz w:val="20"/>
        </w:rPr>
        <w:t>Bacillus amyloliquefaciens</w:t>
      </w:r>
      <w:r w:rsidRPr="008F16CA">
        <w:rPr>
          <w:rFonts w:ascii="Arial" w:eastAsia="Arial" w:hAnsi="Arial"/>
          <w:sz w:val="20"/>
        </w:rPr>
        <w:t>—exhibited protease activity, although differences in net optical density indicated variation in their proteolytic potential (Figure 2).</w:t>
      </w:r>
    </w:p>
    <w:p w14:paraId="38AB043E" w14:textId="77777777" w:rsidR="00C64E53" w:rsidRPr="008F16CA" w:rsidRDefault="00C64E53" w:rsidP="00C64E53">
      <w:pPr>
        <w:pStyle w:val="NormalWeb"/>
        <w:jc w:val="both"/>
        <w:rPr>
          <w:rFonts w:ascii="Arial" w:hAnsi="Arial" w:cs="Arial"/>
          <w:b/>
          <w:sz w:val="22"/>
          <w:szCs w:val="22"/>
        </w:rPr>
      </w:pPr>
      <w:r w:rsidRPr="008F16CA">
        <w:rPr>
          <w:rFonts w:ascii="Arial" w:hAnsi="Arial" w:cs="Arial"/>
          <w:b/>
          <w:sz w:val="22"/>
          <w:szCs w:val="22"/>
        </w:rPr>
        <w:t>Figure 2. Standard tyrosine calibration curve and extracellular protease activity of bacterial endophytic isolates.</w:t>
      </w:r>
    </w:p>
    <w:p w14:paraId="13CE8CC0" w14:textId="77777777" w:rsidR="00C64E53" w:rsidRPr="008F16CA" w:rsidRDefault="00C64E53" w:rsidP="00505D2E">
      <w:pPr>
        <w:pStyle w:val="NormalWeb"/>
        <w:spacing w:line="360" w:lineRule="auto"/>
        <w:jc w:val="both"/>
      </w:pPr>
    </w:p>
    <w:p w14:paraId="75FA6D80" w14:textId="77777777" w:rsidR="00191028" w:rsidRPr="008F16CA" w:rsidRDefault="005D17F3" w:rsidP="00505D2E">
      <w:pPr>
        <w:pStyle w:val="NormalWeb"/>
        <w:spacing w:line="360" w:lineRule="auto"/>
        <w:jc w:val="both"/>
        <w:rPr>
          <w:rFonts w:ascii="Arial" w:hAnsi="Arial" w:cs="Arial"/>
          <w:b/>
          <w:sz w:val="22"/>
          <w:szCs w:val="22"/>
        </w:rPr>
      </w:pPr>
      <w:r w:rsidRPr="008F16CA">
        <w:rPr>
          <w:rFonts w:ascii="Arial" w:hAnsi="Arial" w:cs="Arial"/>
          <w:b/>
          <w:noProof/>
          <w:sz w:val="22"/>
          <w:szCs w:val="22"/>
        </w:rPr>
        <w:lastRenderedPageBreak/>
        <w:drawing>
          <wp:inline distT="0" distB="0" distL="0" distR="0" wp14:anchorId="74165178" wp14:editId="17404D26">
            <wp:extent cx="5731510" cy="4488180"/>
            <wp:effectExtent l="38100" t="57150" r="116840" b="102870"/>
            <wp:docPr id="8" name="Picture 7" descr="Publication_Protease_Standard_Curve_With_Isola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blication_Protease_Standard_Curve_With_Isolates.png"/>
                    <pic:cNvPicPr/>
                  </pic:nvPicPr>
                  <pic:blipFill>
                    <a:blip r:embed="rId8" cstate="print"/>
                    <a:stretch>
                      <a:fillRect/>
                    </a:stretch>
                  </pic:blipFill>
                  <pic:spPr>
                    <a:xfrm>
                      <a:off x="0" y="0"/>
                      <a:ext cx="5731510" cy="44881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347B9D8" w14:textId="77777777" w:rsidR="00191028" w:rsidRPr="008F16CA" w:rsidRDefault="00C64E53" w:rsidP="00505D2E">
      <w:pPr>
        <w:pStyle w:val="NormalWeb"/>
        <w:jc w:val="both"/>
        <w:rPr>
          <w:rStyle w:val="Strong"/>
          <w:rFonts w:ascii="Arial" w:hAnsi="Arial" w:cs="Arial"/>
          <w:b w:val="0"/>
          <w:sz w:val="20"/>
          <w:szCs w:val="20"/>
        </w:rPr>
      </w:pPr>
      <w:r w:rsidRPr="008F16CA">
        <w:rPr>
          <w:rFonts w:ascii="Arial" w:hAnsi="Arial" w:cs="Arial"/>
          <w:b/>
          <w:sz w:val="20"/>
          <w:szCs w:val="20"/>
        </w:rPr>
        <w:t xml:space="preserve">Comparative extracellular protease activity of </w:t>
      </w:r>
      <w:r w:rsidRPr="008F16CA">
        <w:rPr>
          <w:rStyle w:val="Emphasis"/>
          <w:rFonts w:ascii="Arial" w:hAnsi="Arial" w:cs="Arial"/>
          <w:b/>
          <w:sz w:val="20"/>
          <w:szCs w:val="20"/>
        </w:rPr>
        <w:t xml:space="preserve">Enterobacter </w:t>
      </w:r>
      <w:proofErr w:type="spellStart"/>
      <w:r w:rsidRPr="008F16CA">
        <w:rPr>
          <w:rStyle w:val="Emphasis"/>
          <w:rFonts w:ascii="Arial" w:hAnsi="Arial" w:cs="Arial"/>
          <w:b/>
          <w:sz w:val="20"/>
          <w:szCs w:val="20"/>
        </w:rPr>
        <w:t>hormaechei</w:t>
      </w:r>
      <w:proofErr w:type="spellEnd"/>
      <w:r w:rsidRPr="008F16CA">
        <w:rPr>
          <w:rFonts w:ascii="Arial" w:hAnsi="Arial" w:cs="Arial"/>
          <w:b/>
          <w:sz w:val="20"/>
          <w:szCs w:val="20"/>
        </w:rPr>
        <w:t xml:space="preserve">, </w:t>
      </w:r>
      <w:r w:rsidRPr="008F16CA">
        <w:rPr>
          <w:rStyle w:val="Emphasis"/>
          <w:rFonts w:ascii="Arial" w:hAnsi="Arial" w:cs="Arial"/>
          <w:b/>
          <w:sz w:val="20"/>
          <w:szCs w:val="20"/>
        </w:rPr>
        <w:t>Bacillus flexus</w:t>
      </w:r>
      <w:r w:rsidRPr="008F16CA">
        <w:rPr>
          <w:rFonts w:ascii="Arial" w:hAnsi="Arial" w:cs="Arial"/>
          <w:b/>
          <w:sz w:val="20"/>
          <w:szCs w:val="20"/>
        </w:rPr>
        <w:t xml:space="preserve">, and </w:t>
      </w:r>
      <w:r w:rsidRPr="008F16CA">
        <w:rPr>
          <w:rStyle w:val="Emphasis"/>
          <w:rFonts w:ascii="Arial" w:hAnsi="Arial" w:cs="Arial"/>
          <w:b/>
          <w:sz w:val="20"/>
          <w:szCs w:val="20"/>
        </w:rPr>
        <w:t xml:space="preserve">Bacillus </w:t>
      </w:r>
      <w:proofErr w:type="spellStart"/>
      <w:r w:rsidRPr="008F16CA">
        <w:rPr>
          <w:rStyle w:val="Emphasis"/>
          <w:rFonts w:ascii="Arial" w:hAnsi="Arial" w:cs="Arial"/>
          <w:b/>
          <w:sz w:val="20"/>
          <w:szCs w:val="20"/>
        </w:rPr>
        <w:t>amyloliquefaciens</w:t>
      </w:r>
      <w:proofErr w:type="spellEnd"/>
      <w:r w:rsidRPr="008F16CA">
        <w:rPr>
          <w:rFonts w:ascii="Arial" w:hAnsi="Arial" w:cs="Arial"/>
          <w:b/>
          <w:sz w:val="20"/>
          <w:szCs w:val="20"/>
        </w:rPr>
        <w:t xml:space="preserve"> determined by the Folin–</w:t>
      </w:r>
      <w:proofErr w:type="spellStart"/>
      <w:r w:rsidRPr="008F16CA">
        <w:rPr>
          <w:rFonts w:ascii="Arial" w:hAnsi="Arial" w:cs="Arial"/>
          <w:b/>
          <w:sz w:val="20"/>
          <w:szCs w:val="20"/>
        </w:rPr>
        <w:t>Ciocalteu</w:t>
      </w:r>
      <w:proofErr w:type="spellEnd"/>
      <w:r w:rsidRPr="008F16CA">
        <w:rPr>
          <w:rFonts w:ascii="Arial" w:hAnsi="Arial" w:cs="Arial"/>
          <w:b/>
          <w:sz w:val="20"/>
          <w:szCs w:val="20"/>
        </w:rPr>
        <w:t xml:space="preserve"> assay using tyrosine as the standard.</w:t>
      </w:r>
    </w:p>
    <w:p w14:paraId="11B14E24" w14:textId="77777777" w:rsidR="00C64E53" w:rsidRPr="008F16CA" w:rsidRDefault="00C64E53" w:rsidP="00505D2E">
      <w:pPr>
        <w:pStyle w:val="NormalWeb"/>
        <w:jc w:val="both"/>
        <w:rPr>
          <w:rFonts w:ascii="Arial" w:hAnsi="Arial" w:cs="Arial"/>
          <w:sz w:val="20"/>
          <w:szCs w:val="20"/>
        </w:rPr>
      </w:pPr>
      <w:r w:rsidRPr="008F16CA">
        <w:rPr>
          <w:rFonts w:ascii="Arial" w:eastAsia="Arial" w:hAnsi="Arial"/>
          <w:sz w:val="20"/>
        </w:rPr>
        <w:t>The cellulase activity of the bacterial endophytic isolates was determined using the dinitrosalicylic acid (DNS) assay with glucose as the standard. All three isolates—</w:t>
      </w:r>
      <w:r w:rsidRPr="008F16CA">
        <w:rPr>
          <w:rFonts w:ascii="Arial" w:eastAsia="Arial" w:hAnsi="Arial"/>
          <w:i/>
          <w:sz w:val="20"/>
        </w:rPr>
        <w:t>Enterobacter hormaechei</w:t>
      </w:r>
      <w:r w:rsidRPr="008F16CA">
        <w:rPr>
          <w:rFonts w:ascii="Arial" w:eastAsia="Arial" w:hAnsi="Arial"/>
          <w:sz w:val="20"/>
        </w:rPr>
        <w:t xml:space="preserve">, </w:t>
      </w:r>
      <w:r w:rsidRPr="008F16CA">
        <w:rPr>
          <w:rFonts w:ascii="Arial" w:eastAsia="Arial" w:hAnsi="Arial"/>
          <w:i/>
          <w:sz w:val="20"/>
        </w:rPr>
        <w:t>Bacillus flexus</w:t>
      </w:r>
      <w:r w:rsidRPr="008F16CA">
        <w:rPr>
          <w:rFonts w:ascii="Arial" w:eastAsia="Arial" w:hAnsi="Arial"/>
          <w:sz w:val="20"/>
        </w:rPr>
        <w:t xml:space="preserve">, and </w:t>
      </w:r>
      <w:r w:rsidRPr="008F16CA">
        <w:rPr>
          <w:rFonts w:ascii="Arial" w:eastAsia="Arial" w:hAnsi="Arial"/>
          <w:i/>
          <w:sz w:val="20"/>
        </w:rPr>
        <w:t>Bacillus amyloliquefaciens</w:t>
      </w:r>
      <w:r w:rsidRPr="008F16CA">
        <w:rPr>
          <w:rFonts w:ascii="Arial" w:eastAsia="Arial" w:hAnsi="Arial"/>
          <w:sz w:val="20"/>
        </w:rPr>
        <w:t>—exhibited extracellular cellulase activity. Variation in net optical density values indicated differences in cellulase production among the isolates (Table 3).</w:t>
      </w:r>
    </w:p>
    <w:p w14:paraId="5A0F772B" w14:textId="77777777" w:rsidR="00505D2E" w:rsidRPr="008F16CA" w:rsidRDefault="00C64E53" w:rsidP="00505D2E">
      <w:pPr>
        <w:pStyle w:val="NormalWeb"/>
        <w:jc w:val="both"/>
        <w:rPr>
          <w:rFonts w:ascii="Arial" w:hAnsi="Arial" w:cs="Arial"/>
          <w:b/>
          <w:sz w:val="22"/>
          <w:szCs w:val="22"/>
        </w:rPr>
      </w:pPr>
      <w:r w:rsidRPr="008F16CA">
        <w:rPr>
          <w:rFonts w:ascii="Arial" w:hAnsi="Arial" w:cs="Arial"/>
          <w:b/>
          <w:sz w:val="22"/>
          <w:szCs w:val="22"/>
        </w:rPr>
        <w:t>Table3. Cellulase activity of bacterial endophytes determined using the DNS assay with glucose as the standard.</w:t>
      </w:r>
    </w:p>
    <w:tbl>
      <w:tblPr>
        <w:tblStyle w:val="TableGrid"/>
        <w:tblW w:w="0" w:type="auto"/>
        <w:tblInd w:w="113" w:type="dxa"/>
        <w:tblLayout w:type="fixed"/>
        <w:tblLook w:val="04A0" w:firstRow="1" w:lastRow="0" w:firstColumn="1" w:lastColumn="0" w:noHBand="0" w:noVBand="1"/>
      </w:tblPr>
      <w:tblGrid>
        <w:gridCol w:w="1838"/>
        <w:gridCol w:w="1418"/>
        <w:gridCol w:w="1417"/>
        <w:gridCol w:w="1276"/>
        <w:gridCol w:w="1276"/>
        <w:gridCol w:w="890"/>
        <w:gridCol w:w="1014"/>
      </w:tblGrid>
      <w:tr w:rsidR="00505D2E" w:rsidRPr="008F16CA" w14:paraId="7ACB0C2D" w14:textId="77777777" w:rsidTr="00A67EE4">
        <w:trPr>
          <w:trHeight w:val="1025"/>
        </w:trPr>
        <w:tc>
          <w:tcPr>
            <w:tcW w:w="1838" w:type="dxa"/>
          </w:tcPr>
          <w:p w14:paraId="1E5BA063" w14:textId="77777777" w:rsidR="00505D2E" w:rsidRPr="008F16CA" w:rsidRDefault="00505D2E" w:rsidP="00A67EE4">
            <w:pPr>
              <w:spacing w:line="480" w:lineRule="auto"/>
              <w:rPr>
                <w:rFonts w:ascii="Arial" w:hAnsi="Arial" w:cs="Arial"/>
                <w:b/>
                <w:bCs/>
                <w:sz w:val="20"/>
                <w:szCs w:val="20"/>
                <w:lang w:eastAsia="zh-CN"/>
              </w:rPr>
            </w:pPr>
            <w:r w:rsidRPr="008F16CA">
              <w:rPr>
                <w:rFonts w:ascii="Arial" w:hAnsi="Arial" w:cs="Arial"/>
                <w:b/>
                <w:bCs/>
                <w:sz w:val="20"/>
                <w:szCs w:val="20"/>
                <w:lang w:eastAsia="zh-CN"/>
              </w:rPr>
              <w:t>S.NO</w:t>
            </w:r>
          </w:p>
        </w:tc>
        <w:tc>
          <w:tcPr>
            <w:tcW w:w="1418" w:type="dxa"/>
          </w:tcPr>
          <w:p w14:paraId="3C24C1CB" w14:textId="77777777" w:rsidR="00505D2E" w:rsidRPr="008F16CA" w:rsidRDefault="00505D2E" w:rsidP="00A67EE4">
            <w:pPr>
              <w:spacing w:line="480" w:lineRule="auto"/>
              <w:rPr>
                <w:rFonts w:ascii="Arial" w:hAnsi="Arial" w:cs="Arial"/>
                <w:b/>
                <w:bCs/>
                <w:sz w:val="20"/>
                <w:szCs w:val="20"/>
                <w:lang w:eastAsia="zh-CN"/>
              </w:rPr>
            </w:pPr>
            <w:r w:rsidRPr="008F16CA">
              <w:rPr>
                <w:rFonts w:ascii="Arial" w:hAnsi="Arial" w:cs="Arial"/>
                <w:b/>
                <w:bCs/>
                <w:sz w:val="20"/>
                <w:szCs w:val="20"/>
                <w:lang w:eastAsia="zh-CN"/>
              </w:rPr>
              <w:t>Std Glucose ml</w:t>
            </w:r>
          </w:p>
        </w:tc>
        <w:tc>
          <w:tcPr>
            <w:tcW w:w="1417" w:type="dxa"/>
          </w:tcPr>
          <w:p w14:paraId="692B5BB1" w14:textId="77777777" w:rsidR="00DC2463" w:rsidRPr="008F16CA" w:rsidRDefault="00505D2E" w:rsidP="00A67EE4">
            <w:pPr>
              <w:spacing w:line="480" w:lineRule="auto"/>
              <w:rPr>
                <w:rFonts w:ascii="Arial" w:hAnsi="Arial" w:cs="Arial"/>
                <w:b/>
                <w:bCs/>
                <w:sz w:val="20"/>
                <w:szCs w:val="20"/>
                <w:lang w:eastAsia="zh-CN"/>
              </w:rPr>
            </w:pPr>
            <w:r w:rsidRPr="008F16CA">
              <w:rPr>
                <w:rFonts w:ascii="Arial" w:hAnsi="Arial" w:cs="Arial"/>
                <w:b/>
                <w:bCs/>
                <w:sz w:val="20"/>
                <w:szCs w:val="20"/>
                <w:lang w:eastAsia="zh-CN"/>
              </w:rPr>
              <w:t>Volume of</w:t>
            </w:r>
          </w:p>
          <w:p w14:paraId="3F697210" w14:textId="77777777" w:rsidR="00505D2E" w:rsidRPr="008F16CA" w:rsidRDefault="00505D2E" w:rsidP="00A67EE4">
            <w:pPr>
              <w:spacing w:line="480" w:lineRule="auto"/>
              <w:rPr>
                <w:rFonts w:ascii="Arial" w:hAnsi="Arial" w:cs="Arial"/>
                <w:b/>
                <w:bCs/>
                <w:sz w:val="20"/>
                <w:szCs w:val="20"/>
                <w:lang w:eastAsia="zh-CN"/>
              </w:rPr>
            </w:pPr>
            <w:r w:rsidRPr="008F16CA">
              <w:rPr>
                <w:rFonts w:ascii="Arial" w:hAnsi="Arial" w:cs="Arial"/>
                <w:b/>
                <w:bCs/>
                <w:sz w:val="20"/>
                <w:szCs w:val="20"/>
                <w:lang w:eastAsia="zh-CN"/>
              </w:rPr>
              <w:t>water ml</w:t>
            </w:r>
          </w:p>
        </w:tc>
        <w:tc>
          <w:tcPr>
            <w:tcW w:w="1276" w:type="dxa"/>
          </w:tcPr>
          <w:p w14:paraId="4B49A4B5" w14:textId="77777777" w:rsidR="00DC2463" w:rsidRPr="008F16CA" w:rsidRDefault="00505D2E" w:rsidP="00A67EE4">
            <w:pPr>
              <w:spacing w:line="480" w:lineRule="auto"/>
              <w:rPr>
                <w:rFonts w:ascii="Arial" w:hAnsi="Arial" w:cs="Arial"/>
                <w:b/>
                <w:bCs/>
                <w:sz w:val="20"/>
                <w:szCs w:val="20"/>
                <w:lang w:eastAsia="zh-CN"/>
              </w:rPr>
            </w:pPr>
            <w:r w:rsidRPr="008F16CA">
              <w:rPr>
                <w:rFonts w:ascii="Arial" w:hAnsi="Arial" w:cs="Arial"/>
                <w:b/>
                <w:bCs/>
                <w:sz w:val="20"/>
                <w:szCs w:val="20"/>
                <w:lang w:eastAsia="zh-CN"/>
              </w:rPr>
              <w:t>Conc.</w:t>
            </w:r>
          </w:p>
          <w:p w14:paraId="634085E0" w14:textId="77777777" w:rsidR="00A67EE4" w:rsidRPr="008F16CA" w:rsidRDefault="00505D2E" w:rsidP="00A67EE4">
            <w:pPr>
              <w:spacing w:line="480" w:lineRule="auto"/>
              <w:rPr>
                <w:rFonts w:ascii="Arial" w:hAnsi="Arial" w:cs="Arial"/>
                <w:b/>
                <w:bCs/>
                <w:sz w:val="20"/>
                <w:szCs w:val="20"/>
                <w:lang w:eastAsia="zh-CN"/>
              </w:rPr>
            </w:pPr>
            <w:r w:rsidRPr="008F16CA">
              <w:rPr>
                <w:rFonts w:ascii="Arial" w:hAnsi="Arial" w:cs="Arial"/>
                <w:b/>
                <w:bCs/>
                <w:sz w:val="20"/>
                <w:szCs w:val="20"/>
                <w:lang w:eastAsia="zh-CN"/>
              </w:rPr>
              <w:t>of glucose</w:t>
            </w:r>
          </w:p>
          <w:p w14:paraId="3D5CBF36" w14:textId="77777777" w:rsidR="00505D2E" w:rsidRPr="008F16CA" w:rsidRDefault="00A67EE4" w:rsidP="00A67EE4">
            <w:pPr>
              <w:spacing w:line="480" w:lineRule="auto"/>
              <w:rPr>
                <w:rFonts w:ascii="Arial" w:hAnsi="Arial" w:cs="Arial"/>
                <w:b/>
                <w:bCs/>
                <w:sz w:val="20"/>
                <w:szCs w:val="20"/>
                <w:lang w:eastAsia="zh-CN"/>
              </w:rPr>
            </w:pPr>
            <w:r w:rsidRPr="008F16CA">
              <w:rPr>
                <w:rFonts w:ascii="Arial" w:hAnsi="Arial" w:cs="Arial"/>
                <w:b/>
                <w:sz w:val="20"/>
                <w:szCs w:val="20"/>
              </w:rPr>
              <w:t>(µg mL</w:t>
            </w:r>
            <w:r w:rsidRPr="008F16CA">
              <w:rPr>
                <w:rFonts w:cs="Arial"/>
                <w:b/>
                <w:sz w:val="20"/>
                <w:szCs w:val="20"/>
              </w:rPr>
              <w:t>⁻</w:t>
            </w:r>
            <w:r w:rsidRPr="008F16CA">
              <w:rPr>
                <w:rFonts w:ascii="Arial" w:hAnsi="Arial" w:cs="Arial"/>
                <w:b/>
                <w:sz w:val="20"/>
                <w:szCs w:val="20"/>
              </w:rPr>
              <w:t>¹)</w:t>
            </w:r>
          </w:p>
        </w:tc>
        <w:tc>
          <w:tcPr>
            <w:tcW w:w="1276" w:type="dxa"/>
          </w:tcPr>
          <w:p w14:paraId="2A20567B" w14:textId="77777777" w:rsidR="00505D2E" w:rsidRPr="008F16CA" w:rsidRDefault="00DC2463" w:rsidP="00A67EE4">
            <w:pPr>
              <w:spacing w:line="480" w:lineRule="auto"/>
              <w:rPr>
                <w:rFonts w:ascii="Arial" w:hAnsi="Arial" w:cs="Arial"/>
                <w:b/>
                <w:bCs/>
                <w:sz w:val="20"/>
                <w:szCs w:val="20"/>
                <w:lang w:eastAsia="zh-CN"/>
              </w:rPr>
            </w:pPr>
            <w:r w:rsidRPr="008F16CA">
              <w:rPr>
                <w:rFonts w:ascii="Arial" w:hAnsi="Arial" w:cs="Arial"/>
                <w:b/>
                <w:bCs/>
                <w:sz w:val="20"/>
                <w:szCs w:val="20"/>
                <w:lang w:eastAsia="zh-CN"/>
              </w:rPr>
              <w:t xml:space="preserve">DNS </w:t>
            </w:r>
            <w:r w:rsidR="00505D2E" w:rsidRPr="008F16CA">
              <w:rPr>
                <w:rFonts w:ascii="Arial" w:hAnsi="Arial" w:cs="Arial"/>
                <w:b/>
                <w:bCs/>
                <w:sz w:val="20"/>
                <w:szCs w:val="20"/>
                <w:lang w:eastAsia="zh-CN"/>
              </w:rPr>
              <w:t>reagent</w:t>
            </w:r>
            <w:r w:rsidRPr="008F16CA">
              <w:rPr>
                <w:rFonts w:ascii="Arial" w:hAnsi="Arial" w:cs="Arial"/>
                <w:b/>
                <w:bCs/>
                <w:sz w:val="20"/>
                <w:szCs w:val="20"/>
                <w:lang w:eastAsia="zh-CN"/>
              </w:rPr>
              <w:t xml:space="preserve"> </w:t>
            </w:r>
            <w:r w:rsidR="00505D2E" w:rsidRPr="008F16CA">
              <w:rPr>
                <w:rFonts w:ascii="Arial" w:hAnsi="Arial" w:cs="Arial"/>
                <w:b/>
                <w:bCs/>
                <w:sz w:val="20"/>
                <w:szCs w:val="20"/>
                <w:lang w:eastAsia="zh-CN"/>
              </w:rPr>
              <w:t>ml</w:t>
            </w:r>
          </w:p>
        </w:tc>
        <w:tc>
          <w:tcPr>
            <w:tcW w:w="890" w:type="dxa"/>
          </w:tcPr>
          <w:p w14:paraId="35A27AAF" w14:textId="77777777" w:rsidR="00505D2E" w:rsidRPr="008F16CA" w:rsidRDefault="00505D2E" w:rsidP="00A67EE4">
            <w:pPr>
              <w:spacing w:line="480" w:lineRule="auto"/>
              <w:rPr>
                <w:rFonts w:ascii="Arial" w:hAnsi="Arial" w:cs="Arial"/>
                <w:b/>
                <w:bCs/>
                <w:sz w:val="20"/>
                <w:szCs w:val="20"/>
                <w:lang w:eastAsia="zh-CN"/>
              </w:rPr>
            </w:pPr>
            <w:proofErr w:type="gramStart"/>
            <w:r w:rsidRPr="008F16CA">
              <w:rPr>
                <w:rFonts w:ascii="Arial" w:hAnsi="Arial" w:cs="Arial"/>
                <w:b/>
                <w:bCs/>
                <w:sz w:val="20"/>
                <w:szCs w:val="20"/>
                <w:lang w:eastAsia="zh-CN"/>
              </w:rPr>
              <w:t>O.D</w:t>
            </w:r>
            <w:proofErr w:type="gramEnd"/>
          </w:p>
        </w:tc>
        <w:tc>
          <w:tcPr>
            <w:tcW w:w="1014" w:type="dxa"/>
          </w:tcPr>
          <w:p w14:paraId="354968C9" w14:textId="77777777" w:rsidR="00505D2E" w:rsidRPr="008F16CA" w:rsidRDefault="00505D2E" w:rsidP="00A67EE4">
            <w:pPr>
              <w:spacing w:line="480" w:lineRule="auto"/>
              <w:rPr>
                <w:rFonts w:ascii="Arial" w:hAnsi="Arial" w:cs="Arial"/>
                <w:b/>
                <w:bCs/>
                <w:sz w:val="20"/>
                <w:szCs w:val="20"/>
                <w:lang w:eastAsia="zh-CN"/>
              </w:rPr>
            </w:pPr>
            <w:r w:rsidRPr="008F16CA">
              <w:rPr>
                <w:rFonts w:ascii="Arial" w:hAnsi="Arial" w:cs="Arial"/>
                <w:b/>
                <w:bCs/>
                <w:sz w:val="20"/>
                <w:szCs w:val="20"/>
                <w:lang w:eastAsia="zh-CN"/>
              </w:rPr>
              <w:t>Net O.D</w:t>
            </w:r>
          </w:p>
          <w:p w14:paraId="5C45BF5C" w14:textId="77777777" w:rsidR="00A67EE4" w:rsidRPr="008F16CA" w:rsidRDefault="00A67EE4" w:rsidP="00A67EE4">
            <w:pPr>
              <w:spacing w:line="480" w:lineRule="auto"/>
              <w:rPr>
                <w:rFonts w:ascii="Arial" w:hAnsi="Arial" w:cs="Arial"/>
                <w:b/>
                <w:bCs/>
                <w:sz w:val="20"/>
                <w:szCs w:val="20"/>
                <w:lang w:eastAsia="zh-CN"/>
              </w:rPr>
            </w:pPr>
            <w:r w:rsidRPr="008F16CA">
              <w:rPr>
                <w:rFonts w:ascii="Arial" w:hAnsi="Arial" w:cs="Arial"/>
                <w:b/>
                <w:bCs/>
                <w:sz w:val="20"/>
                <w:szCs w:val="20"/>
                <w:lang w:eastAsia="zh-CN"/>
              </w:rPr>
              <w:t>540 nm</w:t>
            </w:r>
          </w:p>
        </w:tc>
      </w:tr>
      <w:tr w:rsidR="00505D2E" w:rsidRPr="008F16CA" w14:paraId="3F0CE6BF" w14:textId="77777777" w:rsidTr="00A67EE4">
        <w:tc>
          <w:tcPr>
            <w:tcW w:w="1838" w:type="dxa"/>
          </w:tcPr>
          <w:p w14:paraId="5A9F1FCB" w14:textId="77777777" w:rsidR="00505D2E" w:rsidRPr="008F16CA" w:rsidRDefault="00505D2E" w:rsidP="00505D2E">
            <w:pPr>
              <w:spacing w:line="480" w:lineRule="auto"/>
              <w:rPr>
                <w:rFonts w:ascii="Arial" w:hAnsi="Arial" w:cs="Arial"/>
                <w:sz w:val="20"/>
                <w:szCs w:val="20"/>
              </w:rPr>
            </w:pPr>
            <w:r w:rsidRPr="008F16CA">
              <w:rPr>
                <w:rFonts w:ascii="Arial" w:hAnsi="Arial" w:cs="Arial"/>
                <w:sz w:val="20"/>
                <w:szCs w:val="20"/>
              </w:rPr>
              <w:t xml:space="preserve">Blank </w:t>
            </w:r>
          </w:p>
        </w:tc>
        <w:tc>
          <w:tcPr>
            <w:tcW w:w="1418" w:type="dxa"/>
          </w:tcPr>
          <w:p w14:paraId="25939BEB" w14:textId="77777777" w:rsidR="00505D2E" w:rsidRPr="008F16CA" w:rsidRDefault="00505D2E" w:rsidP="00505D2E">
            <w:pPr>
              <w:spacing w:line="480" w:lineRule="auto"/>
              <w:rPr>
                <w:rFonts w:ascii="Arial" w:hAnsi="Arial" w:cs="Arial"/>
                <w:sz w:val="20"/>
                <w:szCs w:val="20"/>
              </w:rPr>
            </w:pPr>
            <w:r w:rsidRPr="008F16CA">
              <w:rPr>
                <w:rFonts w:ascii="Arial" w:hAnsi="Arial" w:cs="Arial"/>
                <w:sz w:val="20"/>
                <w:szCs w:val="20"/>
              </w:rPr>
              <w:t xml:space="preserve">Blank </w:t>
            </w:r>
          </w:p>
        </w:tc>
        <w:tc>
          <w:tcPr>
            <w:tcW w:w="1417" w:type="dxa"/>
          </w:tcPr>
          <w:p w14:paraId="2AD152CD" w14:textId="77777777" w:rsidR="00505D2E" w:rsidRPr="008F16CA" w:rsidRDefault="00505D2E" w:rsidP="00505D2E">
            <w:pPr>
              <w:spacing w:line="480" w:lineRule="auto"/>
              <w:rPr>
                <w:rFonts w:ascii="Arial" w:hAnsi="Arial" w:cs="Arial"/>
                <w:sz w:val="20"/>
                <w:szCs w:val="20"/>
              </w:rPr>
            </w:pPr>
            <w:r w:rsidRPr="008F16CA">
              <w:rPr>
                <w:rFonts w:ascii="Arial" w:hAnsi="Arial" w:cs="Arial"/>
                <w:sz w:val="20"/>
                <w:szCs w:val="20"/>
              </w:rPr>
              <w:t>1</w:t>
            </w:r>
          </w:p>
        </w:tc>
        <w:tc>
          <w:tcPr>
            <w:tcW w:w="1276" w:type="dxa"/>
          </w:tcPr>
          <w:p w14:paraId="3B624070" w14:textId="77777777" w:rsidR="00505D2E" w:rsidRPr="008F16CA" w:rsidRDefault="00505D2E" w:rsidP="00505D2E">
            <w:pPr>
              <w:spacing w:line="480" w:lineRule="auto"/>
              <w:rPr>
                <w:rFonts w:ascii="Arial" w:hAnsi="Arial" w:cs="Arial"/>
                <w:sz w:val="20"/>
                <w:szCs w:val="20"/>
              </w:rPr>
            </w:pPr>
            <w:r w:rsidRPr="008F16CA">
              <w:rPr>
                <w:rFonts w:ascii="Arial" w:hAnsi="Arial" w:cs="Arial"/>
                <w:sz w:val="20"/>
                <w:szCs w:val="20"/>
              </w:rPr>
              <w:t>-</w:t>
            </w:r>
          </w:p>
        </w:tc>
        <w:tc>
          <w:tcPr>
            <w:tcW w:w="1276" w:type="dxa"/>
          </w:tcPr>
          <w:p w14:paraId="434EEAD8" w14:textId="77777777" w:rsidR="00505D2E" w:rsidRPr="008F16CA" w:rsidRDefault="00505D2E" w:rsidP="00505D2E">
            <w:pPr>
              <w:spacing w:line="480" w:lineRule="auto"/>
              <w:rPr>
                <w:rFonts w:ascii="Arial" w:hAnsi="Arial" w:cs="Arial"/>
                <w:sz w:val="20"/>
                <w:szCs w:val="20"/>
              </w:rPr>
            </w:pPr>
            <w:r w:rsidRPr="008F16CA">
              <w:rPr>
                <w:rFonts w:ascii="Arial" w:hAnsi="Arial" w:cs="Arial"/>
                <w:sz w:val="20"/>
                <w:szCs w:val="20"/>
              </w:rPr>
              <w:t>1</w:t>
            </w:r>
          </w:p>
        </w:tc>
        <w:tc>
          <w:tcPr>
            <w:tcW w:w="890" w:type="dxa"/>
          </w:tcPr>
          <w:p w14:paraId="4594385C" w14:textId="77777777" w:rsidR="00505D2E" w:rsidRPr="008F16CA" w:rsidRDefault="00505D2E" w:rsidP="00505D2E">
            <w:pPr>
              <w:spacing w:line="480" w:lineRule="auto"/>
              <w:rPr>
                <w:rFonts w:ascii="Arial" w:hAnsi="Arial" w:cs="Arial"/>
                <w:sz w:val="20"/>
                <w:szCs w:val="20"/>
              </w:rPr>
            </w:pPr>
            <w:r w:rsidRPr="008F16CA">
              <w:rPr>
                <w:rFonts w:ascii="Arial" w:hAnsi="Arial" w:cs="Arial"/>
                <w:sz w:val="20"/>
                <w:szCs w:val="20"/>
              </w:rPr>
              <w:t>0.06</w:t>
            </w:r>
          </w:p>
        </w:tc>
        <w:tc>
          <w:tcPr>
            <w:tcW w:w="1014" w:type="dxa"/>
          </w:tcPr>
          <w:p w14:paraId="6242FDBB" w14:textId="77777777" w:rsidR="00505D2E" w:rsidRPr="008F16CA" w:rsidRDefault="00505D2E" w:rsidP="00505D2E">
            <w:pPr>
              <w:spacing w:line="480" w:lineRule="auto"/>
              <w:rPr>
                <w:rFonts w:ascii="Arial" w:hAnsi="Arial" w:cs="Arial"/>
                <w:sz w:val="20"/>
                <w:szCs w:val="20"/>
              </w:rPr>
            </w:pPr>
          </w:p>
        </w:tc>
      </w:tr>
      <w:tr w:rsidR="00505D2E" w:rsidRPr="008F16CA" w14:paraId="7EDF6AFB" w14:textId="77777777" w:rsidTr="00A67EE4">
        <w:trPr>
          <w:trHeight w:val="313"/>
        </w:trPr>
        <w:tc>
          <w:tcPr>
            <w:tcW w:w="1838" w:type="dxa"/>
          </w:tcPr>
          <w:p w14:paraId="6CFCF1DE" w14:textId="77777777" w:rsidR="00505D2E" w:rsidRPr="008F16CA" w:rsidRDefault="00505D2E" w:rsidP="00505D2E">
            <w:pPr>
              <w:spacing w:line="480" w:lineRule="auto"/>
              <w:rPr>
                <w:rFonts w:ascii="Arial" w:hAnsi="Arial" w:cs="Arial"/>
                <w:sz w:val="20"/>
                <w:szCs w:val="20"/>
              </w:rPr>
            </w:pPr>
            <w:r w:rsidRPr="008F16CA">
              <w:rPr>
                <w:rFonts w:ascii="Arial" w:hAnsi="Arial" w:cs="Arial"/>
                <w:sz w:val="20"/>
                <w:szCs w:val="20"/>
              </w:rPr>
              <w:t>0.2</w:t>
            </w:r>
          </w:p>
        </w:tc>
        <w:tc>
          <w:tcPr>
            <w:tcW w:w="1418" w:type="dxa"/>
          </w:tcPr>
          <w:p w14:paraId="3ED7D29A" w14:textId="77777777" w:rsidR="00505D2E" w:rsidRPr="008F16CA" w:rsidRDefault="00505D2E" w:rsidP="00505D2E">
            <w:pPr>
              <w:spacing w:line="480" w:lineRule="auto"/>
              <w:rPr>
                <w:rFonts w:ascii="Arial" w:hAnsi="Arial" w:cs="Arial"/>
                <w:sz w:val="20"/>
                <w:szCs w:val="20"/>
              </w:rPr>
            </w:pPr>
            <w:r w:rsidRPr="008F16CA">
              <w:rPr>
                <w:rFonts w:ascii="Arial" w:hAnsi="Arial" w:cs="Arial"/>
                <w:sz w:val="20"/>
                <w:szCs w:val="20"/>
              </w:rPr>
              <w:t>0.2</w:t>
            </w:r>
          </w:p>
        </w:tc>
        <w:tc>
          <w:tcPr>
            <w:tcW w:w="1417" w:type="dxa"/>
          </w:tcPr>
          <w:p w14:paraId="78B728A5" w14:textId="77777777" w:rsidR="00505D2E" w:rsidRPr="008F16CA" w:rsidRDefault="00505D2E" w:rsidP="00505D2E">
            <w:pPr>
              <w:spacing w:line="480" w:lineRule="auto"/>
              <w:rPr>
                <w:rFonts w:ascii="Arial" w:hAnsi="Arial" w:cs="Arial"/>
                <w:sz w:val="20"/>
                <w:szCs w:val="20"/>
              </w:rPr>
            </w:pPr>
            <w:r w:rsidRPr="008F16CA">
              <w:rPr>
                <w:rFonts w:ascii="Arial" w:hAnsi="Arial" w:cs="Arial"/>
                <w:sz w:val="20"/>
                <w:szCs w:val="20"/>
              </w:rPr>
              <w:t>0.8</w:t>
            </w:r>
          </w:p>
        </w:tc>
        <w:tc>
          <w:tcPr>
            <w:tcW w:w="1276" w:type="dxa"/>
          </w:tcPr>
          <w:p w14:paraId="259F45D1" w14:textId="77777777" w:rsidR="00505D2E" w:rsidRPr="008F16CA" w:rsidRDefault="00505D2E" w:rsidP="00505D2E">
            <w:pPr>
              <w:spacing w:line="480" w:lineRule="auto"/>
              <w:rPr>
                <w:rFonts w:ascii="Arial" w:hAnsi="Arial" w:cs="Arial"/>
                <w:sz w:val="20"/>
                <w:szCs w:val="20"/>
              </w:rPr>
            </w:pPr>
            <w:r w:rsidRPr="008F16CA">
              <w:rPr>
                <w:rFonts w:ascii="Arial" w:hAnsi="Arial" w:cs="Arial"/>
                <w:sz w:val="20"/>
                <w:szCs w:val="20"/>
              </w:rPr>
              <w:t>20</w:t>
            </w:r>
          </w:p>
        </w:tc>
        <w:tc>
          <w:tcPr>
            <w:tcW w:w="1276" w:type="dxa"/>
          </w:tcPr>
          <w:p w14:paraId="6A4630C6" w14:textId="77777777" w:rsidR="00505D2E" w:rsidRPr="008F16CA" w:rsidRDefault="00505D2E" w:rsidP="00505D2E">
            <w:pPr>
              <w:spacing w:line="480" w:lineRule="auto"/>
              <w:rPr>
                <w:rFonts w:ascii="Arial" w:hAnsi="Arial" w:cs="Arial"/>
                <w:sz w:val="20"/>
                <w:szCs w:val="20"/>
              </w:rPr>
            </w:pPr>
            <w:r w:rsidRPr="008F16CA">
              <w:rPr>
                <w:rFonts w:ascii="Arial" w:hAnsi="Arial" w:cs="Arial"/>
                <w:sz w:val="20"/>
                <w:szCs w:val="20"/>
              </w:rPr>
              <w:t>1</w:t>
            </w:r>
          </w:p>
        </w:tc>
        <w:tc>
          <w:tcPr>
            <w:tcW w:w="890" w:type="dxa"/>
          </w:tcPr>
          <w:p w14:paraId="21CA1192" w14:textId="77777777" w:rsidR="00505D2E" w:rsidRPr="008F16CA" w:rsidRDefault="00505D2E" w:rsidP="00505D2E">
            <w:pPr>
              <w:spacing w:line="480" w:lineRule="auto"/>
              <w:rPr>
                <w:rFonts w:ascii="Arial" w:hAnsi="Arial" w:cs="Arial"/>
                <w:sz w:val="20"/>
                <w:szCs w:val="20"/>
              </w:rPr>
            </w:pPr>
            <w:r w:rsidRPr="008F16CA">
              <w:rPr>
                <w:rFonts w:ascii="Arial" w:hAnsi="Arial" w:cs="Arial"/>
                <w:sz w:val="20"/>
                <w:szCs w:val="20"/>
              </w:rPr>
              <w:t>0.18</w:t>
            </w:r>
          </w:p>
        </w:tc>
        <w:tc>
          <w:tcPr>
            <w:tcW w:w="1014" w:type="dxa"/>
          </w:tcPr>
          <w:p w14:paraId="6010C842" w14:textId="77777777" w:rsidR="00505D2E" w:rsidRPr="008F16CA" w:rsidRDefault="00505D2E" w:rsidP="00505D2E">
            <w:pPr>
              <w:spacing w:line="480" w:lineRule="auto"/>
              <w:rPr>
                <w:rFonts w:ascii="Arial" w:hAnsi="Arial" w:cs="Arial"/>
                <w:sz w:val="20"/>
                <w:szCs w:val="20"/>
              </w:rPr>
            </w:pPr>
            <w:r w:rsidRPr="008F16CA">
              <w:rPr>
                <w:rFonts w:ascii="Arial" w:hAnsi="Arial" w:cs="Arial"/>
                <w:sz w:val="20"/>
                <w:szCs w:val="20"/>
              </w:rPr>
              <w:t>0.12</w:t>
            </w:r>
          </w:p>
        </w:tc>
      </w:tr>
      <w:tr w:rsidR="00505D2E" w:rsidRPr="008F16CA" w14:paraId="0750C4D3" w14:textId="77777777" w:rsidTr="00A67EE4">
        <w:trPr>
          <w:trHeight w:val="417"/>
        </w:trPr>
        <w:tc>
          <w:tcPr>
            <w:tcW w:w="1838" w:type="dxa"/>
          </w:tcPr>
          <w:p w14:paraId="5C182BAC" w14:textId="77777777" w:rsidR="00505D2E" w:rsidRPr="008F16CA" w:rsidRDefault="00505D2E" w:rsidP="00505D2E">
            <w:pPr>
              <w:spacing w:line="480" w:lineRule="auto"/>
              <w:rPr>
                <w:rFonts w:ascii="Arial" w:hAnsi="Arial" w:cs="Arial"/>
                <w:sz w:val="20"/>
                <w:szCs w:val="20"/>
              </w:rPr>
            </w:pPr>
            <w:r w:rsidRPr="008F16CA">
              <w:rPr>
                <w:rFonts w:ascii="Arial" w:hAnsi="Arial" w:cs="Arial"/>
                <w:sz w:val="20"/>
                <w:szCs w:val="20"/>
              </w:rPr>
              <w:t>0.4</w:t>
            </w:r>
          </w:p>
        </w:tc>
        <w:tc>
          <w:tcPr>
            <w:tcW w:w="1418" w:type="dxa"/>
          </w:tcPr>
          <w:p w14:paraId="26505581" w14:textId="77777777" w:rsidR="00505D2E" w:rsidRPr="008F16CA" w:rsidRDefault="00505D2E" w:rsidP="00505D2E">
            <w:pPr>
              <w:spacing w:line="480" w:lineRule="auto"/>
              <w:rPr>
                <w:rFonts w:ascii="Arial" w:hAnsi="Arial" w:cs="Arial"/>
                <w:sz w:val="20"/>
                <w:szCs w:val="20"/>
              </w:rPr>
            </w:pPr>
            <w:r w:rsidRPr="008F16CA">
              <w:rPr>
                <w:rFonts w:ascii="Arial" w:hAnsi="Arial" w:cs="Arial"/>
                <w:sz w:val="20"/>
                <w:szCs w:val="20"/>
              </w:rPr>
              <w:t>0.4</w:t>
            </w:r>
          </w:p>
        </w:tc>
        <w:tc>
          <w:tcPr>
            <w:tcW w:w="1417" w:type="dxa"/>
          </w:tcPr>
          <w:p w14:paraId="72ECFE8A" w14:textId="77777777" w:rsidR="00505D2E" w:rsidRPr="008F16CA" w:rsidRDefault="00505D2E" w:rsidP="00505D2E">
            <w:pPr>
              <w:spacing w:line="480" w:lineRule="auto"/>
              <w:rPr>
                <w:rFonts w:ascii="Arial" w:hAnsi="Arial" w:cs="Arial"/>
                <w:sz w:val="20"/>
                <w:szCs w:val="20"/>
              </w:rPr>
            </w:pPr>
            <w:r w:rsidRPr="008F16CA">
              <w:rPr>
                <w:rFonts w:ascii="Arial" w:hAnsi="Arial" w:cs="Arial"/>
                <w:sz w:val="20"/>
                <w:szCs w:val="20"/>
              </w:rPr>
              <w:t>0.6</w:t>
            </w:r>
          </w:p>
        </w:tc>
        <w:tc>
          <w:tcPr>
            <w:tcW w:w="1276" w:type="dxa"/>
          </w:tcPr>
          <w:p w14:paraId="08EDFBAF" w14:textId="77777777" w:rsidR="00505D2E" w:rsidRPr="008F16CA" w:rsidRDefault="00505D2E" w:rsidP="00505D2E">
            <w:pPr>
              <w:spacing w:line="480" w:lineRule="auto"/>
              <w:rPr>
                <w:rFonts w:ascii="Arial" w:hAnsi="Arial" w:cs="Arial"/>
                <w:sz w:val="20"/>
                <w:szCs w:val="20"/>
              </w:rPr>
            </w:pPr>
            <w:r w:rsidRPr="008F16CA">
              <w:rPr>
                <w:rFonts w:ascii="Arial" w:hAnsi="Arial" w:cs="Arial"/>
                <w:sz w:val="20"/>
                <w:szCs w:val="20"/>
              </w:rPr>
              <w:t>40</w:t>
            </w:r>
          </w:p>
        </w:tc>
        <w:tc>
          <w:tcPr>
            <w:tcW w:w="1276" w:type="dxa"/>
          </w:tcPr>
          <w:p w14:paraId="2CDD0C51" w14:textId="77777777" w:rsidR="00505D2E" w:rsidRPr="008F16CA" w:rsidRDefault="00505D2E" w:rsidP="00505D2E">
            <w:pPr>
              <w:spacing w:line="480" w:lineRule="auto"/>
              <w:rPr>
                <w:rFonts w:ascii="Arial" w:hAnsi="Arial" w:cs="Arial"/>
                <w:sz w:val="20"/>
                <w:szCs w:val="20"/>
              </w:rPr>
            </w:pPr>
            <w:r w:rsidRPr="008F16CA">
              <w:rPr>
                <w:rFonts w:ascii="Arial" w:hAnsi="Arial" w:cs="Arial"/>
                <w:sz w:val="20"/>
                <w:szCs w:val="20"/>
              </w:rPr>
              <w:t>1</w:t>
            </w:r>
          </w:p>
        </w:tc>
        <w:tc>
          <w:tcPr>
            <w:tcW w:w="890" w:type="dxa"/>
          </w:tcPr>
          <w:p w14:paraId="372E4B8E" w14:textId="77777777" w:rsidR="00505D2E" w:rsidRPr="008F16CA" w:rsidRDefault="00505D2E" w:rsidP="00505D2E">
            <w:pPr>
              <w:spacing w:line="480" w:lineRule="auto"/>
              <w:rPr>
                <w:rFonts w:ascii="Arial" w:hAnsi="Arial" w:cs="Arial"/>
                <w:sz w:val="20"/>
                <w:szCs w:val="20"/>
              </w:rPr>
            </w:pPr>
            <w:r w:rsidRPr="008F16CA">
              <w:rPr>
                <w:rFonts w:ascii="Arial" w:hAnsi="Arial" w:cs="Arial"/>
                <w:sz w:val="20"/>
                <w:szCs w:val="20"/>
              </w:rPr>
              <w:t>0.28</w:t>
            </w:r>
          </w:p>
          <w:p w14:paraId="06154F0C" w14:textId="77777777" w:rsidR="00505D2E" w:rsidRPr="008F16CA" w:rsidRDefault="00505D2E" w:rsidP="00505D2E">
            <w:pPr>
              <w:spacing w:line="480" w:lineRule="auto"/>
              <w:rPr>
                <w:rFonts w:ascii="Arial" w:hAnsi="Arial" w:cs="Arial"/>
                <w:sz w:val="20"/>
                <w:szCs w:val="20"/>
              </w:rPr>
            </w:pPr>
          </w:p>
        </w:tc>
        <w:tc>
          <w:tcPr>
            <w:tcW w:w="1014" w:type="dxa"/>
          </w:tcPr>
          <w:p w14:paraId="7A862545" w14:textId="77777777" w:rsidR="00505D2E" w:rsidRPr="008F16CA" w:rsidRDefault="00505D2E" w:rsidP="00505D2E">
            <w:pPr>
              <w:spacing w:line="480" w:lineRule="auto"/>
              <w:rPr>
                <w:rFonts w:ascii="Arial" w:hAnsi="Arial" w:cs="Arial"/>
                <w:sz w:val="20"/>
                <w:szCs w:val="20"/>
              </w:rPr>
            </w:pPr>
            <w:r w:rsidRPr="008F16CA">
              <w:rPr>
                <w:rFonts w:ascii="Arial" w:hAnsi="Arial" w:cs="Arial"/>
                <w:sz w:val="20"/>
                <w:szCs w:val="20"/>
              </w:rPr>
              <w:lastRenderedPageBreak/>
              <w:t>0.22</w:t>
            </w:r>
          </w:p>
        </w:tc>
      </w:tr>
      <w:tr w:rsidR="00505D2E" w:rsidRPr="008F16CA" w14:paraId="162E520B" w14:textId="77777777" w:rsidTr="00A67EE4">
        <w:trPr>
          <w:trHeight w:val="283"/>
        </w:trPr>
        <w:tc>
          <w:tcPr>
            <w:tcW w:w="1838" w:type="dxa"/>
          </w:tcPr>
          <w:p w14:paraId="409B96C3" w14:textId="77777777" w:rsidR="00505D2E" w:rsidRPr="008F16CA" w:rsidRDefault="00505D2E" w:rsidP="00505D2E">
            <w:pPr>
              <w:spacing w:line="480" w:lineRule="auto"/>
              <w:rPr>
                <w:rFonts w:ascii="Arial" w:hAnsi="Arial" w:cs="Arial"/>
                <w:sz w:val="20"/>
                <w:szCs w:val="20"/>
              </w:rPr>
            </w:pPr>
            <w:r w:rsidRPr="008F16CA">
              <w:rPr>
                <w:rFonts w:ascii="Arial" w:hAnsi="Arial" w:cs="Arial"/>
                <w:sz w:val="20"/>
                <w:szCs w:val="20"/>
              </w:rPr>
              <w:t>0.6</w:t>
            </w:r>
          </w:p>
        </w:tc>
        <w:tc>
          <w:tcPr>
            <w:tcW w:w="1418" w:type="dxa"/>
          </w:tcPr>
          <w:p w14:paraId="2BF394F4" w14:textId="77777777" w:rsidR="00505D2E" w:rsidRPr="008F16CA" w:rsidRDefault="00505D2E" w:rsidP="00505D2E">
            <w:pPr>
              <w:spacing w:line="480" w:lineRule="auto"/>
              <w:rPr>
                <w:rFonts w:ascii="Arial" w:hAnsi="Arial" w:cs="Arial"/>
                <w:sz w:val="20"/>
                <w:szCs w:val="20"/>
              </w:rPr>
            </w:pPr>
            <w:r w:rsidRPr="008F16CA">
              <w:rPr>
                <w:rFonts w:ascii="Arial" w:hAnsi="Arial" w:cs="Arial"/>
                <w:sz w:val="20"/>
                <w:szCs w:val="20"/>
              </w:rPr>
              <w:t>0.6</w:t>
            </w:r>
          </w:p>
        </w:tc>
        <w:tc>
          <w:tcPr>
            <w:tcW w:w="1417" w:type="dxa"/>
          </w:tcPr>
          <w:p w14:paraId="3AA60D83" w14:textId="77777777" w:rsidR="00505D2E" w:rsidRPr="008F16CA" w:rsidRDefault="00505D2E" w:rsidP="00505D2E">
            <w:pPr>
              <w:spacing w:line="480" w:lineRule="auto"/>
              <w:rPr>
                <w:rFonts w:ascii="Arial" w:hAnsi="Arial" w:cs="Arial"/>
                <w:sz w:val="20"/>
                <w:szCs w:val="20"/>
              </w:rPr>
            </w:pPr>
            <w:r w:rsidRPr="008F16CA">
              <w:rPr>
                <w:rFonts w:ascii="Arial" w:hAnsi="Arial" w:cs="Arial"/>
                <w:sz w:val="20"/>
                <w:szCs w:val="20"/>
              </w:rPr>
              <w:t>0.4</w:t>
            </w:r>
          </w:p>
        </w:tc>
        <w:tc>
          <w:tcPr>
            <w:tcW w:w="1276" w:type="dxa"/>
          </w:tcPr>
          <w:p w14:paraId="0F612F43" w14:textId="77777777" w:rsidR="00505D2E" w:rsidRPr="008F16CA" w:rsidRDefault="00505D2E" w:rsidP="00505D2E">
            <w:pPr>
              <w:spacing w:line="480" w:lineRule="auto"/>
              <w:rPr>
                <w:rFonts w:ascii="Arial" w:hAnsi="Arial" w:cs="Arial"/>
                <w:sz w:val="20"/>
                <w:szCs w:val="20"/>
              </w:rPr>
            </w:pPr>
            <w:r w:rsidRPr="008F16CA">
              <w:rPr>
                <w:rFonts w:ascii="Arial" w:hAnsi="Arial" w:cs="Arial"/>
                <w:sz w:val="20"/>
                <w:szCs w:val="20"/>
              </w:rPr>
              <w:t>60</w:t>
            </w:r>
          </w:p>
        </w:tc>
        <w:tc>
          <w:tcPr>
            <w:tcW w:w="1276" w:type="dxa"/>
          </w:tcPr>
          <w:p w14:paraId="1E5EDA8F" w14:textId="77777777" w:rsidR="00505D2E" w:rsidRPr="008F16CA" w:rsidRDefault="00505D2E" w:rsidP="00505D2E">
            <w:pPr>
              <w:spacing w:line="480" w:lineRule="auto"/>
              <w:rPr>
                <w:rFonts w:ascii="Arial" w:hAnsi="Arial" w:cs="Arial"/>
                <w:sz w:val="20"/>
                <w:szCs w:val="20"/>
              </w:rPr>
            </w:pPr>
            <w:r w:rsidRPr="008F16CA">
              <w:rPr>
                <w:rFonts w:ascii="Arial" w:hAnsi="Arial" w:cs="Arial"/>
                <w:sz w:val="20"/>
                <w:szCs w:val="20"/>
              </w:rPr>
              <w:t>1</w:t>
            </w:r>
          </w:p>
        </w:tc>
        <w:tc>
          <w:tcPr>
            <w:tcW w:w="890" w:type="dxa"/>
          </w:tcPr>
          <w:p w14:paraId="37F362C9" w14:textId="77777777" w:rsidR="00505D2E" w:rsidRPr="008F16CA" w:rsidRDefault="00505D2E" w:rsidP="00505D2E">
            <w:pPr>
              <w:spacing w:line="480" w:lineRule="auto"/>
              <w:rPr>
                <w:rFonts w:ascii="Arial" w:hAnsi="Arial" w:cs="Arial"/>
                <w:sz w:val="20"/>
                <w:szCs w:val="20"/>
              </w:rPr>
            </w:pPr>
            <w:r w:rsidRPr="008F16CA">
              <w:rPr>
                <w:rFonts w:ascii="Arial" w:hAnsi="Arial" w:cs="Arial"/>
                <w:sz w:val="20"/>
                <w:szCs w:val="20"/>
              </w:rPr>
              <w:t>0.38</w:t>
            </w:r>
          </w:p>
        </w:tc>
        <w:tc>
          <w:tcPr>
            <w:tcW w:w="1014" w:type="dxa"/>
          </w:tcPr>
          <w:p w14:paraId="0F2193C3" w14:textId="77777777" w:rsidR="00505D2E" w:rsidRPr="008F16CA" w:rsidRDefault="00505D2E" w:rsidP="00505D2E">
            <w:pPr>
              <w:spacing w:line="480" w:lineRule="auto"/>
              <w:rPr>
                <w:rFonts w:ascii="Arial" w:hAnsi="Arial" w:cs="Arial"/>
                <w:sz w:val="20"/>
                <w:szCs w:val="20"/>
              </w:rPr>
            </w:pPr>
            <w:r w:rsidRPr="008F16CA">
              <w:rPr>
                <w:rFonts w:ascii="Arial" w:hAnsi="Arial" w:cs="Arial"/>
                <w:sz w:val="20"/>
                <w:szCs w:val="20"/>
              </w:rPr>
              <w:t>0.32</w:t>
            </w:r>
          </w:p>
        </w:tc>
      </w:tr>
      <w:tr w:rsidR="00505D2E" w:rsidRPr="008F16CA" w14:paraId="1F773FCE" w14:textId="77777777" w:rsidTr="00A67EE4">
        <w:tc>
          <w:tcPr>
            <w:tcW w:w="1838" w:type="dxa"/>
          </w:tcPr>
          <w:p w14:paraId="0A0E3E4D" w14:textId="77777777" w:rsidR="00505D2E" w:rsidRPr="008F16CA" w:rsidRDefault="00505D2E" w:rsidP="00505D2E">
            <w:pPr>
              <w:spacing w:line="480" w:lineRule="auto"/>
              <w:rPr>
                <w:rFonts w:ascii="Arial" w:hAnsi="Arial" w:cs="Arial"/>
                <w:sz w:val="20"/>
                <w:szCs w:val="20"/>
              </w:rPr>
            </w:pPr>
            <w:r w:rsidRPr="008F16CA">
              <w:rPr>
                <w:rFonts w:ascii="Arial" w:hAnsi="Arial" w:cs="Arial"/>
                <w:sz w:val="20"/>
                <w:szCs w:val="20"/>
              </w:rPr>
              <w:t>0.8</w:t>
            </w:r>
          </w:p>
        </w:tc>
        <w:tc>
          <w:tcPr>
            <w:tcW w:w="1418" w:type="dxa"/>
          </w:tcPr>
          <w:p w14:paraId="5F78BC54" w14:textId="77777777" w:rsidR="00505D2E" w:rsidRPr="008F16CA" w:rsidRDefault="00505D2E" w:rsidP="00505D2E">
            <w:pPr>
              <w:spacing w:line="480" w:lineRule="auto"/>
              <w:rPr>
                <w:rFonts w:ascii="Arial" w:hAnsi="Arial" w:cs="Arial"/>
                <w:sz w:val="20"/>
                <w:szCs w:val="20"/>
              </w:rPr>
            </w:pPr>
            <w:r w:rsidRPr="008F16CA">
              <w:rPr>
                <w:rFonts w:ascii="Arial" w:hAnsi="Arial" w:cs="Arial"/>
                <w:sz w:val="20"/>
                <w:szCs w:val="20"/>
              </w:rPr>
              <w:t>0.8</w:t>
            </w:r>
          </w:p>
        </w:tc>
        <w:tc>
          <w:tcPr>
            <w:tcW w:w="1417" w:type="dxa"/>
          </w:tcPr>
          <w:p w14:paraId="35DDD0BC" w14:textId="77777777" w:rsidR="00505D2E" w:rsidRPr="008F16CA" w:rsidRDefault="00505D2E" w:rsidP="00505D2E">
            <w:pPr>
              <w:spacing w:line="480" w:lineRule="auto"/>
              <w:rPr>
                <w:rFonts w:ascii="Arial" w:hAnsi="Arial" w:cs="Arial"/>
                <w:sz w:val="20"/>
                <w:szCs w:val="20"/>
              </w:rPr>
            </w:pPr>
            <w:r w:rsidRPr="008F16CA">
              <w:rPr>
                <w:rFonts w:ascii="Arial" w:hAnsi="Arial" w:cs="Arial"/>
                <w:sz w:val="20"/>
                <w:szCs w:val="20"/>
              </w:rPr>
              <w:t>0.2</w:t>
            </w:r>
          </w:p>
        </w:tc>
        <w:tc>
          <w:tcPr>
            <w:tcW w:w="1276" w:type="dxa"/>
          </w:tcPr>
          <w:p w14:paraId="199D9D8E" w14:textId="77777777" w:rsidR="00505D2E" w:rsidRPr="008F16CA" w:rsidRDefault="00505D2E" w:rsidP="00505D2E">
            <w:pPr>
              <w:spacing w:line="480" w:lineRule="auto"/>
              <w:rPr>
                <w:rFonts w:ascii="Arial" w:hAnsi="Arial" w:cs="Arial"/>
                <w:sz w:val="20"/>
                <w:szCs w:val="20"/>
              </w:rPr>
            </w:pPr>
            <w:r w:rsidRPr="008F16CA">
              <w:rPr>
                <w:rFonts w:ascii="Arial" w:hAnsi="Arial" w:cs="Arial"/>
                <w:sz w:val="20"/>
                <w:szCs w:val="20"/>
              </w:rPr>
              <w:t>80</w:t>
            </w:r>
          </w:p>
        </w:tc>
        <w:tc>
          <w:tcPr>
            <w:tcW w:w="1276" w:type="dxa"/>
          </w:tcPr>
          <w:p w14:paraId="4EB22195" w14:textId="77777777" w:rsidR="00505D2E" w:rsidRPr="008F16CA" w:rsidRDefault="00505D2E" w:rsidP="00505D2E">
            <w:pPr>
              <w:spacing w:line="480" w:lineRule="auto"/>
              <w:rPr>
                <w:rFonts w:ascii="Arial" w:hAnsi="Arial" w:cs="Arial"/>
                <w:sz w:val="20"/>
                <w:szCs w:val="20"/>
              </w:rPr>
            </w:pPr>
            <w:r w:rsidRPr="008F16CA">
              <w:rPr>
                <w:rFonts w:ascii="Arial" w:hAnsi="Arial" w:cs="Arial"/>
                <w:sz w:val="20"/>
                <w:szCs w:val="20"/>
              </w:rPr>
              <w:t>1</w:t>
            </w:r>
          </w:p>
        </w:tc>
        <w:tc>
          <w:tcPr>
            <w:tcW w:w="890" w:type="dxa"/>
          </w:tcPr>
          <w:p w14:paraId="22BF3888" w14:textId="77777777" w:rsidR="00505D2E" w:rsidRPr="008F16CA" w:rsidRDefault="00505D2E" w:rsidP="00505D2E">
            <w:pPr>
              <w:spacing w:line="480" w:lineRule="auto"/>
              <w:rPr>
                <w:rFonts w:ascii="Arial" w:hAnsi="Arial" w:cs="Arial"/>
                <w:sz w:val="20"/>
                <w:szCs w:val="20"/>
              </w:rPr>
            </w:pPr>
            <w:r w:rsidRPr="008F16CA">
              <w:rPr>
                <w:rFonts w:ascii="Arial" w:hAnsi="Arial" w:cs="Arial"/>
                <w:sz w:val="20"/>
                <w:szCs w:val="20"/>
              </w:rPr>
              <w:t>0.40</w:t>
            </w:r>
          </w:p>
        </w:tc>
        <w:tc>
          <w:tcPr>
            <w:tcW w:w="1014" w:type="dxa"/>
          </w:tcPr>
          <w:p w14:paraId="1CE8865C" w14:textId="77777777" w:rsidR="00505D2E" w:rsidRPr="008F16CA" w:rsidRDefault="00505D2E" w:rsidP="00505D2E">
            <w:pPr>
              <w:spacing w:line="480" w:lineRule="auto"/>
              <w:rPr>
                <w:rFonts w:ascii="Arial" w:hAnsi="Arial" w:cs="Arial"/>
                <w:sz w:val="20"/>
                <w:szCs w:val="20"/>
              </w:rPr>
            </w:pPr>
            <w:r w:rsidRPr="008F16CA">
              <w:rPr>
                <w:rFonts w:ascii="Arial" w:hAnsi="Arial" w:cs="Arial"/>
                <w:sz w:val="20"/>
                <w:szCs w:val="20"/>
              </w:rPr>
              <w:t>0.34</w:t>
            </w:r>
          </w:p>
        </w:tc>
      </w:tr>
      <w:tr w:rsidR="00505D2E" w:rsidRPr="008F16CA" w14:paraId="156340AB" w14:textId="77777777" w:rsidTr="00A67EE4">
        <w:tc>
          <w:tcPr>
            <w:tcW w:w="1838" w:type="dxa"/>
          </w:tcPr>
          <w:p w14:paraId="3CD78725" w14:textId="77777777" w:rsidR="00505D2E" w:rsidRPr="008F16CA" w:rsidRDefault="00505D2E" w:rsidP="00505D2E">
            <w:pPr>
              <w:spacing w:line="480" w:lineRule="auto"/>
              <w:rPr>
                <w:rFonts w:ascii="Arial" w:hAnsi="Arial" w:cs="Arial"/>
                <w:sz w:val="20"/>
                <w:szCs w:val="20"/>
              </w:rPr>
            </w:pPr>
            <w:r w:rsidRPr="008F16CA">
              <w:rPr>
                <w:rFonts w:ascii="Arial" w:hAnsi="Arial" w:cs="Arial"/>
                <w:sz w:val="20"/>
                <w:szCs w:val="20"/>
              </w:rPr>
              <w:t>1</w:t>
            </w:r>
          </w:p>
        </w:tc>
        <w:tc>
          <w:tcPr>
            <w:tcW w:w="1418" w:type="dxa"/>
          </w:tcPr>
          <w:p w14:paraId="336870F5" w14:textId="77777777" w:rsidR="00505D2E" w:rsidRPr="008F16CA" w:rsidRDefault="00505D2E" w:rsidP="00505D2E">
            <w:pPr>
              <w:spacing w:line="480" w:lineRule="auto"/>
              <w:rPr>
                <w:rFonts w:ascii="Arial" w:hAnsi="Arial" w:cs="Arial"/>
                <w:sz w:val="20"/>
                <w:szCs w:val="20"/>
              </w:rPr>
            </w:pPr>
            <w:r w:rsidRPr="008F16CA">
              <w:rPr>
                <w:rFonts w:ascii="Arial" w:hAnsi="Arial" w:cs="Arial"/>
                <w:sz w:val="20"/>
                <w:szCs w:val="20"/>
              </w:rPr>
              <w:t>1</w:t>
            </w:r>
          </w:p>
        </w:tc>
        <w:tc>
          <w:tcPr>
            <w:tcW w:w="1417" w:type="dxa"/>
          </w:tcPr>
          <w:p w14:paraId="48C22AAA" w14:textId="77777777" w:rsidR="00505D2E" w:rsidRPr="008F16CA" w:rsidRDefault="00505D2E" w:rsidP="00505D2E">
            <w:pPr>
              <w:spacing w:line="480" w:lineRule="auto"/>
              <w:rPr>
                <w:rFonts w:ascii="Arial" w:hAnsi="Arial" w:cs="Arial"/>
                <w:sz w:val="20"/>
                <w:szCs w:val="20"/>
              </w:rPr>
            </w:pPr>
            <w:r w:rsidRPr="008F16CA">
              <w:rPr>
                <w:rFonts w:ascii="Arial" w:hAnsi="Arial" w:cs="Arial"/>
                <w:sz w:val="20"/>
                <w:szCs w:val="20"/>
              </w:rPr>
              <w:t>-</w:t>
            </w:r>
          </w:p>
        </w:tc>
        <w:tc>
          <w:tcPr>
            <w:tcW w:w="1276" w:type="dxa"/>
          </w:tcPr>
          <w:p w14:paraId="5BEB966B" w14:textId="77777777" w:rsidR="00505D2E" w:rsidRPr="008F16CA" w:rsidRDefault="00505D2E" w:rsidP="00505D2E">
            <w:pPr>
              <w:spacing w:line="480" w:lineRule="auto"/>
              <w:rPr>
                <w:rFonts w:ascii="Arial" w:hAnsi="Arial" w:cs="Arial"/>
                <w:sz w:val="20"/>
                <w:szCs w:val="20"/>
              </w:rPr>
            </w:pPr>
            <w:r w:rsidRPr="008F16CA">
              <w:rPr>
                <w:rFonts w:ascii="Arial" w:hAnsi="Arial" w:cs="Arial"/>
                <w:sz w:val="20"/>
                <w:szCs w:val="20"/>
              </w:rPr>
              <w:t>100</w:t>
            </w:r>
          </w:p>
        </w:tc>
        <w:tc>
          <w:tcPr>
            <w:tcW w:w="1276" w:type="dxa"/>
          </w:tcPr>
          <w:p w14:paraId="77F67ED4" w14:textId="77777777" w:rsidR="00505D2E" w:rsidRPr="008F16CA" w:rsidRDefault="00505D2E" w:rsidP="00505D2E">
            <w:pPr>
              <w:spacing w:line="480" w:lineRule="auto"/>
              <w:rPr>
                <w:rFonts w:ascii="Arial" w:hAnsi="Arial" w:cs="Arial"/>
                <w:sz w:val="20"/>
                <w:szCs w:val="20"/>
              </w:rPr>
            </w:pPr>
            <w:r w:rsidRPr="008F16CA">
              <w:rPr>
                <w:rFonts w:ascii="Arial" w:hAnsi="Arial" w:cs="Arial"/>
                <w:sz w:val="20"/>
                <w:szCs w:val="20"/>
              </w:rPr>
              <w:t>1</w:t>
            </w:r>
          </w:p>
        </w:tc>
        <w:tc>
          <w:tcPr>
            <w:tcW w:w="890" w:type="dxa"/>
          </w:tcPr>
          <w:p w14:paraId="466C83CD" w14:textId="77777777" w:rsidR="00505D2E" w:rsidRPr="008F16CA" w:rsidRDefault="00505D2E" w:rsidP="00505D2E">
            <w:pPr>
              <w:spacing w:line="480" w:lineRule="auto"/>
              <w:rPr>
                <w:rFonts w:ascii="Arial" w:hAnsi="Arial" w:cs="Arial"/>
                <w:sz w:val="20"/>
                <w:szCs w:val="20"/>
              </w:rPr>
            </w:pPr>
            <w:r w:rsidRPr="008F16CA">
              <w:rPr>
                <w:rFonts w:ascii="Arial" w:hAnsi="Arial" w:cs="Arial"/>
                <w:sz w:val="20"/>
                <w:szCs w:val="20"/>
              </w:rPr>
              <w:t>0.48</w:t>
            </w:r>
          </w:p>
        </w:tc>
        <w:tc>
          <w:tcPr>
            <w:tcW w:w="1014" w:type="dxa"/>
          </w:tcPr>
          <w:p w14:paraId="4C0921D2" w14:textId="77777777" w:rsidR="00505D2E" w:rsidRPr="008F16CA" w:rsidRDefault="00505D2E" w:rsidP="00505D2E">
            <w:pPr>
              <w:spacing w:line="480" w:lineRule="auto"/>
              <w:rPr>
                <w:rFonts w:ascii="Arial" w:hAnsi="Arial" w:cs="Arial"/>
                <w:sz w:val="20"/>
                <w:szCs w:val="20"/>
              </w:rPr>
            </w:pPr>
            <w:r w:rsidRPr="008F16CA">
              <w:rPr>
                <w:rFonts w:ascii="Arial" w:hAnsi="Arial" w:cs="Arial"/>
                <w:sz w:val="20"/>
                <w:szCs w:val="20"/>
              </w:rPr>
              <w:t>0.42</w:t>
            </w:r>
          </w:p>
        </w:tc>
      </w:tr>
      <w:tr w:rsidR="00505D2E" w:rsidRPr="008F16CA" w14:paraId="5653F891" w14:textId="77777777" w:rsidTr="00A67EE4">
        <w:tc>
          <w:tcPr>
            <w:tcW w:w="1838" w:type="dxa"/>
          </w:tcPr>
          <w:p w14:paraId="1BB4AF9F" w14:textId="77777777" w:rsidR="00505D2E" w:rsidRPr="008F16CA" w:rsidRDefault="00505D2E" w:rsidP="00505D2E">
            <w:pPr>
              <w:spacing w:line="480" w:lineRule="auto"/>
              <w:rPr>
                <w:rFonts w:ascii="Arial" w:hAnsi="Arial" w:cs="Arial"/>
                <w:i/>
                <w:sz w:val="20"/>
                <w:szCs w:val="20"/>
              </w:rPr>
            </w:pPr>
            <w:r w:rsidRPr="008F16CA">
              <w:rPr>
                <w:rFonts w:ascii="Arial" w:hAnsi="Arial" w:cs="Arial"/>
                <w:i/>
                <w:sz w:val="20"/>
                <w:szCs w:val="20"/>
              </w:rPr>
              <w:t xml:space="preserve">Enterobacter </w:t>
            </w:r>
            <w:proofErr w:type="spellStart"/>
            <w:r w:rsidRPr="008F16CA">
              <w:rPr>
                <w:rFonts w:ascii="Arial" w:hAnsi="Arial" w:cs="Arial"/>
                <w:i/>
                <w:sz w:val="20"/>
                <w:szCs w:val="20"/>
              </w:rPr>
              <w:t>hormaechei</w:t>
            </w:r>
            <w:proofErr w:type="spellEnd"/>
            <w:r w:rsidRPr="008F16CA">
              <w:rPr>
                <w:rFonts w:ascii="Arial" w:hAnsi="Arial" w:cs="Arial"/>
                <w:i/>
                <w:sz w:val="20"/>
                <w:szCs w:val="20"/>
              </w:rPr>
              <w:t xml:space="preserve"> </w:t>
            </w:r>
          </w:p>
        </w:tc>
        <w:tc>
          <w:tcPr>
            <w:tcW w:w="1418" w:type="dxa"/>
          </w:tcPr>
          <w:p w14:paraId="7DC235E2" w14:textId="77777777" w:rsidR="00505D2E" w:rsidRPr="008F16CA" w:rsidRDefault="00505D2E" w:rsidP="00505D2E">
            <w:pPr>
              <w:spacing w:line="480" w:lineRule="auto"/>
              <w:rPr>
                <w:rFonts w:ascii="Arial" w:hAnsi="Arial" w:cs="Arial"/>
                <w:sz w:val="20"/>
                <w:szCs w:val="20"/>
              </w:rPr>
            </w:pPr>
            <w:r w:rsidRPr="008F16CA">
              <w:rPr>
                <w:rFonts w:ascii="Arial" w:hAnsi="Arial" w:cs="Arial"/>
                <w:sz w:val="20"/>
                <w:szCs w:val="20"/>
              </w:rPr>
              <w:t>1</w:t>
            </w:r>
          </w:p>
        </w:tc>
        <w:tc>
          <w:tcPr>
            <w:tcW w:w="1417" w:type="dxa"/>
          </w:tcPr>
          <w:p w14:paraId="1E9A181D" w14:textId="77777777" w:rsidR="00505D2E" w:rsidRPr="008F16CA" w:rsidRDefault="00505D2E" w:rsidP="00505D2E">
            <w:pPr>
              <w:spacing w:line="480" w:lineRule="auto"/>
              <w:rPr>
                <w:rFonts w:ascii="Arial" w:hAnsi="Arial" w:cs="Arial"/>
                <w:sz w:val="20"/>
                <w:szCs w:val="20"/>
              </w:rPr>
            </w:pPr>
            <w:r w:rsidRPr="008F16CA">
              <w:rPr>
                <w:rFonts w:ascii="Arial" w:hAnsi="Arial" w:cs="Arial"/>
                <w:sz w:val="20"/>
                <w:szCs w:val="20"/>
              </w:rPr>
              <w:t>-</w:t>
            </w:r>
          </w:p>
        </w:tc>
        <w:tc>
          <w:tcPr>
            <w:tcW w:w="1276" w:type="dxa"/>
          </w:tcPr>
          <w:p w14:paraId="189BD180" w14:textId="77777777" w:rsidR="00505D2E" w:rsidRPr="008F16CA" w:rsidRDefault="00505D2E" w:rsidP="00505D2E">
            <w:pPr>
              <w:spacing w:line="480" w:lineRule="auto"/>
              <w:rPr>
                <w:rFonts w:ascii="Arial" w:hAnsi="Arial" w:cs="Arial"/>
                <w:sz w:val="20"/>
                <w:szCs w:val="20"/>
              </w:rPr>
            </w:pPr>
          </w:p>
        </w:tc>
        <w:tc>
          <w:tcPr>
            <w:tcW w:w="1276" w:type="dxa"/>
          </w:tcPr>
          <w:p w14:paraId="2CC0E17C" w14:textId="77777777" w:rsidR="00505D2E" w:rsidRPr="008F16CA" w:rsidRDefault="00505D2E" w:rsidP="00505D2E">
            <w:pPr>
              <w:spacing w:line="480" w:lineRule="auto"/>
              <w:rPr>
                <w:rFonts w:ascii="Arial" w:hAnsi="Arial" w:cs="Arial"/>
                <w:sz w:val="20"/>
                <w:szCs w:val="20"/>
              </w:rPr>
            </w:pPr>
            <w:r w:rsidRPr="008F16CA">
              <w:rPr>
                <w:rFonts w:ascii="Arial" w:hAnsi="Arial" w:cs="Arial"/>
                <w:sz w:val="20"/>
                <w:szCs w:val="20"/>
              </w:rPr>
              <w:t>1</w:t>
            </w:r>
          </w:p>
        </w:tc>
        <w:tc>
          <w:tcPr>
            <w:tcW w:w="890" w:type="dxa"/>
          </w:tcPr>
          <w:p w14:paraId="7E971E8C" w14:textId="77777777" w:rsidR="00505D2E" w:rsidRPr="008F16CA" w:rsidRDefault="00505D2E" w:rsidP="00505D2E">
            <w:pPr>
              <w:spacing w:line="480" w:lineRule="auto"/>
              <w:rPr>
                <w:rFonts w:ascii="Arial" w:hAnsi="Arial" w:cs="Arial"/>
                <w:sz w:val="20"/>
                <w:szCs w:val="20"/>
              </w:rPr>
            </w:pPr>
            <w:r w:rsidRPr="008F16CA">
              <w:rPr>
                <w:rFonts w:ascii="Arial" w:hAnsi="Arial" w:cs="Arial"/>
                <w:sz w:val="20"/>
                <w:szCs w:val="20"/>
              </w:rPr>
              <w:t>0.14</w:t>
            </w:r>
          </w:p>
        </w:tc>
        <w:tc>
          <w:tcPr>
            <w:tcW w:w="1014" w:type="dxa"/>
          </w:tcPr>
          <w:p w14:paraId="067BCC29" w14:textId="77777777" w:rsidR="00505D2E" w:rsidRPr="008F16CA" w:rsidRDefault="00505D2E" w:rsidP="00505D2E">
            <w:pPr>
              <w:spacing w:line="480" w:lineRule="auto"/>
              <w:rPr>
                <w:rFonts w:ascii="Arial" w:hAnsi="Arial" w:cs="Arial"/>
                <w:sz w:val="20"/>
                <w:szCs w:val="20"/>
              </w:rPr>
            </w:pPr>
            <w:r w:rsidRPr="008F16CA">
              <w:rPr>
                <w:rFonts w:ascii="Arial" w:hAnsi="Arial" w:cs="Arial"/>
                <w:sz w:val="20"/>
                <w:szCs w:val="20"/>
              </w:rPr>
              <w:t>0.08</w:t>
            </w:r>
          </w:p>
        </w:tc>
      </w:tr>
      <w:tr w:rsidR="00505D2E" w:rsidRPr="008F16CA" w14:paraId="10106D85" w14:textId="77777777" w:rsidTr="00A67EE4">
        <w:tc>
          <w:tcPr>
            <w:tcW w:w="1838" w:type="dxa"/>
          </w:tcPr>
          <w:p w14:paraId="6E73AAF0" w14:textId="77777777" w:rsidR="00505D2E" w:rsidRPr="008F16CA" w:rsidRDefault="00505D2E" w:rsidP="00505D2E">
            <w:pPr>
              <w:spacing w:line="480" w:lineRule="auto"/>
              <w:rPr>
                <w:rFonts w:ascii="Arial" w:hAnsi="Arial" w:cs="Arial"/>
                <w:i/>
                <w:sz w:val="20"/>
                <w:szCs w:val="20"/>
              </w:rPr>
            </w:pPr>
            <w:r w:rsidRPr="008F16CA">
              <w:rPr>
                <w:rFonts w:ascii="Arial" w:hAnsi="Arial" w:cs="Arial"/>
                <w:i/>
                <w:sz w:val="20"/>
                <w:szCs w:val="20"/>
              </w:rPr>
              <w:t xml:space="preserve">B. flexus </w:t>
            </w:r>
          </w:p>
        </w:tc>
        <w:tc>
          <w:tcPr>
            <w:tcW w:w="1418" w:type="dxa"/>
          </w:tcPr>
          <w:p w14:paraId="6671B857" w14:textId="77777777" w:rsidR="00505D2E" w:rsidRPr="008F16CA" w:rsidRDefault="00505D2E" w:rsidP="00505D2E">
            <w:pPr>
              <w:spacing w:line="480" w:lineRule="auto"/>
              <w:rPr>
                <w:rFonts w:ascii="Arial" w:hAnsi="Arial" w:cs="Arial"/>
                <w:sz w:val="20"/>
                <w:szCs w:val="20"/>
              </w:rPr>
            </w:pPr>
            <w:r w:rsidRPr="008F16CA">
              <w:rPr>
                <w:rFonts w:ascii="Arial" w:hAnsi="Arial" w:cs="Arial"/>
                <w:sz w:val="20"/>
                <w:szCs w:val="20"/>
              </w:rPr>
              <w:t>1</w:t>
            </w:r>
          </w:p>
        </w:tc>
        <w:tc>
          <w:tcPr>
            <w:tcW w:w="1417" w:type="dxa"/>
          </w:tcPr>
          <w:p w14:paraId="33B9C4E3" w14:textId="77777777" w:rsidR="00505D2E" w:rsidRPr="008F16CA" w:rsidRDefault="00505D2E" w:rsidP="00505D2E">
            <w:pPr>
              <w:spacing w:line="480" w:lineRule="auto"/>
              <w:rPr>
                <w:rFonts w:ascii="Arial" w:hAnsi="Arial" w:cs="Arial"/>
                <w:sz w:val="20"/>
                <w:szCs w:val="20"/>
              </w:rPr>
            </w:pPr>
            <w:r w:rsidRPr="008F16CA">
              <w:rPr>
                <w:rFonts w:ascii="Arial" w:hAnsi="Arial" w:cs="Arial"/>
                <w:sz w:val="20"/>
                <w:szCs w:val="20"/>
              </w:rPr>
              <w:t>-</w:t>
            </w:r>
          </w:p>
        </w:tc>
        <w:tc>
          <w:tcPr>
            <w:tcW w:w="1276" w:type="dxa"/>
          </w:tcPr>
          <w:p w14:paraId="78C305CA" w14:textId="77777777" w:rsidR="00505D2E" w:rsidRPr="008F16CA" w:rsidRDefault="00505D2E" w:rsidP="00505D2E">
            <w:pPr>
              <w:spacing w:line="480" w:lineRule="auto"/>
              <w:rPr>
                <w:rFonts w:ascii="Arial" w:hAnsi="Arial" w:cs="Arial"/>
                <w:sz w:val="20"/>
                <w:szCs w:val="20"/>
              </w:rPr>
            </w:pPr>
          </w:p>
        </w:tc>
        <w:tc>
          <w:tcPr>
            <w:tcW w:w="1276" w:type="dxa"/>
          </w:tcPr>
          <w:p w14:paraId="6CC2019A" w14:textId="77777777" w:rsidR="00505D2E" w:rsidRPr="008F16CA" w:rsidRDefault="00505D2E" w:rsidP="00505D2E">
            <w:pPr>
              <w:spacing w:line="480" w:lineRule="auto"/>
              <w:rPr>
                <w:rFonts w:ascii="Arial" w:hAnsi="Arial" w:cs="Arial"/>
                <w:sz w:val="20"/>
                <w:szCs w:val="20"/>
              </w:rPr>
            </w:pPr>
            <w:r w:rsidRPr="008F16CA">
              <w:rPr>
                <w:rFonts w:ascii="Arial" w:hAnsi="Arial" w:cs="Arial"/>
                <w:sz w:val="20"/>
                <w:szCs w:val="20"/>
              </w:rPr>
              <w:t>1</w:t>
            </w:r>
          </w:p>
        </w:tc>
        <w:tc>
          <w:tcPr>
            <w:tcW w:w="890" w:type="dxa"/>
          </w:tcPr>
          <w:p w14:paraId="69C46E73" w14:textId="77777777" w:rsidR="00505D2E" w:rsidRPr="008F16CA" w:rsidRDefault="00505D2E" w:rsidP="00505D2E">
            <w:pPr>
              <w:spacing w:line="480" w:lineRule="auto"/>
              <w:rPr>
                <w:rFonts w:ascii="Arial" w:hAnsi="Arial" w:cs="Arial"/>
                <w:sz w:val="20"/>
                <w:szCs w:val="20"/>
              </w:rPr>
            </w:pPr>
            <w:r w:rsidRPr="008F16CA">
              <w:rPr>
                <w:rFonts w:ascii="Arial" w:hAnsi="Arial" w:cs="Arial"/>
                <w:sz w:val="20"/>
                <w:szCs w:val="20"/>
              </w:rPr>
              <w:t>0.19</w:t>
            </w:r>
          </w:p>
        </w:tc>
        <w:tc>
          <w:tcPr>
            <w:tcW w:w="1014" w:type="dxa"/>
          </w:tcPr>
          <w:p w14:paraId="2FCE1535" w14:textId="77777777" w:rsidR="00505D2E" w:rsidRPr="008F16CA" w:rsidRDefault="00505D2E" w:rsidP="00505D2E">
            <w:pPr>
              <w:spacing w:line="480" w:lineRule="auto"/>
              <w:rPr>
                <w:rFonts w:ascii="Arial" w:hAnsi="Arial" w:cs="Arial"/>
                <w:sz w:val="20"/>
                <w:szCs w:val="20"/>
              </w:rPr>
            </w:pPr>
            <w:r w:rsidRPr="008F16CA">
              <w:rPr>
                <w:rFonts w:ascii="Arial" w:hAnsi="Arial" w:cs="Arial"/>
                <w:sz w:val="20"/>
                <w:szCs w:val="20"/>
              </w:rPr>
              <w:t>0.13</w:t>
            </w:r>
          </w:p>
        </w:tc>
      </w:tr>
      <w:tr w:rsidR="00505D2E" w:rsidRPr="008F16CA" w14:paraId="3568AE16" w14:textId="77777777" w:rsidTr="00A67EE4">
        <w:tc>
          <w:tcPr>
            <w:tcW w:w="1838" w:type="dxa"/>
          </w:tcPr>
          <w:p w14:paraId="614643EF" w14:textId="77777777" w:rsidR="00505D2E" w:rsidRPr="008F16CA" w:rsidRDefault="00494DC3" w:rsidP="00505D2E">
            <w:pPr>
              <w:spacing w:line="480" w:lineRule="auto"/>
              <w:rPr>
                <w:rFonts w:ascii="Arial" w:hAnsi="Arial" w:cs="Arial"/>
                <w:i/>
                <w:sz w:val="20"/>
                <w:szCs w:val="20"/>
              </w:rPr>
            </w:pPr>
            <w:proofErr w:type="spellStart"/>
            <w:proofErr w:type="gramStart"/>
            <w:r w:rsidRPr="008F16CA">
              <w:rPr>
                <w:rFonts w:ascii="Arial" w:hAnsi="Arial" w:cs="Arial"/>
                <w:i/>
                <w:sz w:val="20"/>
                <w:szCs w:val="20"/>
              </w:rPr>
              <w:t>B.</w:t>
            </w:r>
            <w:r w:rsidR="00505D2E" w:rsidRPr="008F16CA">
              <w:rPr>
                <w:rFonts w:ascii="Arial" w:hAnsi="Arial" w:cs="Arial"/>
                <w:i/>
                <w:sz w:val="20"/>
                <w:szCs w:val="20"/>
              </w:rPr>
              <w:t>amyloliquefaciens</w:t>
            </w:r>
            <w:proofErr w:type="spellEnd"/>
            <w:proofErr w:type="gramEnd"/>
          </w:p>
        </w:tc>
        <w:tc>
          <w:tcPr>
            <w:tcW w:w="1418" w:type="dxa"/>
          </w:tcPr>
          <w:p w14:paraId="5FA8FFA3" w14:textId="77777777" w:rsidR="00505D2E" w:rsidRPr="008F16CA" w:rsidRDefault="00505D2E" w:rsidP="00505D2E">
            <w:pPr>
              <w:spacing w:line="480" w:lineRule="auto"/>
              <w:rPr>
                <w:rFonts w:ascii="Arial" w:hAnsi="Arial" w:cs="Arial"/>
                <w:sz w:val="20"/>
                <w:szCs w:val="20"/>
              </w:rPr>
            </w:pPr>
            <w:r w:rsidRPr="008F16CA">
              <w:rPr>
                <w:rFonts w:ascii="Arial" w:hAnsi="Arial" w:cs="Arial"/>
                <w:sz w:val="20"/>
                <w:szCs w:val="20"/>
              </w:rPr>
              <w:t>1</w:t>
            </w:r>
          </w:p>
        </w:tc>
        <w:tc>
          <w:tcPr>
            <w:tcW w:w="1417" w:type="dxa"/>
          </w:tcPr>
          <w:p w14:paraId="71640BEB" w14:textId="77777777" w:rsidR="00505D2E" w:rsidRPr="008F16CA" w:rsidRDefault="00505D2E" w:rsidP="00505D2E">
            <w:pPr>
              <w:spacing w:line="480" w:lineRule="auto"/>
              <w:rPr>
                <w:rFonts w:ascii="Arial" w:hAnsi="Arial" w:cs="Arial"/>
                <w:sz w:val="20"/>
                <w:szCs w:val="20"/>
              </w:rPr>
            </w:pPr>
            <w:r w:rsidRPr="008F16CA">
              <w:rPr>
                <w:rFonts w:ascii="Arial" w:hAnsi="Arial" w:cs="Arial"/>
                <w:sz w:val="20"/>
                <w:szCs w:val="20"/>
              </w:rPr>
              <w:t>-</w:t>
            </w:r>
          </w:p>
        </w:tc>
        <w:tc>
          <w:tcPr>
            <w:tcW w:w="1276" w:type="dxa"/>
          </w:tcPr>
          <w:p w14:paraId="262A324E" w14:textId="77777777" w:rsidR="00505D2E" w:rsidRPr="008F16CA" w:rsidRDefault="00505D2E" w:rsidP="00505D2E">
            <w:pPr>
              <w:spacing w:line="480" w:lineRule="auto"/>
              <w:rPr>
                <w:rFonts w:ascii="Arial" w:hAnsi="Arial" w:cs="Arial"/>
                <w:sz w:val="20"/>
                <w:szCs w:val="20"/>
              </w:rPr>
            </w:pPr>
          </w:p>
        </w:tc>
        <w:tc>
          <w:tcPr>
            <w:tcW w:w="1276" w:type="dxa"/>
          </w:tcPr>
          <w:p w14:paraId="3BD89E99" w14:textId="77777777" w:rsidR="00505D2E" w:rsidRPr="008F16CA" w:rsidRDefault="00505D2E" w:rsidP="00505D2E">
            <w:pPr>
              <w:spacing w:line="480" w:lineRule="auto"/>
              <w:rPr>
                <w:rFonts w:ascii="Arial" w:hAnsi="Arial" w:cs="Arial"/>
                <w:sz w:val="20"/>
                <w:szCs w:val="20"/>
              </w:rPr>
            </w:pPr>
          </w:p>
        </w:tc>
        <w:tc>
          <w:tcPr>
            <w:tcW w:w="890" w:type="dxa"/>
          </w:tcPr>
          <w:p w14:paraId="00491945" w14:textId="77777777" w:rsidR="00505D2E" w:rsidRPr="008F16CA" w:rsidRDefault="00505D2E" w:rsidP="00505D2E">
            <w:pPr>
              <w:spacing w:line="480" w:lineRule="auto"/>
              <w:rPr>
                <w:rFonts w:ascii="Arial" w:hAnsi="Arial" w:cs="Arial"/>
                <w:sz w:val="20"/>
                <w:szCs w:val="20"/>
              </w:rPr>
            </w:pPr>
            <w:r w:rsidRPr="008F16CA">
              <w:rPr>
                <w:rFonts w:ascii="Arial" w:hAnsi="Arial" w:cs="Arial"/>
                <w:sz w:val="20"/>
                <w:szCs w:val="20"/>
              </w:rPr>
              <w:t>0.18</w:t>
            </w:r>
          </w:p>
        </w:tc>
        <w:tc>
          <w:tcPr>
            <w:tcW w:w="1014" w:type="dxa"/>
          </w:tcPr>
          <w:p w14:paraId="0F5B1CB3" w14:textId="77777777" w:rsidR="00505D2E" w:rsidRPr="008F16CA" w:rsidRDefault="00505D2E" w:rsidP="00505D2E">
            <w:pPr>
              <w:spacing w:line="480" w:lineRule="auto"/>
              <w:rPr>
                <w:rFonts w:ascii="Arial" w:hAnsi="Arial" w:cs="Arial"/>
                <w:sz w:val="20"/>
                <w:szCs w:val="20"/>
              </w:rPr>
            </w:pPr>
            <w:r w:rsidRPr="008F16CA">
              <w:rPr>
                <w:rFonts w:ascii="Arial" w:hAnsi="Arial" w:cs="Arial"/>
                <w:sz w:val="20"/>
                <w:szCs w:val="20"/>
              </w:rPr>
              <w:t>0.12</w:t>
            </w:r>
          </w:p>
        </w:tc>
      </w:tr>
    </w:tbl>
    <w:p w14:paraId="0BEB4689" w14:textId="77777777" w:rsidR="00505D2E" w:rsidRPr="008F16CA" w:rsidRDefault="00C64E53" w:rsidP="00DC2463">
      <w:pPr>
        <w:pStyle w:val="NormalWeb"/>
        <w:jc w:val="both"/>
        <w:rPr>
          <w:rFonts w:ascii="Arial" w:hAnsi="Arial" w:cs="Arial"/>
          <w:b/>
          <w:sz w:val="20"/>
          <w:szCs w:val="20"/>
        </w:rPr>
      </w:pPr>
      <w:r w:rsidRPr="008F16CA">
        <w:rPr>
          <w:rFonts w:ascii="Arial" w:hAnsi="Arial" w:cs="Arial"/>
          <w:b/>
          <w:sz w:val="20"/>
          <w:szCs w:val="20"/>
        </w:rPr>
        <w:t xml:space="preserve">Quantitative estimation of extracellular cellulase activity of </w:t>
      </w:r>
      <w:r w:rsidRPr="008F16CA">
        <w:rPr>
          <w:rStyle w:val="Emphasis"/>
          <w:rFonts w:ascii="Arial" w:hAnsi="Arial" w:cs="Arial"/>
          <w:b/>
          <w:sz w:val="20"/>
          <w:szCs w:val="20"/>
        </w:rPr>
        <w:t xml:space="preserve">Enterobacter </w:t>
      </w:r>
      <w:proofErr w:type="spellStart"/>
      <w:r w:rsidRPr="008F16CA">
        <w:rPr>
          <w:rStyle w:val="Emphasis"/>
          <w:rFonts w:ascii="Arial" w:hAnsi="Arial" w:cs="Arial"/>
          <w:b/>
          <w:sz w:val="20"/>
          <w:szCs w:val="20"/>
        </w:rPr>
        <w:t>hormaechei</w:t>
      </w:r>
      <w:proofErr w:type="spellEnd"/>
      <w:r w:rsidRPr="008F16CA">
        <w:rPr>
          <w:rFonts w:ascii="Arial" w:hAnsi="Arial" w:cs="Arial"/>
          <w:b/>
          <w:sz w:val="20"/>
          <w:szCs w:val="20"/>
        </w:rPr>
        <w:t xml:space="preserve">, </w:t>
      </w:r>
      <w:r w:rsidRPr="008F16CA">
        <w:rPr>
          <w:rStyle w:val="Emphasis"/>
          <w:rFonts w:ascii="Arial" w:hAnsi="Arial" w:cs="Arial"/>
          <w:b/>
          <w:sz w:val="20"/>
          <w:szCs w:val="20"/>
        </w:rPr>
        <w:t>Bacillus flexus</w:t>
      </w:r>
      <w:r w:rsidRPr="008F16CA">
        <w:rPr>
          <w:rFonts w:ascii="Arial" w:hAnsi="Arial" w:cs="Arial"/>
          <w:b/>
          <w:sz w:val="20"/>
          <w:szCs w:val="20"/>
        </w:rPr>
        <w:t xml:space="preserve">, and </w:t>
      </w:r>
      <w:r w:rsidRPr="008F16CA">
        <w:rPr>
          <w:rStyle w:val="Emphasis"/>
          <w:rFonts w:ascii="Arial" w:hAnsi="Arial" w:cs="Arial"/>
          <w:b/>
          <w:sz w:val="20"/>
          <w:szCs w:val="20"/>
        </w:rPr>
        <w:t xml:space="preserve">Bacillus </w:t>
      </w:r>
      <w:proofErr w:type="spellStart"/>
      <w:r w:rsidRPr="008F16CA">
        <w:rPr>
          <w:rStyle w:val="Emphasis"/>
          <w:rFonts w:ascii="Arial" w:hAnsi="Arial" w:cs="Arial"/>
          <w:b/>
          <w:sz w:val="20"/>
          <w:szCs w:val="20"/>
        </w:rPr>
        <w:t>amyloliquefaciens</w:t>
      </w:r>
      <w:proofErr w:type="spellEnd"/>
      <w:r w:rsidRPr="008F16CA">
        <w:rPr>
          <w:rFonts w:ascii="Arial" w:hAnsi="Arial" w:cs="Arial"/>
          <w:b/>
          <w:sz w:val="20"/>
          <w:szCs w:val="20"/>
        </w:rPr>
        <w:t xml:space="preserve"> determined by the </w:t>
      </w:r>
      <w:proofErr w:type="spellStart"/>
      <w:r w:rsidRPr="008F16CA">
        <w:rPr>
          <w:rFonts w:ascii="Arial" w:hAnsi="Arial" w:cs="Arial"/>
          <w:b/>
          <w:sz w:val="20"/>
          <w:szCs w:val="20"/>
        </w:rPr>
        <w:t>dinitrosalicylic</w:t>
      </w:r>
      <w:proofErr w:type="spellEnd"/>
      <w:r w:rsidRPr="008F16CA">
        <w:rPr>
          <w:rFonts w:ascii="Arial" w:hAnsi="Arial" w:cs="Arial"/>
          <w:b/>
          <w:sz w:val="20"/>
          <w:szCs w:val="20"/>
        </w:rPr>
        <w:t xml:space="preserve"> acid (DNS) assay using glucose as the standard.</w:t>
      </w:r>
    </w:p>
    <w:p w14:paraId="5BFDB8D4" w14:textId="77777777" w:rsidR="00C64E53" w:rsidRPr="008F16CA" w:rsidRDefault="00C64E53" w:rsidP="00DC2463">
      <w:pPr>
        <w:pStyle w:val="NormalWeb"/>
        <w:spacing w:line="360" w:lineRule="auto"/>
        <w:jc w:val="both"/>
        <w:rPr>
          <w:rFonts w:ascii="Arial" w:hAnsi="Arial" w:cs="Arial"/>
          <w:sz w:val="20"/>
          <w:szCs w:val="20"/>
        </w:rPr>
      </w:pPr>
      <w:r w:rsidRPr="008F16CA">
        <w:rPr>
          <w:rFonts w:ascii="Arial" w:eastAsia="Arial" w:hAnsi="Arial"/>
          <w:sz w:val="20"/>
        </w:rPr>
        <w:t xml:space="preserve">The extracellular cellulase activity of the bacterial endophytic isolates was evaluated using the dinitrosalicylic acid (DNS) assay with glucose as the standard. </w:t>
      </w:r>
      <w:r w:rsidRPr="008F16CA">
        <w:rPr>
          <w:rFonts w:ascii="Arial" w:eastAsia="Arial" w:hAnsi="Arial"/>
          <w:i/>
          <w:sz w:val="20"/>
        </w:rPr>
        <w:t>Enterobacter hormaechei</w:t>
      </w:r>
      <w:r w:rsidRPr="008F16CA">
        <w:rPr>
          <w:rFonts w:ascii="Arial" w:eastAsia="Arial" w:hAnsi="Arial"/>
          <w:sz w:val="20"/>
        </w:rPr>
        <w:t xml:space="preserve">, </w:t>
      </w:r>
      <w:r w:rsidRPr="008F16CA">
        <w:rPr>
          <w:rFonts w:ascii="Arial" w:eastAsia="Arial" w:hAnsi="Arial"/>
          <w:i/>
          <w:sz w:val="20"/>
        </w:rPr>
        <w:t>Bacillus flexus</w:t>
      </w:r>
      <w:r w:rsidRPr="008F16CA">
        <w:rPr>
          <w:rFonts w:ascii="Arial" w:eastAsia="Arial" w:hAnsi="Arial"/>
          <w:sz w:val="20"/>
        </w:rPr>
        <w:t xml:space="preserve">, and </w:t>
      </w:r>
      <w:r w:rsidRPr="008F16CA">
        <w:rPr>
          <w:rFonts w:ascii="Arial" w:eastAsia="Arial" w:hAnsi="Arial"/>
          <w:i/>
          <w:sz w:val="20"/>
        </w:rPr>
        <w:t>Bacillus amyloliquefaciens</w:t>
      </w:r>
      <w:r w:rsidRPr="008F16CA">
        <w:rPr>
          <w:rFonts w:ascii="Arial" w:eastAsia="Arial" w:hAnsi="Arial"/>
          <w:sz w:val="20"/>
        </w:rPr>
        <w:t xml:space="preserve"> exhibited cellulase activity, with variation in net optical density indicating differences in cellulolytic activity among the isolates (Figure 3).</w:t>
      </w:r>
    </w:p>
    <w:p w14:paraId="2FA88CA9" w14:textId="77777777" w:rsidR="009A5E8E" w:rsidRPr="008F16CA" w:rsidRDefault="009A5E8E" w:rsidP="00DC2463">
      <w:pPr>
        <w:pStyle w:val="NormalWeb"/>
        <w:spacing w:line="360" w:lineRule="auto"/>
        <w:jc w:val="both"/>
        <w:rPr>
          <w:rFonts w:ascii="Arial" w:hAnsi="Arial" w:cs="Arial"/>
          <w:b/>
          <w:sz w:val="22"/>
          <w:szCs w:val="22"/>
        </w:rPr>
      </w:pPr>
      <w:r w:rsidRPr="008F16CA">
        <w:rPr>
          <w:rFonts w:ascii="Arial" w:hAnsi="Arial" w:cs="Arial"/>
          <w:b/>
          <w:sz w:val="22"/>
          <w:szCs w:val="22"/>
        </w:rPr>
        <w:t xml:space="preserve">Figure </w:t>
      </w:r>
      <w:proofErr w:type="gramStart"/>
      <w:r w:rsidRPr="008F16CA">
        <w:rPr>
          <w:rFonts w:ascii="Arial" w:hAnsi="Arial" w:cs="Arial"/>
          <w:b/>
          <w:sz w:val="22"/>
          <w:szCs w:val="22"/>
        </w:rPr>
        <w:t>3.Standard</w:t>
      </w:r>
      <w:proofErr w:type="gramEnd"/>
      <w:r w:rsidRPr="008F16CA">
        <w:rPr>
          <w:rFonts w:ascii="Arial" w:hAnsi="Arial" w:cs="Arial"/>
          <w:b/>
          <w:sz w:val="22"/>
          <w:szCs w:val="22"/>
        </w:rPr>
        <w:t xml:space="preserve"> glucose calibration curve and extracellular cellulase activity of bacterial endophytes determined using the DNS assay.</w:t>
      </w:r>
    </w:p>
    <w:p w14:paraId="7028FB98" w14:textId="77777777" w:rsidR="00C64E53" w:rsidRPr="008F16CA" w:rsidRDefault="00C64E53" w:rsidP="00DC2463">
      <w:pPr>
        <w:pStyle w:val="NormalWeb"/>
        <w:spacing w:line="360" w:lineRule="auto"/>
        <w:jc w:val="both"/>
        <w:rPr>
          <w:rFonts w:ascii="Arial" w:hAnsi="Arial" w:cs="Arial"/>
          <w:b/>
          <w:color w:val="000000" w:themeColor="text1"/>
          <w:sz w:val="22"/>
          <w:szCs w:val="22"/>
        </w:rPr>
      </w:pPr>
      <w:r w:rsidRPr="008F16CA">
        <w:rPr>
          <w:rFonts w:ascii="Arial" w:hAnsi="Arial" w:cs="Arial"/>
          <w:b/>
          <w:noProof/>
          <w:color w:val="000000" w:themeColor="text1"/>
          <w:sz w:val="22"/>
          <w:szCs w:val="22"/>
        </w:rPr>
        <w:lastRenderedPageBreak/>
        <w:drawing>
          <wp:inline distT="0" distB="0" distL="0" distR="0" wp14:anchorId="18DC7BA8" wp14:editId="5D808F22">
            <wp:extent cx="5731510" cy="4587240"/>
            <wp:effectExtent l="38100" t="57150" r="116840" b="99060"/>
            <wp:docPr id="11" name="Picture 10" descr="Cellulase_Graph_Thesis_Sty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llulase_Graph_Thesis_Style.png"/>
                    <pic:cNvPicPr/>
                  </pic:nvPicPr>
                  <pic:blipFill>
                    <a:blip r:embed="rId9" cstate="print"/>
                    <a:stretch>
                      <a:fillRect/>
                    </a:stretch>
                  </pic:blipFill>
                  <pic:spPr>
                    <a:xfrm>
                      <a:off x="0" y="0"/>
                      <a:ext cx="5731510" cy="45872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F48EC01" w14:textId="77777777" w:rsidR="00191028" w:rsidRPr="008F16CA" w:rsidRDefault="009A5E8E" w:rsidP="00505D2E">
      <w:pPr>
        <w:pStyle w:val="NormalWeb"/>
        <w:jc w:val="both"/>
        <w:rPr>
          <w:rStyle w:val="Strong"/>
          <w:rFonts w:ascii="Arial" w:hAnsi="Arial" w:cs="Arial"/>
          <w:b w:val="0"/>
          <w:sz w:val="20"/>
          <w:szCs w:val="20"/>
        </w:rPr>
      </w:pPr>
      <w:r w:rsidRPr="008F16CA">
        <w:rPr>
          <w:rFonts w:ascii="Arial" w:hAnsi="Arial" w:cs="Arial"/>
          <w:b/>
          <w:sz w:val="20"/>
          <w:szCs w:val="20"/>
        </w:rPr>
        <w:t xml:space="preserve">Comparative extracellular cellulase activity of </w:t>
      </w:r>
      <w:r w:rsidRPr="008F16CA">
        <w:rPr>
          <w:rStyle w:val="Emphasis"/>
          <w:rFonts w:ascii="Arial" w:hAnsi="Arial" w:cs="Arial"/>
          <w:b/>
          <w:sz w:val="20"/>
          <w:szCs w:val="20"/>
        </w:rPr>
        <w:t xml:space="preserve">Enterobacter </w:t>
      </w:r>
      <w:proofErr w:type="spellStart"/>
      <w:r w:rsidRPr="008F16CA">
        <w:rPr>
          <w:rStyle w:val="Emphasis"/>
          <w:rFonts w:ascii="Arial" w:hAnsi="Arial" w:cs="Arial"/>
          <w:b/>
          <w:sz w:val="20"/>
          <w:szCs w:val="20"/>
        </w:rPr>
        <w:t>hormaechei</w:t>
      </w:r>
      <w:proofErr w:type="spellEnd"/>
      <w:r w:rsidRPr="008F16CA">
        <w:rPr>
          <w:rFonts w:ascii="Arial" w:hAnsi="Arial" w:cs="Arial"/>
          <w:b/>
          <w:sz w:val="20"/>
          <w:szCs w:val="20"/>
        </w:rPr>
        <w:t xml:space="preserve">, </w:t>
      </w:r>
      <w:r w:rsidRPr="008F16CA">
        <w:rPr>
          <w:rStyle w:val="Emphasis"/>
          <w:rFonts w:ascii="Arial" w:hAnsi="Arial" w:cs="Arial"/>
          <w:b/>
          <w:sz w:val="20"/>
          <w:szCs w:val="20"/>
        </w:rPr>
        <w:t>Bacillus flexus</w:t>
      </w:r>
      <w:r w:rsidRPr="008F16CA">
        <w:rPr>
          <w:rFonts w:ascii="Arial" w:hAnsi="Arial" w:cs="Arial"/>
          <w:b/>
          <w:sz w:val="20"/>
          <w:szCs w:val="20"/>
        </w:rPr>
        <w:t xml:space="preserve">, and </w:t>
      </w:r>
      <w:r w:rsidRPr="008F16CA">
        <w:rPr>
          <w:rStyle w:val="Emphasis"/>
          <w:rFonts w:ascii="Arial" w:hAnsi="Arial" w:cs="Arial"/>
          <w:b/>
          <w:sz w:val="20"/>
          <w:szCs w:val="20"/>
        </w:rPr>
        <w:t xml:space="preserve">Bacillus </w:t>
      </w:r>
      <w:proofErr w:type="spellStart"/>
      <w:r w:rsidRPr="008F16CA">
        <w:rPr>
          <w:rStyle w:val="Emphasis"/>
          <w:rFonts w:ascii="Arial" w:hAnsi="Arial" w:cs="Arial"/>
          <w:b/>
          <w:sz w:val="20"/>
          <w:szCs w:val="20"/>
        </w:rPr>
        <w:t>amyloliquefaciens</w:t>
      </w:r>
      <w:proofErr w:type="spellEnd"/>
      <w:r w:rsidRPr="008F16CA">
        <w:rPr>
          <w:rFonts w:ascii="Arial" w:hAnsi="Arial" w:cs="Arial"/>
          <w:b/>
          <w:sz w:val="20"/>
          <w:szCs w:val="20"/>
        </w:rPr>
        <w:t xml:space="preserve"> determined by the </w:t>
      </w:r>
      <w:proofErr w:type="spellStart"/>
      <w:r w:rsidRPr="008F16CA">
        <w:rPr>
          <w:rFonts w:ascii="Arial" w:hAnsi="Arial" w:cs="Arial"/>
          <w:b/>
          <w:sz w:val="20"/>
          <w:szCs w:val="20"/>
        </w:rPr>
        <w:t>dinitrosalicylic</w:t>
      </w:r>
      <w:proofErr w:type="spellEnd"/>
      <w:r w:rsidRPr="008F16CA">
        <w:rPr>
          <w:rFonts w:ascii="Arial" w:hAnsi="Arial" w:cs="Arial"/>
          <w:b/>
          <w:sz w:val="20"/>
          <w:szCs w:val="20"/>
        </w:rPr>
        <w:t xml:space="preserve"> acid (DNS) assay using glucose as the standard.</w:t>
      </w:r>
    </w:p>
    <w:p w14:paraId="5B92D0E2" w14:textId="77777777" w:rsidR="009A5E8E" w:rsidRPr="008F16CA" w:rsidRDefault="009A5E8E" w:rsidP="009A5E8E">
      <w:pPr>
        <w:pStyle w:val="NormalWeb"/>
        <w:jc w:val="both"/>
        <w:rPr>
          <w:rFonts w:ascii="Arial" w:hAnsi="Arial" w:cs="Arial"/>
          <w:sz w:val="20"/>
          <w:szCs w:val="20"/>
        </w:rPr>
      </w:pPr>
      <w:r w:rsidRPr="008F16CA">
        <w:rPr>
          <w:rFonts w:ascii="Arial" w:eastAsia="Arial" w:hAnsi="Arial"/>
          <w:sz w:val="20"/>
        </w:rPr>
        <w:t xml:space="preserve">The extracellular lipase activity of the bacterial endophytic isolates was evaluated using the olive oil emulsion titration method. </w:t>
      </w:r>
      <w:r w:rsidRPr="008F16CA">
        <w:rPr>
          <w:rFonts w:ascii="Arial" w:eastAsia="Arial" w:hAnsi="Arial"/>
          <w:i/>
          <w:sz w:val="20"/>
        </w:rPr>
        <w:t>Enterobacter hormaechei</w:t>
      </w:r>
      <w:r w:rsidRPr="008F16CA">
        <w:rPr>
          <w:rFonts w:ascii="Arial" w:eastAsia="Arial" w:hAnsi="Arial"/>
          <w:sz w:val="20"/>
        </w:rPr>
        <w:t xml:space="preserve">, </w:t>
      </w:r>
      <w:r w:rsidRPr="008F16CA">
        <w:rPr>
          <w:rFonts w:ascii="Arial" w:eastAsia="Arial" w:hAnsi="Arial"/>
          <w:i/>
          <w:sz w:val="20"/>
        </w:rPr>
        <w:t>Bacillus flexus</w:t>
      </w:r>
      <w:r w:rsidRPr="008F16CA">
        <w:rPr>
          <w:rFonts w:ascii="Arial" w:eastAsia="Arial" w:hAnsi="Arial"/>
          <w:sz w:val="20"/>
        </w:rPr>
        <w:t xml:space="preserve">, and </w:t>
      </w:r>
      <w:r w:rsidRPr="008F16CA">
        <w:rPr>
          <w:rFonts w:ascii="Arial" w:eastAsia="Arial" w:hAnsi="Arial"/>
          <w:i/>
          <w:sz w:val="20"/>
        </w:rPr>
        <w:t>Bacillus amyloliquefaciens</w:t>
      </w:r>
      <w:r w:rsidRPr="008F16CA">
        <w:rPr>
          <w:rFonts w:ascii="Arial" w:eastAsia="Arial" w:hAnsi="Arial"/>
          <w:sz w:val="20"/>
        </w:rPr>
        <w:t xml:space="preserve"> exhibited lipase activity, with variation in lipolytic activity observed among the isolates (Figure 4).</w:t>
      </w:r>
    </w:p>
    <w:p w14:paraId="2A6444F2" w14:textId="77777777" w:rsidR="00DC2463" w:rsidRPr="008F16CA" w:rsidRDefault="009A5E8E" w:rsidP="00DC2463">
      <w:pPr>
        <w:pStyle w:val="NormalWeb"/>
        <w:spacing w:line="360" w:lineRule="auto"/>
        <w:jc w:val="both"/>
        <w:rPr>
          <w:rFonts w:ascii="Arial" w:hAnsi="Arial" w:cs="Arial"/>
          <w:b/>
          <w:color w:val="000000" w:themeColor="text1"/>
          <w:sz w:val="22"/>
          <w:szCs w:val="22"/>
        </w:rPr>
      </w:pPr>
      <w:r w:rsidRPr="008F16CA">
        <w:rPr>
          <w:rFonts w:ascii="Arial" w:hAnsi="Arial" w:cs="Arial"/>
          <w:b/>
          <w:sz w:val="22"/>
          <w:szCs w:val="22"/>
        </w:rPr>
        <w:t>Figure 4. Extracellular lipase activity of bacterial endophytes determined by the olive oil emulsion titration method.</w:t>
      </w:r>
    </w:p>
    <w:p w14:paraId="63B5BF65" w14:textId="77777777" w:rsidR="00505D2E" w:rsidRPr="008F16CA" w:rsidRDefault="00DC2463" w:rsidP="00505D2E">
      <w:pPr>
        <w:pStyle w:val="NormalWeb"/>
        <w:jc w:val="both"/>
        <w:rPr>
          <w:rFonts w:ascii="Arial" w:hAnsi="Arial" w:cs="Arial"/>
          <w:b/>
          <w:sz w:val="20"/>
          <w:szCs w:val="20"/>
        </w:rPr>
      </w:pPr>
      <w:r w:rsidRPr="008F16CA">
        <w:rPr>
          <w:rFonts w:ascii="Arial" w:hAnsi="Arial" w:cs="Arial"/>
          <w:b/>
          <w:noProof/>
          <w:sz w:val="20"/>
          <w:szCs w:val="20"/>
        </w:rPr>
        <w:lastRenderedPageBreak/>
        <w:drawing>
          <wp:inline distT="0" distB="0" distL="0" distR="0" wp14:anchorId="27FFE08C" wp14:editId="1E56227E">
            <wp:extent cx="5554980" cy="2396490"/>
            <wp:effectExtent l="114300" t="76200" r="121920" b="80010"/>
            <wp:docPr id="9" name="Picture 7" descr="l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jpeg"/>
                    <pic:cNvPicPr/>
                  </pic:nvPicPr>
                  <pic:blipFill>
                    <a:blip r:embed="rId10" cstate="print"/>
                    <a:srcRect r="29528" b="31988"/>
                    <a:stretch>
                      <a:fillRect/>
                    </a:stretch>
                  </pic:blipFill>
                  <pic:spPr>
                    <a:xfrm>
                      <a:off x="0" y="0"/>
                      <a:ext cx="5518615" cy="238080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E7C6A78" w14:textId="77777777" w:rsidR="00191028" w:rsidRPr="008F16CA" w:rsidRDefault="009A5E8E" w:rsidP="00A67EE4">
      <w:pPr>
        <w:pStyle w:val="NormalWeb"/>
        <w:jc w:val="both"/>
        <w:rPr>
          <w:rFonts w:ascii="Arial" w:hAnsi="Arial" w:cs="Arial"/>
          <w:b/>
          <w:sz w:val="20"/>
          <w:szCs w:val="20"/>
        </w:rPr>
      </w:pPr>
      <w:r w:rsidRPr="008F16CA">
        <w:rPr>
          <w:rFonts w:ascii="Arial" w:hAnsi="Arial" w:cs="Arial"/>
          <w:b/>
          <w:sz w:val="20"/>
          <w:szCs w:val="20"/>
        </w:rPr>
        <w:t xml:space="preserve">Comparative extracellular lipase activity of </w:t>
      </w:r>
      <w:r w:rsidRPr="008F16CA">
        <w:rPr>
          <w:rStyle w:val="Emphasis"/>
          <w:rFonts w:ascii="Arial" w:hAnsi="Arial" w:cs="Arial"/>
          <w:b/>
          <w:sz w:val="20"/>
          <w:szCs w:val="20"/>
        </w:rPr>
        <w:t xml:space="preserve">Enterobacter </w:t>
      </w:r>
      <w:proofErr w:type="spellStart"/>
      <w:r w:rsidRPr="008F16CA">
        <w:rPr>
          <w:rStyle w:val="Emphasis"/>
          <w:rFonts w:ascii="Arial" w:hAnsi="Arial" w:cs="Arial"/>
          <w:b/>
          <w:sz w:val="20"/>
          <w:szCs w:val="20"/>
        </w:rPr>
        <w:t>hormaechei</w:t>
      </w:r>
      <w:proofErr w:type="spellEnd"/>
      <w:r w:rsidRPr="008F16CA">
        <w:rPr>
          <w:rFonts w:ascii="Arial" w:hAnsi="Arial" w:cs="Arial"/>
          <w:b/>
          <w:sz w:val="20"/>
          <w:szCs w:val="20"/>
        </w:rPr>
        <w:t xml:space="preserve">, </w:t>
      </w:r>
      <w:r w:rsidRPr="008F16CA">
        <w:rPr>
          <w:rStyle w:val="Emphasis"/>
          <w:rFonts w:ascii="Arial" w:hAnsi="Arial" w:cs="Arial"/>
          <w:b/>
          <w:sz w:val="20"/>
          <w:szCs w:val="20"/>
        </w:rPr>
        <w:t>Bacillus flexus</w:t>
      </w:r>
      <w:r w:rsidRPr="008F16CA">
        <w:rPr>
          <w:rFonts w:ascii="Arial" w:hAnsi="Arial" w:cs="Arial"/>
          <w:b/>
          <w:sz w:val="20"/>
          <w:szCs w:val="20"/>
        </w:rPr>
        <w:t xml:space="preserve">, and </w:t>
      </w:r>
      <w:r w:rsidRPr="008F16CA">
        <w:rPr>
          <w:rStyle w:val="Emphasis"/>
          <w:rFonts w:ascii="Arial" w:hAnsi="Arial" w:cs="Arial"/>
          <w:b/>
          <w:sz w:val="20"/>
          <w:szCs w:val="20"/>
        </w:rPr>
        <w:t xml:space="preserve">Bacillus </w:t>
      </w:r>
      <w:proofErr w:type="spellStart"/>
      <w:r w:rsidRPr="008F16CA">
        <w:rPr>
          <w:rStyle w:val="Emphasis"/>
          <w:rFonts w:ascii="Arial" w:hAnsi="Arial" w:cs="Arial"/>
          <w:b/>
          <w:sz w:val="20"/>
          <w:szCs w:val="20"/>
        </w:rPr>
        <w:t>amyloliquefaciens</w:t>
      </w:r>
      <w:proofErr w:type="spellEnd"/>
      <w:r w:rsidRPr="008F16CA">
        <w:rPr>
          <w:rFonts w:ascii="Arial" w:hAnsi="Arial" w:cs="Arial"/>
          <w:b/>
          <w:sz w:val="20"/>
          <w:szCs w:val="20"/>
        </w:rPr>
        <w:t xml:space="preserve"> determined by the olive oil emulsion titration method.</w:t>
      </w:r>
    </w:p>
    <w:p w14:paraId="160D6333" w14:textId="77777777" w:rsidR="009A5E8E" w:rsidRPr="008F16CA" w:rsidRDefault="009A5E8E" w:rsidP="00A67EE4">
      <w:pPr>
        <w:pStyle w:val="pdq2pgselectionanchorcontainer"/>
        <w:jc w:val="both"/>
        <w:rPr>
          <w:rFonts w:ascii="Arial" w:hAnsi="Arial" w:cs="Arial"/>
          <w:sz w:val="20"/>
          <w:szCs w:val="20"/>
        </w:rPr>
      </w:pPr>
      <w:r w:rsidRPr="008F16CA">
        <w:rPr>
          <w:rFonts w:ascii="Arial" w:eastAsia="Arial" w:hAnsi="Arial"/>
          <w:sz w:val="20"/>
        </w:rPr>
        <w:t xml:space="preserve">The extracellular lipase activity of the bacterial endophytic isolates was quantified using the olive oil emulsion titration method. </w:t>
      </w:r>
      <w:r w:rsidRPr="008F16CA">
        <w:rPr>
          <w:rFonts w:ascii="Arial" w:eastAsia="Arial" w:hAnsi="Arial"/>
          <w:i/>
          <w:sz w:val="20"/>
        </w:rPr>
        <w:t>Bacillus amyloliquefaciens</w:t>
      </w:r>
      <w:r w:rsidRPr="008F16CA">
        <w:rPr>
          <w:rFonts w:ascii="Arial" w:eastAsia="Arial" w:hAnsi="Arial"/>
          <w:sz w:val="20"/>
        </w:rPr>
        <w:t xml:space="preserve"> exhibited the highest lipase activity, followed by </w:t>
      </w:r>
      <w:r w:rsidRPr="008F16CA">
        <w:rPr>
          <w:rFonts w:ascii="Arial" w:eastAsia="Arial" w:hAnsi="Arial"/>
          <w:i/>
          <w:sz w:val="20"/>
        </w:rPr>
        <w:t>Bacillus flexus</w:t>
      </w:r>
      <w:r w:rsidRPr="008F16CA">
        <w:rPr>
          <w:rFonts w:ascii="Arial" w:eastAsia="Arial" w:hAnsi="Arial"/>
          <w:sz w:val="20"/>
        </w:rPr>
        <w:t xml:space="preserve"> and </w:t>
      </w:r>
      <w:r w:rsidRPr="008F16CA">
        <w:rPr>
          <w:rFonts w:ascii="Arial" w:eastAsia="Arial" w:hAnsi="Arial"/>
          <w:i/>
          <w:sz w:val="20"/>
        </w:rPr>
        <w:t>Enterobacter hormaechei</w:t>
      </w:r>
      <w:r w:rsidRPr="008F16CA">
        <w:rPr>
          <w:rFonts w:ascii="Arial" w:eastAsia="Arial" w:hAnsi="Arial"/>
          <w:sz w:val="20"/>
        </w:rPr>
        <w:t>, indicating differences in lipase production among the isolates (Figure 5).</w:t>
      </w:r>
    </w:p>
    <w:p w14:paraId="1AA35AB2" w14:textId="77777777" w:rsidR="009A5E8E" w:rsidRPr="008F16CA" w:rsidRDefault="009A5E8E" w:rsidP="00A67EE4">
      <w:pPr>
        <w:pStyle w:val="NormalWeb"/>
        <w:jc w:val="both"/>
        <w:rPr>
          <w:rFonts w:ascii="Arial" w:hAnsi="Arial" w:cs="Arial"/>
          <w:sz w:val="22"/>
          <w:szCs w:val="22"/>
        </w:rPr>
      </w:pPr>
      <w:r w:rsidRPr="008F16CA">
        <w:rPr>
          <w:rStyle w:val="Strong"/>
          <w:rFonts w:ascii="Arial" w:hAnsi="Arial" w:cs="Arial"/>
          <w:sz w:val="22"/>
          <w:szCs w:val="22"/>
        </w:rPr>
        <w:t>Figure 5. Lipase activity of bacterial endophytic isolates determined by the olive oil emulsion titration method.</w:t>
      </w:r>
    </w:p>
    <w:p w14:paraId="07DB16DD" w14:textId="77777777" w:rsidR="00DC2463" w:rsidRPr="008F16CA" w:rsidRDefault="00DC2463" w:rsidP="00DC2463">
      <w:pPr>
        <w:pStyle w:val="NormalWeb"/>
        <w:jc w:val="both"/>
        <w:rPr>
          <w:rFonts w:ascii="Arial" w:hAnsi="Arial" w:cs="Arial"/>
          <w:b/>
          <w:sz w:val="22"/>
          <w:szCs w:val="22"/>
        </w:rPr>
      </w:pPr>
      <w:r w:rsidRPr="008F16CA">
        <w:rPr>
          <w:rFonts w:ascii="Arial" w:hAnsi="Arial" w:cs="Arial"/>
          <w:b/>
          <w:noProof/>
          <w:sz w:val="22"/>
          <w:szCs w:val="22"/>
        </w:rPr>
        <w:drawing>
          <wp:inline distT="0" distB="0" distL="0" distR="0" wp14:anchorId="69760820" wp14:editId="702290FC">
            <wp:extent cx="5387339" cy="3375660"/>
            <wp:effectExtent l="190500" t="152400" r="175261" b="129540"/>
            <wp:docPr id="16" name="Picture 4" descr="C:\Users\mypc\Downloads\Code_Generated_Image (4).png"/>
            <wp:cNvGraphicFramePr/>
            <a:graphic xmlns:a="http://schemas.openxmlformats.org/drawingml/2006/main">
              <a:graphicData uri="http://schemas.openxmlformats.org/drawingml/2006/picture">
                <pic:pic xmlns:pic="http://schemas.openxmlformats.org/drawingml/2006/picture">
                  <pic:nvPicPr>
                    <pic:cNvPr id="27650" name="Picture 2" descr="C:\Users\mypc\Downloads\Code_Generated_Image (4).png"/>
                    <pic:cNvPicPr>
                      <a:picLocks noChangeAspect="1" noChangeArrowheads="1"/>
                    </pic:cNvPicPr>
                  </pic:nvPicPr>
                  <pic:blipFill>
                    <a:blip r:embed="rId11" cstate="print"/>
                    <a:srcRect/>
                    <a:stretch>
                      <a:fillRect/>
                    </a:stretch>
                  </pic:blipFill>
                  <pic:spPr bwMode="auto">
                    <a:xfrm>
                      <a:off x="0" y="0"/>
                      <a:ext cx="5387339" cy="3375660"/>
                    </a:xfrm>
                    <a:prstGeom prst="rect">
                      <a:avLst/>
                    </a:prstGeom>
                    <a:ln>
                      <a:noFill/>
                    </a:ln>
                    <a:effectLst>
                      <a:outerShdw blurRad="190500" algn="tl" rotWithShape="0">
                        <a:srgbClr val="000000">
                          <a:alpha val="70000"/>
                        </a:srgbClr>
                      </a:outerShdw>
                    </a:effectLst>
                  </pic:spPr>
                </pic:pic>
              </a:graphicData>
            </a:graphic>
          </wp:inline>
        </w:drawing>
      </w:r>
    </w:p>
    <w:p w14:paraId="7B08D899" w14:textId="77777777" w:rsidR="00DC2463" w:rsidRPr="008F16CA" w:rsidRDefault="009A5E8E" w:rsidP="00A67EE4">
      <w:pPr>
        <w:pStyle w:val="NormalWeb"/>
        <w:jc w:val="both"/>
        <w:rPr>
          <w:rFonts w:ascii="Arial" w:hAnsi="Arial" w:cs="Arial"/>
          <w:b/>
          <w:sz w:val="20"/>
          <w:szCs w:val="20"/>
        </w:rPr>
      </w:pPr>
      <w:r w:rsidRPr="008F16CA">
        <w:rPr>
          <w:rFonts w:ascii="Arial" w:hAnsi="Arial" w:cs="Arial"/>
          <w:b/>
          <w:sz w:val="20"/>
          <w:szCs w:val="20"/>
        </w:rPr>
        <w:t xml:space="preserve">Comparative extracellular lipase activity of </w:t>
      </w:r>
      <w:r w:rsidRPr="008F16CA">
        <w:rPr>
          <w:rStyle w:val="Emphasis"/>
          <w:rFonts w:ascii="Arial" w:hAnsi="Arial" w:cs="Arial"/>
          <w:b/>
          <w:sz w:val="20"/>
          <w:szCs w:val="20"/>
        </w:rPr>
        <w:t xml:space="preserve">Enterobacter </w:t>
      </w:r>
      <w:proofErr w:type="spellStart"/>
      <w:r w:rsidRPr="008F16CA">
        <w:rPr>
          <w:rStyle w:val="Emphasis"/>
          <w:rFonts w:ascii="Arial" w:hAnsi="Arial" w:cs="Arial"/>
          <w:b/>
          <w:sz w:val="20"/>
          <w:szCs w:val="20"/>
        </w:rPr>
        <w:t>hormaechei</w:t>
      </w:r>
      <w:proofErr w:type="spellEnd"/>
      <w:r w:rsidRPr="008F16CA">
        <w:rPr>
          <w:rFonts w:ascii="Arial" w:hAnsi="Arial" w:cs="Arial"/>
          <w:b/>
          <w:sz w:val="20"/>
          <w:szCs w:val="20"/>
        </w:rPr>
        <w:t xml:space="preserve">, </w:t>
      </w:r>
      <w:r w:rsidRPr="008F16CA">
        <w:rPr>
          <w:rStyle w:val="Emphasis"/>
          <w:rFonts w:ascii="Arial" w:hAnsi="Arial" w:cs="Arial"/>
          <w:b/>
          <w:sz w:val="20"/>
          <w:szCs w:val="20"/>
        </w:rPr>
        <w:t>Bacillus flexus</w:t>
      </w:r>
      <w:r w:rsidRPr="008F16CA">
        <w:rPr>
          <w:rFonts w:ascii="Arial" w:hAnsi="Arial" w:cs="Arial"/>
          <w:b/>
          <w:sz w:val="20"/>
          <w:szCs w:val="20"/>
        </w:rPr>
        <w:t xml:space="preserve">, and </w:t>
      </w:r>
      <w:r w:rsidRPr="008F16CA">
        <w:rPr>
          <w:rStyle w:val="Emphasis"/>
          <w:rFonts w:ascii="Arial" w:hAnsi="Arial" w:cs="Arial"/>
          <w:b/>
          <w:sz w:val="20"/>
          <w:szCs w:val="20"/>
        </w:rPr>
        <w:t xml:space="preserve">Bacillus </w:t>
      </w:r>
      <w:proofErr w:type="spellStart"/>
      <w:r w:rsidRPr="008F16CA">
        <w:rPr>
          <w:rStyle w:val="Emphasis"/>
          <w:rFonts w:ascii="Arial" w:hAnsi="Arial" w:cs="Arial"/>
          <w:b/>
          <w:sz w:val="20"/>
          <w:szCs w:val="20"/>
        </w:rPr>
        <w:t>amyloliquefaciens</w:t>
      </w:r>
      <w:proofErr w:type="spellEnd"/>
      <w:r w:rsidRPr="008F16CA">
        <w:rPr>
          <w:rFonts w:ascii="Arial" w:hAnsi="Arial" w:cs="Arial"/>
          <w:b/>
          <w:sz w:val="20"/>
          <w:szCs w:val="20"/>
        </w:rPr>
        <w:t xml:space="preserve"> determined using the olive oil emulsion titration method.</w:t>
      </w:r>
      <w:r w:rsidR="00DC2463" w:rsidRPr="008F16CA">
        <w:rPr>
          <w:rFonts w:ascii="Arial" w:hAnsi="Arial" w:cs="Arial"/>
          <w:b/>
          <w:sz w:val="20"/>
          <w:szCs w:val="20"/>
        </w:rPr>
        <w:t xml:space="preserve"> </w:t>
      </w:r>
    </w:p>
    <w:p w14:paraId="1D6A6E41" w14:textId="77777777" w:rsidR="00DC2463" w:rsidRPr="008F16CA" w:rsidRDefault="00DC2463" w:rsidP="00F51E28">
      <w:pPr>
        <w:pStyle w:val="NormalWeb"/>
        <w:jc w:val="both"/>
        <w:rPr>
          <w:rFonts w:ascii="Arial" w:hAnsi="Arial" w:cs="Arial"/>
          <w:b/>
          <w:sz w:val="22"/>
          <w:szCs w:val="22"/>
        </w:rPr>
      </w:pPr>
      <w:r w:rsidRPr="008F16CA">
        <w:rPr>
          <w:rFonts w:ascii="Arial" w:hAnsi="Arial" w:cs="Arial"/>
          <w:b/>
          <w:sz w:val="22"/>
          <w:szCs w:val="22"/>
        </w:rPr>
        <w:lastRenderedPageBreak/>
        <w:t>5. Discussion</w:t>
      </w:r>
    </w:p>
    <w:p w14:paraId="17147315" w14:textId="77777777" w:rsidR="004F7A25" w:rsidRPr="008F16CA" w:rsidRDefault="004F7A25" w:rsidP="004F7A25">
      <w:pPr>
        <w:pStyle w:val="pdq2pgselectionanchorcontainer"/>
        <w:jc w:val="both"/>
        <w:rPr>
          <w:rFonts w:ascii="Arial" w:hAnsi="Arial" w:cs="Arial"/>
          <w:sz w:val="20"/>
          <w:szCs w:val="20"/>
        </w:rPr>
      </w:pPr>
      <w:r w:rsidRPr="008F16CA">
        <w:rPr>
          <w:rFonts w:ascii="Arial" w:eastAsia="Arial" w:hAnsi="Arial"/>
          <w:sz w:val="20"/>
        </w:rPr>
        <w:t xml:space="preserve">Endophytic bacteria are recognised as an important component of the plant microbiome because of their ability to promote plant growth and produce a wide range of extracellular enzymes with agricultural, pharmaceutical, and industrial applications. In the present study, three bacterial endophytes isolated from the rhizomes of </w:t>
      </w:r>
      <w:r w:rsidRPr="008F16CA">
        <w:rPr>
          <w:rFonts w:ascii="Arial" w:eastAsia="Arial" w:hAnsi="Arial"/>
          <w:i/>
          <w:sz w:val="20"/>
        </w:rPr>
        <w:t>Curcuma caesia</w:t>
      </w:r>
      <w:r w:rsidRPr="008F16CA">
        <w:rPr>
          <w:rFonts w:ascii="Arial" w:eastAsia="Arial" w:hAnsi="Arial"/>
          <w:sz w:val="20"/>
        </w:rPr>
        <w:t xml:space="preserve"> were identified as </w:t>
      </w:r>
      <w:r w:rsidRPr="008F16CA">
        <w:rPr>
          <w:rFonts w:ascii="Arial" w:eastAsia="Arial" w:hAnsi="Arial"/>
          <w:i/>
          <w:sz w:val="20"/>
        </w:rPr>
        <w:t>Enterobacter hormaechei</w:t>
      </w:r>
      <w:r w:rsidRPr="008F16CA">
        <w:rPr>
          <w:rFonts w:ascii="Arial" w:eastAsia="Arial" w:hAnsi="Arial"/>
          <w:sz w:val="20"/>
        </w:rPr>
        <w:t xml:space="preserve">, </w:t>
      </w:r>
      <w:r w:rsidRPr="008F16CA">
        <w:rPr>
          <w:rFonts w:ascii="Arial" w:eastAsia="Arial" w:hAnsi="Arial"/>
          <w:i/>
          <w:sz w:val="20"/>
        </w:rPr>
        <w:t>Bacillus flexus</w:t>
      </w:r>
      <w:r w:rsidRPr="008F16CA">
        <w:rPr>
          <w:rFonts w:ascii="Arial" w:eastAsia="Arial" w:hAnsi="Arial"/>
          <w:sz w:val="20"/>
        </w:rPr>
        <w:t xml:space="preserve">, and </w:t>
      </w:r>
      <w:r w:rsidRPr="008F16CA">
        <w:rPr>
          <w:rFonts w:ascii="Arial" w:eastAsia="Arial" w:hAnsi="Arial"/>
          <w:i/>
          <w:sz w:val="20"/>
        </w:rPr>
        <w:t>Bacillus amyloliquefaciens</w:t>
      </w:r>
      <w:r w:rsidRPr="008F16CA">
        <w:rPr>
          <w:rFonts w:ascii="Arial" w:eastAsia="Arial" w:hAnsi="Arial"/>
          <w:sz w:val="20"/>
        </w:rPr>
        <w:t xml:space="preserve"> based on morphological, biochemical, and 16S rRNA gene sequencing analyses. These findings are consistent with previous reports indicating that </w:t>
      </w:r>
      <w:r w:rsidRPr="008F16CA">
        <w:rPr>
          <w:rFonts w:ascii="Arial" w:eastAsia="Arial" w:hAnsi="Arial"/>
          <w:i/>
          <w:sz w:val="20"/>
        </w:rPr>
        <w:t>Bacillus</w:t>
      </w:r>
      <w:r w:rsidRPr="008F16CA">
        <w:rPr>
          <w:rFonts w:ascii="Arial" w:eastAsia="Arial" w:hAnsi="Arial"/>
          <w:sz w:val="20"/>
        </w:rPr>
        <w:t xml:space="preserve"> and </w:t>
      </w:r>
      <w:r w:rsidRPr="008F16CA">
        <w:rPr>
          <w:rFonts w:ascii="Arial" w:eastAsia="Arial" w:hAnsi="Arial"/>
          <w:i/>
          <w:sz w:val="20"/>
        </w:rPr>
        <w:t>Enterobacter</w:t>
      </w:r>
      <w:r w:rsidRPr="008F16CA">
        <w:rPr>
          <w:rFonts w:ascii="Arial" w:eastAsia="Arial" w:hAnsi="Arial"/>
          <w:sz w:val="20"/>
        </w:rPr>
        <w:t xml:space="preserve"> species are among the predominant bacterial endophytes associated with medicinal plants and contribute to plant growth promotion through nutrient mobilisation, the production of bioactive metabolites, and the secretion of extracellular enzymes (Dilkush et al., 2025; Ibrahim et al., 2023; Kandasamy &amp; Kathirvel, 2023; Kumar et al., 2017; Rana et al., 2020). All three bacterial isolates exhibited extracellular amylase activity, confirming their ability to hydrolyse starch into reducing sugars. Among the isolates, </w:t>
      </w:r>
      <w:r w:rsidRPr="008F16CA">
        <w:rPr>
          <w:rFonts w:ascii="Arial" w:eastAsia="Arial" w:hAnsi="Arial"/>
          <w:i/>
          <w:sz w:val="20"/>
        </w:rPr>
        <w:t>Bacillus amyloliquefaciens</w:t>
      </w:r>
      <w:r w:rsidRPr="008F16CA">
        <w:rPr>
          <w:rFonts w:ascii="Arial" w:eastAsia="Arial" w:hAnsi="Arial"/>
          <w:sz w:val="20"/>
        </w:rPr>
        <w:t xml:space="preserve"> showed comparatively higher amylase activity than </w:t>
      </w:r>
      <w:r w:rsidRPr="008F16CA">
        <w:rPr>
          <w:rFonts w:ascii="Arial" w:eastAsia="Arial" w:hAnsi="Arial"/>
          <w:i/>
          <w:sz w:val="20"/>
        </w:rPr>
        <w:t>Bacillus flexus</w:t>
      </w:r>
      <w:r w:rsidRPr="008F16CA">
        <w:rPr>
          <w:rFonts w:ascii="Arial" w:eastAsia="Arial" w:hAnsi="Arial"/>
          <w:sz w:val="20"/>
        </w:rPr>
        <w:t xml:space="preserve"> and </w:t>
      </w:r>
      <w:r w:rsidRPr="008F16CA">
        <w:rPr>
          <w:rFonts w:ascii="Arial" w:eastAsia="Arial" w:hAnsi="Arial"/>
          <w:i/>
          <w:sz w:val="20"/>
        </w:rPr>
        <w:t>Enterobacter hormaechei</w:t>
      </w:r>
      <w:r w:rsidRPr="008F16CA">
        <w:rPr>
          <w:rFonts w:ascii="Arial" w:eastAsia="Arial" w:hAnsi="Arial"/>
          <w:sz w:val="20"/>
        </w:rPr>
        <w:t xml:space="preserve">. Members of the genus </w:t>
      </w:r>
      <w:r w:rsidRPr="008F16CA">
        <w:rPr>
          <w:rFonts w:ascii="Arial" w:eastAsia="Arial" w:hAnsi="Arial"/>
          <w:i/>
          <w:sz w:val="20"/>
        </w:rPr>
        <w:t>Bacillus</w:t>
      </w:r>
      <w:r w:rsidRPr="008F16CA">
        <w:rPr>
          <w:rFonts w:ascii="Arial" w:eastAsia="Arial" w:hAnsi="Arial"/>
          <w:sz w:val="20"/>
        </w:rPr>
        <w:t xml:space="preserve"> are widely recognised for their ability to produce extracellular amylases with applications in the food-processing, textile, pharmaceutical, and fermentation industries. Similar observations have been reported in studies of plant-associated endophytes, in which </w:t>
      </w:r>
      <w:r w:rsidRPr="008F16CA">
        <w:rPr>
          <w:rFonts w:ascii="Arial" w:eastAsia="Arial" w:hAnsi="Arial"/>
          <w:i/>
          <w:sz w:val="20"/>
        </w:rPr>
        <w:t>Bacillus</w:t>
      </w:r>
      <w:r w:rsidRPr="008F16CA">
        <w:rPr>
          <w:rFonts w:ascii="Arial" w:eastAsia="Arial" w:hAnsi="Arial"/>
          <w:sz w:val="20"/>
        </w:rPr>
        <w:t xml:space="preserve"> species were identified as efficient producers of hydrolytic enzymes involved in nutrient acquisition and plant colonisation (Kandasamy &amp; Kathirvel, 2023; Raghav et al., 2022). The DNS assay used in the present study is a well-established method for estimating the reducing sugars released during starch hydrolysis (Bernfeld, 1955; Miller, 1959).</w:t>
      </w:r>
    </w:p>
    <w:p w14:paraId="068F9A57" w14:textId="77777777" w:rsidR="004F7A25" w:rsidRPr="008F16CA" w:rsidRDefault="004F7A25" w:rsidP="004F7A25">
      <w:pPr>
        <w:pStyle w:val="NormalWeb"/>
        <w:jc w:val="both"/>
        <w:rPr>
          <w:rFonts w:ascii="Arial" w:hAnsi="Arial" w:cs="Arial"/>
          <w:sz w:val="20"/>
          <w:szCs w:val="20"/>
        </w:rPr>
      </w:pPr>
      <w:r w:rsidRPr="008F16CA">
        <w:rPr>
          <w:rFonts w:ascii="Arial" w:eastAsia="Arial" w:hAnsi="Arial"/>
          <w:sz w:val="20"/>
        </w:rPr>
        <w:t xml:space="preserve">Protease activity was detected in all three bacterial isolates using the Folin-Ciocalteu assay, demonstrating their ability to hydrolyse casein. </w:t>
      </w:r>
      <w:r w:rsidRPr="008F16CA">
        <w:rPr>
          <w:rFonts w:ascii="Arial" w:eastAsia="Arial" w:hAnsi="Arial"/>
          <w:i/>
          <w:sz w:val="20"/>
        </w:rPr>
        <w:t>Bacillus amyloliquefaciens</w:t>
      </w:r>
      <w:r w:rsidRPr="008F16CA">
        <w:rPr>
          <w:rFonts w:ascii="Arial" w:eastAsia="Arial" w:hAnsi="Arial"/>
          <w:sz w:val="20"/>
        </w:rPr>
        <w:t xml:space="preserve"> exhibited the highest protease activity, followed by </w:t>
      </w:r>
      <w:r w:rsidRPr="008F16CA">
        <w:rPr>
          <w:rFonts w:ascii="Arial" w:eastAsia="Arial" w:hAnsi="Arial"/>
          <w:i/>
          <w:sz w:val="20"/>
        </w:rPr>
        <w:t>Bacillus flexus</w:t>
      </w:r>
      <w:r w:rsidRPr="008F16CA">
        <w:rPr>
          <w:rFonts w:ascii="Arial" w:eastAsia="Arial" w:hAnsi="Arial"/>
          <w:sz w:val="20"/>
        </w:rPr>
        <w:t xml:space="preserve"> and </w:t>
      </w:r>
      <w:r w:rsidRPr="008F16CA">
        <w:rPr>
          <w:rFonts w:ascii="Arial" w:eastAsia="Arial" w:hAnsi="Arial"/>
          <w:i/>
          <w:sz w:val="20"/>
        </w:rPr>
        <w:t>Enterobacter hormaechei</w:t>
      </w:r>
      <w:r w:rsidRPr="008F16CA">
        <w:rPr>
          <w:rFonts w:ascii="Arial" w:eastAsia="Arial" w:hAnsi="Arial"/>
          <w:sz w:val="20"/>
        </w:rPr>
        <w:t xml:space="preserve">. Extracellular proteases enable microorganisms to degrade complex proteins into smaller peptides and amino acids, thereby improving nutrient availability and facilitating successful colonisation within plant tissues. Similar findings have been reported for endophytic microorganisms isolated from medicinal plants, in which </w:t>
      </w:r>
      <w:r w:rsidRPr="008F16CA">
        <w:rPr>
          <w:rFonts w:ascii="Arial" w:eastAsia="Arial" w:hAnsi="Arial"/>
          <w:i/>
          <w:sz w:val="20"/>
        </w:rPr>
        <w:t>Bacillus</w:t>
      </w:r>
      <w:r w:rsidRPr="008F16CA">
        <w:rPr>
          <w:rFonts w:ascii="Arial" w:eastAsia="Arial" w:hAnsi="Arial"/>
          <w:sz w:val="20"/>
        </w:rPr>
        <w:t xml:space="preserve"> species exhibited high proteolytic activity and were considered potential sources of industrially important enzymes (Cupp-Enyard, 2008; Raghav et al., 2022).</w:t>
      </w:r>
    </w:p>
    <w:p w14:paraId="4E20A770" w14:textId="77777777" w:rsidR="004F7A25" w:rsidRPr="008F16CA" w:rsidRDefault="004F7A25" w:rsidP="004F7A25">
      <w:pPr>
        <w:pStyle w:val="NormalWeb"/>
        <w:jc w:val="both"/>
        <w:rPr>
          <w:rFonts w:ascii="Arial" w:hAnsi="Arial" w:cs="Arial"/>
          <w:sz w:val="20"/>
          <w:szCs w:val="20"/>
        </w:rPr>
      </w:pPr>
      <w:r w:rsidRPr="008F16CA">
        <w:rPr>
          <w:rFonts w:ascii="Arial" w:eastAsia="Arial" w:hAnsi="Arial"/>
          <w:sz w:val="20"/>
        </w:rPr>
        <w:t>The cellulase assay demonstrated that all three bacterial endophytes were capable of producing extracellular cellulase, although differences in enzyme activity were observed among the isolates. Cellulolytic enzymes play an important role in cellulose degradation, allowing endophytic bacteria to establish themselves within plant tissues while maintaining a beneficial association with the host. Comparable results were reported by Gupta et al. (2012), who demonstrated the cellulolytic potential of bacterial isolates, and by Raghav et al. (2022), who highlighted extracellular enzyme production as a characteristic feature of plant-associated endophytes.</w:t>
      </w:r>
    </w:p>
    <w:p w14:paraId="55C4577E" w14:textId="77777777" w:rsidR="004F7A25" w:rsidRPr="008F16CA" w:rsidRDefault="004F7A25" w:rsidP="004F7A25">
      <w:pPr>
        <w:pStyle w:val="NormalWeb"/>
        <w:jc w:val="both"/>
        <w:rPr>
          <w:rFonts w:ascii="Arial" w:hAnsi="Arial" w:cs="Arial"/>
          <w:sz w:val="20"/>
          <w:szCs w:val="20"/>
        </w:rPr>
      </w:pPr>
      <w:r w:rsidRPr="008F16CA">
        <w:rPr>
          <w:rFonts w:ascii="Arial" w:eastAsia="Arial" w:hAnsi="Arial"/>
          <w:sz w:val="20"/>
        </w:rPr>
        <w:t xml:space="preserve">Lipase activity was observed in all three bacterial isolates using the olive oil emulsion titration method. Among the isolates, </w:t>
      </w:r>
      <w:r w:rsidRPr="008F16CA">
        <w:rPr>
          <w:rFonts w:ascii="Arial" w:eastAsia="Arial" w:hAnsi="Arial"/>
          <w:i/>
          <w:sz w:val="20"/>
        </w:rPr>
        <w:t>Bacillus amyloliquefaciens</w:t>
      </w:r>
      <w:r w:rsidRPr="008F16CA">
        <w:rPr>
          <w:rFonts w:ascii="Arial" w:eastAsia="Arial" w:hAnsi="Arial"/>
          <w:sz w:val="20"/>
        </w:rPr>
        <w:t xml:space="preserve"> exhibited the highest lipase activity, followed by </w:t>
      </w:r>
      <w:r w:rsidRPr="008F16CA">
        <w:rPr>
          <w:rFonts w:ascii="Arial" w:eastAsia="Arial" w:hAnsi="Arial"/>
          <w:i/>
          <w:sz w:val="20"/>
        </w:rPr>
        <w:t>Bacillus flexus</w:t>
      </w:r>
      <w:r w:rsidRPr="008F16CA">
        <w:rPr>
          <w:rFonts w:ascii="Arial" w:eastAsia="Arial" w:hAnsi="Arial"/>
          <w:sz w:val="20"/>
        </w:rPr>
        <w:t xml:space="preserve"> and </w:t>
      </w:r>
      <w:r w:rsidRPr="008F16CA">
        <w:rPr>
          <w:rFonts w:ascii="Arial" w:eastAsia="Arial" w:hAnsi="Arial"/>
          <w:i/>
          <w:sz w:val="20"/>
        </w:rPr>
        <w:t>Enterobacter hormaechei</w:t>
      </w:r>
      <w:r w:rsidRPr="008F16CA">
        <w:rPr>
          <w:rFonts w:ascii="Arial" w:eastAsia="Arial" w:hAnsi="Arial"/>
          <w:sz w:val="20"/>
        </w:rPr>
        <w:t xml:space="preserve">. Microbial lipases are versatile biocatalysts with important applications in the food, detergent, pharmaceutical, cosmetic, and biodiesel industries. The superior lipase activity observed in </w:t>
      </w:r>
      <w:r w:rsidRPr="008F16CA">
        <w:rPr>
          <w:rFonts w:ascii="Arial" w:eastAsia="Arial" w:hAnsi="Arial"/>
          <w:i/>
          <w:sz w:val="20"/>
        </w:rPr>
        <w:t>Bacillus amyloliquefaciens</w:t>
      </w:r>
      <w:r w:rsidRPr="008F16CA">
        <w:rPr>
          <w:rFonts w:ascii="Arial" w:eastAsia="Arial" w:hAnsi="Arial"/>
          <w:sz w:val="20"/>
        </w:rPr>
        <w:t xml:space="preserve"> agrees with previous reports describing </w:t>
      </w:r>
      <w:r w:rsidRPr="008F16CA">
        <w:rPr>
          <w:rFonts w:ascii="Arial" w:eastAsia="Arial" w:hAnsi="Arial"/>
          <w:i/>
          <w:sz w:val="20"/>
        </w:rPr>
        <w:t>Bacillus</w:t>
      </w:r>
      <w:r w:rsidRPr="008F16CA">
        <w:rPr>
          <w:rFonts w:ascii="Arial" w:eastAsia="Arial" w:hAnsi="Arial"/>
          <w:sz w:val="20"/>
        </w:rPr>
        <w:t xml:space="preserve"> species as efficient producers of extracellular lipases with high catalytic activity and broad industrial relevance (Hasan et al., 2006; Sharma et al., 2001). Furthermore, recent studies on endophytes associated with medicinal plants have emphasised the potential of endophytic bacteria as sources of industrial enzymes and other bioactive metabolites (Dilkush et al., 2025; Mili et al., 2024; Raghav et al., 2022).</w:t>
      </w:r>
    </w:p>
    <w:p w14:paraId="685D5483" w14:textId="77777777" w:rsidR="004F7A25" w:rsidRPr="008F16CA" w:rsidRDefault="004F7A25" w:rsidP="004F7A25">
      <w:pPr>
        <w:pStyle w:val="NormalWeb"/>
        <w:jc w:val="both"/>
        <w:rPr>
          <w:rFonts w:ascii="Arial" w:hAnsi="Arial" w:cs="Arial"/>
          <w:sz w:val="20"/>
          <w:szCs w:val="20"/>
        </w:rPr>
      </w:pPr>
      <w:r w:rsidRPr="008F16CA">
        <w:rPr>
          <w:rFonts w:ascii="Arial" w:eastAsia="Arial" w:hAnsi="Arial"/>
          <w:sz w:val="20"/>
        </w:rPr>
        <w:t xml:space="preserve">Overall, the present study demonstrates that the bacterial endophytes isolated from </w:t>
      </w:r>
      <w:r w:rsidRPr="008F16CA">
        <w:rPr>
          <w:rFonts w:ascii="Arial" w:eastAsia="Arial" w:hAnsi="Arial"/>
          <w:i/>
          <w:sz w:val="20"/>
        </w:rPr>
        <w:t>Curcuma caesia</w:t>
      </w:r>
      <w:r w:rsidRPr="008F16CA">
        <w:rPr>
          <w:rFonts w:ascii="Arial" w:eastAsia="Arial" w:hAnsi="Arial"/>
          <w:sz w:val="20"/>
        </w:rPr>
        <w:t xml:space="preserve"> possess diverse extracellular enzyme-producing capabilities. Among the three isolates, </w:t>
      </w:r>
      <w:r w:rsidRPr="008F16CA">
        <w:rPr>
          <w:rFonts w:ascii="Arial" w:eastAsia="Arial" w:hAnsi="Arial"/>
          <w:i/>
          <w:sz w:val="20"/>
        </w:rPr>
        <w:t>Bacillus amyloliquefaciens</w:t>
      </w:r>
      <w:r w:rsidRPr="008F16CA">
        <w:rPr>
          <w:rFonts w:ascii="Arial" w:eastAsia="Arial" w:hAnsi="Arial"/>
          <w:sz w:val="20"/>
        </w:rPr>
        <w:t xml:space="preserve"> consistently exhibited superior amylase, protease, and lipase activities, whereas all isolates produced measurable cellulase activity. These findings are consistent with previous reports highlighting the metabolic versatility of </w:t>
      </w:r>
      <w:r w:rsidRPr="008F16CA">
        <w:rPr>
          <w:rFonts w:ascii="Arial" w:eastAsia="Arial" w:hAnsi="Arial"/>
          <w:i/>
          <w:sz w:val="20"/>
        </w:rPr>
        <w:t>Bacillus</w:t>
      </w:r>
      <w:r w:rsidRPr="008F16CA">
        <w:rPr>
          <w:rFonts w:ascii="Arial" w:eastAsia="Arial" w:hAnsi="Arial"/>
          <w:sz w:val="20"/>
        </w:rPr>
        <w:t xml:space="preserve"> species and their importance as producers of extracellular enzymes (Dilkush et al., 2025; Kandasamy &amp; Kathirvel, 2023; Raghav et al., 2022). The results further support the evidence that endophytic bacteria associated with medicinal plants represent potential biological resources for agricultural, biotechnological, and industrial applications. </w:t>
      </w:r>
      <w:r w:rsidRPr="008F16CA">
        <w:rPr>
          <w:rFonts w:ascii="Arial" w:eastAsia="Arial" w:hAnsi="Arial"/>
          <w:sz w:val="20"/>
        </w:rPr>
        <w:lastRenderedPageBreak/>
        <w:t>Future studies should focus on enzyme purification, molecular characterisation, optimisation of culture conditions, and large-scale production to evaluate their commercial potential.</w:t>
      </w:r>
    </w:p>
    <w:p w14:paraId="5F801A54" w14:textId="77777777" w:rsidR="0093744F" w:rsidRPr="008F16CA" w:rsidRDefault="00494DC3" w:rsidP="0093744F">
      <w:pPr>
        <w:pStyle w:val="Heading3"/>
        <w:rPr>
          <w:rFonts w:ascii="Arial" w:hAnsi="Arial" w:cs="Arial"/>
          <w:color w:val="auto"/>
        </w:rPr>
      </w:pPr>
      <w:r w:rsidRPr="008F16CA">
        <w:rPr>
          <w:rFonts w:ascii="Arial" w:eastAsia="Arial" w:hAnsi="Arial"/>
          <w:color w:val="000000"/>
          <w:sz w:val="20"/>
        </w:rPr>
        <w:t>6. Conclusion</w:t>
      </w:r>
    </w:p>
    <w:p w14:paraId="1E378228" w14:textId="77777777" w:rsidR="000676F8" w:rsidRDefault="000676F8" w:rsidP="00494DC3">
      <w:pPr>
        <w:pStyle w:val="Heading3"/>
      </w:pPr>
      <w:r>
        <w:t>The study recovered three culturable bacterial endophytes—</w:t>
      </w:r>
      <w:r>
        <w:rPr>
          <w:rStyle w:val="Emphasis"/>
        </w:rPr>
        <w:t xml:space="preserve">Enterobacter </w:t>
      </w:r>
      <w:proofErr w:type="spellStart"/>
      <w:r>
        <w:rPr>
          <w:rStyle w:val="Emphasis"/>
        </w:rPr>
        <w:t>hormaechei</w:t>
      </w:r>
      <w:proofErr w:type="spellEnd"/>
      <w:r>
        <w:t xml:space="preserve">, </w:t>
      </w:r>
      <w:r>
        <w:rPr>
          <w:rStyle w:val="Emphasis"/>
        </w:rPr>
        <w:t>Bacillus flexus</w:t>
      </w:r>
      <w:r>
        <w:t xml:space="preserve">, and </w:t>
      </w:r>
      <w:r>
        <w:rPr>
          <w:rStyle w:val="Emphasis"/>
        </w:rPr>
        <w:t xml:space="preserve">Bacillus </w:t>
      </w:r>
      <w:proofErr w:type="spellStart"/>
      <w:r>
        <w:rPr>
          <w:rStyle w:val="Emphasis"/>
        </w:rPr>
        <w:t>amyloliquefaciens</w:t>
      </w:r>
      <w:proofErr w:type="spellEnd"/>
      <w:r>
        <w:t xml:space="preserve">—from the rhizomes of </w:t>
      </w:r>
      <w:r>
        <w:rPr>
          <w:rStyle w:val="Emphasis"/>
        </w:rPr>
        <w:t xml:space="preserve">Curcuma </w:t>
      </w:r>
      <w:proofErr w:type="spellStart"/>
      <w:r>
        <w:rPr>
          <w:rStyle w:val="Emphasis"/>
        </w:rPr>
        <w:t>caesia</w:t>
      </w:r>
      <w:proofErr w:type="spellEnd"/>
      <w:r>
        <w:t xml:space="preserve"> </w:t>
      </w:r>
      <w:proofErr w:type="spellStart"/>
      <w:r>
        <w:t>Roxb</w:t>
      </w:r>
      <w:proofErr w:type="spellEnd"/>
      <w:r>
        <w:t xml:space="preserve">. Each isolate produced detectable amylase, protease, cellulase, and lipase activity under the laboratory conditions used, confirming functional variation in extracellular hydrolytic enzyme production. The comparative assays showed that enzyme activity differed among the isolates, while </w:t>
      </w:r>
      <w:r>
        <w:rPr>
          <w:rStyle w:val="Emphasis"/>
        </w:rPr>
        <w:t xml:space="preserve">B. </w:t>
      </w:r>
      <w:proofErr w:type="spellStart"/>
      <w:r>
        <w:rPr>
          <w:rStyle w:val="Emphasis"/>
        </w:rPr>
        <w:t>amyloliquefaciens</w:t>
      </w:r>
      <w:proofErr w:type="spellEnd"/>
      <w:r>
        <w:t xml:space="preserve"> exhibited the highest lipase activity in the olive oil emulsion titration assay. Collectively, the results indicate that </w:t>
      </w:r>
      <w:r>
        <w:rPr>
          <w:rStyle w:val="Emphasis"/>
        </w:rPr>
        <w:t xml:space="preserve">C. </w:t>
      </w:r>
      <w:proofErr w:type="spellStart"/>
      <w:r>
        <w:rPr>
          <w:rStyle w:val="Emphasis"/>
        </w:rPr>
        <w:t>caesia</w:t>
      </w:r>
      <w:proofErr w:type="spellEnd"/>
      <w:r>
        <w:t>-associated bacterial endophytes constitute a potential source of extracellular enzymes for further investigation. The present evidence is preliminary and does not establish industrial performance or commercial suitability. Further work should purify and characterise the enzymes, determine their kinetic properties, optimise culture and fermentation conditions, investigate the corresponding enzyme-encoding genes, and assess reproducibility at a larger scale. Such validation is necessary to determine whether these isolates can be developed for agricultural, environmental, or enzyme-based biotechnological applications.</w:t>
      </w:r>
    </w:p>
    <w:p w14:paraId="2EB8CEFE" w14:textId="4D0D9C71" w:rsidR="00494DC3" w:rsidRPr="008F16CA" w:rsidRDefault="00494DC3" w:rsidP="00494DC3">
      <w:pPr>
        <w:pStyle w:val="Heading3"/>
        <w:rPr>
          <w:rFonts w:ascii="Arial" w:hAnsi="Arial" w:cs="Arial"/>
          <w:color w:val="auto"/>
        </w:rPr>
      </w:pPr>
      <w:r w:rsidRPr="008F16CA">
        <w:rPr>
          <w:rFonts w:ascii="Arial" w:hAnsi="Arial" w:cs="Arial"/>
          <w:color w:val="auto"/>
        </w:rPr>
        <w:t>7. Limitations and Future Prospects</w:t>
      </w:r>
    </w:p>
    <w:p w14:paraId="02E9A18C" w14:textId="77777777" w:rsidR="00494DC3" w:rsidRPr="008F16CA" w:rsidRDefault="00494DC3" w:rsidP="00494DC3">
      <w:pPr>
        <w:pStyle w:val="NormalWeb"/>
        <w:jc w:val="both"/>
        <w:rPr>
          <w:rFonts w:ascii="Arial" w:hAnsi="Arial" w:cs="Arial"/>
          <w:sz w:val="20"/>
          <w:szCs w:val="20"/>
        </w:rPr>
      </w:pPr>
      <w:r w:rsidRPr="008F16CA">
        <w:rPr>
          <w:rFonts w:ascii="Arial" w:eastAsia="Arial" w:hAnsi="Arial"/>
          <w:sz w:val="20"/>
        </w:rPr>
        <w:t xml:space="preserve">The present study was limited to the isolation, identification, and preliminary evaluation of extracellular enzyme production by bacterial endophytes associated with </w:t>
      </w:r>
      <w:r w:rsidRPr="008F16CA">
        <w:rPr>
          <w:rFonts w:ascii="Arial" w:eastAsia="Arial" w:hAnsi="Arial"/>
          <w:i/>
          <w:sz w:val="20"/>
        </w:rPr>
        <w:t>Curcuma caesia</w:t>
      </w:r>
      <w:r w:rsidRPr="008F16CA">
        <w:rPr>
          <w:rFonts w:ascii="Arial" w:eastAsia="Arial" w:hAnsi="Arial"/>
          <w:sz w:val="20"/>
        </w:rPr>
        <w:t>. Enzymatic activities were assessed using laboratory-scale qualitative and quantitative assays; however, enzyme purification, molecular characterisation, kinetic analysis, and optimisation of production conditions were not performed. In addition, the industrial applicability, in vivo efficacy, and large-scale production potential of the enzymes were not investigated. Future studies should focus on the purification and detailed biochemical characterisation of these enzymes, together with the optimisation of culture conditions and fermentation parameters to improve enzyme yield. Whole-genome sequencing and molecular analysis of enzyme-encoding genes would provide deeper insights into the genetic mechanisms underlying enzyme production. Furthermore, exploring the applications of these enzymes in agriculture, food processing, pharmaceuticals, biofuel production, and environmental bioremediation may enhance their biotechnological value. The development of enzyme-producing endophytic bacterial formulations could also contribute to sustainable agricultural practices and advances in industrial biotechnology.</w:t>
      </w:r>
    </w:p>
    <w:p w14:paraId="57E71EF9" w14:textId="77777777" w:rsidR="00E460E6" w:rsidRPr="008F16CA" w:rsidRDefault="00E460E6" w:rsidP="00E460E6">
      <w:pPr>
        <w:spacing w:after="160" w:line="278" w:lineRule="auto"/>
        <w:ind w:left="0" w:firstLine="0"/>
        <w:jc w:val="left"/>
        <w:rPr>
          <w:rFonts w:ascii="Arial" w:eastAsia="Calibri" w:hAnsi="Arial" w:cs="Arial"/>
          <w:b/>
          <w:bCs/>
          <w:sz w:val="20"/>
          <w:szCs w:val="20"/>
          <w:lang w:val="en-US"/>
        </w:rPr>
      </w:pPr>
      <w:r w:rsidRPr="008F16CA">
        <w:rPr>
          <w:rFonts w:ascii="Arial" w:eastAsia="Calibri" w:hAnsi="Arial" w:cs="Arial"/>
          <w:b/>
          <w:bCs/>
          <w:sz w:val="20"/>
          <w:szCs w:val="20"/>
          <w:lang w:val="en-US"/>
        </w:rPr>
        <w:t>Declaration of AI Use</w:t>
      </w:r>
    </w:p>
    <w:p w14:paraId="589C0941" w14:textId="77777777" w:rsidR="00E460E6" w:rsidRPr="008F16CA" w:rsidRDefault="00E460E6" w:rsidP="00E460E6">
      <w:pPr>
        <w:spacing w:after="160" w:line="278" w:lineRule="auto"/>
        <w:ind w:left="0" w:firstLine="0"/>
        <w:rPr>
          <w:rFonts w:ascii="Arial" w:eastAsia="Calibri" w:hAnsi="Arial" w:cs="Arial"/>
          <w:sz w:val="20"/>
          <w:szCs w:val="20"/>
          <w:lang w:val="en-US"/>
        </w:rPr>
      </w:pPr>
      <w:r w:rsidRPr="008F16CA">
        <w:rPr>
          <w:rFonts w:ascii="Arial" w:eastAsia="Calibri" w:hAnsi="Arial" w:cs="Arial"/>
          <w:sz w:val="20"/>
          <w:szCs w:val="20"/>
          <w:lang w:val="en-US"/>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AB10B1F" w14:textId="77777777" w:rsidR="0093744F" w:rsidRPr="008F16CA" w:rsidRDefault="0093744F" w:rsidP="0093744F">
      <w:pPr>
        <w:spacing w:before="100" w:beforeAutospacing="1" w:after="100" w:afterAutospacing="1"/>
        <w:ind w:left="0" w:firstLine="0"/>
        <w:jc w:val="left"/>
        <w:outlineLvl w:val="0"/>
        <w:rPr>
          <w:rFonts w:ascii="Arial" w:eastAsia="Times New Roman" w:hAnsi="Arial" w:cs="Arial"/>
          <w:b/>
          <w:bCs/>
          <w:kern w:val="36"/>
          <w:lang w:val="en-US"/>
        </w:rPr>
      </w:pPr>
      <w:r w:rsidRPr="008F16CA">
        <w:rPr>
          <w:rFonts w:ascii="Arial" w:eastAsia="Times New Roman" w:hAnsi="Arial" w:cs="Arial"/>
          <w:b/>
          <w:bCs/>
          <w:kern w:val="36"/>
          <w:lang w:val="en-US"/>
        </w:rPr>
        <w:t>Conflict of interest</w:t>
      </w:r>
    </w:p>
    <w:p w14:paraId="0504769D" w14:textId="77777777" w:rsidR="0093744F" w:rsidRPr="008F16CA" w:rsidRDefault="0093744F" w:rsidP="0093744F">
      <w:pPr>
        <w:spacing w:before="100" w:beforeAutospacing="1" w:after="100" w:afterAutospacing="1"/>
        <w:ind w:left="0" w:firstLine="0"/>
        <w:rPr>
          <w:rFonts w:ascii="Arial" w:eastAsia="Times New Roman" w:hAnsi="Arial" w:cs="Arial"/>
          <w:kern w:val="0"/>
          <w:sz w:val="20"/>
          <w:szCs w:val="20"/>
          <w:lang w:val="en-US"/>
        </w:rPr>
      </w:pPr>
      <w:r w:rsidRPr="008F16CA">
        <w:rPr>
          <w:rFonts w:ascii="Arial" w:eastAsia="Times New Roman" w:hAnsi="Arial" w:cs="Arial"/>
          <w:kern w:val="0"/>
          <w:sz w:val="20"/>
          <w:szCs w:val="20"/>
          <w:lang w:val="en-US"/>
        </w:rPr>
        <w:t>No conflict of interest declared by the authors in this manuscript.</w:t>
      </w:r>
    </w:p>
    <w:p w14:paraId="17470A0D" w14:textId="77777777" w:rsidR="0093744F" w:rsidRPr="008F16CA" w:rsidRDefault="0093744F" w:rsidP="0093744F">
      <w:pPr>
        <w:spacing w:before="100" w:beforeAutospacing="1" w:after="100" w:afterAutospacing="1"/>
        <w:ind w:left="0" w:firstLine="0"/>
        <w:jc w:val="left"/>
        <w:outlineLvl w:val="2"/>
        <w:rPr>
          <w:rFonts w:ascii="Arial" w:eastAsia="Times New Roman" w:hAnsi="Arial" w:cs="Arial"/>
          <w:b/>
          <w:bCs/>
          <w:kern w:val="0"/>
          <w:lang w:val="en-US"/>
        </w:rPr>
      </w:pPr>
      <w:r w:rsidRPr="008F16CA">
        <w:rPr>
          <w:rFonts w:ascii="Arial" w:eastAsia="Times New Roman" w:hAnsi="Arial" w:cs="Arial"/>
          <w:b/>
          <w:bCs/>
          <w:kern w:val="0"/>
          <w:lang w:val="en-US"/>
        </w:rPr>
        <w:t>References</w:t>
      </w:r>
    </w:p>
    <w:p w14:paraId="6B67A493" w14:textId="77777777" w:rsidR="00005383" w:rsidRPr="00005383" w:rsidRDefault="00005383" w:rsidP="00005383">
      <w:pPr>
        <w:spacing w:before="100" w:beforeAutospacing="1" w:after="100" w:afterAutospacing="1"/>
        <w:ind w:left="0" w:firstLine="0"/>
        <w:jc w:val="left"/>
        <w:rPr>
          <w:rFonts w:ascii="Times New Roman" w:eastAsia="Times New Roman" w:hAnsi="Times New Roman" w:cs="Times New Roman"/>
          <w:kern w:val="0"/>
          <w:sz w:val="24"/>
          <w:szCs w:val="24"/>
          <w:lang w:val="en-US"/>
        </w:rPr>
      </w:pPr>
      <w:r w:rsidRPr="00005383">
        <w:rPr>
          <w:rFonts w:ascii="Times New Roman" w:eastAsia="Times New Roman" w:hAnsi="Times New Roman" w:cs="Times New Roman"/>
          <w:kern w:val="0"/>
          <w:sz w:val="24"/>
          <w:szCs w:val="24"/>
          <w:lang w:val="en-US"/>
        </w:rPr>
        <w:lastRenderedPageBreak/>
        <w:t xml:space="preserve">Anjum, A., &amp; Chandra, V. (2026). A comprehensive review on the broad-spectrum utility and phytochemistry of </w:t>
      </w:r>
      <w:r w:rsidRPr="00005383">
        <w:rPr>
          <w:rFonts w:ascii="Times New Roman" w:eastAsia="Times New Roman" w:hAnsi="Times New Roman" w:cs="Times New Roman"/>
          <w:i/>
          <w:iCs/>
          <w:kern w:val="0"/>
          <w:sz w:val="24"/>
          <w:szCs w:val="24"/>
          <w:lang w:val="en-US"/>
        </w:rPr>
        <w:t xml:space="preserve">Curcuma </w:t>
      </w:r>
      <w:proofErr w:type="spellStart"/>
      <w:r w:rsidRPr="00005383">
        <w:rPr>
          <w:rFonts w:ascii="Times New Roman" w:eastAsia="Times New Roman" w:hAnsi="Times New Roman" w:cs="Times New Roman"/>
          <w:i/>
          <w:iCs/>
          <w:kern w:val="0"/>
          <w:sz w:val="24"/>
          <w:szCs w:val="24"/>
          <w:lang w:val="en-US"/>
        </w:rPr>
        <w:t>caesia</w:t>
      </w:r>
      <w:proofErr w:type="spellEnd"/>
      <w:r w:rsidRPr="00005383">
        <w:rPr>
          <w:rFonts w:ascii="Times New Roman" w:eastAsia="Times New Roman" w:hAnsi="Times New Roman" w:cs="Times New Roman"/>
          <w:kern w:val="0"/>
          <w:sz w:val="24"/>
          <w:szCs w:val="24"/>
          <w:lang w:val="en-US"/>
        </w:rPr>
        <w:t xml:space="preserve"> </w:t>
      </w:r>
      <w:proofErr w:type="spellStart"/>
      <w:r w:rsidRPr="00005383">
        <w:rPr>
          <w:rFonts w:ascii="Times New Roman" w:eastAsia="Times New Roman" w:hAnsi="Times New Roman" w:cs="Times New Roman"/>
          <w:kern w:val="0"/>
          <w:sz w:val="24"/>
          <w:szCs w:val="24"/>
          <w:lang w:val="en-US"/>
        </w:rPr>
        <w:t>Roxb</w:t>
      </w:r>
      <w:proofErr w:type="spellEnd"/>
      <w:r w:rsidRPr="00005383">
        <w:rPr>
          <w:rFonts w:ascii="Times New Roman" w:eastAsia="Times New Roman" w:hAnsi="Times New Roman" w:cs="Times New Roman"/>
          <w:kern w:val="0"/>
          <w:sz w:val="24"/>
          <w:szCs w:val="24"/>
          <w:lang w:val="en-US"/>
        </w:rPr>
        <w:t xml:space="preserve">. </w:t>
      </w:r>
      <w:r w:rsidRPr="00005383">
        <w:rPr>
          <w:rFonts w:ascii="Times New Roman" w:eastAsia="Times New Roman" w:hAnsi="Times New Roman" w:cs="Times New Roman"/>
          <w:i/>
          <w:iCs/>
          <w:kern w:val="0"/>
          <w:sz w:val="24"/>
          <w:szCs w:val="24"/>
          <w:lang w:val="en-US"/>
        </w:rPr>
        <w:t>Phytomedicine Plus, 6</w:t>
      </w:r>
      <w:r w:rsidRPr="00005383">
        <w:rPr>
          <w:rFonts w:ascii="Times New Roman" w:eastAsia="Times New Roman" w:hAnsi="Times New Roman" w:cs="Times New Roman"/>
          <w:kern w:val="0"/>
          <w:sz w:val="24"/>
          <w:szCs w:val="24"/>
          <w:lang w:val="en-US"/>
        </w:rPr>
        <w:t xml:space="preserve">(1), 100961. </w:t>
      </w:r>
      <w:hyperlink r:id="rId12" w:history="1">
        <w:r w:rsidRPr="00005383">
          <w:rPr>
            <w:rFonts w:ascii="Times New Roman" w:eastAsia="Times New Roman" w:hAnsi="Times New Roman" w:cs="Times New Roman"/>
            <w:color w:val="0000FF"/>
            <w:kern w:val="0"/>
            <w:sz w:val="24"/>
            <w:szCs w:val="24"/>
            <w:u w:val="single"/>
            <w:lang w:val="en-US"/>
          </w:rPr>
          <w:t>https://doi.org/10.1016/j.phyplu.2026.100961</w:t>
        </w:r>
      </w:hyperlink>
    </w:p>
    <w:p w14:paraId="02219EAE" w14:textId="77777777" w:rsidR="00005383" w:rsidRPr="00005383" w:rsidRDefault="00005383" w:rsidP="00005383">
      <w:pPr>
        <w:spacing w:before="100" w:beforeAutospacing="1" w:after="100" w:afterAutospacing="1"/>
        <w:ind w:left="0" w:firstLine="0"/>
        <w:jc w:val="left"/>
        <w:rPr>
          <w:rFonts w:ascii="Times New Roman" w:eastAsia="Times New Roman" w:hAnsi="Times New Roman" w:cs="Times New Roman"/>
          <w:kern w:val="0"/>
          <w:sz w:val="24"/>
          <w:szCs w:val="24"/>
          <w:lang w:val="en-US"/>
        </w:rPr>
      </w:pPr>
      <w:r w:rsidRPr="00005383">
        <w:rPr>
          <w:rFonts w:ascii="Times New Roman" w:eastAsia="Times New Roman" w:hAnsi="Times New Roman" w:cs="Times New Roman"/>
          <w:kern w:val="0"/>
          <w:sz w:val="24"/>
          <w:szCs w:val="24"/>
          <w:lang w:val="en-US"/>
        </w:rPr>
        <w:t xml:space="preserve">Bacon, C. W., &amp; White, J. F. (Eds.). (2000). </w:t>
      </w:r>
      <w:r w:rsidRPr="00005383">
        <w:rPr>
          <w:rFonts w:ascii="Times New Roman" w:eastAsia="Times New Roman" w:hAnsi="Times New Roman" w:cs="Times New Roman"/>
          <w:i/>
          <w:iCs/>
          <w:kern w:val="0"/>
          <w:sz w:val="24"/>
          <w:szCs w:val="24"/>
          <w:lang w:val="en-US"/>
        </w:rPr>
        <w:t>Microbial endophytes</w:t>
      </w:r>
      <w:r w:rsidRPr="00005383">
        <w:rPr>
          <w:rFonts w:ascii="Times New Roman" w:eastAsia="Times New Roman" w:hAnsi="Times New Roman" w:cs="Times New Roman"/>
          <w:kern w:val="0"/>
          <w:sz w:val="24"/>
          <w:szCs w:val="24"/>
          <w:lang w:val="en-US"/>
        </w:rPr>
        <w:t xml:space="preserve">. CRC Press. </w:t>
      </w:r>
      <w:hyperlink r:id="rId13" w:history="1">
        <w:r w:rsidRPr="00005383">
          <w:rPr>
            <w:rFonts w:ascii="Times New Roman" w:eastAsia="Times New Roman" w:hAnsi="Times New Roman" w:cs="Times New Roman"/>
            <w:color w:val="0000FF"/>
            <w:kern w:val="0"/>
            <w:sz w:val="24"/>
            <w:szCs w:val="24"/>
            <w:u w:val="single"/>
            <w:lang w:val="en-US"/>
          </w:rPr>
          <w:t>https://doi.org/10.1201/9781482277302</w:t>
        </w:r>
      </w:hyperlink>
    </w:p>
    <w:p w14:paraId="5ED135AD" w14:textId="77777777" w:rsidR="00005383" w:rsidRPr="00005383" w:rsidRDefault="00005383" w:rsidP="00005383">
      <w:pPr>
        <w:spacing w:before="100" w:beforeAutospacing="1" w:after="100" w:afterAutospacing="1"/>
        <w:ind w:left="0" w:firstLine="0"/>
        <w:jc w:val="left"/>
        <w:rPr>
          <w:rFonts w:ascii="Times New Roman" w:eastAsia="Times New Roman" w:hAnsi="Times New Roman" w:cs="Times New Roman"/>
          <w:kern w:val="0"/>
          <w:sz w:val="24"/>
          <w:szCs w:val="24"/>
          <w:lang w:val="en-US"/>
        </w:rPr>
      </w:pPr>
      <w:r w:rsidRPr="00005383">
        <w:rPr>
          <w:rFonts w:ascii="Times New Roman" w:eastAsia="Times New Roman" w:hAnsi="Times New Roman" w:cs="Times New Roman"/>
          <w:kern w:val="0"/>
          <w:sz w:val="24"/>
          <w:szCs w:val="24"/>
          <w:lang w:val="en-US"/>
        </w:rPr>
        <w:t xml:space="preserve">Bernfeld, P. (1955). Amylases, α and β. In S. P. </w:t>
      </w:r>
      <w:proofErr w:type="spellStart"/>
      <w:r w:rsidRPr="00005383">
        <w:rPr>
          <w:rFonts w:ascii="Times New Roman" w:eastAsia="Times New Roman" w:hAnsi="Times New Roman" w:cs="Times New Roman"/>
          <w:kern w:val="0"/>
          <w:sz w:val="24"/>
          <w:szCs w:val="24"/>
          <w:lang w:val="en-US"/>
        </w:rPr>
        <w:t>Colowick</w:t>
      </w:r>
      <w:proofErr w:type="spellEnd"/>
      <w:r w:rsidRPr="00005383">
        <w:rPr>
          <w:rFonts w:ascii="Times New Roman" w:eastAsia="Times New Roman" w:hAnsi="Times New Roman" w:cs="Times New Roman"/>
          <w:kern w:val="0"/>
          <w:sz w:val="24"/>
          <w:szCs w:val="24"/>
          <w:lang w:val="en-US"/>
        </w:rPr>
        <w:t xml:space="preserve"> and N. O. Kaplan (Eds.), </w:t>
      </w:r>
      <w:r w:rsidRPr="00005383">
        <w:rPr>
          <w:rFonts w:ascii="Times New Roman" w:eastAsia="Times New Roman" w:hAnsi="Times New Roman" w:cs="Times New Roman"/>
          <w:i/>
          <w:iCs/>
          <w:kern w:val="0"/>
          <w:sz w:val="24"/>
          <w:szCs w:val="24"/>
          <w:lang w:val="en-US"/>
        </w:rPr>
        <w:t>Methods in enzymology</w:t>
      </w:r>
      <w:r w:rsidRPr="00005383">
        <w:rPr>
          <w:rFonts w:ascii="Times New Roman" w:eastAsia="Times New Roman" w:hAnsi="Times New Roman" w:cs="Times New Roman"/>
          <w:kern w:val="0"/>
          <w:sz w:val="24"/>
          <w:szCs w:val="24"/>
          <w:lang w:val="en-US"/>
        </w:rPr>
        <w:t xml:space="preserve"> (Vol. 1, pp. 149–158). Academic Press. </w:t>
      </w:r>
      <w:hyperlink r:id="rId14" w:history="1">
        <w:r w:rsidRPr="00005383">
          <w:rPr>
            <w:rFonts w:ascii="Times New Roman" w:eastAsia="Times New Roman" w:hAnsi="Times New Roman" w:cs="Times New Roman"/>
            <w:color w:val="0000FF"/>
            <w:kern w:val="0"/>
            <w:sz w:val="24"/>
            <w:szCs w:val="24"/>
            <w:u w:val="single"/>
            <w:lang w:val="en-US"/>
          </w:rPr>
          <w:t>https://doi.org/10.1016/0076-6879(55)01021-5</w:t>
        </w:r>
      </w:hyperlink>
    </w:p>
    <w:p w14:paraId="1B051E18" w14:textId="77777777" w:rsidR="00005383" w:rsidRPr="00005383" w:rsidRDefault="00005383" w:rsidP="00005383">
      <w:pPr>
        <w:spacing w:before="100" w:beforeAutospacing="1" w:after="100" w:afterAutospacing="1"/>
        <w:ind w:left="0" w:firstLine="0"/>
        <w:jc w:val="left"/>
        <w:rPr>
          <w:rFonts w:ascii="Times New Roman" w:eastAsia="Times New Roman" w:hAnsi="Times New Roman" w:cs="Times New Roman"/>
          <w:kern w:val="0"/>
          <w:sz w:val="24"/>
          <w:szCs w:val="24"/>
          <w:lang w:val="en-US"/>
        </w:rPr>
      </w:pPr>
      <w:r w:rsidRPr="00005383">
        <w:rPr>
          <w:rFonts w:ascii="Times New Roman" w:eastAsia="Times New Roman" w:hAnsi="Times New Roman" w:cs="Times New Roman"/>
          <w:kern w:val="0"/>
          <w:sz w:val="24"/>
          <w:szCs w:val="24"/>
          <w:lang w:val="en-US"/>
        </w:rPr>
        <w:t xml:space="preserve">Cupp-Enyard, C. (2008). Sigma’s non-specific protease activity assay—Casein as a substrate. </w:t>
      </w:r>
      <w:r w:rsidRPr="00005383">
        <w:rPr>
          <w:rFonts w:ascii="Times New Roman" w:eastAsia="Times New Roman" w:hAnsi="Times New Roman" w:cs="Times New Roman"/>
          <w:i/>
          <w:iCs/>
          <w:kern w:val="0"/>
          <w:sz w:val="24"/>
          <w:szCs w:val="24"/>
          <w:lang w:val="en-US"/>
        </w:rPr>
        <w:t>Journal of Visualized Experiments</w:t>
      </w:r>
      <w:r w:rsidRPr="00005383">
        <w:rPr>
          <w:rFonts w:ascii="Times New Roman" w:eastAsia="Times New Roman" w:hAnsi="Times New Roman" w:cs="Times New Roman"/>
          <w:kern w:val="0"/>
          <w:sz w:val="24"/>
          <w:szCs w:val="24"/>
          <w:lang w:val="en-US"/>
        </w:rPr>
        <w:t xml:space="preserve">, (19), e899. </w:t>
      </w:r>
      <w:hyperlink r:id="rId15" w:history="1">
        <w:r w:rsidRPr="00005383">
          <w:rPr>
            <w:rFonts w:ascii="Times New Roman" w:eastAsia="Times New Roman" w:hAnsi="Times New Roman" w:cs="Times New Roman"/>
            <w:color w:val="0000FF"/>
            <w:kern w:val="0"/>
            <w:sz w:val="24"/>
            <w:szCs w:val="24"/>
            <w:u w:val="single"/>
            <w:lang w:val="en-US"/>
          </w:rPr>
          <w:t>https://doi.org/10.3791/899</w:t>
        </w:r>
      </w:hyperlink>
    </w:p>
    <w:p w14:paraId="2E604CF2" w14:textId="77777777" w:rsidR="00005383" w:rsidRPr="00005383" w:rsidRDefault="00005383" w:rsidP="00005383">
      <w:pPr>
        <w:spacing w:before="100" w:beforeAutospacing="1" w:after="100" w:afterAutospacing="1"/>
        <w:ind w:left="0" w:firstLine="0"/>
        <w:jc w:val="left"/>
        <w:rPr>
          <w:rFonts w:ascii="Times New Roman" w:eastAsia="Times New Roman" w:hAnsi="Times New Roman" w:cs="Times New Roman"/>
          <w:kern w:val="0"/>
          <w:sz w:val="24"/>
          <w:szCs w:val="24"/>
          <w:lang w:val="en-US"/>
        </w:rPr>
      </w:pPr>
      <w:proofErr w:type="spellStart"/>
      <w:r w:rsidRPr="00005383">
        <w:rPr>
          <w:rFonts w:ascii="Times New Roman" w:eastAsia="Times New Roman" w:hAnsi="Times New Roman" w:cs="Times New Roman"/>
          <w:kern w:val="0"/>
          <w:sz w:val="24"/>
          <w:szCs w:val="24"/>
          <w:lang w:val="en-US"/>
        </w:rPr>
        <w:t>Dilkush</w:t>
      </w:r>
      <w:proofErr w:type="spellEnd"/>
      <w:r w:rsidRPr="00005383">
        <w:rPr>
          <w:rFonts w:ascii="Times New Roman" w:eastAsia="Times New Roman" w:hAnsi="Times New Roman" w:cs="Times New Roman"/>
          <w:kern w:val="0"/>
          <w:sz w:val="24"/>
          <w:szCs w:val="24"/>
          <w:lang w:val="en-US"/>
        </w:rPr>
        <w:t xml:space="preserve">, F., </w:t>
      </w:r>
      <w:proofErr w:type="spellStart"/>
      <w:r w:rsidRPr="00005383">
        <w:rPr>
          <w:rFonts w:ascii="Times New Roman" w:eastAsia="Times New Roman" w:hAnsi="Times New Roman" w:cs="Times New Roman"/>
          <w:kern w:val="0"/>
          <w:sz w:val="24"/>
          <w:szCs w:val="24"/>
          <w:lang w:val="en-US"/>
        </w:rPr>
        <w:t>Sarathambal</w:t>
      </w:r>
      <w:proofErr w:type="spellEnd"/>
      <w:r w:rsidRPr="00005383">
        <w:rPr>
          <w:rFonts w:ascii="Times New Roman" w:eastAsia="Times New Roman" w:hAnsi="Times New Roman" w:cs="Times New Roman"/>
          <w:kern w:val="0"/>
          <w:sz w:val="24"/>
          <w:szCs w:val="24"/>
          <w:lang w:val="en-US"/>
        </w:rPr>
        <w:t>, C., Alfiya, P. V., Praveena, R., &amp; Prasath, D. (2025). Metabolic optimization of endophytic bacteria from aromatic ginger (</w:t>
      </w:r>
      <w:r w:rsidRPr="00005383">
        <w:rPr>
          <w:rFonts w:ascii="Times New Roman" w:eastAsia="Times New Roman" w:hAnsi="Times New Roman" w:cs="Times New Roman"/>
          <w:i/>
          <w:iCs/>
          <w:kern w:val="0"/>
          <w:sz w:val="24"/>
          <w:szCs w:val="24"/>
          <w:lang w:val="en-US"/>
        </w:rPr>
        <w:t>Kaempferia galanga</w:t>
      </w:r>
      <w:r w:rsidRPr="00005383">
        <w:rPr>
          <w:rFonts w:ascii="Times New Roman" w:eastAsia="Times New Roman" w:hAnsi="Times New Roman" w:cs="Times New Roman"/>
          <w:kern w:val="0"/>
          <w:sz w:val="24"/>
          <w:szCs w:val="24"/>
          <w:lang w:val="en-US"/>
        </w:rPr>
        <w:t>), and black turmeric (</w:t>
      </w:r>
      <w:r w:rsidRPr="00005383">
        <w:rPr>
          <w:rFonts w:ascii="Times New Roman" w:eastAsia="Times New Roman" w:hAnsi="Times New Roman" w:cs="Times New Roman"/>
          <w:i/>
          <w:iCs/>
          <w:kern w:val="0"/>
          <w:sz w:val="24"/>
          <w:szCs w:val="24"/>
          <w:lang w:val="en-US"/>
        </w:rPr>
        <w:t xml:space="preserve">Curcuma </w:t>
      </w:r>
      <w:proofErr w:type="spellStart"/>
      <w:r w:rsidRPr="00005383">
        <w:rPr>
          <w:rFonts w:ascii="Times New Roman" w:eastAsia="Times New Roman" w:hAnsi="Times New Roman" w:cs="Times New Roman"/>
          <w:i/>
          <w:iCs/>
          <w:kern w:val="0"/>
          <w:sz w:val="24"/>
          <w:szCs w:val="24"/>
          <w:lang w:val="en-US"/>
        </w:rPr>
        <w:t>caesia</w:t>
      </w:r>
      <w:proofErr w:type="spellEnd"/>
      <w:r w:rsidRPr="00005383">
        <w:rPr>
          <w:rFonts w:ascii="Times New Roman" w:eastAsia="Times New Roman" w:hAnsi="Times New Roman" w:cs="Times New Roman"/>
          <w:kern w:val="0"/>
          <w:sz w:val="24"/>
          <w:szCs w:val="24"/>
          <w:lang w:val="en-US"/>
        </w:rPr>
        <w:t xml:space="preserve">), for enhanced biocontrol of </w:t>
      </w:r>
      <w:r w:rsidRPr="00005383">
        <w:rPr>
          <w:rFonts w:ascii="Times New Roman" w:eastAsia="Times New Roman" w:hAnsi="Times New Roman" w:cs="Times New Roman"/>
          <w:i/>
          <w:iCs/>
          <w:kern w:val="0"/>
          <w:sz w:val="24"/>
          <w:szCs w:val="24"/>
          <w:lang w:val="en-US"/>
        </w:rPr>
        <w:t xml:space="preserve">Pythium </w:t>
      </w:r>
      <w:proofErr w:type="spellStart"/>
      <w:r w:rsidRPr="00005383">
        <w:rPr>
          <w:rFonts w:ascii="Times New Roman" w:eastAsia="Times New Roman" w:hAnsi="Times New Roman" w:cs="Times New Roman"/>
          <w:i/>
          <w:iCs/>
          <w:kern w:val="0"/>
          <w:sz w:val="24"/>
          <w:szCs w:val="24"/>
          <w:lang w:val="en-US"/>
        </w:rPr>
        <w:t>myriotylum</w:t>
      </w:r>
      <w:proofErr w:type="spellEnd"/>
      <w:r w:rsidRPr="00005383">
        <w:rPr>
          <w:rFonts w:ascii="Times New Roman" w:eastAsia="Times New Roman" w:hAnsi="Times New Roman" w:cs="Times New Roman"/>
          <w:kern w:val="0"/>
          <w:sz w:val="24"/>
          <w:szCs w:val="24"/>
          <w:lang w:val="en-US"/>
        </w:rPr>
        <w:t xml:space="preserve">. </w:t>
      </w:r>
      <w:r w:rsidRPr="00005383">
        <w:rPr>
          <w:rFonts w:ascii="Times New Roman" w:eastAsia="Times New Roman" w:hAnsi="Times New Roman" w:cs="Times New Roman"/>
          <w:i/>
          <w:iCs/>
          <w:kern w:val="0"/>
          <w:sz w:val="24"/>
          <w:szCs w:val="24"/>
          <w:lang w:val="en-US"/>
        </w:rPr>
        <w:t>Physiological and Molecular Plant Pathology, 140</w:t>
      </w:r>
      <w:r w:rsidRPr="00005383">
        <w:rPr>
          <w:rFonts w:ascii="Times New Roman" w:eastAsia="Times New Roman" w:hAnsi="Times New Roman" w:cs="Times New Roman"/>
          <w:kern w:val="0"/>
          <w:sz w:val="24"/>
          <w:szCs w:val="24"/>
          <w:lang w:val="en-US"/>
        </w:rPr>
        <w:t xml:space="preserve">, 102898. </w:t>
      </w:r>
      <w:hyperlink r:id="rId16" w:history="1">
        <w:r w:rsidRPr="00005383">
          <w:rPr>
            <w:rFonts w:ascii="Times New Roman" w:eastAsia="Times New Roman" w:hAnsi="Times New Roman" w:cs="Times New Roman"/>
            <w:color w:val="0000FF"/>
            <w:kern w:val="0"/>
            <w:sz w:val="24"/>
            <w:szCs w:val="24"/>
            <w:u w:val="single"/>
            <w:lang w:val="en-US"/>
          </w:rPr>
          <w:t>https://doi.org/10.1016/j.pmpp.2025.102898</w:t>
        </w:r>
      </w:hyperlink>
    </w:p>
    <w:p w14:paraId="3F74ABAB" w14:textId="77777777" w:rsidR="00005383" w:rsidRPr="00005383" w:rsidRDefault="00005383" w:rsidP="00005383">
      <w:pPr>
        <w:spacing w:before="100" w:beforeAutospacing="1" w:after="100" w:afterAutospacing="1"/>
        <w:ind w:left="0" w:firstLine="0"/>
        <w:jc w:val="left"/>
        <w:rPr>
          <w:rFonts w:ascii="Times New Roman" w:eastAsia="Times New Roman" w:hAnsi="Times New Roman" w:cs="Times New Roman"/>
          <w:kern w:val="0"/>
          <w:sz w:val="24"/>
          <w:szCs w:val="24"/>
          <w:lang w:val="en-US"/>
        </w:rPr>
      </w:pPr>
      <w:proofErr w:type="spellStart"/>
      <w:r w:rsidRPr="00005383">
        <w:rPr>
          <w:rFonts w:ascii="Times New Roman" w:eastAsia="Times New Roman" w:hAnsi="Times New Roman" w:cs="Times New Roman"/>
          <w:kern w:val="0"/>
          <w:sz w:val="24"/>
          <w:szCs w:val="24"/>
          <w:lang w:val="en-US"/>
        </w:rPr>
        <w:t>Dilkush</w:t>
      </w:r>
      <w:proofErr w:type="spellEnd"/>
      <w:r w:rsidRPr="00005383">
        <w:rPr>
          <w:rFonts w:ascii="Times New Roman" w:eastAsia="Times New Roman" w:hAnsi="Times New Roman" w:cs="Times New Roman"/>
          <w:kern w:val="0"/>
          <w:sz w:val="24"/>
          <w:szCs w:val="24"/>
          <w:lang w:val="en-US"/>
        </w:rPr>
        <w:t xml:space="preserve">, F., </w:t>
      </w:r>
      <w:proofErr w:type="spellStart"/>
      <w:r w:rsidRPr="00005383">
        <w:rPr>
          <w:rFonts w:ascii="Times New Roman" w:eastAsia="Times New Roman" w:hAnsi="Times New Roman" w:cs="Times New Roman"/>
          <w:kern w:val="0"/>
          <w:sz w:val="24"/>
          <w:szCs w:val="24"/>
          <w:lang w:val="en-US"/>
        </w:rPr>
        <w:t>Sarathambal</w:t>
      </w:r>
      <w:proofErr w:type="spellEnd"/>
      <w:r w:rsidRPr="00005383">
        <w:rPr>
          <w:rFonts w:ascii="Times New Roman" w:eastAsia="Times New Roman" w:hAnsi="Times New Roman" w:cs="Times New Roman"/>
          <w:kern w:val="0"/>
          <w:sz w:val="24"/>
          <w:szCs w:val="24"/>
          <w:lang w:val="en-US"/>
        </w:rPr>
        <w:t xml:space="preserve">, C., Charles, S., Peter, B., Praveena, R., &amp; Prasath, D. (2026). Antagonistic bacterial endophytes from gingers and their metabolite-mediated interactions against </w:t>
      </w:r>
      <w:r w:rsidRPr="00005383">
        <w:rPr>
          <w:rFonts w:ascii="Times New Roman" w:eastAsia="Times New Roman" w:hAnsi="Times New Roman" w:cs="Times New Roman"/>
          <w:i/>
          <w:iCs/>
          <w:kern w:val="0"/>
          <w:sz w:val="24"/>
          <w:szCs w:val="24"/>
          <w:lang w:val="en-US"/>
        </w:rPr>
        <w:t>Pythium</w:t>
      </w:r>
      <w:r w:rsidRPr="00005383">
        <w:rPr>
          <w:rFonts w:ascii="Times New Roman" w:eastAsia="Times New Roman" w:hAnsi="Times New Roman" w:cs="Times New Roman"/>
          <w:kern w:val="0"/>
          <w:sz w:val="24"/>
          <w:szCs w:val="24"/>
          <w:lang w:val="en-US"/>
        </w:rPr>
        <w:t xml:space="preserve"> soft rot. </w:t>
      </w:r>
      <w:r w:rsidRPr="00005383">
        <w:rPr>
          <w:rFonts w:ascii="Times New Roman" w:eastAsia="Times New Roman" w:hAnsi="Times New Roman" w:cs="Times New Roman"/>
          <w:i/>
          <w:iCs/>
          <w:kern w:val="0"/>
          <w:sz w:val="24"/>
          <w:szCs w:val="24"/>
          <w:lang w:val="en-US"/>
        </w:rPr>
        <w:t>Current Microbiology, 83</w:t>
      </w:r>
      <w:r w:rsidRPr="00005383">
        <w:rPr>
          <w:rFonts w:ascii="Times New Roman" w:eastAsia="Times New Roman" w:hAnsi="Times New Roman" w:cs="Times New Roman"/>
          <w:kern w:val="0"/>
          <w:sz w:val="24"/>
          <w:szCs w:val="24"/>
          <w:lang w:val="en-US"/>
        </w:rPr>
        <w:t xml:space="preserve">, 34. </w:t>
      </w:r>
      <w:hyperlink r:id="rId17" w:history="1">
        <w:r w:rsidRPr="00005383">
          <w:rPr>
            <w:rFonts w:ascii="Times New Roman" w:eastAsia="Times New Roman" w:hAnsi="Times New Roman" w:cs="Times New Roman"/>
            <w:color w:val="0000FF"/>
            <w:kern w:val="0"/>
            <w:sz w:val="24"/>
            <w:szCs w:val="24"/>
            <w:u w:val="single"/>
            <w:lang w:val="en-US"/>
          </w:rPr>
          <w:t>https://doi.org/10.1007/s00284-025-04608-0</w:t>
        </w:r>
      </w:hyperlink>
    </w:p>
    <w:p w14:paraId="79EA8B18" w14:textId="77777777" w:rsidR="00005383" w:rsidRPr="00005383" w:rsidRDefault="00005383" w:rsidP="00005383">
      <w:pPr>
        <w:spacing w:before="100" w:beforeAutospacing="1" w:after="100" w:afterAutospacing="1"/>
        <w:ind w:left="0" w:firstLine="0"/>
        <w:jc w:val="left"/>
        <w:rPr>
          <w:rFonts w:ascii="Times New Roman" w:eastAsia="Times New Roman" w:hAnsi="Times New Roman" w:cs="Times New Roman"/>
          <w:kern w:val="0"/>
          <w:sz w:val="24"/>
          <w:szCs w:val="24"/>
          <w:lang w:val="en-US"/>
        </w:rPr>
      </w:pPr>
      <w:r w:rsidRPr="00005383">
        <w:rPr>
          <w:rFonts w:ascii="Times New Roman" w:eastAsia="Times New Roman" w:hAnsi="Times New Roman" w:cs="Times New Roman"/>
          <w:kern w:val="0"/>
          <w:sz w:val="24"/>
          <w:szCs w:val="24"/>
          <w:lang w:val="en-US"/>
        </w:rPr>
        <w:t xml:space="preserve">Gupta, P., Samant, K., &amp; Sahu, A. (2012). Isolation of cellulose-degrading bacteria and determination of their cellulolytic potential. </w:t>
      </w:r>
      <w:r w:rsidRPr="00005383">
        <w:rPr>
          <w:rFonts w:ascii="Times New Roman" w:eastAsia="Times New Roman" w:hAnsi="Times New Roman" w:cs="Times New Roman"/>
          <w:i/>
          <w:iCs/>
          <w:kern w:val="0"/>
          <w:sz w:val="24"/>
          <w:szCs w:val="24"/>
          <w:lang w:val="en-US"/>
        </w:rPr>
        <w:t>International Journal of Microbiology, 2012</w:t>
      </w:r>
      <w:r w:rsidRPr="00005383">
        <w:rPr>
          <w:rFonts w:ascii="Times New Roman" w:eastAsia="Times New Roman" w:hAnsi="Times New Roman" w:cs="Times New Roman"/>
          <w:kern w:val="0"/>
          <w:sz w:val="24"/>
          <w:szCs w:val="24"/>
          <w:lang w:val="en-US"/>
        </w:rPr>
        <w:t xml:space="preserve">, 578925. </w:t>
      </w:r>
      <w:hyperlink r:id="rId18" w:history="1">
        <w:r w:rsidRPr="00005383">
          <w:rPr>
            <w:rFonts w:ascii="Times New Roman" w:eastAsia="Times New Roman" w:hAnsi="Times New Roman" w:cs="Times New Roman"/>
            <w:color w:val="0000FF"/>
            <w:kern w:val="0"/>
            <w:sz w:val="24"/>
            <w:szCs w:val="24"/>
            <w:u w:val="single"/>
            <w:lang w:val="en-US"/>
          </w:rPr>
          <w:t>https://doi.org/10.1155/2012/578925</w:t>
        </w:r>
      </w:hyperlink>
    </w:p>
    <w:p w14:paraId="35E71EF7" w14:textId="77777777" w:rsidR="00005383" w:rsidRPr="00005383" w:rsidRDefault="00005383" w:rsidP="00005383">
      <w:pPr>
        <w:spacing w:before="100" w:beforeAutospacing="1" w:after="100" w:afterAutospacing="1"/>
        <w:ind w:left="0" w:firstLine="0"/>
        <w:jc w:val="left"/>
        <w:rPr>
          <w:rFonts w:ascii="Times New Roman" w:eastAsia="Times New Roman" w:hAnsi="Times New Roman" w:cs="Times New Roman"/>
          <w:kern w:val="0"/>
          <w:sz w:val="24"/>
          <w:szCs w:val="24"/>
          <w:lang w:val="en-US"/>
        </w:rPr>
      </w:pPr>
      <w:r w:rsidRPr="00005383">
        <w:rPr>
          <w:rFonts w:ascii="Times New Roman" w:eastAsia="Times New Roman" w:hAnsi="Times New Roman" w:cs="Times New Roman"/>
          <w:kern w:val="0"/>
          <w:sz w:val="24"/>
          <w:szCs w:val="24"/>
          <w:lang w:val="en-US"/>
        </w:rPr>
        <w:t xml:space="preserve">Hallmann, J., </w:t>
      </w:r>
      <w:proofErr w:type="spellStart"/>
      <w:r w:rsidRPr="00005383">
        <w:rPr>
          <w:rFonts w:ascii="Times New Roman" w:eastAsia="Times New Roman" w:hAnsi="Times New Roman" w:cs="Times New Roman"/>
          <w:kern w:val="0"/>
          <w:sz w:val="24"/>
          <w:szCs w:val="24"/>
          <w:lang w:val="en-US"/>
        </w:rPr>
        <w:t>Quadt</w:t>
      </w:r>
      <w:proofErr w:type="spellEnd"/>
      <w:r w:rsidRPr="00005383">
        <w:rPr>
          <w:rFonts w:ascii="Times New Roman" w:eastAsia="Times New Roman" w:hAnsi="Times New Roman" w:cs="Times New Roman"/>
          <w:kern w:val="0"/>
          <w:sz w:val="24"/>
          <w:szCs w:val="24"/>
          <w:lang w:val="en-US"/>
        </w:rPr>
        <w:t xml:space="preserve">-Hallmann, A., Mahaffee, W. F., &amp; Kloepper, J. W. (1997). Bacterial endophytes in agricultural crops. </w:t>
      </w:r>
      <w:r w:rsidRPr="00005383">
        <w:rPr>
          <w:rFonts w:ascii="Times New Roman" w:eastAsia="Times New Roman" w:hAnsi="Times New Roman" w:cs="Times New Roman"/>
          <w:i/>
          <w:iCs/>
          <w:kern w:val="0"/>
          <w:sz w:val="24"/>
          <w:szCs w:val="24"/>
          <w:lang w:val="en-US"/>
        </w:rPr>
        <w:t>Canadian Journal of Microbiology, 43</w:t>
      </w:r>
      <w:r w:rsidRPr="00005383">
        <w:rPr>
          <w:rFonts w:ascii="Times New Roman" w:eastAsia="Times New Roman" w:hAnsi="Times New Roman" w:cs="Times New Roman"/>
          <w:kern w:val="0"/>
          <w:sz w:val="24"/>
          <w:szCs w:val="24"/>
          <w:lang w:val="en-US"/>
        </w:rPr>
        <w:t xml:space="preserve">(10), 895–914. </w:t>
      </w:r>
      <w:hyperlink r:id="rId19" w:history="1">
        <w:r w:rsidRPr="00005383">
          <w:rPr>
            <w:rFonts w:ascii="Times New Roman" w:eastAsia="Times New Roman" w:hAnsi="Times New Roman" w:cs="Times New Roman"/>
            <w:color w:val="0000FF"/>
            <w:kern w:val="0"/>
            <w:sz w:val="24"/>
            <w:szCs w:val="24"/>
            <w:u w:val="single"/>
            <w:lang w:val="en-US"/>
          </w:rPr>
          <w:t>https://doi.org/10.1139/m97-131</w:t>
        </w:r>
      </w:hyperlink>
    </w:p>
    <w:p w14:paraId="7E9BBE52" w14:textId="77777777" w:rsidR="00005383" w:rsidRPr="00005383" w:rsidRDefault="00005383" w:rsidP="00005383">
      <w:pPr>
        <w:spacing w:before="100" w:beforeAutospacing="1" w:after="100" w:afterAutospacing="1"/>
        <w:ind w:left="0" w:firstLine="0"/>
        <w:jc w:val="left"/>
        <w:rPr>
          <w:rFonts w:ascii="Times New Roman" w:eastAsia="Times New Roman" w:hAnsi="Times New Roman" w:cs="Times New Roman"/>
          <w:kern w:val="0"/>
          <w:sz w:val="24"/>
          <w:szCs w:val="24"/>
          <w:lang w:val="en-US"/>
        </w:rPr>
      </w:pPr>
      <w:r w:rsidRPr="00005383">
        <w:rPr>
          <w:rFonts w:ascii="Times New Roman" w:eastAsia="Times New Roman" w:hAnsi="Times New Roman" w:cs="Times New Roman"/>
          <w:kern w:val="0"/>
          <w:sz w:val="24"/>
          <w:szCs w:val="24"/>
          <w:lang w:val="en-US"/>
        </w:rPr>
        <w:t xml:space="preserve">Hasan, F., Shah, A. A., &amp; Hameed, A. (2006). Industrial applications of microbial lipases. </w:t>
      </w:r>
      <w:r w:rsidRPr="00005383">
        <w:rPr>
          <w:rFonts w:ascii="Times New Roman" w:eastAsia="Times New Roman" w:hAnsi="Times New Roman" w:cs="Times New Roman"/>
          <w:i/>
          <w:iCs/>
          <w:kern w:val="0"/>
          <w:sz w:val="24"/>
          <w:szCs w:val="24"/>
          <w:lang w:val="en-US"/>
        </w:rPr>
        <w:t>Enzyme and Microbial Technology, 39</w:t>
      </w:r>
      <w:r w:rsidRPr="00005383">
        <w:rPr>
          <w:rFonts w:ascii="Times New Roman" w:eastAsia="Times New Roman" w:hAnsi="Times New Roman" w:cs="Times New Roman"/>
          <w:kern w:val="0"/>
          <w:sz w:val="24"/>
          <w:szCs w:val="24"/>
          <w:lang w:val="en-US"/>
        </w:rPr>
        <w:t xml:space="preserve">(2), 235–251. </w:t>
      </w:r>
      <w:hyperlink r:id="rId20" w:history="1">
        <w:r w:rsidRPr="00005383">
          <w:rPr>
            <w:rFonts w:ascii="Times New Roman" w:eastAsia="Times New Roman" w:hAnsi="Times New Roman" w:cs="Times New Roman"/>
            <w:color w:val="0000FF"/>
            <w:kern w:val="0"/>
            <w:sz w:val="24"/>
            <w:szCs w:val="24"/>
            <w:u w:val="single"/>
            <w:lang w:val="en-US"/>
          </w:rPr>
          <w:t>https://doi.org/10.1016/j.enzmictec.2005.10.016</w:t>
        </w:r>
      </w:hyperlink>
    </w:p>
    <w:p w14:paraId="37E152C4" w14:textId="77777777" w:rsidR="00005383" w:rsidRPr="00005383" w:rsidRDefault="00005383" w:rsidP="00005383">
      <w:pPr>
        <w:spacing w:before="100" w:beforeAutospacing="1" w:after="100" w:afterAutospacing="1"/>
        <w:ind w:left="0" w:firstLine="0"/>
        <w:jc w:val="left"/>
        <w:rPr>
          <w:rFonts w:ascii="Times New Roman" w:eastAsia="Times New Roman" w:hAnsi="Times New Roman" w:cs="Times New Roman"/>
          <w:kern w:val="0"/>
          <w:sz w:val="24"/>
          <w:szCs w:val="24"/>
          <w:lang w:val="en-US"/>
        </w:rPr>
      </w:pPr>
      <w:r w:rsidRPr="00005383">
        <w:rPr>
          <w:rFonts w:ascii="Times New Roman" w:eastAsia="Times New Roman" w:hAnsi="Times New Roman" w:cs="Times New Roman"/>
          <w:kern w:val="0"/>
          <w:sz w:val="24"/>
          <w:szCs w:val="24"/>
          <w:lang w:val="en-US"/>
        </w:rPr>
        <w:t xml:space="preserve">Ibrahim, N. N. A., Wan Mustapha, W. A., Sofian-Seng, N.-S., Lim, S. J., Mohd Razali, N. S., Teh, A. H., Abdul Rahman, H., &amp; </w:t>
      </w:r>
      <w:proofErr w:type="spellStart"/>
      <w:r w:rsidRPr="00005383">
        <w:rPr>
          <w:rFonts w:ascii="Times New Roman" w:eastAsia="Times New Roman" w:hAnsi="Times New Roman" w:cs="Times New Roman"/>
          <w:kern w:val="0"/>
          <w:sz w:val="24"/>
          <w:szCs w:val="24"/>
          <w:lang w:val="en-US"/>
        </w:rPr>
        <w:t>Mediani</w:t>
      </w:r>
      <w:proofErr w:type="spellEnd"/>
      <w:r w:rsidRPr="00005383">
        <w:rPr>
          <w:rFonts w:ascii="Times New Roman" w:eastAsia="Times New Roman" w:hAnsi="Times New Roman" w:cs="Times New Roman"/>
          <w:kern w:val="0"/>
          <w:sz w:val="24"/>
          <w:szCs w:val="24"/>
          <w:lang w:val="en-US"/>
        </w:rPr>
        <w:t xml:space="preserve">, A. (2023). A comprehensive review with future prospects on the medicinal properties and biological activities of </w:t>
      </w:r>
      <w:r w:rsidRPr="00005383">
        <w:rPr>
          <w:rFonts w:ascii="Times New Roman" w:eastAsia="Times New Roman" w:hAnsi="Times New Roman" w:cs="Times New Roman"/>
          <w:i/>
          <w:iCs/>
          <w:kern w:val="0"/>
          <w:sz w:val="24"/>
          <w:szCs w:val="24"/>
          <w:lang w:val="en-US"/>
        </w:rPr>
        <w:t xml:space="preserve">Curcuma </w:t>
      </w:r>
      <w:proofErr w:type="spellStart"/>
      <w:r w:rsidRPr="00005383">
        <w:rPr>
          <w:rFonts w:ascii="Times New Roman" w:eastAsia="Times New Roman" w:hAnsi="Times New Roman" w:cs="Times New Roman"/>
          <w:i/>
          <w:iCs/>
          <w:kern w:val="0"/>
          <w:sz w:val="24"/>
          <w:szCs w:val="24"/>
          <w:lang w:val="en-US"/>
        </w:rPr>
        <w:t>caesia</w:t>
      </w:r>
      <w:proofErr w:type="spellEnd"/>
      <w:r w:rsidRPr="00005383">
        <w:rPr>
          <w:rFonts w:ascii="Times New Roman" w:eastAsia="Times New Roman" w:hAnsi="Times New Roman" w:cs="Times New Roman"/>
          <w:kern w:val="0"/>
          <w:sz w:val="24"/>
          <w:szCs w:val="24"/>
          <w:lang w:val="en-US"/>
        </w:rPr>
        <w:t xml:space="preserve"> </w:t>
      </w:r>
      <w:proofErr w:type="spellStart"/>
      <w:r w:rsidRPr="00005383">
        <w:rPr>
          <w:rFonts w:ascii="Times New Roman" w:eastAsia="Times New Roman" w:hAnsi="Times New Roman" w:cs="Times New Roman"/>
          <w:kern w:val="0"/>
          <w:sz w:val="24"/>
          <w:szCs w:val="24"/>
          <w:lang w:val="en-US"/>
        </w:rPr>
        <w:t>Roxb</w:t>
      </w:r>
      <w:proofErr w:type="spellEnd"/>
      <w:r w:rsidRPr="00005383">
        <w:rPr>
          <w:rFonts w:ascii="Times New Roman" w:eastAsia="Times New Roman" w:hAnsi="Times New Roman" w:cs="Times New Roman"/>
          <w:kern w:val="0"/>
          <w:sz w:val="24"/>
          <w:szCs w:val="24"/>
          <w:lang w:val="en-US"/>
        </w:rPr>
        <w:t xml:space="preserve">. </w:t>
      </w:r>
      <w:r w:rsidRPr="00005383">
        <w:rPr>
          <w:rFonts w:ascii="Times New Roman" w:eastAsia="Times New Roman" w:hAnsi="Times New Roman" w:cs="Times New Roman"/>
          <w:i/>
          <w:iCs/>
          <w:kern w:val="0"/>
          <w:sz w:val="24"/>
          <w:szCs w:val="24"/>
          <w:lang w:val="en-US"/>
        </w:rPr>
        <w:t>Evidence-Based Complementary and Alternative Medicine, 2023</w:t>
      </w:r>
      <w:r w:rsidRPr="00005383">
        <w:rPr>
          <w:rFonts w:ascii="Times New Roman" w:eastAsia="Times New Roman" w:hAnsi="Times New Roman" w:cs="Times New Roman"/>
          <w:kern w:val="0"/>
          <w:sz w:val="24"/>
          <w:szCs w:val="24"/>
          <w:lang w:val="en-US"/>
        </w:rPr>
        <w:t xml:space="preserve">, 7006565. </w:t>
      </w:r>
      <w:hyperlink r:id="rId21" w:history="1">
        <w:r w:rsidRPr="00005383">
          <w:rPr>
            <w:rFonts w:ascii="Times New Roman" w:eastAsia="Times New Roman" w:hAnsi="Times New Roman" w:cs="Times New Roman"/>
            <w:color w:val="0000FF"/>
            <w:kern w:val="0"/>
            <w:sz w:val="24"/>
            <w:szCs w:val="24"/>
            <w:u w:val="single"/>
            <w:lang w:val="en-US"/>
          </w:rPr>
          <w:t>https://doi.org/10.1155/2023/7006565</w:t>
        </w:r>
      </w:hyperlink>
    </w:p>
    <w:p w14:paraId="5A30F029" w14:textId="77777777" w:rsidR="00005383" w:rsidRPr="00005383" w:rsidRDefault="00005383" w:rsidP="00005383">
      <w:pPr>
        <w:spacing w:before="100" w:beforeAutospacing="1" w:after="100" w:afterAutospacing="1"/>
        <w:ind w:left="0" w:firstLine="0"/>
        <w:jc w:val="left"/>
        <w:rPr>
          <w:rFonts w:ascii="Times New Roman" w:eastAsia="Times New Roman" w:hAnsi="Times New Roman" w:cs="Times New Roman"/>
          <w:kern w:val="0"/>
          <w:sz w:val="24"/>
          <w:szCs w:val="24"/>
          <w:lang w:val="en-US"/>
        </w:rPr>
      </w:pPr>
      <w:r w:rsidRPr="00005383">
        <w:rPr>
          <w:rFonts w:ascii="Times New Roman" w:eastAsia="Times New Roman" w:hAnsi="Times New Roman" w:cs="Times New Roman"/>
          <w:kern w:val="0"/>
          <w:sz w:val="24"/>
          <w:szCs w:val="24"/>
          <w:lang w:val="en-US"/>
        </w:rPr>
        <w:t xml:space="preserve">Kandasamy, G. D., &amp; Kathirvel, P. (2023). Insights into bacterial endophytic diversity and isolation with a focus on their potential applications—A review. </w:t>
      </w:r>
      <w:r w:rsidRPr="00005383">
        <w:rPr>
          <w:rFonts w:ascii="Times New Roman" w:eastAsia="Times New Roman" w:hAnsi="Times New Roman" w:cs="Times New Roman"/>
          <w:i/>
          <w:iCs/>
          <w:kern w:val="0"/>
          <w:sz w:val="24"/>
          <w:szCs w:val="24"/>
          <w:lang w:val="en-US"/>
        </w:rPr>
        <w:t>Microbiological Research, 266</w:t>
      </w:r>
      <w:r w:rsidRPr="00005383">
        <w:rPr>
          <w:rFonts w:ascii="Times New Roman" w:eastAsia="Times New Roman" w:hAnsi="Times New Roman" w:cs="Times New Roman"/>
          <w:kern w:val="0"/>
          <w:sz w:val="24"/>
          <w:szCs w:val="24"/>
          <w:lang w:val="en-US"/>
        </w:rPr>
        <w:t xml:space="preserve">, 127256. </w:t>
      </w:r>
      <w:hyperlink r:id="rId22" w:history="1">
        <w:r w:rsidRPr="00005383">
          <w:rPr>
            <w:rFonts w:ascii="Times New Roman" w:eastAsia="Times New Roman" w:hAnsi="Times New Roman" w:cs="Times New Roman"/>
            <w:color w:val="0000FF"/>
            <w:kern w:val="0"/>
            <w:sz w:val="24"/>
            <w:szCs w:val="24"/>
            <w:u w:val="single"/>
            <w:lang w:val="en-US"/>
          </w:rPr>
          <w:t>https://doi.org/10.1016/j.micres.2022.127256</w:t>
        </w:r>
      </w:hyperlink>
    </w:p>
    <w:p w14:paraId="227A2F43" w14:textId="77777777" w:rsidR="00005383" w:rsidRPr="00005383" w:rsidRDefault="00005383" w:rsidP="00005383">
      <w:pPr>
        <w:spacing w:before="100" w:beforeAutospacing="1" w:after="100" w:afterAutospacing="1"/>
        <w:ind w:left="0" w:firstLine="0"/>
        <w:jc w:val="left"/>
        <w:rPr>
          <w:rFonts w:ascii="Times New Roman" w:eastAsia="Times New Roman" w:hAnsi="Times New Roman" w:cs="Times New Roman"/>
          <w:kern w:val="0"/>
          <w:sz w:val="24"/>
          <w:szCs w:val="24"/>
          <w:lang w:val="en-US"/>
        </w:rPr>
      </w:pPr>
      <w:r w:rsidRPr="00005383">
        <w:rPr>
          <w:rFonts w:ascii="Times New Roman" w:eastAsia="Times New Roman" w:hAnsi="Times New Roman" w:cs="Times New Roman"/>
          <w:kern w:val="0"/>
          <w:sz w:val="24"/>
          <w:szCs w:val="24"/>
          <w:lang w:val="en-US"/>
        </w:rPr>
        <w:t>Kumar, A., Singh, A. K., Kaushik, M. S., Mishra, S. K., Raj, P., Singh, P. K., &amp; Pandey, K. D. (2017). Interaction of turmeric (</w:t>
      </w:r>
      <w:r w:rsidRPr="00005383">
        <w:rPr>
          <w:rFonts w:ascii="Times New Roman" w:eastAsia="Times New Roman" w:hAnsi="Times New Roman" w:cs="Times New Roman"/>
          <w:i/>
          <w:iCs/>
          <w:kern w:val="0"/>
          <w:sz w:val="24"/>
          <w:szCs w:val="24"/>
          <w:lang w:val="en-US"/>
        </w:rPr>
        <w:t>Curcuma longa</w:t>
      </w:r>
      <w:r w:rsidRPr="00005383">
        <w:rPr>
          <w:rFonts w:ascii="Times New Roman" w:eastAsia="Times New Roman" w:hAnsi="Times New Roman" w:cs="Times New Roman"/>
          <w:kern w:val="0"/>
          <w:sz w:val="24"/>
          <w:szCs w:val="24"/>
          <w:lang w:val="en-US"/>
        </w:rPr>
        <w:t xml:space="preserve"> L.) with beneficial microbes: A review. </w:t>
      </w:r>
      <w:r w:rsidRPr="00005383">
        <w:rPr>
          <w:rFonts w:ascii="Times New Roman" w:eastAsia="Times New Roman" w:hAnsi="Times New Roman" w:cs="Times New Roman"/>
          <w:i/>
          <w:iCs/>
          <w:kern w:val="0"/>
          <w:sz w:val="24"/>
          <w:szCs w:val="24"/>
          <w:lang w:val="en-US"/>
        </w:rPr>
        <w:t>3 Biotech, 7</w:t>
      </w:r>
      <w:r w:rsidRPr="00005383">
        <w:rPr>
          <w:rFonts w:ascii="Times New Roman" w:eastAsia="Times New Roman" w:hAnsi="Times New Roman" w:cs="Times New Roman"/>
          <w:kern w:val="0"/>
          <w:sz w:val="24"/>
          <w:szCs w:val="24"/>
          <w:lang w:val="en-US"/>
        </w:rPr>
        <w:t xml:space="preserve">(6), 357. </w:t>
      </w:r>
      <w:hyperlink r:id="rId23" w:history="1">
        <w:r w:rsidRPr="00005383">
          <w:rPr>
            <w:rFonts w:ascii="Times New Roman" w:eastAsia="Times New Roman" w:hAnsi="Times New Roman" w:cs="Times New Roman"/>
            <w:color w:val="0000FF"/>
            <w:kern w:val="0"/>
            <w:sz w:val="24"/>
            <w:szCs w:val="24"/>
            <w:u w:val="single"/>
            <w:lang w:val="en-US"/>
          </w:rPr>
          <w:t>https://doi.org/10.1007/s13205-017-0971-7</w:t>
        </w:r>
      </w:hyperlink>
    </w:p>
    <w:p w14:paraId="4473D310" w14:textId="77777777" w:rsidR="00005383" w:rsidRPr="00005383" w:rsidRDefault="00005383" w:rsidP="00005383">
      <w:pPr>
        <w:spacing w:before="100" w:beforeAutospacing="1" w:after="100" w:afterAutospacing="1"/>
        <w:ind w:left="0" w:firstLine="0"/>
        <w:jc w:val="left"/>
        <w:rPr>
          <w:rFonts w:ascii="Times New Roman" w:eastAsia="Times New Roman" w:hAnsi="Times New Roman" w:cs="Times New Roman"/>
          <w:kern w:val="0"/>
          <w:sz w:val="24"/>
          <w:szCs w:val="24"/>
          <w:lang w:val="en-US"/>
        </w:rPr>
      </w:pPr>
      <w:r w:rsidRPr="00005383">
        <w:rPr>
          <w:rFonts w:ascii="Times New Roman" w:eastAsia="Times New Roman" w:hAnsi="Times New Roman" w:cs="Times New Roman"/>
          <w:kern w:val="0"/>
          <w:sz w:val="24"/>
          <w:szCs w:val="24"/>
          <w:lang w:val="en-US"/>
        </w:rPr>
        <w:lastRenderedPageBreak/>
        <w:t xml:space="preserve">Lane, D. J. (1991). 16S/23S rRNA sequencing. In E. </w:t>
      </w:r>
      <w:proofErr w:type="spellStart"/>
      <w:r w:rsidRPr="00005383">
        <w:rPr>
          <w:rFonts w:ascii="Times New Roman" w:eastAsia="Times New Roman" w:hAnsi="Times New Roman" w:cs="Times New Roman"/>
          <w:kern w:val="0"/>
          <w:sz w:val="24"/>
          <w:szCs w:val="24"/>
          <w:lang w:val="en-US"/>
        </w:rPr>
        <w:t>Stackebrandt</w:t>
      </w:r>
      <w:proofErr w:type="spellEnd"/>
      <w:r w:rsidRPr="00005383">
        <w:rPr>
          <w:rFonts w:ascii="Times New Roman" w:eastAsia="Times New Roman" w:hAnsi="Times New Roman" w:cs="Times New Roman"/>
          <w:kern w:val="0"/>
          <w:sz w:val="24"/>
          <w:szCs w:val="24"/>
          <w:lang w:val="en-US"/>
        </w:rPr>
        <w:t xml:space="preserve"> and M. Goodfellow (Eds.), </w:t>
      </w:r>
      <w:r w:rsidRPr="00005383">
        <w:rPr>
          <w:rFonts w:ascii="Times New Roman" w:eastAsia="Times New Roman" w:hAnsi="Times New Roman" w:cs="Times New Roman"/>
          <w:i/>
          <w:iCs/>
          <w:kern w:val="0"/>
          <w:sz w:val="24"/>
          <w:szCs w:val="24"/>
          <w:lang w:val="en-US"/>
        </w:rPr>
        <w:t>Nucleic acid techniques in bacterial systematics</w:t>
      </w:r>
      <w:r w:rsidRPr="00005383">
        <w:rPr>
          <w:rFonts w:ascii="Times New Roman" w:eastAsia="Times New Roman" w:hAnsi="Times New Roman" w:cs="Times New Roman"/>
          <w:kern w:val="0"/>
          <w:sz w:val="24"/>
          <w:szCs w:val="24"/>
          <w:lang w:val="en-US"/>
        </w:rPr>
        <w:t xml:space="preserve"> (pp. 115–175). John Wiley &amp; Sons. </w:t>
      </w:r>
      <w:hyperlink r:id="rId24" w:history="1">
        <w:r w:rsidRPr="00005383">
          <w:rPr>
            <w:rFonts w:ascii="Times New Roman" w:eastAsia="Times New Roman" w:hAnsi="Times New Roman" w:cs="Times New Roman"/>
            <w:color w:val="0000FF"/>
            <w:kern w:val="0"/>
            <w:sz w:val="24"/>
            <w:szCs w:val="24"/>
            <w:u w:val="single"/>
            <w:lang w:val="en-US"/>
          </w:rPr>
          <w:t>https://catalog.nlm.nih.gov/discovery/fulldisplay/alma996854943406676/01NLM_INST%3A01NLM_INST</w:t>
        </w:r>
      </w:hyperlink>
    </w:p>
    <w:p w14:paraId="2A74EFB8" w14:textId="77777777" w:rsidR="00005383" w:rsidRPr="00005383" w:rsidRDefault="00005383" w:rsidP="00005383">
      <w:pPr>
        <w:spacing w:before="100" w:beforeAutospacing="1" w:after="100" w:afterAutospacing="1"/>
        <w:ind w:left="0" w:firstLine="0"/>
        <w:jc w:val="left"/>
        <w:rPr>
          <w:rFonts w:ascii="Times New Roman" w:eastAsia="Times New Roman" w:hAnsi="Times New Roman" w:cs="Times New Roman"/>
          <w:kern w:val="0"/>
          <w:sz w:val="24"/>
          <w:szCs w:val="24"/>
          <w:lang w:val="en-US"/>
        </w:rPr>
      </w:pPr>
      <w:r w:rsidRPr="00005383">
        <w:rPr>
          <w:rFonts w:ascii="Times New Roman" w:eastAsia="Times New Roman" w:hAnsi="Times New Roman" w:cs="Times New Roman"/>
          <w:kern w:val="0"/>
          <w:sz w:val="24"/>
          <w:szCs w:val="24"/>
          <w:lang w:val="en-US"/>
        </w:rPr>
        <w:t xml:space="preserve">Mili, C., Saha, S., Mishra, P. K., &amp; </w:t>
      </w:r>
      <w:proofErr w:type="spellStart"/>
      <w:r w:rsidRPr="00005383">
        <w:rPr>
          <w:rFonts w:ascii="Times New Roman" w:eastAsia="Times New Roman" w:hAnsi="Times New Roman" w:cs="Times New Roman"/>
          <w:kern w:val="0"/>
          <w:sz w:val="24"/>
          <w:szCs w:val="24"/>
          <w:lang w:val="en-US"/>
        </w:rPr>
        <w:t>Tayung</w:t>
      </w:r>
      <w:proofErr w:type="spellEnd"/>
      <w:r w:rsidRPr="00005383">
        <w:rPr>
          <w:rFonts w:ascii="Times New Roman" w:eastAsia="Times New Roman" w:hAnsi="Times New Roman" w:cs="Times New Roman"/>
          <w:kern w:val="0"/>
          <w:sz w:val="24"/>
          <w:szCs w:val="24"/>
          <w:lang w:val="en-US"/>
        </w:rPr>
        <w:t xml:space="preserve">, K. (2024). Exploring bioactive metabolites produced by endophytes associated with the genus </w:t>
      </w:r>
      <w:r w:rsidRPr="00005383">
        <w:rPr>
          <w:rFonts w:ascii="Times New Roman" w:eastAsia="Times New Roman" w:hAnsi="Times New Roman" w:cs="Times New Roman"/>
          <w:i/>
          <w:iCs/>
          <w:kern w:val="0"/>
          <w:sz w:val="24"/>
          <w:szCs w:val="24"/>
          <w:lang w:val="en-US"/>
        </w:rPr>
        <w:t>Curcuma</w:t>
      </w:r>
      <w:r w:rsidRPr="00005383">
        <w:rPr>
          <w:rFonts w:ascii="Times New Roman" w:eastAsia="Times New Roman" w:hAnsi="Times New Roman" w:cs="Times New Roman"/>
          <w:kern w:val="0"/>
          <w:sz w:val="24"/>
          <w:szCs w:val="24"/>
          <w:lang w:val="en-US"/>
        </w:rPr>
        <w:t xml:space="preserve"> L.: A pharmaceutical prospect. </w:t>
      </w:r>
      <w:r w:rsidRPr="00005383">
        <w:rPr>
          <w:rFonts w:ascii="Times New Roman" w:eastAsia="Times New Roman" w:hAnsi="Times New Roman" w:cs="Times New Roman"/>
          <w:i/>
          <w:iCs/>
          <w:kern w:val="0"/>
          <w:sz w:val="24"/>
          <w:szCs w:val="24"/>
          <w:lang w:val="en-US"/>
        </w:rPr>
        <w:t>Pharmacological Research – Natural Products, 3</w:t>
      </w:r>
      <w:r w:rsidRPr="00005383">
        <w:rPr>
          <w:rFonts w:ascii="Times New Roman" w:eastAsia="Times New Roman" w:hAnsi="Times New Roman" w:cs="Times New Roman"/>
          <w:kern w:val="0"/>
          <w:sz w:val="24"/>
          <w:szCs w:val="24"/>
          <w:lang w:val="en-US"/>
        </w:rPr>
        <w:t xml:space="preserve">, 100054. </w:t>
      </w:r>
      <w:hyperlink r:id="rId25" w:history="1">
        <w:r w:rsidRPr="00005383">
          <w:rPr>
            <w:rFonts w:ascii="Times New Roman" w:eastAsia="Times New Roman" w:hAnsi="Times New Roman" w:cs="Times New Roman"/>
            <w:color w:val="0000FF"/>
            <w:kern w:val="0"/>
            <w:sz w:val="24"/>
            <w:szCs w:val="24"/>
            <w:u w:val="single"/>
            <w:lang w:val="en-US"/>
          </w:rPr>
          <w:t>https://doi.org/10.1016/j.prenap.2024.100054</w:t>
        </w:r>
      </w:hyperlink>
    </w:p>
    <w:p w14:paraId="631D36B1" w14:textId="77777777" w:rsidR="00005383" w:rsidRPr="00005383" w:rsidRDefault="00005383" w:rsidP="00005383">
      <w:pPr>
        <w:spacing w:before="100" w:beforeAutospacing="1" w:after="100" w:afterAutospacing="1"/>
        <w:ind w:left="0" w:firstLine="0"/>
        <w:jc w:val="left"/>
        <w:rPr>
          <w:rFonts w:ascii="Times New Roman" w:eastAsia="Times New Roman" w:hAnsi="Times New Roman" w:cs="Times New Roman"/>
          <w:kern w:val="0"/>
          <w:sz w:val="24"/>
          <w:szCs w:val="24"/>
          <w:lang w:val="en-US"/>
        </w:rPr>
      </w:pPr>
      <w:r w:rsidRPr="00005383">
        <w:rPr>
          <w:rFonts w:ascii="Times New Roman" w:eastAsia="Times New Roman" w:hAnsi="Times New Roman" w:cs="Times New Roman"/>
          <w:kern w:val="0"/>
          <w:sz w:val="24"/>
          <w:szCs w:val="24"/>
          <w:lang w:val="en-US"/>
        </w:rPr>
        <w:t xml:space="preserve">Miller, G. L. (1959). Use of </w:t>
      </w:r>
      <w:proofErr w:type="spellStart"/>
      <w:r w:rsidRPr="00005383">
        <w:rPr>
          <w:rFonts w:ascii="Times New Roman" w:eastAsia="Times New Roman" w:hAnsi="Times New Roman" w:cs="Times New Roman"/>
          <w:kern w:val="0"/>
          <w:sz w:val="24"/>
          <w:szCs w:val="24"/>
          <w:lang w:val="en-US"/>
        </w:rPr>
        <w:t>dinitrosalicylic</w:t>
      </w:r>
      <w:proofErr w:type="spellEnd"/>
      <w:r w:rsidRPr="00005383">
        <w:rPr>
          <w:rFonts w:ascii="Times New Roman" w:eastAsia="Times New Roman" w:hAnsi="Times New Roman" w:cs="Times New Roman"/>
          <w:kern w:val="0"/>
          <w:sz w:val="24"/>
          <w:szCs w:val="24"/>
          <w:lang w:val="en-US"/>
        </w:rPr>
        <w:t xml:space="preserve"> acid reagent for determination of reducing sugar. </w:t>
      </w:r>
      <w:r w:rsidRPr="00005383">
        <w:rPr>
          <w:rFonts w:ascii="Times New Roman" w:eastAsia="Times New Roman" w:hAnsi="Times New Roman" w:cs="Times New Roman"/>
          <w:i/>
          <w:iCs/>
          <w:kern w:val="0"/>
          <w:sz w:val="24"/>
          <w:szCs w:val="24"/>
          <w:lang w:val="en-US"/>
        </w:rPr>
        <w:t>Analytical Chemistry, 31</w:t>
      </w:r>
      <w:r w:rsidRPr="00005383">
        <w:rPr>
          <w:rFonts w:ascii="Times New Roman" w:eastAsia="Times New Roman" w:hAnsi="Times New Roman" w:cs="Times New Roman"/>
          <w:kern w:val="0"/>
          <w:sz w:val="24"/>
          <w:szCs w:val="24"/>
          <w:lang w:val="en-US"/>
        </w:rPr>
        <w:t xml:space="preserve">(3), 426–428. </w:t>
      </w:r>
      <w:hyperlink r:id="rId26" w:history="1">
        <w:r w:rsidRPr="00005383">
          <w:rPr>
            <w:rFonts w:ascii="Times New Roman" w:eastAsia="Times New Roman" w:hAnsi="Times New Roman" w:cs="Times New Roman"/>
            <w:color w:val="0000FF"/>
            <w:kern w:val="0"/>
            <w:sz w:val="24"/>
            <w:szCs w:val="24"/>
            <w:u w:val="single"/>
            <w:lang w:val="en-US"/>
          </w:rPr>
          <w:t>https://doi.org/10.1021/ac60147a030</w:t>
        </w:r>
      </w:hyperlink>
    </w:p>
    <w:p w14:paraId="72C7FDC3" w14:textId="77777777" w:rsidR="00005383" w:rsidRPr="00005383" w:rsidRDefault="00005383" w:rsidP="00005383">
      <w:pPr>
        <w:spacing w:before="100" w:beforeAutospacing="1" w:after="100" w:afterAutospacing="1"/>
        <w:ind w:left="0" w:firstLine="0"/>
        <w:jc w:val="left"/>
        <w:rPr>
          <w:rFonts w:ascii="Times New Roman" w:eastAsia="Times New Roman" w:hAnsi="Times New Roman" w:cs="Times New Roman"/>
          <w:kern w:val="0"/>
          <w:sz w:val="24"/>
          <w:szCs w:val="24"/>
          <w:lang w:val="en-US"/>
        </w:rPr>
      </w:pPr>
      <w:r w:rsidRPr="00005383">
        <w:rPr>
          <w:rFonts w:ascii="Times New Roman" w:eastAsia="Times New Roman" w:hAnsi="Times New Roman" w:cs="Times New Roman"/>
          <w:kern w:val="0"/>
          <w:sz w:val="24"/>
          <w:szCs w:val="24"/>
          <w:lang w:val="en-US"/>
        </w:rPr>
        <w:t xml:space="preserve">Raghav, D., Jyoti, A., Siddiqui, A. J., &amp; Saxena, J. (2022). Plant-associated endophytic fungi as potential bio-factories for extracellular enzymes: Progress, challenges and strain improvement with precision approaches. </w:t>
      </w:r>
      <w:r w:rsidRPr="00005383">
        <w:rPr>
          <w:rFonts w:ascii="Times New Roman" w:eastAsia="Times New Roman" w:hAnsi="Times New Roman" w:cs="Times New Roman"/>
          <w:i/>
          <w:iCs/>
          <w:kern w:val="0"/>
          <w:sz w:val="24"/>
          <w:szCs w:val="24"/>
          <w:lang w:val="en-US"/>
        </w:rPr>
        <w:t>Journal of Applied Microbiology, 133</w:t>
      </w:r>
      <w:r w:rsidRPr="00005383">
        <w:rPr>
          <w:rFonts w:ascii="Times New Roman" w:eastAsia="Times New Roman" w:hAnsi="Times New Roman" w:cs="Times New Roman"/>
          <w:kern w:val="0"/>
          <w:sz w:val="24"/>
          <w:szCs w:val="24"/>
          <w:lang w:val="en-US"/>
        </w:rPr>
        <w:t xml:space="preserve">(2), 287–310. </w:t>
      </w:r>
      <w:hyperlink r:id="rId27" w:history="1">
        <w:r w:rsidRPr="00005383">
          <w:rPr>
            <w:rFonts w:ascii="Times New Roman" w:eastAsia="Times New Roman" w:hAnsi="Times New Roman" w:cs="Times New Roman"/>
            <w:color w:val="0000FF"/>
            <w:kern w:val="0"/>
            <w:sz w:val="24"/>
            <w:szCs w:val="24"/>
            <w:u w:val="single"/>
            <w:lang w:val="en-US"/>
          </w:rPr>
          <w:t>https://doi.org/10.1111/jam.15574</w:t>
        </w:r>
      </w:hyperlink>
    </w:p>
    <w:p w14:paraId="7D5F1D65" w14:textId="77777777" w:rsidR="00005383" w:rsidRPr="00005383" w:rsidRDefault="00005383" w:rsidP="00005383">
      <w:pPr>
        <w:spacing w:before="100" w:beforeAutospacing="1" w:after="100" w:afterAutospacing="1"/>
        <w:ind w:left="0" w:firstLine="0"/>
        <w:jc w:val="left"/>
        <w:rPr>
          <w:rFonts w:ascii="Times New Roman" w:eastAsia="Times New Roman" w:hAnsi="Times New Roman" w:cs="Times New Roman"/>
          <w:kern w:val="0"/>
          <w:sz w:val="24"/>
          <w:szCs w:val="24"/>
          <w:lang w:val="en-US"/>
        </w:rPr>
      </w:pPr>
      <w:r w:rsidRPr="00005383">
        <w:rPr>
          <w:rFonts w:ascii="Times New Roman" w:eastAsia="Times New Roman" w:hAnsi="Times New Roman" w:cs="Times New Roman"/>
          <w:kern w:val="0"/>
          <w:sz w:val="24"/>
          <w:szCs w:val="24"/>
          <w:lang w:val="en-US"/>
        </w:rPr>
        <w:t xml:space="preserve">Ram, J. P. S., Ramakrishnan, R., K, P. K., Singh, S., R., A. K., Govindan, S., Selvaraj, R., &amp; Manikandan, R. (2024). Phyto-safe in vitro regeneration and harnessing antimicrobial-resistant endophytes as bioinoculants for enhanced growth and secondary metabolites yield in </w:t>
      </w:r>
      <w:proofErr w:type="spellStart"/>
      <w:r w:rsidRPr="00005383">
        <w:rPr>
          <w:rFonts w:ascii="Times New Roman" w:eastAsia="Times New Roman" w:hAnsi="Times New Roman" w:cs="Times New Roman"/>
          <w:i/>
          <w:iCs/>
          <w:kern w:val="0"/>
          <w:sz w:val="24"/>
          <w:szCs w:val="24"/>
          <w:lang w:val="en-US"/>
        </w:rPr>
        <w:t>Nilgirianthus</w:t>
      </w:r>
      <w:proofErr w:type="spellEnd"/>
      <w:r w:rsidRPr="00005383">
        <w:rPr>
          <w:rFonts w:ascii="Times New Roman" w:eastAsia="Times New Roman" w:hAnsi="Times New Roman" w:cs="Times New Roman"/>
          <w:i/>
          <w:iCs/>
          <w:kern w:val="0"/>
          <w:sz w:val="24"/>
          <w:szCs w:val="24"/>
          <w:lang w:val="en-US"/>
        </w:rPr>
        <w:t xml:space="preserve"> </w:t>
      </w:r>
      <w:proofErr w:type="spellStart"/>
      <w:r w:rsidRPr="00005383">
        <w:rPr>
          <w:rFonts w:ascii="Times New Roman" w:eastAsia="Times New Roman" w:hAnsi="Times New Roman" w:cs="Times New Roman"/>
          <w:i/>
          <w:iCs/>
          <w:kern w:val="0"/>
          <w:sz w:val="24"/>
          <w:szCs w:val="24"/>
          <w:lang w:val="en-US"/>
        </w:rPr>
        <w:t>ciliatus</w:t>
      </w:r>
      <w:proofErr w:type="spellEnd"/>
      <w:r w:rsidRPr="00005383">
        <w:rPr>
          <w:rFonts w:ascii="Times New Roman" w:eastAsia="Times New Roman" w:hAnsi="Times New Roman" w:cs="Times New Roman"/>
          <w:kern w:val="0"/>
          <w:sz w:val="24"/>
          <w:szCs w:val="24"/>
          <w:lang w:val="en-US"/>
        </w:rPr>
        <w:t xml:space="preserve">. </w:t>
      </w:r>
      <w:r w:rsidRPr="00005383">
        <w:rPr>
          <w:rFonts w:ascii="Times New Roman" w:eastAsia="Times New Roman" w:hAnsi="Times New Roman" w:cs="Times New Roman"/>
          <w:i/>
          <w:iCs/>
          <w:kern w:val="0"/>
          <w:sz w:val="24"/>
          <w:szCs w:val="24"/>
          <w:lang w:val="en-US"/>
        </w:rPr>
        <w:t>BMC Plant Biology, 24</w:t>
      </w:r>
      <w:r w:rsidRPr="00005383">
        <w:rPr>
          <w:rFonts w:ascii="Times New Roman" w:eastAsia="Times New Roman" w:hAnsi="Times New Roman" w:cs="Times New Roman"/>
          <w:kern w:val="0"/>
          <w:sz w:val="24"/>
          <w:szCs w:val="24"/>
          <w:lang w:val="en-US"/>
        </w:rPr>
        <w:t xml:space="preserve">, 872. </w:t>
      </w:r>
      <w:hyperlink r:id="rId28" w:history="1">
        <w:r w:rsidRPr="00005383">
          <w:rPr>
            <w:rFonts w:ascii="Times New Roman" w:eastAsia="Times New Roman" w:hAnsi="Times New Roman" w:cs="Times New Roman"/>
            <w:color w:val="0000FF"/>
            <w:kern w:val="0"/>
            <w:sz w:val="24"/>
            <w:szCs w:val="24"/>
            <w:u w:val="single"/>
            <w:lang w:val="en-US"/>
          </w:rPr>
          <w:t>https://doi.org/10.1186/s12870-024-05582-8</w:t>
        </w:r>
      </w:hyperlink>
    </w:p>
    <w:p w14:paraId="44F799C3" w14:textId="77777777" w:rsidR="00005383" w:rsidRPr="00005383" w:rsidRDefault="00005383" w:rsidP="00005383">
      <w:pPr>
        <w:spacing w:before="100" w:beforeAutospacing="1" w:after="100" w:afterAutospacing="1"/>
        <w:ind w:left="0" w:firstLine="0"/>
        <w:jc w:val="left"/>
        <w:rPr>
          <w:rFonts w:ascii="Times New Roman" w:eastAsia="Times New Roman" w:hAnsi="Times New Roman" w:cs="Times New Roman"/>
          <w:kern w:val="0"/>
          <w:sz w:val="24"/>
          <w:szCs w:val="24"/>
          <w:lang w:val="en-US"/>
        </w:rPr>
      </w:pPr>
      <w:r w:rsidRPr="00005383">
        <w:rPr>
          <w:rFonts w:ascii="Times New Roman" w:eastAsia="Times New Roman" w:hAnsi="Times New Roman" w:cs="Times New Roman"/>
          <w:kern w:val="0"/>
          <w:sz w:val="24"/>
          <w:szCs w:val="24"/>
          <w:lang w:val="en-US"/>
        </w:rPr>
        <w:t xml:space="preserve">Ramanuj, K. B., &amp; Shelat, H. N. (2018). Plant growth promoting potential of bacterial endophytes from medicinal plants. </w:t>
      </w:r>
      <w:r w:rsidRPr="00005383">
        <w:rPr>
          <w:rFonts w:ascii="Times New Roman" w:eastAsia="Times New Roman" w:hAnsi="Times New Roman" w:cs="Times New Roman"/>
          <w:i/>
          <w:iCs/>
          <w:kern w:val="0"/>
          <w:sz w:val="24"/>
          <w:szCs w:val="24"/>
          <w:lang w:val="en-US"/>
        </w:rPr>
        <w:t>Advances in Research, 13</w:t>
      </w:r>
      <w:r w:rsidRPr="00005383">
        <w:rPr>
          <w:rFonts w:ascii="Times New Roman" w:eastAsia="Times New Roman" w:hAnsi="Times New Roman" w:cs="Times New Roman"/>
          <w:kern w:val="0"/>
          <w:sz w:val="24"/>
          <w:szCs w:val="24"/>
          <w:lang w:val="en-US"/>
        </w:rPr>
        <w:t xml:space="preserve">(6), 1–15. </w:t>
      </w:r>
      <w:hyperlink r:id="rId29" w:history="1">
        <w:r w:rsidRPr="00005383">
          <w:rPr>
            <w:rFonts w:ascii="Times New Roman" w:eastAsia="Times New Roman" w:hAnsi="Times New Roman" w:cs="Times New Roman"/>
            <w:color w:val="0000FF"/>
            <w:kern w:val="0"/>
            <w:sz w:val="24"/>
            <w:szCs w:val="24"/>
            <w:u w:val="single"/>
            <w:lang w:val="en-US"/>
          </w:rPr>
          <w:t>https://doi.org/10.9734/AIR/2018/40014</w:t>
        </w:r>
      </w:hyperlink>
    </w:p>
    <w:p w14:paraId="69D2A13C" w14:textId="77777777" w:rsidR="00005383" w:rsidRPr="00005383" w:rsidRDefault="00005383" w:rsidP="00005383">
      <w:pPr>
        <w:spacing w:before="100" w:beforeAutospacing="1" w:after="100" w:afterAutospacing="1"/>
        <w:ind w:left="0" w:firstLine="0"/>
        <w:jc w:val="left"/>
        <w:rPr>
          <w:rFonts w:ascii="Times New Roman" w:eastAsia="Times New Roman" w:hAnsi="Times New Roman" w:cs="Times New Roman"/>
          <w:kern w:val="0"/>
          <w:sz w:val="24"/>
          <w:szCs w:val="24"/>
          <w:lang w:val="en-US"/>
        </w:rPr>
      </w:pPr>
      <w:r w:rsidRPr="00005383">
        <w:rPr>
          <w:rFonts w:ascii="Times New Roman" w:eastAsia="Times New Roman" w:hAnsi="Times New Roman" w:cs="Times New Roman"/>
          <w:kern w:val="0"/>
          <w:sz w:val="24"/>
          <w:szCs w:val="24"/>
          <w:lang w:val="en-US"/>
        </w:rPr>
        <w:t xml:space="preserve">Rana, K. L., Kour, D., Kaur, T., Devi, R., Yadav, A. N., Yadav, N., Dhaliwal, H. S., &amp; Saxena, A. K. (2020). Endophytic microbes: Biodiversity, plant growth-promoting mechanisms and potential applications for agricultural sustainability. </w:t>
      </w:r>
      <w:r w:rsidRPr="00005383">
        <w:rPr>
          <w:rFonts w:ascii="Times New Roman" w:eastAsia="Times New Roman" w:hAnsi="Times New Roman" w:cs="Times New Roman"/>
          <w:i/>
          <w:iCs/>
          <w:kern w:val="0"/>
          <w:sz w:val="24"/>
          <w:szCs w:val="24"/>
          <w:lang w:val="en-US"/>
        </w:rPr>
        <w:t>Antonie van Leeuwenhoek, 113</w:t>
      </w:r>
      <w:r w:rsidRPr="00005383">
        <w:rPr>
          <w:rFonts w:ascii="Times New Roman" w:eastAsia="Times New Roman" w:hAnsi="Times New Roman" w:cs="Times New Roman"/>
          <w:kern w:val="0"/>
          <w:sz w:val="24"/>
          <w:szCs w:val="24"/>
          <w:lang w:val="en-US"/>
        </w:rPr>
        <w:t xml:space="preserve">(8), 1075–1107. </w:t>
      </w:r>
      <w:hyperlink r:id="rId30" w:history="1">
        <w:r w:rsidRPr="00005383">
          <w:rPr>
            <w:rFonts w:ascii="Times New Roman" w:eastAsia="Times New Roman" w:hAnsi="Times New Roman" w:cs="Times New Roman"/>
            <w:color w:val="0000FF"/>
            <w:kern w:val="0"/>
            <w:sz w:val="24"/>
            <w:szCs w:val="24"/>
            <w:u w:val="single"/>
            <w:lang w:val="en-US"/>
          </w:rPr>
          <w:t>https://doi.org/10.1007/s10482-020-01429-y</w:t>
        </w:r>
      </w:hyperlink>
    </w:p>
    <w:p w14:paraId="50805B01" w14:textId="77777777" w:rsidR="00005383" w:rsidRPr="00005383" w:rsidRDefault="00005383" w:rsidP="00005383">
      <w:pPr>
        <w:spacing w:before="100" w:beforeAutospacing="1" w:after="100" w:afterAutospacing="1"/>
        <w:ind w:left="0" w:firstLine="0"/>
        <w:jc w:val="left"/>
        <w:rPr>
          <w:rFonts w:ascii="Times New Roman" w:eastAsia="Times New Roman" w:hAnsi="Times New Roman" w:cs="Times New Roman"/>
          <w:kern w:val="0"/>
          <w:sz w:val="24"/>
          <w:szCs w:val="24"/>
          <w:lang w:val="en-US"/>
        </w:rPr>
      </w:pPr>
      <w:r w:rsidRPr="00005383">
        <w:rPr>
          <w:rFonts w:ascii="Times New Roman" w:eastAsia="Times New Roman" w:hAnsi="Times New Roman" w:cs="Times New Roman"/>
          <w:kern w:val="0"/>
          <w:sz w:val="24"/>
          <w:szCs w:val="24"/>
          <w:lang w:val="en-US"/>
        </w:rPr>
        <w:t xml:space="preserve">Sahoo, S., Panda, S. S., Kumar, S., Nigam, R., Sarangi, S., Choudhary, M., Yuvarani, R., &amp; Shivam. (2024). A review on plant-microbe interactions and its </w:t>
      </w:r>
      <w:proofErr w:type="spellStart"/>
      <w:r w:rsidRPr="00005383">
        <w:rPr>
          <w:rFonts w:ascii="Times New Roman" w:eastAsia="Times New Roman" w:hAnsi="Times New Roman" w:cs="Times New Roman"/>
          <w:kern w:val="0"/>
          <w:sz w:val="24"/>
          <w:szCs w:val="24"/>
          <w:lang w:val="en-US"/>
        </w:rPr>
        <w:t>defence</w:t>
      </w:r>
      <w:proofErr w:type="spellEnd"/>
      <w:r w:rsidRPr="00005383">
        <w:rPr>
          <w:rFonts w:ascii="Times New Roman" w:eastAsia="Times New Roman" w:hAnsi="Times New Roman" w:cs="Times New Roman"/>
          <w:kern w:val="0"/>
          <w:sz w:val="24"/>
          <w:szCs w:val="24"/>
          <w:lang w:val="en-US"/>
        </w:rPr>
        <w:t xml:space="preserve"> mechanism. </w:t>
      </w:r>
      <w:r w:rsidRPr="00005383">
        <w:rPr>
          <w:rFonts w:ascii="Times New Roman" w:eastAsia="Times New Roman" w:hAnsi="Times New Roman" w:cs="Times New Roman"/>
          <w:i/>
          <w:iCs/>
          <w:kern w:val="0"/>
          <w:sz w:val="24"/>
          <w:szCs w:val="24"/>
          <w:lang w:val="en-US"/>
        </w:rPr>
        <w:t>Plant Cell Biotechnology and Molecular Biology, 25</w:t>
      </w:r>
      <w:r w:rsidRPr="00005383">
        <w:rPr>
          <w:rFonts w:ascii="Times New Roman" w:eastAsia="Times New Roman" w:hAnsi="Times New Roman" w:cs="Times New Roman"/>
          <w:kern w:val="0"/>
          <w:sz w:val="24"/>
          <w:szCs w:val="24"/>
          <w:lang w:val="en-US"/>
        </w:rPr>
        <w:t xml:space="preserve">(11–12), 159–175. </w:t>
      </w:r>
      <w:hyperlink r:id="rId31" w:history="1">
        <w:r w:rsidRPr="00005383">
          <w:rPr>
            <w:rFonts w:ascii="Times New Roman" w:eastAsia="Times New Roman" w:hAnsi="Times New Roman" w:cs="Times New Roman"/>
            <w:color w:val="0000FF"/>
            <w:kern w:val="0"/>
            <w:sz w:val="24"/>
            <w:szCs w:val="24"/>
            <w:u w:val="single"/>
            <w:lang w:val="en-US"/>
          </w:rPr>
          <w:t>https://doi.org/10.56557/pcbmb/2024/v25i11-128920</w:t>
        </w:r>
      </w:hyperlink>
    </w:p>
    <w:p w14:paraId="673017E4" w14:textId="77777777" w:rsidR="00005383" w:rsidRPr="00005383" w:rsidRDefault="00005383" w:rsidP="00005383">
      <w:pPr>
        <w:spacing w:before="100" w:beforeAutospacing="1" w:after="100" w:afterAutospacing="1"/>
        <w:ind w:left="0" w:firstLine="0"/>
        <w:jc w:val="left"/>
        <w:rPr>
          <w:rFonts w:ascii="Times New Roman" w:eastAsia="Times New Roman" w:hAnsi="Times New Roman" w:cs="Times New Roman"/>
          <w:kern w:val="0"/>
          <w:sz w:val="24"/>
          <w:szCs w:val="24"/>
          <w:lang w:val="en-US"/>
        </w:rPr>
      </w:pPr>
      <w:r w:rsidRPr="00005383">
        <w:rPr>
          <w:rFonts w:ascii="Times New Roman" w:eastAsia="Times New Roman" w:hAnsi="Times New Roman" w:cs="Times New Roman"/>
          <w:kern w:val="0"/>
          <w:sz w:val="24"/>
          <w:szCs w:val="24"/>
          <w:lang w:val="en-US"/>
        </w:rPr>
        <w:t xml:space="preserve">Schulz, B., &amp; Boyle, C. (2005). The endophytic continuum. </w:t>
      </w:r>
      <w:r w:rsidRPr="00005383">
        <w:rPr>
          <w:rFonts w:ascii="Times New Roman" w:eastAsia="Times New Roman" w:hAnsi="Times New Roman" w:cs="Times New Roman"/>
          <w:i/>
          <w:iCs/>
          <w:kern w:val="0"/>
          <w:sz w:val="24"/>
          <w:szCs w:val="24"/>
          <w:lang w:val="en-US"/>
        </w:rPr>
        <w:t>Mycological Research, 109</w:t>
      </w:r>
      <w:r w:rsidRPr="00005383">
        <w:rPr>
          <w:rFonts w:ascii="Times New Roman" w:eastAsia="Times New Roman" w:hAnsi="Times New Roman" w:cs="Times New Roman"/>
          <w:kern w:val="0"/>
          <w:sz w:val="24"/>
          <w:szCs w:val="24"/>
          <w:lang w:val="en-US"/>
        </w:rPr>
        <w:t xml:space="preserve">(6), 661–686. </w:t>
      </w:r>
      <w:hyperlink r:id="rId32" w:history="1">
        <w:r w:rsidRPr="00005383">
          <w:rPr>
            <w:rFonts w:ascii="Times New Roman" w:eastAsia="Times New Roman" w:hAnsi="Times New Roman" w:cs="Times New Roman"/>
            <w:color w:val="0000FF"/>
            <w:kern w:val="0"/>
            <w:sz w:val="24"/>
            <w:szCs w:val="24"/>
            <w:u w:val="single"/>
            <w:lang w:val="en-US"/>
          </w:rPr>
          <w:t>https://doi.org/10.1017/S095375620500273X</w:t>
        </w:r>
      </w:hyperlink>
    </w:p>
    <w:p w14:paraId="3B118090" w14:textId="77777777" w:rsidR="00005383" w:rsidRPr="00005383" w:rsidRDefault="00005383" w:rsidP="00005383">
      <w:pPr>
        <w:spacing w:before="100" w:beforeAutospacing="1" w:after="100" w:afterAutospacing="1"/>
        <w:ind w:left="0" w:firstLine="0"/>
        <w:jc w:val="left"/>
        <w:rPr>
          <w:rFonts w:ascii="Times New Roman" w:eastAsia="Times New Roman" w:hAnsi="Times New Roman" w:cs="Times New Roman"/>
          <w:kern w:val="0"/>
          <w:sz w:val="24"/>
          <w:szCs w:val="24"/>
          <w:lang w:val="en-US"/>
        </w:rPr>
      </w:pPr>
      <w:r w:rsidRPr="00005383">
        <w:rPr>
          <w:rFonts w:ascii="Times New Roman" w:eastAsia="Times New Roman" w:hAnsi="Times New Roman" w:cs="Times New Roman"/>
          <w:kern w:val="0"/>
          <w:sz w:val="24"/>
          <w:szCs w:val="24"/>
          <w:lang w:val="en-US"/>
        </w:rPr>
        <w:t xml:space="preserve">Sharma, R., Chisti, Y., &amp; Banerjee, U. C. (2001). Production, purification, characterization, and applications of lipases. </w:t>
      </w:r>
      <w:r w:rsidRPr="00005383">
        <w:rPr>
          <w:rFonts w:ascii="Times New Roman" w:eastAsia="Times New Roman" w:hAnsi="Times New Roman" w:cs="Times New Roman"/>
          <w:i/>
          <w:iCs/>
          <w:kern w:val="0"/>
          <w:sz w:val="24"/>
          <w:szCs w:val="24"/>
          <w:lang w:val="en-US"/>
        </w:rPr>
        <w:t>Biotechnology Advances, 19</w:t>
      </w:r>
      <w:r w:rsidRPr="00005383">
        <w:rPr>
          <w:rFonts w:ascii="Times New Roman" w:eastAsia="Times New Roman" w:hAnsi="Times New Roman" w:cs="Times New Roman"/>
          <w:kern w:val="0"/>
          <w:sz w:val="24"/>
          <w:szCs w:val="24"/>
          <w:lang w:val="en-US"/>
        </w:rPr>
        <w:t xml:space="preserve">(8), 627–662. </w:t>
      </w:r>
      <w:hyperlink r:id="rId33" w:history="1">
        <w:r w:rsidRPr="00005383">
          <w:rPr>
            <w:rFonts w:ascii="Times New Roman" w:eastAsia="Times New Roman" w:hAnsi="Times New Roman" w:cs="Times New Roman"/>
            <w:color w:val="0000FF"/>
            <w:kern w:val="0"/>
            <w:sz w:val="24"/>
            <w:szCs w:val="24"/>
            <w:u w:val="single"/>
            <w:lang w:val="en-US"/>
          </w:rPr>
          <w:t>https://doi.org/10.1016/S0734-9750(01)00086-6</w:t>
        </w:r>
      </w:hyperlink>
    </w:p>
    <w:p w14:paraId="297DDC05" w14:textId="77777777" w:rsidR="00005383" w:rsidRPr="00005383" w:rsidRDefault="00005383" w:rsidP="00005383">
      <w:pPr>
        <w:spacing w:before="100" w:beforeAutospacing="1" w:after="100" w:afterAutospacing="1"/>
        <w:ind w:left="0" w:firstLine="0"/>
        <w:jc w:val="left"/>
        <w:rPr>
          <w:rFonts w:ascii="Times New Roman" w:eastAsia="Times New Roman" w:hAnsi="Times New Roman" w:cs="Times New Roman"/>
          <w:kern w:val="0"/>
          <w:sz w:val="24"/>
          <w:szCs w:val="24"/>
          <w:lang w:val="en-US"/>
        </w:rPr>
      </w:pPr>
      <w:r w:rsidRPr="00005383">
        <w:rPr>
          <w:rFonts w:ascii="Times New Roman" w:eastAsia="Times New Roman" w:hAnsi="Times New Roman" w:cs="Times New Roman"/>
          <w:kern w:val="0"/>
          <w:sz w:val="24"/>
          <w:szCs w:val="24"/>
          <w:lang w:val="en-US"/>
        </w:rPr>
        <w:t xml:space="preserve">Thankam, S. R., &amp; Manuel, S. G. A. (2023). Identification and characterization of endophytic bacteria isolated from </w:t>
      </w:r>
      <w:r w:rsidRPr="00005383">
        <w:rPr>
          <w:rFonts w:ascii="Times New Roman" w:eastAsia="Times New Roman" w:hAnsi="Times New Roman" w:cs="Times New Roman"/>
          <w:i/>
          <w:iCs/>
          <w:kern w:val="0"/>
          <w:sz w:val="24"/>
          <w:szCs w:val="24"/>
          <w:lang w:val="en-US"/>
        </w:rPr>
        <w:t>Curcuma longa</w:t>
      </w:r>
      <w:r w:rsidRPr="00005383">
        <w:rPr>
          <w:rFonts w:ascii="Times New Roman" w:eastAsia="Times New Roman" w:hAnsi="Times New Roman" w:cs="Times New Roman"/>
          <w:kern w:val="0"/>
          <w:sz w:val="24"/>
          <w:szCs w:val="24"/>
          <w:lang w:val="en-US"/>
        </w:rPr>
        <w:t xml:space="preserve">. </w:t>
      </w:r>
      <w:r w:rsidRPr="00005383">
        <w:rPr>
          <w:rFonts w:ascii="Times New Roman" w:eastAsia="Times New Roman" w:hAnsi="Times New Roman" w:cs="Times New Roman"/>
          <w:i/>
          <w:iCs/>
          <w:kern w:val="0"/>
          <w:sz w:val="24"/>
          <w:szCs w:val="24"/>
          <w:lang w:val="en-US"/>
        </w:rPr>
        <w:t>Proceedings of the National Academy of Sciences, India Section B: Biological Sciences, 93</w:t>
      </w:r>
      <w:r w:rsidRPr="00005383">
        <w:rPr>
          <w:rFonts w:ascii="Times New Roman" w:eastAsia="Times New Roman" w:hAnsi="Times New Roman" w:cs="Times New Roman"/>
          <w:kern w:val="0"/>
          <w:sz w:val="24"/>
          <w:szCs w:val="24"/>
          <w:lang w:val="en-US"/>
        </w:rPr>
        <w:t xml:space="preserve">, 763–774. </w:t>
      </w:r>
      <w:hyperlink r:id="rId34" w:history="1">
        <w:r w:rsidRPr="00005383">
          <w:rPr>
            <w:rFonts w:ascii="Times New Roman" w:eastAsia="Times New Roman" w:hAnsi="Times New Roman" w:cs="Times New Roman"/>
            <w:color w:val="0000FF"/>
            <w:kern w:val="0"/>
            <w:sz w:val="24"/>
            <w:szCs w:val="24"/>
            <w:u w:val="single"/>
            <w:lang w:val="en-US"/>
          </w:rPr>
          <w:t>https://doi.org/10.1007/s40011-023-01466-3</w:t>
        </w:r>
      </w:hyperlink>
    </w:p>
    <w:p w14:paraId="0827F8A5" w14:textId="77777777" w:rsidR="00F51E28" w:rsidRPr="00F51E28" w:rsidRDefault="00F51E28" w:rsidP="00F51E28">
      <w:pPr>
        <w:pStyle w:val="NormalWeb"/>
        <w:jc w:val="both"/>
        <w:rPr>
          <w:rFonts w:ascii="Arial" w:hAnsi="Arial" w:cs="Arial"/>
          <w:sz w:val="20"/>
          <w:szCs w:val="20"/>
        </w:rPr>
      </w:pPr>
    </w:p>
    <w:p w14:paraId="007A95FB" w14:textId="77777777" w:rsidR="00F51E28" w:rsidRPr="00F51E28" w:rsidRDefault="00F51E28" w:rsidP="00F51E28">
      <w:pPr>
        <w:pStyle w:val="NormalWeb"/>
        <w:ind w:left="142"/>
        <w:jc w:val="both"/>
        <w:rPr>
          <w:rFonts w:ascii="Arial" w:hAnsi="Arial" w:cs="Arial"/>
          <w:b/>
          <w:sz w:val="20"/>
          <w:szCs w:val="20"/>
        </w:rPr>
      </w:pPr>
    </w:p>
    <w:p w14:paraId="79D86EF5" w14:textId="77777777" w:rsidR="00DC2463" w:rsidRPr="00F51E28" w:rsidRDefault="00DC2463" w:rsidP="00F51E28">
      <w:pPr>
        <w:pStyle w:val="NormalWeb"/>
        <w:ind w:left="142"/>
        <w:jc w:val="both"/>
        <w:rPr>
          <w:rFonts w:ascii="Arial" w:hAnsi="Arial" w:cs="Arial"/>
          <w:b/>
          <w:sz w:val="20"/>
          <w:szCs w:val="20"/>
        </w:rPr>
      </w:pPr>
    </w:p>
    <w:p w14:paraId="7F25B6B8" w14:textId="77777777" w:rsidR="00DE31C8" w:rsidRPr="00F51E28" w:rsidRDefault="00DE31C8" w:rsidP="00F51E28">
      <w:pPr>
        <w:pStyle w:val="NormalWeb"/>
        <w:jc w:val="both"/>
        <w:rPr>
          <w:rFonts w:ascii="Arial" w:hAnsi="Arial" w:cs="Arial"/>
          <w:b/>
          <w:sz w:val="20"/>
          <w:szCs w:val="20"/>
        </w:rPr>
      </w:pPr>
    </w:p>
    <w:p w14:paraId="64DFB70A" w14:textId="77777777" w:rsidR="00067344" w:rsidRPr="00DC2463" w:rsidRDefault="00067344" w:rsidP="00F51E28">
      <w:pPr>
        <w:pStyle w:val="NormalWeb"/>
        <w:jc w:val="both"/>
        <w:rPr>
          <w:rFonts w:ascii="Arial" w:hAnsi="Arial" w:cs="Arial"/>
          <w:sz w:val="20"/>
          <w:szCs w:val="20"/>
        </w:rPr>
      </w:pPr>
    </w:p>
    <w:p w14:paraId="757DE0C2" w14:textId="77777777" w:rsidR="00325F90" w:rsidRPr="00DC2463" w:rsidRDefault="00325F90" w:rsidP="00F51E28">
      <w:pPr>
        <w:pStyle w:val="NormalWeb"/>
        <w:jc w:val="both"/>
        <w:rPr>
          <w:rFonts w:ascii="Arial" w:hAnsi="Arial" w:cs="Arial"/>
          <w:sz w:val="20"/>
          <w:szCs w:val="20"/>
        </w:rPr>
      </w:pPr>
    </w:p>
    <w:p w14:paraId="7924626B" w14:textId="77777777" w:rsidR="00325F90" w:rsidRPr="00DC2463" w:rsidRDefault="00325F90" w:rsidP="00F51E28">
      <w:pPr>
        <w:pStyle w:val="NormalWeb"/>
        <w:jc w:val="both"/>
        <w:rPr>
          <w:rFonts w:ascii="Arial" w:hAnsi="Arial" w:cs="Arial"/>
          <w:sz w:val="20"/>
          <w:szCs w:val="20"/>
        </w:rPr>
      </w:pPr>
    </w:p>
    <w:p w14:paraId="03E08B1A" w14:textId="77777777" w:rsidR="00325F90" w:rsidRPr="00DC2463" w:rsidRDefault="00325F90" w:rsidP="00F51E28">
      <w:pPr>
        <w:pStyle w:val="NoSpacing"/>
        <w:rPr>
          <w:rFonts w:ascii="Arial" w:hAnsi="Arial" w:cs="Arial"/>
          <w:b/>
          <w:sz w:val="20"/>
          <w:szCs w:val="20"/>
        </w:rPr>
      </w:pPr>
    </w:p>
    <w:p w14:paraId="58450B08" w14:textId="77777777" w:rsidR="00955E89" w:rsidRPr="00DC2463" w:rsidRDefault="00955E89" w:rsidP="00F51E28">
      <w:pPr>
        <w:rPr>
          <w:rFonts w:ascii="Arial" w:hAnsi="Arial" w:cs="Arial"/>
          <w:b/>
          <w:sz w:val="20"/>
          <w:szCs w:val="20"/>
        </w:rPr>
      </w:pPr>
    </w:p>
    <w:p w14:paraId="6BC520A6" w14:textId="77777777" w:rsidR="003045D7" w:rsidRPr="00DC2463" w:rsidRDefault="003045D7" w:rsidP="00F51E28">
      <w:pPr>
        <w:rPr>
          <w:rFonts w:ascii="Arial" w:hAnsi="Arial" w:cs="Arial"/>
          <w:b/>
          <w:sz w:val="20"/>
          <w:szCs w:val="20"/>
        </w:rPr>
      </w:pPr>
    </w:p>
    <w:p w14:paraId="04826BFB" w14:textId="77777777" w:rsidR="00955E89" w:rsidRPr="00DC2463" w:rsidRDefault="00955E89" w:rsidP="00F51E28">
      <w:pPr>
        <w:ind w:left="0" w:firstLine="0"/>
        <w:rPr>
          <w:rFonts w:ascii="Arial" w:hAnsi="Arial" w:cs="Arial"/>
          <w:b/>
          <w:sz w:val="20"/>
          <w:szCs w:val="20"/>
        </w:rPr>
      </w:pPr>
    </w:p>
    <w:sectPr w:rsidR="00955E89" w:rsidRPr="00DC2463" w:rsidSect="00D02C13">
      <w:headerReference w:type="even" r:id="rId35"/>
      <w:headerReference w:type="default" r:id="rId36"/>
      <w:footerReference w:type="even" r:id="rId37"/>
      <w:footerReference w:type="default" r:id="rId38"/>
      <w:headerReference w:type="first" r:id="rId39"/>
      <w:footerReference w:type="first" r:id="rId4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EF0C4" w14:textId="77777777" w:rsidR="00CC7503" w:rsidRDefault="00CC7503" w:rsidP="00626081">
      <w:r>
        <w:separator/>
      </w:r>
    </w:p>
  </w:endnote>
  <w:endnote w:type="continuationSeparator" w:id="0">
    <w:p w14:paraId="4335BDC7" w14:textId="77777777" w:rsidR="00CC7503" w:rsidRDefault="00CC7503" w:rsidP="006260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44315" w14:textId="77777777" w:rsidR="00494DC3" w:rsidRDefault="00494D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64983" w14:textId="77777777" w:rsidR="00494DC3" w:rsidRDefault="00494D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7388E" w14:textId="77777777" w:rsidR="00494DC3" w:rsidRDefault="00494D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F707F" w14:textId="77777777" w:rsidR="00CC7503" w:rsidRDefault="00CC7503" w:rsidP="00626081">
      <w:r>
        <w:separator/>
      </w:r>
    </w:p>
  </w:footnote>
  <w:footnote w:type="continuationSeparator" w:id="0">
    <w:p w14:paraId="3FE0971E" w14:textId="77777777" w:rsidR="00CC7503" w:rsidRDefault="00CC7503" w:rsidP="006260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BEEF4" w14:textId="77777777" w:rsidR="00494DC3" w:rsidRDefault="00000000">
    <w:pPr>
      <w:pStyle w:val="Header"/>
    </w:pPr>
    <w:r>
      <w:rPr>
        <w:noProof/>
      </w:rPr>
      <w:pict w14:anchorId="2880A1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9713922" o:spid="_x0000_s1026" type="#_x0000_t136" style="position:absolute;left:0;text-align:left;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35EF3" w14:textId="77777777" w:rsidR="00494DC3" w:rsidRDefault="00000000">
    <w:pPr>
      <w:pStyle w:val="Header"/>
    </w:pPr>
    <w:r>
      <w:rPr>
        <w:noProof/>
      </w:rPr>
      <w:pict w14:anchorId="69B52D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9713923" o:spid="_x0000_s1027" type="#_x0000_t136" style="position:absolute;left:0;text-align:left;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870DF" w14:textId="77777777" w:rsidR="00494DC3" w:rsidRDefault="00000000">
    <w:pPr>
      <w:pStyle w:val="Header"/>
    </w:pPr>
    <w:r>
      <w:rPr>
        <w:noProof/>
      </w:rPr>
      <w:pict w14:anchorId="66A4F7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9713921" o:spid="_x0000_s1025" type="#_x0000_t136" style="position:absolute;left:0;text-align:left;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9E4AE5"/>
    <w:multiLevelType w:val="multilevel"/>
    <w:tmpl w:val="E10AE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18827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srSwMLA0tjA0MjI2NbBU0lEKTi0uzszPAykwrAUA4kgAzCwAAAA="/>
  </w:docVars>
  <w:rsids>
    <w:rsidRoot w:val="00955E89"/>
    <w:rsid w:val="00005383"/>
    <w:rsid w:val="00026F12"/>
    <w:rsid w:val="000423FF"/>
    <w:rsid w:val="00063533"/>
    <w:rsid w:val="00067344"/>
    <w:rsid w:val="000676F8"/>
    <w:rsid w:val="00071B57"/>
    <w:rsid w:val="00095762"/>
    <w:rsid w:val="000A37A2"/>
    <w:rsid w:val="000C0D7E"/>
    <w:rsid w:val="000D78D8"/>
    <w:rsid w:val="000F7302"/>
    <w:rsid w:val="001231B7"/>
    <w:rsid w:val="00191028"/>
    <w:rsid w:val="001D1AB7"/>
    <w:rsid w:val="001D7CD6"/>
    <w:rsid w:val="003045D7"/>
    <w:rsid w:val="003168FC"/>
    <w:rsid w:val="00325F90"/>
    <w:rsid w:val="00327DC1"/>
    <w:rsid w:val="0033750F"/>
    <w:rsid w:val="003425E2"/>
    <w:rsid w:val="003849EB"/>
    <w:rsid w:val="003A6912"/>
    <w:rsid w:val="003C7CCA"/>
    <w:rsid w:val="003D4A41"/>
    <w:rsid w:val="004224B2"/>
    <w:rsid w:val="00494DC3"/>
    <w:rsid w:val="004F3F01"/>
    <w:rsid w:val="004F661A"/>
    <w:rsid w:val="004F7A25"/>
    <w:rsid w:val="00505D2E"/>
    <w:rsid w:val="005D17F3"/>
    <w:rsid w:val="005F737A"/>
    <w:rsid w:val="00626081"/>
    <w:rsid w:val="00635DFA"/>
    <w:rsid w:val="006E27FB"/>
    <w:rsid w:val="006F2C6F"/>
    <w:rsid w:val="0071313D"/>
    <w:rsid w:val="008038CC"/>
    <w:rsid w:val="00887471"/>
    <w:rsid w:val="008A1843"/>
    <w:rsid w:val="008A1F55"/>
    <w:rsid w:val="008E6F6E"/>
    <w:rsid w:val="008F16CA"/>
    <w:rsid w:val="0093744F"/>
    <w:rsid w:val="00955E89"/>
    <w:rsid w:val="009A5E8E"/>
    <w:rsid w:val="00A6135B"/>
    <w:rsid w:val="00A67EE4"/>
    <w:rsid w:val="00C64E53"/>
    <w:rsid w:val="00CC7503"/>
    <w:rsid w:val="00D02C13"/>
    <w:rsid w:val="00D05D49"/>
    <w:rsid w:val="00D31B7F"/>
    <w:rsid w:val="00D76286"/>
    <w:rsid w:val="00D77DE1"/>
    <w:rsid w:val="00DC2463"/>
    <w:rsid w:val="00DE31C8"/>
    <w:rsid w:val="00E460E6"/>
    <w:rsid w:val="00F22E22"/>
    <w:rsid w:val="00F51E28"/>
    <w:rsid w:val="00FF023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B8842"/>
  <w15:docId w15:val="{EBA85558-B5FC-4935-B3DF-F613D9972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rPr>
    </w:rPrDefault>
    <w:pPrDefault>
      <w:pPr>
        <w:ind w:left="113" w:hanging="113"/>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C13"/>
  </w:style>
  <w:style w:type="paragraph" w:styleId="Heading1">
    <w:name w:val="heading 1"/>
    <w:basedOn w:val="Normal"/>
    <w:link w:val="Heading1Char"/>
    <w:uiPriority w:val="9"/>
    <w:qFormat/>
    <w:rsid w:val="003045D7"/>
    <w:pPr>
      <w:spacing w:before="100" w:beforeAutospacing="1" w:after="100" w:afterAutospacing="1"/>
      <w:ind w:left="0" w:firstLine="0"/>
      <w:jc w:val="left"/>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unhideWhenUsed/>
    <w:qFormat/>
    <w:rsid w:val="0093744F"/>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325F90"/>
    <w:pPr>
      <w:keepNext/>
      <w:keepLines/>
      <w:spacing w:before="20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955E89"/>
    <w:rPr>
      <w:i/>
      <w:iCs/>
    </w:rPr>
  </w:style>
  <w:style w:type="paragraph" w:styleId="NormalWeb">
    <w:name w:val="Normal (Web)"/>
    <w:basedOn w:val="Normal"/>
    <w:uiPriority w:val="99"/>
    <w:unhideWhenUsed/>
    <w:qFormat/>
    <w:rsid w:val="00955E89"/>
    <w:pPr>
      <w:spacing w:before="100" w:beforeAutospacing="1" w:after="100" w:afterAutospacing="1"/>
      <w:ind w:left="0" w:firstLine="0"/>
      <w:jc w:val="left"/>
    </w:pPr>
    <w:rPr>
      <w:rFonts w:ascii="Times New Roman" w:eastAsia="Times New Roman" w:hAnsi="Times New Roman" w:cs="Times New Roman"/>
      <w:kern w:val="0"/>
      <w:sz w:val="24"/>
      <w:szCs w:val="24"/>
      <w:lang w:val="en-US"/>
    </w:rPr>
  </w:style>
  <w:style w:type="paragraph" w:styleId="NoSpacing">
    <w:name w:val="No Spacing"/>
    <w:uiPriority w:val="1"/>
    <w:qFormat/>
    <w:rsid w:val="00955E89"/>
  </w:style>
  <w:style w:type="character" w:styleId="Hyperlink">
    <w:name w:val="Hyperlink"/>
    <w:basedOn w:val="DefaultParagraphFont"/>
    <w:uiPriority w:val="99"/>
    <w:unhideWhenUsed/>
    <w:rsid w:val="00955E89"/>
    <w:rPr>
      <w:color w:val="0563C1" w:themeColor="hyperlink"/>
      <w:u w:val="single"/>
    </w:rPr>
  </w:style>
  <w:style w:type="character" w:customStyle="1" w:styleId="Heading1Char">
    <w:name w:val="Heading 1 Char"/>
    <w:basedOn w:val="DefaultParagraphFont"/>
    <w:link w:val="Heading1"/>
    <w:uiPriority w:val="9"/>
    <w:rsid w:val="003045D7"/>
    <w:rPr>
      <w:rFonts w:ascii="Times New Roman" w:eastAsia="Times New Roman" w:hAnsi="Times New Roman" w:cs="Times New Roman"/>
      <w:b/>
      <w:bCs/>
      <w:kern w:val="36"/>
      <w:sz w:val="48"/>
      <w:szCs w:val="48"/>
      <w:lang w:val="en-US"/>
    </w:rPr>
  </w:style>
  <w:style w:type="character" w:styleId="Strong">
    <w:name w:val="Strong"/>
    <w:basedOn w:val="DefaultParagraphFont"/>
    <w:uiPriority w:val="22"/>
    <w:qFormat/>
    <w:rsid w:val="003045D7"/>
    <w:rPr>
      <w:b/>
      <w:bCs/>
    </w:rPr>
  </w:style>
  <w:style w:type="paragraph" w:styleId="ListParagraph">
    <w:name w:val="List Paragraph"/>
    <w:basedOn w:val="Normal"/>
    <w:uiPriority w:val="34"/>
    <w:qFormat/>
    <w:rsid w:val="00325F90"/>
    <w:pPr>
      <w:ind w:left="720"/>
      <w:contextualSpacing/>
    </w:pPr>
  </w:style>
  <w:style w:type="character" w:customStyle="1" w:styleId="Heading3Char">
    <w:name w:val="Heading 3 Char"/>
    <w:basedOn w:val="DefaultParagraphFont"/>
    <w:link w:val="Heading3"/>
    <w:uiPriority w:val="9"/>
    <w:semiHidden/>
    <w:rsid w:val="00325F90"/>
    <w:rPr>
      <w:rFonts w:asciiTheme="majorHAnsi" w:eastAsiaTheme="majorEastAsia" w:hAnsiTheme="majorHAnsi" w:cstheme="majorBidi"/>
      <w:b/>
      <w:bCs/>
      <w:color w:val="4472C4" w:themeColor="accent1"/>
    </w:rPr>
  </w:style>
  <w:style w:type="character" w:customStyle="1" w:styleId="text-token-text-primary">
    <w:name w:val="text-token-text-primary"/>
    <w:basedOn w:val="DefaultParagraphFont"/>
    <w:rsid w:val="00325F90"/>
  </w:style>
  <w:style w:type="table" w:styleId="TableGrid">
    <w:name w:val="Table Grid"/>
    <w:basedOn w:val="TableNormal"/>
    <w:uiPriority w:val="39"/>
    <w:qFormat/>
    <w:rsid w:val="000C0D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0C0D7E"/>
    <w:pPr>
      <w:spacing w:before="100" w:beforeAutospacing="1" w:after="100" w:afterAutospacing="1"/>
      <w:ind w:left="0" w:firstLine="0"/>
      <w:jc w:val="left"/>
    </w:pPr>
    <w:rPr>
      <w:rFonts w:ascii="Times New Roman" w:eastAsia="Times New Roman" w:hAnsi="Times New Roman" w:cs="Times New Roman"/>
      <w:kern w:val="0"/>
      <w:sz w:val="24"/>
      <w:szCs w:val="24"/>
      <w:lang w:val="en-US"/>
    </w:rPr>
  </w:style>
  <w:style w:type="paragraph" w:styleId="BalloonText">
    <w:name w:val="Balloon Text"/>
    <w:basedOn w:val="Normal"/>
    <w:link w:val="BalloonTextChar"/>
    <w:uiPriority w:val="99"/>
    <w:semiHidden/>
    <w:unhideWhenUsed/>
    <w:rsid w:val="000C0D7E"/>
    <w:rPr>
      <w:rFonts w:ascii="Tahoma" w:hAnsi="Tahoma" w:cs="Tahoma"/>
      <w:sz w:val="16"/>
      <w:szCs w:val="16"/>
    </w:rPr>
  </w:style>
  <w:style w:type="character" w:customStyle="1" w:styleId="BalloonTextChar">
    <w:name w:val="Balloon Text Char"/>
    <w:basedOn w:val="DefaultParagraphFont"/>
    <w:link w:val="BalloonText"/>
    <w:uiPriority w:val="99"/>
    <w:semiHidden/>
    <w:rsid w:val="000C0D7E"/>
    <w:rPr>
      <w:rFonts w:ascii="Tahoma" w:hAnsi="Tahoma" w:cs="Tahoma"/>
      <w:sz w:val="16"/>
      <w:szCs w:val="16"/>
    </w:rPr>
  </w:style>
  <w:style w:type="character" w:customStyle="1" w:styleId="Heading2Char">
    <w:name w:val="Heading 2 Char"/>
    <w:basedOn w:val="DefaultParagraphFont"/>
    <w:link w:val="Heading2"/>
    <w:uiPriority w:val="9"/>
    <w:rsid w:val="0093744F"/>
    <w:rPr>
      <w:rFonts w:asciiTheme="majorHAnsi" w:eastAsiaTheme="majorEastAsia" w:hAnsiTheme="majorHAnsi" w:cstheme="majorBidi"/>
      <w:b/>
      <w:bCs/>
      <w:color w:val="4472C4" w:themeColor="accent1"/>
      <w:sz w:val="26"/>
      <w:szCs w:val="26"/>
    </w:rPr>
  </w:style>
  <w:style w:type="character" w:customStyle="1" w:styleId="whitespace-normal">
    <w:name w:val="whitespace-normal"/>
    <w:basedOn w:val="DefaultParagraphFont"/>
    <w:rsid w:val="0093744F"/>
  </w:style>
  <w:style w:type="character" w:customStyle="1" w:styleId="UnresolvedMention1">
    <w:name w:val="Unresolved Mention1"/>
    <w:basedOn w:val="DefaultParagraphFont"/>
    <w:uiPriority w:val="99"/>
    <w:semiHidden/>
    <w:unhideWhenUsed/>
    <w:rsid w:val="00887471"/>
    <w:rPr>
      <w:color w:val="605E5C"/>
      <w:shd w:val="clear" w:color="auto" w:fill="E1DFDD"/>
    </w:rPr>
  </w:style>
  <w:style w:type="paragraph" w:styleId="Header">
    <w:name w:val="header"/>
    <w:basedOn w:val="Normal"/>
    <w:link w:val="HeaderChar"/>
    <w:uiPriority w:val="99"/>
    <w:unhideWhenUsed/>
    <w:rsid w:val="00626081"/>
    <w:pPr>
      <w:tabs>
        <w:tab w:val="center" w:pos="4513"/>
        <w:tab w:val="right" w:pos="9026"/>
      </w:tabs>
    </w:pPr>
  </w:style>
  <w:style w:type="character" w:customStyle="1" w:styleId="HeaderChar">
    <w:name w:val="Header Char"/>
    <w:basedOn w:val="DefaultParagraphFont"/>
    <w:link w:val="Header"/>
    <w:uiPriority w:val="99"/>
    <w:rsid w:val="00626081"/>
  </w:style>
  <w:style w:type="paragraph" w:styleId="Footer">
    <w:name w:val="footer"/>
    <w:basedOn w:val="Normal"/>
    <w:link w:val="FooterChar"/>
    <w:uiPriority w:val="99"/>
    <w:unhideWhenUsed/>
    <w:rsid w:val="00626081"/>
    <w:pPr>
      <w:tabs>
        <w:tab w:val="center" w:pos="4513"/>
        <w:tab w:val="right" w:pos="9026"/>
      </w:tabs>
    </w:pPr>
  </w:style>
  <w:style w:type="character" w:customStyle="1" w:styleId="FooterChar">
    <w:name w:val="Footer Char"/>
    <w:basedOn w:val="DefaultParagraphFont"/>
    <w:link w:val="Footer"/>
    <w:uiPriority w:val="99"/>
    <w:rsid w:val="00626081"/>
  </w:style>
  <w:style w:type="paragraph" w:customStyle="1" w:styleId="pdq2pgselectionanchorcontainer">
    <w:name w:val="pdq2pg_selectionanchorcontainer"/>
    <w:basedOn w:val="Normal"/>
    <w:rsid w:val="00026F12"/>
    <w:pPr>
      <w:spacing w:before="100" w:beforeAutospacing="1" w:after="100" w:afterAutospacing="1"/>
      <w:ind w:left="0" w:firstLine="0"/>
      <w:jc w:val="left"/>
    </w:pPr>
    <w:rPr>
      <w:rFonts w:ascii="Times New Roman" w:eastAsia="Times New Roman" w:hAnsi="Times New Roman" w:cs="Times New Roman"/>
      <w:kern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318777">
      <w:bodyDiv w:val="1"/>
      <w:marLeft w:val="0"/>
      <w:marRight w:val="0"/>
      <w:marTop w:val="0"/>
      <w:marBottom w:val="0"/>
      <w:divBdr>
        <w:top w:val="none" w:sz="0" w:space="0" w:color="auto"/>
        <w:left w:val="none" w:sz="0" w:space="0" w:color="auto"/>
        <w:bottom w:val="none" w:sz="0" w:space="0" w:color="auto"/>
        <w:right w:val="none" w:sz="0" w:space="0" w:color="auto"/>
      </w:divBdr>
    </w:div>
    <w:div w:id="200171382">
      <w:bodyDiv w:val="1"/>
      <w:marLeft w:val="0"/>
      <w:marRight w:val="0"/>
      <w:marTop w:val="0"/>
      <w:marBottom w:val="0"/>
      <w:divBdr>
        <w:top w:val="none" w:sz="0" w:space="0" w:color="auto"/>
        <w:left w:val="none" w:sz="0" w:space="0" w:color="auto"/>
        <w:bottom w:val="none" w:sz="0" w:space="0" w:color="auto"/>
        <w:right w:val="none" w:sz="0" w:space="0" w:color="auto"/>
      </w:divBdr>
    </w:div>
    <w:div w:id="318047571">
      <w:bodyDiv w:val="1"/>
      <w:marLeft w:val="0"/>
      <w:marRight w:val="0"/>
      <w:marTop w:val="0"/>
      <w:marBottom w:val="0"/>
      <w:divBdr>
        <w:top w:val="none" w:sz="0" w:space="0" w:color="auto"/>
        <w:left w:val="none" w:sz="0" w:space="0" w:color="auto"/>
        <w:bottom w:val="none" w:sz="0" w:space="0" w:color="auto"/>
        <w:right w:val="none" w:sz="0" w:space="0" w:color="auto"/>
      </w:divBdr>
    </w:div>
    <w:div w:id="609165858">
      <w:bodyDiv w:val="1"/>
      <w:marLeft w:val="0"/>
      <w:marRight w:val="0"/>
      <w:marTop w:val="0"/>
      <w:marBottom w:val="0"/>
      <w:divBdr>
        <w:top w:val="none" w:sz="0" w:space="0" w:color="auto"/>
        <w:left w:val="none" w:sz="0" w:space="0" w:color="auto"/>
        <w:bottom w:val="none" w:sz="0" w:space="0" w:color="auto"/>
        <w:right w:val="none" w:sz="0" w:space="0" w:color="auto"/>
      </w:divBdr>
    </w:div>
    <w:div w:id="670596366">
      <w:bodyDiv w:val="1"/>
      <w:marLeft w:val="0"/>
      <w:marRight w:val="0"/>
      <w:marTop w:val="0"/>
      <w:marBottom w:val="0"/>
      <w:divBdr>
        <w:top w:val="none" w:sz="0" w:space="0" w:color="auto"/>
        <w:left w:val="none" w:sz="0" w:space="0" w:color="auto"/>
        <w:bottom w:val="none" w:sz="0" w:space="0" w:color="auto"/>
        <w:right w:val="none" w:sz="0" w:space="0" w:color="auto"/>
      </w:divBdr>
    </w:div>
    <w:div w:id="684551914">
      <w:bodyDiv w:val="1"/>
      <w:marLeft w:val="0"/>
      <w:marRight w:val="0"/>
      <w:marTop w:val="0"/>
      <w:marBottom w:val="0"/>
      <w:divBdr>
        <w:top w:val="none" w:sz="0" w:space="0" w:color="auto"/>
        <w:left w:val="none" w:sz="0" w:space="0" w:color="auto"/>
        <w:bottom w:val="none" w:sz="0" w:space="0" w:color="auto"/>
        <w:right w:val="none" w:sz="0" w:space="0" w:color="auto"/>
      </w:divBdr>
    </w:div>
    <w:div w:id="711543563">
      <w:bodyDiv w:val="1"/>
      <w:marLeft w:val="0"/>
      <w:marRight w:val="0"/>
      <w:marTop w:val="0"/>
      <w:marBottom w:val="0"/>
      <w:divBdr>
        <w:top w:val="none" w:sz="0" w:space="0" w:color="auto"/>
        <w:left w:val="none" w:sz="0" w:space="0" w:color="auto"/>
        <w:bottom w:val="none" w:sz="0" w:space="0" w:color="auto"/>
        <w:right w:val="none" w:sz="0" w:space="0" w:color="auto"/>
      </w:divBdr>
    </w:div>
    <w:div w:id="766582473">
      <w:bodyDiv w:val="1"/>
      <w:marLeft w:val="0"/>
      <w:marRight w:val="0"/>
      <w:marTop w:val="0"/>
      <w:marBottom w:val="0"/>
      <w:divBdr>
        <w:top w:val="none" w:sz="0" w:space="0" w:color="auto"/>
        <w:left w:val="none" w:sz="0" w:space="0" w:color="auto"/>
        <w:bottom w:val="none" w:sz="0" w:space="0" w:color="auto"/>
        <w:right w:val="none" w:sz="0" w:space="0" w:color="auto"/>
      </w:divBdr>
    </w:div>
    <w:div w:id="770470197">
      <w:bodyDiv w:val="1"/>
      <w:marLeft w:val="0"/>
      <w:marRight w:val="0"/>
      <w:marTop w:val="0"/>
      <w:marBottom w:val="0"/>
      <w:divBdr>
        <w:top w:val="none" w:sz="0" w:space="0" w:color="auto"/>
        <w:left w:val="none" w:sz="0" w:space="0" w:color="auto"/>
        <w:bottom w:val="none" w:sz="0" w:space="0" w:color="auto"/>
        <w:right w:val="none" w:sz="0" w:space="0" w:color="auto"/>
      </w:divBdr>
    </w:div>
    <w:div w:id="777022730">
      <w:bodyDiv w:val="1"/>
      <w:marLeft w:val="0"/>
      <w:marRight w:val="0"/>
      <w:marTop w:val="0"/>
      <w:marBottom w:val="0"/>
      <w:divBdr>
        <w:top w:val="none" w:sz="0" w:space="0" w:color="auto"/>
        <w:left w:val="none" w:sz="0" w:space="0" w:color="auto"/>
        <w:bottom w:val="none" w:sz="0" w:space="0" w:color="auto"/>
        <w:right w:val="none" w:sz="0" w:space="0" w:color="auto"/>
      </w:divBdr>
    </w:div>
    <w:div w:id="869880311">
      <w:bodyDiv w:val="1"/>
      <w:marLeft w:val="0"/>
      <w:marRight w:val="0"/>
      <w:marTop w:val="0"/>
      <w:marBottom w:val="0"/>
      <w:divBdr>
        <w:top w:val="none" w:sz="0" w:space="0" w:color="auto"/>
        <w:left w:val="none" w:sz="0" w:space="0" w:color="auto"/>
        <w:bottom w:val="none" w:sz="0" w:space="0" w:color="auto"/>
        <w:right w:val="none" w:sz="0" w:space="0" w:color="auto"/>
      </w:divBdr>
    </w:div>
    <w:div w:id="895317098">
      <w:bodyDiv w:val="1"/>
      <w:marLeft w:val="0"/>
      <w:marRight w:val="0"/>
      <w:marTop w:val="0"/>
      <w:marBottom w:val="0"/>
      <w:divBdr>
        <w:top w:val="none" w:sz="0" w:space="0" w:color="auto"/>
        <w:left w:val="none" w:sz="0" w:space="0" w:color="auto"/>
        <w:bottom w:val="none" w:sz="0" w:space="0" w:color="auto"/>
        <w:right w:val="none" w:sz="0" w:space="0" w:color="auto"/>
      </w:divBdr>
    </w:div>
    <w:div w:id="990863536">
      <w:bodyDiv w:val="1"/>
      <w:marLeft w:val="0"/>
      <w:marRight w:val="0"/>
      <w:marTop w:val="0"/>
      <w:marBottom w:val="0"/>
      <w:divBdr>
        <w:top w:val="none" w:sz="0" w:space="0" w:color="auto"/>
        <w:left w:val="none" w:sz="0" w:space="0" w:color="auto"/>
        <w:bottom w:val="none" w:sz="0" w:space="0" w:color="auto"/>
        <w:right w:val="none" w:sz="0" w:space="0" w:color="auto"/>
      </w:divBdr>
    </w:div>
    <w:div w:id="996179892">
      <w:bodyDiv w:val="1"/>
      <w:marLeft w:val="0"/>
      <w:marRight w:val="0"/>
      <w:marTop w:val="0"/>
      <w:marBottom w:val="0"/>
      <w:divBdr>
        <w:top w:val="none" w:sz="0" w:space="0" w:color="auto"/>
        <w:left w:val="none" w:sz="0" w:space="0" w:color="auto"/>
        <w:bottom w:val="none" w:sz="0" w:space="0" w:color="auto"/>
        <w:right w:val="none" w:sz="0" w:space="0" w:color="auto"/>
      </w:divBdr>
    </w:div>
    <w:div w:id="1027221530">
      <w:bodyDiv w:val="1"/>
      <w:marLeft w:val="0"/>
      <w:marRight w:val="0"/>
      <w:marTop w:val="0"/>
      <w:marBottom w:val="0"/>
      <w:divBdr>
        <w:top w:val="none" w:sz="0" w:space="0" w:color="auto"/>
        <w:left w:val="none" w:sz="0" w:space="0" w:color="auto"/>
        <w:bottom w:val="none" w:sz="0" w:space="0" w:color="auto"/>
        <w:right w:val="none" w:sz="0" w:space="0" w:color="auto"/>
      </w:divBdr>
    </w:div>
    <w:div w:id="1111509308">
      <w:bodyDiv w:val="1"/>
      <w:marLeft w:val="0"/>
      <w:marRight w:val="0"/>
      <w:marTop w:val="0"/>
      <w:marBottom w:val="0"/>
      <w:divBdr>
        <w:top w:val="none" w:sz="0" w:space="0" w:color="auto"/>
        <w:left w:val="none" w:sz="0" w:space="0" w:color="auto"/>
        <w:bottom w:val="none" w:sz="0" w:space="0" w:color="auto"/>
        <w:right w:val="none" w:sz="0" w:space="0" w:color="auto"/>
      </w:divBdr>
    </w:div>
    <w:div w:id="1189948590">
      <w:bodyDiv w:val="1"/>
      <w:marLeft w:val="0"/>
      <w:marRight w:val="0"/>
      <w:marTop w:val="0"/>
      <w:marBottom w:val="0"/>
      <w:divBdr>
        <w:top w:val="none" w:sz="0" w:space="0" w:color="auto"/>
        <w:left w:val="none" w:sz="0" w:space="0" w:color="auto"/>
        <w:bottom w:val="none" w:sz="0" w:space="0" w:color="auto"/>
        <w:right w:val="none" w:sz="0" w:space="0" w:color="auto"/>
      </w:divBdr>
      <w:divsChild>
        <w:div w:id="536043322">
          <w:marLeft w:val="0"/>
          <w:marRight w:val="0"/>
          <w:marTop w:val="0"/>
          <w:marBottom w:val="0"/>
          <w:divBdr>
            <w:top w:val="none" w:sz="0" w:space="0" w:color="auto"/>
            <w:left w:val="none" w:sz="0" w:space="0" w:color="auto"/>
            <w:bottom w:val="none" w:sz="0" w:space="0" w:color="auto"/>
            <w:right w:val="none" w:sz="0" w:space="0" w:color="auto"/>
          </w:divBdr>
          <w:divsChild>
            <w:div w:id="536161184">
              <w:marLeft w:val="0"/>
              <w:marRight w:val="0"/>
              <w:marTop w:val="0"/>
              <w:marBottom w:val="0"/>
              <w:divBdr>
                <w:top w:val="none" w:sz="0" w:space="0" w:color="auto"/>
                <w:left w:val="none" w:sz="0" w:space="0" w:color="auto"/>
                <w:bottom w:val="none" w:sz="0" w:space="0" w:color="auto"/>
                <w:right w:val="none" w:sz="0" w:space="0" w:color="auto"/>
              </w:divBdr>
              <w:divsChild>
                <w:div w:id="84856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531469">
      <w:bodyDiv w:val="1"/>
      <w:marLeft w:val="0"/>
      <w:marRight w:val="0"/>
      <w:marTop w:val="0"/>
      <w:marBottom w:val="0"/>
      <w:divBdr>
        <w:top w:val="none" w:sz="0" w:space="0" w:color="auto"/>
        <w:left w:val="none" w:sz="0" w:space="0" w:color="auto"/>
        <w:bottom w:val="none" w:sz="0" w:space="0" w:color="auto"/>
        <w:right w:val="none" w:sz="0" w:space="0" w:color="auto"/>
      </w:divBdr>
      <w:divsChild>
        <w:div w:id="286087380">
          <w:marLeft w:val="0"/>
          <w:marRight w:val="0"/>
          <w:marTop w:val="0"/>
          <w:marBottom w:val="0"/>
          <w:divBdr>
            <w:top w:val="none" w:sz="0" w:space="0" w:color="auto"/>
            <w:left w:val="none" w:sz="0" w:space="0" w:color="auto"/>
            <w:bottom w:val="none" w:sz="0" w:space="0" w:color="auto"/>
            <w:right w:val="none" w:sz="0" w:space="0" w:color="auto"/>
          </w:divBdr>
          <w:divsChild>
            <w:div w:id="111750177">
              <w:marLeft w:val="0"/>
              <w:marRight w:val="0"/>
              <w:marTop w:val="0"/>
              <w:marBottom w:val="0"/>
              <w:divBdr>
                <w:top w:val="none" w:sz="0" w:space="0" w:color="auto"/>
                <w:left w:val="none" w:sz="0" w:space="0" w:color="auto"/>
                <w:bottom w:val="none" w:sz="0" w:space="0" w:color="auto"/>
                <w:right w:val="none" w:sz="0" w:space="0" w:color="auto"/>
              </w:divBdr>
              <w:divsChild>
                <w:div w:id="37532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398239">
      <w:bodyDiv w:val="1"/>
      <w:marLeft w:val="0"/>
      <w:marRight w:val="0"/>
      <w:marTop w:val="0"/>
      <w:marBottom w:val="0"/>
      <w:divBdr>
        <w:top w:val="none" w:sz="0" w:space="0" w:color="auto"/>
        <w:left w:val="none" w:sz="0" w:space="0" w:color="auto"/>
        <w:bottom w:val="none" w:sz="0" w:space="0" w:color="auto"/>
        <w:right w:val="none" w:sz="0" w:space="0" w:color="auto"/>
      </w:divBdr>
    </w:div>
    <w:div w:id="1753238272">
      <w:bodyDiv w:val="1"/>
      <w:marLeft w:val="0"/>
      <w:marRight w:val="0"/>
      <w:marTop w:val="0"/>
      <w:marBottom w:val="0"/>
      <w:divBdr>
        <w:top w:val="none" w:sz="0" w:space="0" w:color="auto"/>
        <w:left w:val="none" w:sz="0" w:space="0" w:color="auto"/>
        <w:bottom w:val="none" w:sz="0" w:space="0" w:color="auto"/>
        <w:right w:val="none" w:sz="0" w:space="0" w:color="auto"/>
      </w:divBdr>
    </w:div>
    <w:div w:id="1784376213">
      <w:bodyDiv w:val="1"/>
      <w:marLeft w:val="0"/>
      <w:marRight w:val="0"/>
      <w:marTop w:val="0"/>
      <w:marBottom w:val="0"/>
      <w:divBdr>
        <w:top w:val="none" w:sz="0" w:space="0" w:color="auto"/>
        <w:left w:val="none" w:sz="0" w:space="0" w:color="auto"/>
        <w:bottom w:val="none" w:sz="0" w:space="0" w:color="auto"/>
        <w:right w:val="none" w:sz="0" w:space="0" w:color="auto"/>
      </w:divBdr>
    </w:div>
    <w:div w:id="1837303959">
      <w:bodyDiv w:val="1"/>
      <w:marLeft w:val="0"/>
      <w:marRight w:val="0"/>
      <w:marTop w:val="0"/>
      <w:marBottom w:val="0"/>
      <w:divBdr>
        <w:top w:val="none" w:sz="0" w:space="0" w:color="auto"/>
        <w:left w:val="none" w:sz="0" w:space="0" w:color="auto"/>
        <w:bottom w:val="none" w:sz="0" w:space="0" w:color="auto"/>
        <w:right w:val="none" w:sz="0" w:space="0" w:color="auto"/>
      </w:divBdr>
    </w:div>
    <w:div w:id="1983775142">
      <w:bodyDiv w:val="1"/>
      <w:marLeft w:val="0"/>
      <w:marRight w:val="0"/>
      <w:marTop w:val="0"/>
      <w:marBottom w:val="0"/>
      <w:divBdr>
        <w:top w:val="none" w:sz="0" w:space="0" w:color="auto"/>
        <w:left w:val="none" w:sz="0" w:space="0" w:color="auto"/>
        <w:bottom w:val="none" w:sz="0" w:space="0" w:color="auto"/>
        <w:right w:val="none" w:sz="0" w:space="0" w:color="auto"/>
      </w:divBdr>
    </w:div>
    <w:div w:id="2105373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oi.org/10.1201/9781482277302" TargetMode="External"/><Relationship Id="rId18" Type="http://schemas.openxmlformats.org/officeDocument/2006/relationships/hyperlink" Target="https://doi.org/10.1155/2012/578925" TargetMode="External"/><Relationship Id="rId26" Type="http://schemas.openxmlformats.org/officeDocument/2006/relationships/hyperlink" Target="https://doi.org/10.1021/ac60147a030" TargetMode="External"/><Relationship Id="rId39" Type="http://schemas.openxmlformats.org/officeDocument/2006/relationships/header" Target="header3.xml"/><Relationship Id="rId21" Type="http://schemas.openxmlformats.org/officeDocument/2006/relationships/hyperlink" Target="https://doi.org/10.1155/2023/7006565" TargetMode="External"/><Relationship Id="rId34" Type="http://schemas.openxmlformats.org/officeDocument/2006/relationships/hyperlink" Target="https://doi.org/10.1007/s40011-023-01466-3" TargetMode="External"/><Relationship Id="rId42"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doi.org/10.1016/j.pmpp.2025.102898" TargetMode="External"/><Relationship Id="rId20" Type="http://schemas.openxmlformats.org/officeDocument/2006/relationships/hyperlink" Target="https://doi.org/10.1016/j.enzmictec.2005.10.016" TargetMode="External"/><Relationship Id="rId29" Type="http://schemas.openxmlformats.org/officeDocument/2006/relationships/hyperlink" Target="https://doi.org/10.9734/AIR/2018/40014"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catalog.nlm.nih.gov/discovery/fulldisplay/alma996854943406676/01NLM_INST%3A01NLM_INST" TargetMode="External"/><Relationship Id="rId32" Type="http://schemas.openxmlformats.org/officeDocument/2006/relationships/hyperlink" Target="https://doi.org/10.1017/S095375620500273X"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doi.org/10.3791/899" TargetMode="External"/><Relationship Id="rId23" Type="http://schemas.openxmlformats.org/officeDocument/2006/relationships/hyperlink" Target="https://doi.org/10.1007/s13205-017-0971-7" TargetMode="External"/><Relationship Id="rId28" Type="http://schemas.openxmlformats.org/officeDocument/2006/relationships/hyperlink" Target="https://doi.org/10.1186/s12870-024-05582-8" TargetMode="External"/><Relationship Id="rId36" Type="http://schemas.openxmlformats.org/officeDocument/2006/relationships/header" Target="header2.xml"/><Relationship Id="rId10" Type="http://schemas.openxmlformats.org/officeDocument/2006/relationships/image" Target="media/image4.jpeg"/><Relationship Id="rId19" Type="http://schemas.openxmlformats.org/officeDocument/2006/relationships/hyperlink" Target="https://doi.org/10.1139/m97-131" TargetMode="External"/><Relationship Id="rId31" Type="http://schemas.openxmlformats.org/officeDocument/2006/relationships/hyperlink" Target="https://doi.org/10.56557/pcbmb/2024/v25i11-128920"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doi.org/10.1016/0076-6879(55)01021-5" TargetMode="External"/><Relationship Id="rId22" Type="http://schemas.openxmlformats.org/officeDocument/2006/relationships/hyperlink" Target="https://doi.org/10.1016/j.micres.2022.127256" TargetMode="External"/><Relationship Id="rId27" Type="http://schemas.openxmlformats.org/officeDocument/2006/relationships/hyperlink" Target="https://doi.org/10.1111/jam.15574" TargetMode="External"/><Relationship Id="rId30" Type="http://schemas.openxmlformats.org/officeDocument/2006/relationships/hyperlink" Target="https://doi.org/10.1007/s10482-020-01429-y" TargetMode="External"/><Relationship Id="rId35" Type="http://schemas.openxmlformats.org/officeDocument/2006/relationships/header" Target="header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hyperlink" Target="https://doi.org/10.1016/j.phyplu.2026.100961" TargetMode="External"/><Relationship Id="rId17" Type="http://schemas.openxmlformats.org/officeDocument/2006/relationships/hyperlink" Target="https://doi.org/10.1007/s00284-025-04608-0" TargetMode="External"/><Relationship Id="rId25" Type="http://schemas.openxmlformats.org/officeDocument/2006/relationships/hyperlink" Target="https://doi.org/10.1016/j.prenap.2024.100054" TargetMode="External"/><Relationship Id="rId33" Type="http://schemas.openxmlformats.org/officeDocument/2006/relationships/hyperlink" Target="https://doi.org/10.1016/S0734-9750(01)00086-6" TargetMode="External"/><Relationship Id="rId3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15</Pages>
  <Words>5253</Words>
  <Characters>29946</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Revised-ms_AJMAB_15404_v1_Introduction_references_edited</dc:title>
  <dc:creator>mypc</dc:creator>
  <cp:lastModifiedBy>SDI 1087</cp:lastModifiedBy>
  <cp:revision>13</cp:revision>
  <dcterms:created xsi:type="dcterms:W3CDTF">2026-07-25T17:05:00Z</dcterms:created>
  <dcterms:modified xsi:type="dcterms:W3CDTF">2026-07-30T10:59:00Z</dcterms:modified>
</cp:coreProperties>
</file>