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2FC29" w14:textId="5FB6E516" w:rsidR="00597409" w:rsidRDefault="00597409" w:rsidP="00597409">
      <w:pPr>
        <w:pStyle w:val="Heading1"/>
        <w:jc w:val="center"/>
      </w:pPr>
      <w:r w:rsidRPr="00597409">
        <w:t>Comparative Analysis of Advertising Regulation in West Africa: A Study of Ghana, Liberia, Nigeria, The Gambia, and Sierra Leone</w:t>
      </w:r>
    </w:p>
    <w:p w14:paraId="606661B4" w14:textId="77777777" w:rsidR="00597409" w:rsidRPr="00597409" w:rsidRDefault="00597409" w:rsidP="00597409"/>
    <w:p w14:paraId="7A7A7B85" w14:textId="77777777" w:rsidR="0011534A" w:rsidRDefault="00000000">
      <w:pPr>
        <w:pStyle w:val="Heading1"/>
      </w:pPr>
      <w:r>
        <w:t>Abstract</w:t>
      </w:r>
    </w:p>
    <w:p w14:paraId="47E1AA08" w14:textId="77777777" w:rsidR="0011534A" w:rsidRDefault="00000000">
      <w:r>
        <w:rPr>
          <w:rFonts w:eastAsia="Times New Roman"/>
        </w:rPr>
        <w:t xml:space="preserve">Advertising regulation in West Africa is </w:t>
      </w:r>
      <w:proofErr w:type="spellStart"/>
      <w:r>
        <w:rPr>
          <w:rFonts w:eastAsia="Times New Roman"/>
        </w:rPr>
        <w:t>characterised</w:t>
      </w:r>
      <w:proofErr w:type="spellEnd"/>
      <w:r>
        <w:rPr>
          <w:rFonts w:eastAsia="Times New Roman"/>
        </w:rPr>
        <w:t xml:space="preserve"> by institutional diversity, uneven legislative consolidation, and different combinations of statutory, sectoral, consumer-protection, media-regulatory, and self-regulatory mechanisms. This study compares the regulatory architecture of Ghana, Liberia, Nigeria, The Gambia, and Sierra Leone </w:t>
      </w:r>
      <w:r>
        <w:rPr>
          <w:rFonts w:eastAsia="Times New Roman"/>
          <w:highlight w:val="yellow"/>
        </w:rPr>
        <w:t>through a qualitative comparative content analysis</w:t>
      </w:r>
      <w:r>
        <w:rPr>
          <w:rFonts w:eastAsia="Times New Roman"/>
        </w:rPr>
        <w:t xml:space="preserve"> of ten principal laws, regulations, codes, and </w:t>
      </w:r>
      <w:r>
        <w:rPr>
          <w:rFonts w:eastAsia="Times New Roman"/>
          <w:highlight w:val="yellow"/>
        </w:rPr>
        <w:t>official guidelines current as at 21 August 2026</w:t>
      </w:r>
      <w:r>
        <w:rPr>
          <w:rFonts w:eastAsia="Times New Roman"/>
        </w:rPr>
        <w:t xml:space="preserve">. The analysis focuses on institutional locus, the existence of advertising-specific legislation, anti-deception and accuracy standards, pre-exposure controls, sector-specific restrictions, enforcement mechanisms, and implications for cross-border advertising. The findings show that Nigeria has the most advertising-specific statutory architecture among the five countries, </w:t>
      </w:r>
      <w:proofErr w:type="spellStart"/>
      <w:r>
        <w:rPr>
          <w:rFonts w:eastAsia="Times New Roman"/>
        </w:rPr>
        <w:t>centred</w:t>
      </w:r>
      <w:proofErr w:type="spellEnd"/>
      <w:r>
        <w:rPr>
          <w:rFonts w:eastAsia="Times New Roman"/>
        </w:rPr>
        <w:t xml:space="preserve"> on the Advertising Regulatory Council of Nigeria Act 2022 and the Nigerian Code of Advertising. Ghana operates a sectoral and hybrid framework in which the Food and Drugs Authority, Gaming Commission, other statutory regulators, and industry self-regulation perform complementary functions; its proposed Advertising Bill remained under stakeholder review in 2026. The Gambia addresses advertising principally through consumer-protection law, while Sierra Leone embeds relevant controls within media regulation. Liberia has no identified comprehensive advertising statute; its applicable framework is more indirect, relying principally on the Competition Law of 2016 and related intellectual-property rules. Across the jurisdictions, anti-deception, accuracy, and fair-commercial-practice norms recur, but pre-approval requirements, sectoral restrictions, institutional concentration, and remedies vary materially. The study concludes that formal regulatory architecture should not be equated with enforcement effectiveness and recommends greater transparency of applicable rules, inter-agency coordination, digital-advertising capacity, and regional minimum standards rather than institutional uniformity.</w:t>
      </w:r>
    </w:p>
    <w:p w14:paraId="3744D38B" w14:textId="77777777" w:rsidR="0011534A" w:rsidRDefault="00000000">
      <w:pPr>
        <w:spacing w:after="180"/>
      </w:pPr>
      <w:r>
        <w:rPr>
          <w:rFonts w:eastAsia="Times New Roman"/>
          <w:b/>
        </w:rPr>
        <w:t xml:space="preserve">Keywords: </w:t>
      </w:r>
      <w:r>
        <w:rPr>
          <w:rFonts w:eastAsia="Times New Roman"/>
        </w:rPr>
        <w:t>advertising regulation; West Africa; comparative regulation; consumer protection; digital advertising; ARCON; media regulation; regulatory governance</w:t>
      </w:r>
    </w:p>
    <w:p w14:paraId="66743EC8" w14:textId="77777777" w:rsidR="0011534A" w:rsidRDefault="00000000">
      <w:pPr>
        <w:pStyle w:val="Heading1"/>
      </w:pPr>
      <w:r>
        <w:t>1. Introduction</w:t>
      </w:r>
    </w:p>
    <w:p w14:paraId="14995CD8" w14:textId="77777777" w:rsidR="0011534A" w:rsidRDefault="00000000">
      <w:r>
        <w:rPr>
          <w:rFonts w:eastAsia="Times New Roman"/>
        </w:rPr>
        <w:t>Advertising is simultaneously a commercial communication practice and a regulated activity because persuasive claims can affect consumer choice, market competition, public health, and the integrity of media environments. Regulatory systems therefore seek to balance commercial expression with safeguards against deception, unfairness, harmful product promotion, and other forms of consumer injury. The institutional means by which this balance is pursued vary widely. Some jurisdictions concentrate oversight in a dedicated advertising regulator, whereas others distribute responsibility among consumer-protection, media, health, gaming, securities, competition, and professional bodies. Self-regulation may supplement statutory rules, but its effectiveness depends on the relationship between industry authority, legal backstops, accountability, and enforcement capacity (</w:t>
      </w:r>
      <w:proofErr w:type="spellStart"/>
      <w:r>
        <w:rPr>
          <w:rFonts w:eastAsia="Times New Roman"/>
        </w:rPr>
        <w:t>Boddewyn</w:t>
      </w:r>
      <w:proofErr w:type="spellEnd"/>
      <w:r>
        <w:rPr>
          <w:rFonts w:eastAsia="Times New Roman"/>
        </w:rPr>
        <w:t>, 1989; Dickinson-Delaporte et al., 2020).</w:t>
      </w:r>
    </w:p>
    <w:p w14:paraId="5A8B8A4E" w14:textId="77777777" w:rsidR="0011534A" w:rsidRDefault="00000000">
      <w:r>
        <w:rPr>
          <w:rFonts w:eastAsia="Times New Roman"/>
        </w:rPr>
        <w:t xml:space="preserve">Cross-border and digital advertising increase the practical importance of these institutional differences. International campaigns can be disseminated simultaneously across national markets even though the underlying legal rules remain territorially </w:t>
      </w:r>
      <w:proofErr w:type="spellStart"/>
      <w:r>
        <w:rPr>
          <w:rFonts w:eastAsia="Times New Roman"/>
        </w:rPr>
        <w:t>organised</w:t>
      </w:r>
      <w:proofErr w:type="spellEnd"/>
      <w:r>
        <w:rPr>
          <w:rFonts w:eastAsia="Times New Roman"/>
        </w:rPr>
        <w:t xml:space="preserve">. Prior international advertising research has long shown that regulatory, cultural, and institutional differences constrain complete campaign </w:t>
      </w:r>
      <w:proofErr w:type="spellStart"/>
      <w:r>
        <w:rPr>
          <w:rFonts w:eastAsia="Times New Roman"/>
        </w:rPr>
        <w:t>standardisation</w:t>
      </w:r>
      <w:proofErr w:type="spellEnd"/>
      <w:r>
        <w:rPr>
          <w:rFonts w:eastAsia="Times New Roman"/>
        </w:rPr>
        <w:t xml:space="preserve"> and </w:t>
      </w:r>
      <w:proofErr w:type="spellStart"/>
      <w:r>
        <w:rPr>
          <w:rFonts w:eastAsia="Times New Roman"/>
        </w:rPr>
        <w:t>favour</w:t>
      </w:r>
      <w:proofErr w:type="spellEnd"/>
      <w:r>
        <w:rPr>
          <w:rFonts w:eastAsia="Times New Roman"/>
        </w:rPr>
        <w:t xml:space="preserve"> varying degrees of </w:t>
      </w:r>
      <w:proofErr w:type="spellStart"/>
      <w:r>
        <w:rPr>
          <w:rFonts w:eastAsia="Times New Roman"/>
        </w:rPr>
        <w:t>localisation</w:t>
      </w:r>
      <w:proofErr w:type="spellEnd"/>
      <w:r>
        <w:rPr>
          <w:rFonts w:eastAsia="Times New Roman"/>
        </w:rPr>
        <w:t xml:space="preserve"> (</w:t>
      </w:r>
      <w:proofErr w:type="spellStart"/>
      <w:r>
        <w:rPr>
          <w:rFonts w:eastAsia="Times New Roman"/>
        </w:rPr>
        <w:t>Kanso</w:t>
      </w:r>
      <w:proofErr w:type="spellEnd"/>
      <w:r>
        <w:rPr>
          <w:rFonts w:eastAsia="Times New Roman"/>
        </w:rPr>
        <w:t xml:space="preserve"> &amp; Nelson, 2002). Digital advertising has intensified this problem by introducing influencer marketing, </w:t>
      </w:r>
      <w:proofErr w:type="spellStart"/>
      <w:r>
        <w:rPr>
          <w:rFonts w:eastAsia="Times New Roman"/>
        </w:rPr>
        <w:t>personalised</w:t>
      </w:r>
      <w:proofErr w:type="spellEnd"/>
      <w:r>
        <w:rPr>
          <w:rFonts w:eastAsia="Times New Roman"/>
        </w:rPr>
        <w:t xml:space="preserve"> advertising, native formats, platform-mediated targeting, and hybrid forms of commercial communication that may not fit older regulatory categories (Campbell &amp; Grimm, </w:t>
      </w:r>
      <w:r>
        <w:rPr>
          <w:rFonts w:eastAsia="Times New Roman"/>
        </w:rPr>
        <w:lastRenderedPageBreak/>
        <w:t xml:space="preserve">2019; </w:t>
      </w:r>
      <w:proofErr w:type="spellStart"/>
      <w:r>
        <w:rPr>
          <w:rFonts w:eastAsia="Times New Roman"/>
        </w:rPr>
        <w:t>Duivenvoorde</w:t>
      </w:r>
      <w:proofErr w:type="spellEnd"/>
      <w:r>
        <w:rPr>
          <w:rFonts w:eastAsia="Times New Roman"/>
        </w:rPr>
        <w:t xml:space="preserve"> &amp; </w:t>
      </w:r>
      <w:proofErr w:type="spellStart"/>
      <w:r>
        <w:rPr>
          <w:rFonts w:eastAsia="Times New Roman"/>
        </w:rPr>
        <w:t>Goanta</w:t>
      </w:r>
      <w:proofErr w:type="spellEnd"/>
      <w:r>
        <w:rPr>
          <w:rFonts w:eastAsia="Times New Roman"/>
        </w:rPr>
        <w:t>, 2023). National advertising rules must therefore operate in an environment in which content, advertisers, platforms, and audiences can be geographically dispersed.</w:t>
      </w:r>
    </w:p>
    <w:p w14:paraId="3645C940" w14:textId="77777777" w:rsidR="0011534A" w:rsidRDefault="00000000">
      <w:r>
        <w:rPr>
          <w:rFonts w:eastAsia="Times New Roman"/>
        </w:rPr>
        <w:t xml:space="preserve">The five Anglophone West African countries examined in this study—Ghana, Liberia, Nigeria, The Gambia, and Sierra Leone—share important regional and linguistic connections but differ markedly in regulatory design. Nigeria has enacted advertising-specific legislation and maintains a dedicated national regulator. Ghana regulates important advertising sectors </w:t>
      </w:r>
      <w:r>
        <w:rPr>
          <w:rFonts w:eastAsia="Times New Roman"/>
          <w:highlight w:val="yellow"/>
        </w:rPr>
        <w:t>through statutory agencies, while industry self-regulation remains relevant; a comprehensive Advertising Bill was still undergoing</w:t>
      </w:r>
      <w:r>
        <w:rPr>
          <w:rFonts w:eastAsia="Times New Roman"/>
        </w:rPr>
        <w:t xml:space="preserve"> stakeholder review in 2026 (Advertising Association of Ghana [AAG], 2026). The Gambia embeds explicit advertising rules within consumer-protection legislation. Sierra Leone's framework places advertising within the wider regulation of media institutions and professional media standards. Liberia's operative framework is less advertising-specific and relies on competition and intellectual-property law rather than a dedicated advertising statute or regulator.</w:t>
      </w:r>
    </w:p>
    <w:p w14:paraId="2E4659D8" w14:textId="77777777" w:rsidR="0011534A" w:rsidRDefault="00000000">
      <w:r>
        <w:rPr>
          <w:rFonts w:eastAsia="Times New Roman"/>
        </w:rPr>
        <w:t xml:space="preserve">These differences provide a useful setting for comparative regulatory analysis. </w:t>
      </w:r>
      <w:r>
        <w:rPr>
          <w:rFonts w:eastAsia="Times New Roman"/>
          <w:highlight w:val="yellow"/>
        </w:rPr>
        <w:t xml:space="preserve">However, comparative scholarship has not sufficiently mapped, within a single analytical framework, how these five Anglophone West African jurisdictions distribute advertising-related authority across dedicated, sectoral, consumer-protection, media, competition, and intellectual-property mechanisms. This leaves a gap in understanding how differences in institutional design, approval processes, sector-specific controls, and enforcement pathways affect cross-border advertising compliance. </w:t>
      </w:r>
      <w:r>
        <w:rPr>
          <w:rFonts w:eastAsia="Times New Roman"/>
        </w:rPr>
        <w:t xml:space="preserve">The purpose of this study is not to rank national systems by presumed effectiveness. Formal legal design, institutional capacity, enforcement practice, and regulatory outcomes are analytically distinct. Rather, the study identifies how advertising oversight is legally and institutionally </w:t>
      </w:r>
      <w:proofErr w:type="spellStart"/>
      <w:r>
        <w:rPr>
          <w:rFonts w:eastAsia="Times New Roman"/>
        </w:rPr>
        <w:t>organised</w:t>
      </w:r>
      <w:proofErr w:type="spellEnd"/>
      <w:r>
        <w:rPr>
          <w:rFonts w:eastAsia="Times New Roman"/>
        </w:rPr>
        <w:t>, where common substantive principles exist, where regulatory requirements diverge, and what those differences imply for advertisers operating across the five markets.</w:t>
      </w:r>
    </w:p>
    <w:p w14:paraId="5BF172C8" w14:textId="77777777" w:rsidR="0011534A" w:rsidRDefault="00000000">
      <w:pPr>
        <w:pStyle w:val="Heading1"/>
      </w:pPr>
      <w:r>
        <w:t>2. Problem Statement and Research Questions</w:t>
      </w:r>
    </w:p>
    <w:p w14:paraId="58CD4F27" w14:textId="77777777" w:rsidR="0011534A" w:rsidRDefault="00000000">
      <w:r>
        <w:rPr>
          <w:rFonts w:eastAsia="Times New Roman"/>
        </w:rPr>
        <w:t xml:space="preserve">The increasing regional circulation of advertising creates compliance challenges where national rules differ in scope, institutional responsibility, approval procedures, and enforcement mechanisms. An advertisement that is permissible or subject only to post-publication review in one jurisdiction may require prior approval, additional disclosures, or sector-specific restrictions in another. The resulting variation can increase compliance costs and create uncertainty for advertisers, agencies, media </w:t>
      </w:r>
      <w:proofErr w:type="spellStart"/>
      <w:r>
        <w:rPr>
          <w:rFonts w:eastAsia="Times New Roman"/>
        </w:rPr>
        <w:t>organisations</w:t>
      </w:r>
      <w:proofErr w:type="spellEnd"/>
      <w:r>
        <w:rPr>
          <w:rFonts w:eastAsia="Times New Roman"/>
        </w:rPr>
        <w:t>, and digital intermediaries. At the same time, fragmented or sector-specific governance does not necessarily mean that consumers are unprotected: consumer-protection, competition, public-health, gaming, and media laws can each regulate particular dimensions of advertising. A valid comparison must therefore distinguish the absence of a dedicated advertising statute from the absence of advertising-related legal control.</w:t>
      </w:r>
    </w:p>
    <w:p w14:paraId="5762659B" w14:textId="77777777" w:rsidR="0011534A" w:rsidRDefault="00000000">
      <w:r>
        <w:rPr>
          <w:rFonts w:eastAsia="Times New Roman"/>
        </w:rPr>
        <w:t xml:space="preserve">Comparative scholarship directly mapping these institutional arrangements across Anglophone West Africa remains limited. Existing research more commonly examines international advertising </w:t>
      </w:r>
      <w:proofErr w:type="spellStart"/>
      <w:r>
        <w:rPr>
          <w:rFonts w:eastAsia="Times New Roman"/>
        </w:rPr>
        <w:t>standardisation</w:t>
      </w:r>
      <w:proofErr w:type="spellEnd"/>
      <w:r>
        <w:rPr>
          <w:rFonts w:eastAsia="Times New Roman"/>
        </w:rPr>
        <w:t>, advertising self-regulation, digital advertising, or particular regulated products. For example, research on tobacco control in Nigeria demonstrates how product-specific advertising restrictions may develop through public-health legislation independently of general advertising law (Egbe et al., 2019), while recent analysis of gambling advertising in Ghana identifies specific controls and continuing enforcement and digital-governance gaps within a sectoral framework (Badu et al., 2025). A multi-country institutional comparison can therefore clarify both common principles and differences in legal architecture without assuming that a single regulatory model is inherently superior.</w:t>
      </w:r>
    </w:p>
    <w:p w14:paraId="74E0CE5C" w14:textId="77777777" w:rsidR="0011534A" w:rsidRDefault="00000000">
      <w:r>
        <w:rPr>
          <w:rFonts w:eastAsia="Times New Roman"/>
        </w:rPr>
        <w:t xml:space="preserve">The study addresses the following research questions: (1) Which institutions are principally responsible for advertising-related regulation in Ghana, Liberia, Nigeria, The Gambia, and Sierra Leone? (2) To what extent does each jurisdiction possess dedicated advertising legislation rather than sectoral or indirect legal controls? (3) Which substantive advertising principles recur across the selected jurisdictions? (4) How do approval </w:t>
      </w:r>
      <w:r>
        <w:rPr>
          <w:rFonts w:eastAsia="Times New Roman"/>
        </w:rPr>
        <w:lastRenderedPageBreak/>
        <w:t xml:space="preserve">requirements, sector-specific standards, and enforcement mechanisms </w:t>
      </w:r>
      <w:r>
        <w:rPr>
          <w:rFonts w:eastAsia="Times New Roman"/>
          <w:highlight w:val="yellow"/>
        </w:rPr>
        <w:t>differ? (5)</w:t>
      </w:r>
      <w:r>
        <w:rPr>
          <w:rFonts w:eastAsia="Times New Roman"/>
        </w:rPr>
        <w:t xml:space="preserve"> What are the implications of these differences for cross-border and international advertising practice in West Africa?</w:t>
      </w:r>
    </w:p>
    <w:p w14:paraId="6F59A491" w14:textId="77777777" w:rsidR="0011534A" w:rsidRDefault="00000000">
      <w:pPr>
        <w:pStyle w:val="Heading1"/>
      </w:pPr>
      <w:r>
        <w:t>3. Literature Review</w:t>
      </w:r>
    </w:p>
    <w:p w14:paraId="5D0B4656" w14:textId="77777777" w:rsidR="0011534A" w:rsidRDefault="00000000">
      <w:pPr>
        <w:pStyle w:val="Heading2"/>
      </w:pPr>
      <w:r>
        <w:t>3.1 Statutory, Co-regulatory, and Self-regulatory Approaches</w:t>
      </w:r>
    </w:p>
    <w:p w14:paraId="14962E3B" w14:textId="77777777" w:rsidR="0011534A" w:rsidRDefault="00000000">
      <w:r>
        <w:rPr>
          <w:rFonts w:eastAsia="Times New Roman"/>
        </w:rPr>
        <w:t xml:space="preserve">Advertising governance is commonly </w:t>
      </w:r>
      <w:proofErr w:type="spellStart"/>
      <w:r>
        <w:rPr>
          <w:rFonts w:eastAsia="Times New Roman"/>
        </w:rPr>
        <w:t>organised</w:t>
      </w:r>
      <w:proofErr w:type="spellEnd"/>
      <w:r>
        <w:rPr>
          <w:rFonts w:eastAsia="Times New Roman"/>
        </w:rPr>
        <w:t xml:space="preserve"> through combinations of public regulation and private rule-making. Statutory regulation provides legally binding standards backed by public enforcement, while self-regulation relies on industry-developed codes, complaint systems, professional norms, and reputational sanctions. </w:t>
      </w:r>
      <w:proofErr w:type="spellStart"/>
      <w:r>
        <w:rPr>
          <w:rFonts w:eastAsia="Times New Roman"/>
        </w:rPr>
        <w:t>Boddewyn</w:t>
      </w:r>
      <w:proofErr w:type="spellEnd"/>
      <w:r>
        <w:rPr>
          <w:rFonts w:eastAsia="Times New Roman"/>
        </w:rPr>
        <w:t xml:space="preserve"> (1989) </w:t>
      </w:r>
      <w:proofErr w:type="spellStart"/>
      <w:r>
        <w:rPr>
          <w:rFonts w:eastAsia="Times New Roman"/>
        </w:rPr>
        <w:t>emphasised</w:t>
      </w:r>
      <w:proofErr w:type="spellEnd"/>
      <w:r>
        <w:rPr>
          <w:rFonts w:eastAsia="Times New Roman"/>
        </w:rPr>
        <w:t xml:space="preserve"> that advertising self-regulation has genuine but limited functions and should be understood in relation to other forms of social control rather than as a universal substitute for law. In contemporary digital environments, the balance of power and responsibility is more complex because platforms, advertisers, agencies, influencers, regulators, and consumers occupy different positions in the advertising ecosystem. Dickinson-Delaporte et al. (2020) show that effective self-regulation increasingly depends on collaboration, aligned standards, credible processes, and institutional responsibility across national and transnational actors.</w:t>
      </w:r>
    </w:p>
    <w:p w14:paraId="607850DE" w14:textId="77777777" w:rsidR="0011534A" w:rsidRDefault="00000000">
      <w:r>
        <w:rPr>
          <w:rFonts w:eastAsia="Times New Roman"/>
        </w:rPr>
        <w:t xml:space="preserve">These observations are relevant to West African systems in which a dedicated advertising regulator may coexist with sectoral regulators, or where advertising is governed indirectly through consumer-protection or media law. A </w:t>
      </w:r>
      <w:proofErr w:type="spellStart"/>
      <w:r>
        <w:rPr>
          <w:rFonts w:eastAsia="Times New Roman"/>
        </w:rPr>
        <w:t>centralised</w:t>
      </w:r>
      <w:proofErr w:type="spellEnd"/>
      <w:r>
        <w:rPr>
          <w:rFonts w:eastAsia="Times New Roman"/>
        </w:rPr>
        <w:t xml:space="preserve"> institutional structure can provide a clear point of accountability, but formal </w:t>
      </w:r>
      <w:proofErr w:type="spellStart"/>
      <w:r>
        <w:rPr>
          <w:rFonts w:eastAsia="Times New Roman"/>
        </w:rPr>
        <w:t>centralisation</w:t>
      </w:r>
      <w:proofErr w:type="spellEnd"/>
      <w:r>
        <w:rPr>
          <w:rFonts w:eastAsia="Times New Roman"/>
        </w:rPr>
        <w:t xml:space="preserve"> alone does not establish enforcement quality. Conversely, a sectoral structure can produce </w:t>
      </w:r>
      <w:proofErr w:type="spellStart"/>
      <w:r>
        <w:rPr>
          <w:rFonts w:eastAsia="Times New Roman"/>
        </w:rPr>
        <w:t>specialised</w:t>
      </w:r>
      <w:proofErr w:type="spellEnd"/>
      <w:r>
        <w:rPr>
          <w:rFonts w:eastAsia="Times New Roman"/>
        </w:rPr>
        <w:t xml:space="preserve"> expertise while also generating coordination costs and gaps between regulatory mandates. The central analytical question is therefore not simply whether regulation is statutory or self-regulatory, but how authority, rules, enforcement, and accountability are distributed.</w:t>
      </w:r>
    </w:p>
    <w:p w14:paraId="02C340C6" w14:textId="77777777" w:rsidR="0011534A" w:rsidRDefault="00000000">
      <w:pPr>
        <w:pStyle w:val="Heading2"/>
      </w:pPr>
      <w:r>
        <w:t>3.2 Regulatory Governance and Institutional Design</w:t>
      </w:r>
    </w:p>
    <w:p w14:paraId="1798A387" w14:textId="77777777" w:rsidR="0011534A" w:rsidRDefault="00000000">
      <w:r>
        <w:rPr>
          <w:rFonts w:eastAsia="Times New Roman"/>
        </w:rPr>
        <w:t xml:space="preserve">The broader literature on the regulatory state highlights the </w:t>
      </w:r>
      <w:proofErr w:type="spellStart"/>
      <w:r>
        <w:rPr>
          <w:rFonts w:eastAsia="Times New Roman"/>
        </w:rPr>
        <w:t>institutionalisation</w:t>
      </w:r>
      <w:proofErr w:type="spellEnd"/>
      <w:r>
        <w:rPr>
          <w:rFonts w:eastAsia="Times New Roman"/>
        </w:rPr>
        <w:t xml:space="preserve"> of rule-making, oversight, delegation, and </w:t>
      </w:r>
      <w:proofErr w:type="spellStart"/>
      <w:r>
        <w:rPr>
          <w:rFonts w:eastAsia="Times New Roman"/>
        </w:rPr>
        <w:t>specialised</w:t>
      </w:r>
      <w:proofErr w:type="spellEnd"/>
      <w:r>
        <w:rPr>
          <w:rFonts w:eastAsia="Times New Roman"/>
        </w:rPr>
        <w:t xml:space="preserve"> regulatory bodies as characteristic features of modern governance (Majone, 1994). Thatcher (2002) further demonstrates that delegation to independent or </w:t>
      </w:r>
      <w:proofErr w:type="spellStart"/>
      <w:r>
        <w:rPr>
          <w:rFonts w:eastAsia="Times New Roman"/>
        </w:rPr>
        <w:t>specialised</w:t>
      </w:r>
      <w:proofErr w:type="spellEnd"/>
      <w:r>
        <w:rPr>
          <w:rFonts w:eastAsia="Times New Roman"/>
        </w:rPr>
        <w:t xml:space="preserve"> regulatory agencies involves choices about institutional authority, autonomy, accountability, and the relationship between regulators and political institutions. Although these studies emerged largely from European regulatory contexts, their analytical distinction between formal institutional design and practical regulatory operation is useful for comparing advertising governance in countries with different administrative histories and capacities.</w:t>
      </w:r>
    </w:p>
    <w:p w14:paraId="55C64357" w14:textId="77777777" w:rsidR="0011534A" w:rsidRDefault="00000000">
      <w:r>
        <w:rPr>
          <w:rFonts w:eastAsia="Times New Roman"/>
        </w:rPr>
        <w:t xml:space="preserve">For the present study, this perspective supports a cautious institutional classification. A dedicated national advertising regulator represents one possible form of </w:t>
      </w:r>
      <w:proofErr w:type="spellStart"/>
      <w:r>
        <w:rPr>
          <w:rFonts w:eastAsia="Times New Roman"/>
        </w:rPr>
        <w:t>specialisation</w:t>
      </w:r>
      <w:proofErr w:type="spellEnd"/>
      <w:r>
        <w:rPr>
          <w:rFonts w:eastAsia="Times New Roman"/>
        </w:rPr>
        <w:t xml:space="preserve">; distributed sectoral regulation represents another; and consumer-protection, competition, or media law can provide indirect but legally meaningful advertising control. The models are therefore </w:t>
      </w:r>
      <w:r>
        <w:rPr>
          <w:rFonts w:eastAsia="Times New Roman"/>
          <w:highlight w:val="yellow"/>
        </w:rPr>
        <w:t>descriptive, analytical categories</w:t>
      </w:r>
      <w:r>
        <w:rPr>
          <w:rFonts w:eastAsia="Times New Roman"/>
        </w:rPr>
        <w:t xml:space="preserve"> rather than stages in an assumed linear progression from weak to strong regulation.</w:t>
      </w:r>
    </w:p>
    <w:p w14:paraId="32125485" w14:textId="77777777" w:rsidR="0011534A" w:rsidRDefault="00000000">
      <w:pPr>
        <w:pStyle w:val="Heading2"/>
      </w:pPr>
      <w:r>
        <w:t>3.3 Digital Advertising and the Limits of Territorial Regulation</w:t>
      </w:r>
    </w:p>
    <w:p w14:paraId="04414C16" w14:textId="77777777" w:rsidR="0011534A" w:rsidRDefault="00000000">
      <w:r>
        <w:rPr>
          <w:rFonts w:eastAsia="Times New Roman"/>
        </w:rPr>
        <w:t xml:space="preserve">Digital advertising places pressure on nationally bounded regulatory systems because content can be </w:t>
      </w:r>
      <w:proofErr w:type="spellStart"/>
      <w:r>
        <w:rPr>
          <w:rFonts w:eastAsia="Times New Roman"/>
        </w:rPr>
        <w:t>personalised</w:t>
      </w:r>
      <w:proofErr w:type="spellEnd"/>
      <w:r>
        <w:rPr>
          <w:rFonts w:eastAsia="Times New Roman"/>
        </w:rPr>
        <w:t xml:space="preserve">, amplified, and delivered across borders with limited dependence on traditional media gatekeepers. Campbell and Grimm (2019) show that native advertising creates distinctive deception and disclosure problems, while </w:t>
      </w:r>
      <w:proofErr w:type="spellStart"/>
      <w:r>
        <w:rPr>
          <w:rFonts w:eastAsia="Times New Roman"/>
        </w:rPr>
        <w:t>Duivenvoorde</w:t>
      </w:r>
      <w:proofErr w:type="spellEnd"/>
      <w:r>
        <w:rPr>
          <w:rFonts w:eastAsia="Times New Roman"/>
        </w:rPr>
        <w:t xml:space="preserve"> and </w:t>
      </w:r>
      <w:proofErr w:type="spellStart"/>
      <w:r>
        <w:rPr>
          <w:rFonts w:eastAsia="Times New Roman"/>
        </w:rPr>
        <w:t>Goanta</w:t>
      </w:r>
      <w:proofErr w:type="spellEnd"/>
      <w:r>
        <w:rPr>
          <w:rFonts w:eastAsia="Times New Roman"/>
        </w:rPr>
        <w:t xml:space="preserve"> (2023) demonstrate that influencer marketing, </w:t>
      </w:r>
      <w:proofErr w:type="spellStart"/>
      <w:r>
        <w:rPr>
          <w:rFonts w:eastAsia="Times New Roman"/>
        </w:rPr>
        <w:t>personalised</w:t>
      </w:r>
      <w:proofErr w:type="spellEnd"/>
      <w:r>
        <w:rPr>
          <w:rFonts w:eastAsia="Times New Roman"/>
        </w:rPr>
        <w:t xml:space="preserve"> advertising, and hybrid platform advertising can expose fragmentation and future-proofing weaknesses even in comparatively elaborate regulatory systems. Ringold (2023) similarly argues that changes in internet advertising warrant renewed attention to the relationship between consumer </w:t>
      </w:r>
      <w:proofErr w:type="spellStart"/>
      <w:r>
        <w:rPr>
          <w:rFonts w:eastAsia="Times New Roman"/>
        </w:rPr>
        <w:t>scepticism</w:t>
      </w:r>
      <w:proofErr w:type="spellEnd"/>
      <w:r>
        <w:rPr>
          <w:rFonts w:eastAsia="Times New Roman"/>
        </w:rPr>
        <w:t>, information environments, and advertising regulation.</w:t>
      </w:r>
    </w:p>
    <w:p w14:paraId="58108C55" w14:textId="77777777" w:rsidR="0011534A" w:rsidRDefault="00000000">
      <w:r>
        <w:rPr>
          <w:rFonts w:eastAsia="Times New Roman"/>
        </w:rPr>
        <w:lastRenderedPageBreak/>
        <w:t>These concerns have direct relevance to West Africa. National regulators increasingly face advertising disseminated through global platforms, yet their statutory mandates may have been designed around products, licensed media institutions, or geographically identifiable advertisers. Accordingly, a comparative analysis of existing institutional architecture should pay particular attention to whether regulatory responsibilities are sufficiently clear for digital environments and whether rules are accessible enough to support cross-border compliance.</w:t>
      </w:r>
    </w:p>
    <w:p w14:paraId="0DE47665" w14:textId="77777777" w:rsidR="0011534A" w:rsidRDefault="00000000">
      <w:pPr>
        <w:pStyle w:val="Heading2"/>
      </w:pPr>
      <w:r>
        <w:t>3.4 Sector-specific Evidence from African Advertising Regulation</w:t>
      </w:r>
    </w:p>
    <w:p w14:paraId="109EA82F" w14:textId="77777777" w:rsidR="0011534A" w:rsidRDefault="00000000">
      <w:r>
        <w:rPr>
          <w:rFonts w:eastAsia="Times New Roman"/>
        </w:rPr>
        <w:t xml:space="preserve">Sector-specific research demonstrates why </w:t>
      </w:r>
      <w:proofErr w:type="spellStart"/>
      <w:r>
        <w:rPr>
          <w:rFonts w:eastAsia="Times New Roman"/>
        </w:rPr>
        <w:t>generalisations</w:t>
      </w:r>
      <w:proofErr w:type="spellEnd"/>
      <w:r>
        <w:rPr>
          <w:rFonts w:eastAsia="Times New Roman"/>
        </w:rPr>
        <w:t xml:space="preserve"> about national advertising regulation must be made carefully. Tobacco control scholarship has documented how advertising and promotion restrictions can be embedded in public-health law and shaped by industry influence, implementation capacity, and treaty commitments (Gilmore et al., 2015). In Nigeria, Egbe et al. (2019) show that tobacco-control legislation developed through a distinct public-health trajectory, illustrating that advertising governance cannot be understood solely by examining a general advertising statute. In Ghana, Badu et al. (2025) describe the Gaming Commission's gambling-advertising guidelines, including pre-approval, restrictions on misleading claims and celebrity use, age-related safeguards, and responsible-gambling warnings, while also identifying limitations in online coverage and enforcement design. These studies reinforce the need to examine both general and sector-specific instruments.</w:t>
      </w:r>
    </w:p>
    <w:p w14:paraId="31A6BBFC" w14:textId="77777777" w:rsidR="0011534A" w:rsidRDefault="00000000">
      <w:pPr>
        <w:pStyle w:val="Heading1"/>
      </w:pPr>
      <w:r>
        <w:t>4. Theoretical and Analytical Framework</w:t>
      </w:r>
    </w:p>
    <w:p w14:paraId="64869321" w14:textId="77777777" w:rsidR="0011534A" w:rsidRDefault="00000000">
      <w:r>
        <w:rPr>
          <w:rFonts w:eastAsia="Times New Roman"/>
        </w:rPr>
        <w:t>The study adopts an institutional regulatory perspective informed by the regulatory-state literature (Majone, 1994; Thatcher, 2002) and advertising self-regulation scholarship (</w:t>
      </w:r>
      <w:proofErr w:type="spellStart"/>
      <w:r>
        <w:rPr>
          <w:rFonts w:eastAsia="Times New Roman"/>
        </w:rPr>
        <w:t>Boddewyn</w:t>
      </w:r>
      <w:proofErr w:type="spellEnd"/>
      <w:r>
        <w:rPr>
          <w:rFonts w:eastAsia="Times New Roman"/>
        </w:rPr>
        <w:t xml:space="preserve">, 1989; Dickinson-Delaporte et al., 2020). Regulatory architecture is treated as a configuration of institutions, legal mandates, procedural controls, substantive standards, and enforcement mechanisms. This approach avoids equating the mere existence of a statute with regulatory effectiveness and permits comparison among different forms of institutional </w:t>
      </w:r>
      <w:proofErr w:type="spellStart"/>
      <w:r>
        <w:rPr>
          <w:rFonts w:eastAsia="Times New Roman"/>
        </w:rPr>
        <w:t>specialisation</w:t>
      </w:r>
      <w:proofErr w:type="spellEnd"/>
      <w:r>
        <w:rPr>
          <w:rFonts w:eastAsia="Times New Roman"/>
        </w:rPr>
        <w:t>.</w:t>
      </w:r>
    </w:p>
    <w:p w14:paraId="19C73800" w14:textId="77777777" w:rsidR="0011534A" w:rsidRDefault="00000000">
      <w:r>
        <w:rPr>
          <w:rFonts w:eastAsia="Times New Roman"/>
        </w:rPr>
        <w:t xml:space="preserve">Three descriptive models are used. Model 1, </w:t>
      </w:r>
      <w:proofErr w:type="spellStart"/>
      <w:r>
        <w:rPr>
          <w:rFonts w:eastAsia="Times New Roman"/>
        </w:rPr>
        <w:t>centralised</w:t>
      </w:r>
      <w:proofErr w:type="spellEnd"/>
      <w:r>
        <w:rPr>
          <w:rFonts w:eastAsia="Times New Roman"/>
        </w:rPr>
        <w:t xml:space="preserve"> advertising-specific statutory regulation, applies where a dedicated national body derives broad authority from advertising-specific legislation. Model 2, sectoral and hybrid regulation, applies where multiple statutory sector regulators share advertising oversight and may operate alongside industry self-regulation. Model 3, indirect regulation through adjacent legal domains, applies where advertising is governed principally through consumer-protection, media, competition, intellectual-property, or related legislation rather than a comprehensive advertising statute. These categories are not mutually exclusive in every detail; they identify the dominant </w:t>
      </w:r>
      <w:proofErr w:type="spellStart"/>
      <w:r>
        <w:rPr>
          <w:rFonts w:eastAsia="Times New Roman"/>
        </w:rPr>
        <w:t>organisational</w:t>
      </w:r>
      <w:proofErr w:type="spellEnd"/>
      <w:r>
        <w:rPr>
          <w:rFonts w:eastAsia="Times New Roman"/>
        </w:rPr>
        <w:t xml:space="preserve"> logic in each jurisdiction.</w:t>
      </w:r>
    </w:p>
    <w:p w14:paraId="0ABC17C4" w14:textId="77777777" w:rsidR="0011534A" w:rsidRDefault="00000000">
      <w:r>
        <w:rPr>
          <w:rFonts w:eastAsia="Times New Roman"/>
        </w:rPr>
        <w:t>The comparative analysis uses seven dimensions: (1) principal regulatory institution or institutions; (2) dedicated advertising-specific statutory basis; (3) anti-deception, accuracy, and fair-practice standards; (4) pre-exposure or pre-approval requirements; (5) sector-specific restrictions; (6) enforcement and remedial mechanisms; and (7) implications for cross-border advertising practice. These dimensions provide a transparent basis for assigning jurisdictions to the three descriptive models.</w:t>
      </w:r>
    </w:p>
    <w:p w14:paraId="6CE883C8" w14:textId="77777777" w:rsidR="0011534A" w:rsidRDefault="00000000">
      <w:pPr>
        <w:pStyle w:val="Heading1"/>
      </w:pPr>
      <w:r>
        <w:t>5. Methodology</w:t>
      </w:r>
    </w:p>
    <w:p w14:paraId="2F1477BC" w14:textId="77777777" w:rsidR="0011534A" w:rsidRDefault="00000000">
      <w:pPr>
        <w:pStyle w:val="Heading2"/>
      </w:pPr>
      <w:r>
        <w:t>5.1 Research Design</w:t>
      </w:r>
    </w:p>
    <w:p w14:paraId="3F422650" w14:textId="77777777" w:rsidR="0011534A" w:rsidRDefault="00000000">
      <w:r>
        <w:rPr>
          <w:rFonts w:eastAsia="Times New Roman"/>
        </w:rPr>
        <w:t xml:space="preserve">A qualitative comparative content-analysis design was used to examine advertising-related legal and regulatory instruments in the five selected Anglophone West African countries. Content analysis is </w:t>
      </w:r>
      <w:r>
        <w:rPr>
          <w:rFonts w:eastAsia="Times New Roman"/>
          <w:highlight w:val="yellow"/>
        </w:rPr>
        <w:t>appropriate for the systematic examination</w:t>
      </w:r>
      <w:r>
        <w:rPr>
          <w:rFonts w:eastAsia="Times New Roman"/>
        </w:rPr>
        <w:t xml:space="preserve"> of legal texts, institutional guidelines, and policy documents where the objective is to identify explicit rules and compare recurring categories across documents (</w:t>
      </w:r>
      <w:proofErr w:type="spellStart"/>
      <w:r>
        <w:rPr>
          <w:rFonts w:eastAsia="Times New Roman"/>
        </w:rPr>
        <w:t>Krippendorff</w:t>
      </w:r>
      <w:proofErr w:type="spellEnd"/>
      <w:r>
        <w:rPr>
          <w:rFonts w:eastAsia="Times New Roman"/>
        </w:rPr>
        <w:t xml:space="preserve">, 2019). The design is comparative rather than statistical; the unit of analysis is the regulatory instrument and the </w:t>
      </w:r>
      <w:r>
        <w:rPr>
          <w:rFonts w:eastAsia="Times New Roman"/>
        </w:rPr>
        <w:lastRenderedPageBreak/>
        <w:t>provisions within it that bear directly on advertising, marketing communication, misleading representation, media content, or sector-specific promotion.</w:t>
      </w:r>
    </w:p>
    <w:p w14:paraId="67C49BAF" w14:textId="77777777" w:rsidR="0011534A" w:rsidRDefault="00000000">
      <w:pPr>
        <w:pStyle w:val="Heading2"/>
      </w:pPr>
      <w:r>
        <w:t>5.2 Country Selection and Source Corpus</w:t>
      </w:r>
    </w:p>
    <w:p w14:paraId="7C95737E" w14:textId="7C9C807D" w:rsidR="0011534A" w:rsidRDefault="00000000">
      <w:r>
        <w:t xml:space="preserve">Ghana, Liberia, Nigeria, The Gambia, and Sierra Leone were purposively selected because they are Anglophone West African jurisdictions with sufficiently accessible English-language legal and regulatory materials for direct comparison. The final corpus comprised ten principal operative instruments or current official regulatory publications. Inclusion required that a source: (a) was legally operative or officially current as at 21 August 2026; (b) contained direct advertising provisions or materially governed advertising practice; and (c) was </w:t>
      </w:r>
      <w:r>
        <w:rPr>
          <w:highlight w:val="yellow"/>
        </w:rPr>
        <w:t>available from an official government or regulatory source</w:t>
      </w:r>
      <w:r>
        <w:t xml:space="preserve"> or a </w:t>
      </w:r>
      <w:proofErr w:type="spellStart"/>
      <w:r>
        <w:t>recognised</w:t>
      </w:r>
      <w:proofErr w:type="spellEnd"/>
      <w:r>
        <w:t xml:space="preserve"> legal repository. Draft legislation was not treated as operative law. This criterion was particularly important for Liberia: the 2014 Protection Against Unfair Competition instrument listed in WTO accession records is explicitly identified as a draft, and WIPO's comparative review reports that it apparently did not become law (</w:t>
      </w:r>
      <w:proofErr w:type="spellStart"/>
      <w:r w:rsidR="00C11BE8" w:rsidRPr="00C11BE8">
        <w:t>Senftleben</w:t>
      </w:r>
      <w:proofErr w:type="spellEnd"/>
      <w:r w:rsidR="00C11BE8">
        <w:t>, 2022</w:t>
      </w:r>
      <w:r>
        <w:t>; World Trade Organization [WTO], 2014). The Liberian analysis therefore relies on the operative Competition Law of 2016 and the Liberia Intellectual Property Act 2016 rather than the 2014 draft.</w:t>
      </w:r>
    </w:p>
    <w:p w14:paraId="0C7CB0B2" w14:textId="77777777" w:rsidR="0011534A" w:rsidRDefault="00000000">
      <w:pPr>
        <w:keepNext/>
        <w:jc w:val="center"/>
      </w:pPr>
      <w:r>
        <w:rPr>
          <w:rFonts w:eastAsia="Times New Roman"/>
          <w:b/>
          <w:sz w:val="21"/>
        </w:rPr>
        <w:t>Table 1. Principal regulatory corpus used in the comparative analysis</w:t>
      </w:r>
    </w:p>
    <w:tbl>
      <w:tblPr>
        <w:tblStyle w:val="TableGrid"/>
        <w:tblW w:w="5000" w:type="pct"/>
        <w:jc w:val="center"/>
        <w:tblLook w:val="04A0" w:firstRow="1" w:lastRow="0" w:firstColumn="1" w:lastColumn="0" w:noHBand="0" w:noVBand="1"/>
      </w:tblPr>
      <w:tblGrid>
        <w:gridCol w:w="2106"/>
        <w:gridCol w:w="3654"/>
        <w:gridCol w:w="2106"/>
        <w:gridCol w:w="2106"/>
      </w:tblGrid>
      <w:tr w:rsidR="0011534A" w14:paraId="7B31766B" w14:textId="77777777" w:rsidTr="00EA07FF">
        <w:trPr>
          <w:cantSplit/>
          <w:tblHeader/>
          <w:jc w:val="center"/>
        </w:trPr>
        <w:tc>
          <w:tcPr>
            <w:tcW w:w="1056" w:type="pct"/>
            <w:shd w:val="clear" w:color="auto" w:fill="D9E2F3"/>
            <w:tcMar>
              <w:top w:w="90" w:type="dxa"/>
              <w:left w:w="90" w:type="dxa"/>
              <w:bottom w:w="90" w:type="dxa"/>
              <w:right w:w="90" w:type="dxa"/>
            </w:tcMar>
            <w:vAlign w:val="center"/>
          </w:tcPr>
          <w:p w14:paraId="26936353" w14:textId="77777777" w:rsidR="0011534A" w:rsidRDefault="00000000">
            <w:pPr>
              <w:jc w:val="left"/>
            </w:pPr>
            <w:r>
              <w:rPr>
                <w:rFonts w:eastAsia="Times New Roman"/>
                <w:b/>
                <w:sz w:val="17"/>
              </w:rPr>
              <w:t>Country</w:t>
            </w:r>
          </w:p>
        </w:tc>
        <w:tc>
          <w:tcPr>
            <w:tcW w:w="1832" w:type="pct"/>
            <w:shd w:val="clear" w:color="auto" w:fill="D9E2F3"/>
            <w:tcMar>
              <w:top w:w="90" w:type="dxa"/>
              <w:left w:w="90" w:type="dxa"/>
              <w:bottom w:w="90" w:type="dxa"/>
              <w:right w:w="90" w:type="dxa"/>
            </w:tcMar>
            <w:vAlign w:val="center"/>
          </w:tcPr>
          <w:p w14:paraId="7F5625A4" w14:textId="77777777" w:rsidR="0011534A" w:rsidRDefault="00000000">
            <w:pPr>
              <w:jc w:val="left"/>
            </w:pPr>
            <w:r>
              <w:rPr>
                <w:rFonts w:eastAsia="Times New Roman"/>
                <w:b/>
                <w:sz w:val="17"/>
              </w:rPr>
              <w:t>Principal instrument/current source</w:t>
            </w:r>
          </w:p>
        </w:tc>
        <w:tc>
          <w:tcPr>
            <w:tcW w:w="1056" w:type="pct"/>
            <w:shd w:val="clear" w:color="auto" w:fill="D9E2F3"/>
            <w:tcMar>
              <w:top w:w="90" w:type="dxa"/>
              <w:left w:w="90" w:type="dxa"/>
              <w:bottom w:w="90" w:type="dxa"/>
              <w:right w:w="90" w:type="dxa"/>
            </w:tcMar>
            <w:vAlign w:val="center"/>
          </w:tcPr>
          <w:p w14:paraId="26EEF127" w14:textId="77777777" w:rsidR="0011534A" w:rsidRDefault="00000000">
            <w:pPr>
              <w:jc w:val="left"/>
            </w:pPr>
            <w:r>
              <w:rPr>
                <w:rFonts w:eastAsia="Times New Roman"/>
                <w:b/>
                <w:sz w:val="17"/>
              </w:rPr>
              <w:t>Year/status</w:t>
            </w:r>
          </w:p>
        </w:tc>
        <w:tc>
          <w:tcPr>
            <w:tcW w:w="1056" w:type="pct"/>
            <w:shd w:val="clear" w:color="auto" w:fill="D9E2F3"/>
            <w:tcMar>
              <w:top w:w="90" w:type="dxa"/>
              <w:left w:w="90" w:type="dxa"/>
              <w:bottom w:w="90" w:type="dxa"/>
              <w:right w:w="90" w:type="dxa"/>
            </w:tcMar>
            <w:vAlign w:val="center"/>
          </w:tcPr>
          <w:p w14:paraId="37A6204A" w14:textId="77777777" w:rsidR="0011534A" w:rsidRDefault="00000000">
            <w:pPr>
              <w:jc w:val="left"/>
            </w:pPr>
            <w:r>
              <w:rPr>
                <w:rFonts w:eastAsia="Times New Roman"/>
                <w:b/>
                <w:sz w:val="17"/>
              </w:rPr>
              <w:t>Primary analytical role</w:t>
            </w:r>
          </w:p>
        </w:tc>
      </w:tr>
      <w:tr w:rsidR="0011534A" w14:paraId="665B6050" w14:textId="77777777" w:rsidTr="00EA07FF">
        <w:trPr>
          <w:cantSplit/>
          <w:jc w:val="center"/>
        </w:trPr>
        <w:tc>
          <w:tcPr>
            <w:tcW w:w="1056" w:type="pct"/>
            <w:tcMar>
              <w:top w:w="90" w:type="dxa"/>
              <w:left w:w="90" w:type="dxa"/>
              <w:bottom w:w="90" w:type="dxa"/>
              <w:right w:w="90" w:type="dxa"/>
            </w:tcMar>
            <w:vAlign w:val="center"/>
          </w:tcPr>
          <w:p w14:paraId="3398E846" w14:textId="77777777" w:rsidR="0011534A" w:rsidRDefault="00000000">
            <w:pPr>
              <w:spacing w:after="0" w:line="240" w:lineRule="auto"/>
              <w:jc w:val="left"/>
            </w:pPr>
            <w:r>
              <w:rPr>
                <w:rFonts w:eastAsia="Times New Roman"/>
                <w:sz w:val="17"/>
              </w:rPr>
              <w:t>Nigeria</w:t>
            </w:r>
          </w:p>
        </w:tc>
        <w:tc>
          <w:tcPr>
            <w:tcW w:w="1832" w:type="pct"/>
            <w:tcMar>
              <w:top w:w="90" w:type="dxa"/>
              <w:left w:w="90" w:type="dxa"/>
              <w:bottom w:w="90" w:type="dxa"/>
              <w:right w:w="90" w:type="dxa"/>
            </w:tcMar>
            <w:vAlign w:val="center"/>
          </w:tcPr>
          <w:p w14:paraId="0C139395" w14:textId="77777777" w:rsidR="0011534A" w:rsidRDefault="00000000">
            <w:pPr>
              <w:spacing w:after="0" w:line="240" w:lineRule="auto"/>
              <w:jc w:val="left"/>
            </w:pPr>
            <w:r>
              <w:rPr>
                <w:rFonts w:eastAsia="Times New Roman"/>
                <w:sz w:val="17"/>
              </w:rPr>
              <w:t>Advertising Regulatory Council of Nigeria Act (Act No. 23 of 2022)</w:t>
            </w:r>
          </w:p>
        </w:tc>
        <w:tc>
          <w:tcPr>
            <w:tcW w:w="1056" w:type="pct"/>
            <w:tcMar>
              <w:top w:w="90" w:type="dxa"/>
              <w:left w:w="90" w:type="dxa"/>
              <w:bottom w:w="90" w:type="dxa"/>
              <w:right w:w="90" w:type="dxa"/>
            </w:tcMar>
            <w:vAlign w:val="center"/>
          </w:tcPr>
          <w:p w14:paraId="66117FE9" w14:textId="77777777" w:rsidR="0011534A" w:rsidRDefault="00000000">
            <w:pPr>
              <w:spacing w:after="0" w:line="240" w:lineRule="auto"/>
              <w:jc w:val="left"/>
            </w:pPr>
            <w:r>
              <w:rPr>
                <w:rFonts w:eastAsia="Times New Roman"/>
                <w:sz w:val="17"/>
              </w:rPr>
              <w:t>2022; operative</w:t>
            </w:r>
          </w:p>
        </w:tc>
        <w:tc>
          <w:tcPr>
            <w:tcW w:w="1056" w:type="pct"/>
            <w:tcMar>
              <w:top w:w="90" w:type="dxa"/>
              <w:left w:w="90" w:type="dxa"/>
              <w:bottom w:w="90" w:type="dxa"/>
              <w:right w:w="90" w:type="dxa"/>
            </w:tcMar>
            <w:vAlign w:val="center"/>
          </w:tcPr>
          <w:p w14:paraId="4865041B" w14:textId="77777777" w:rsidR="0011534A" w:rsidRDefault="00000000">
            <w:pPr>
              <w:spacing w:after="0" w:line="240" w:lineRule="auto"/>
              <w:jc w:val="left"/>
            </w:pPr>
            <w:r>
              <w:rPr>
                <w:rFonts w:eastAsia="Times New Roman"/>
                <w:sz w:val="17"/>
              </w:rPr>
              <w:t>Dedicated regulator, mandate, enforcement architecture</w:t>
            </w:r>
          </w:p>
        </w:tc>
      </w:tr>
      <w:tr w:rsidR="0011534A" w14:paraId="76251E5B" w14:textId="77777777" w:rsidTr="00EA07FF">
        <w:trPr>
          <w:cantSplit/>
          <w:jc w:val="center"/>
        </w:trPr>
        <w:tc>
          <w:tcPr>
            <w:tcW w:w="1056" w:type="pct"/>
            <w:tcMar>
              <w:top w:w="90" w:type="dxa"/>
              <w:left w:w="90" w:type="dxa"/>
              <w:bottom w:w="90" w:type="dxa"/>
              <w:right w:w="90" w:type="dxa"/>
            </w:tcMar>
            <w:vAlign w:val="center"/>
          </w:tcPr>
          <w:p w14:paraId="5A8ADB77" w14:textId="77777777" w:rsidR="0011534A" w:rsidRDefault="00000000">
            <w:pPr>
              <w:spacing w:after="0" w:line="240" w:lineRule="auto"/>
              <w:jc w:val="left"/>
            </w:pPr>
            <w:r>
              <w:rPr>
                <w:rFonts w:eastAsia="Times New Roman"/>
                <w:sz w:val="17"/>
              </w:rPr>
              <w:t>Nigeria</w:t>
            </w:r>
          </w:p>
        </w:tc>
        <w:tc>
          <w:tcPr>
            <w:tcW w:w="1832" w:type="pct"/>
            <w:tcMar>
              <w:top w:w="90" w:type="dxa"/>
              <w:left w:w="90" w:type="dxa"/>
              <w:bottom w:w="90" w:type="dxa"/>
              <w:right w:w="90" w:type="dxa"/>
            </w:tcMar>
            <w:vAlign w:val="center"/>
          </w:tcPr>
          <w:p w14:paraId="1C124E7B" w14:textId="77777777" w:rsidR="0011534A" w:rsidRDefault="00000000">
            <w:pPr>
              <w:spacing w:after="0" w:line="240" w:lineRule="auto"/>
              <w:jc w:val="left"/>
            </w:pPr>
            <w:r>
              <w:rPr>
                <w:rFonts w:eastAsia="Times New Roman"/>
                <w:sz w:val="17"/>
              </w:rPr>
              <w:t>Nigerian Code of Advertising (first edition under the 2022 Act)</w:t>
            </w:r>
          </w:p>
        </w:tc>
        <w:tc>
          <w:tcPr>
            <w:tcW w:w="1056" w:type="pct"/>
            <w:tcMar>
              <w:top w:w="90" w:type="dxa"/>
              <w:left w:w="90" w:type="dxa"/>
              <w:bottom w:w="90" w:type="dxa"/>
              <w:right w:w="90" w:type="dxa"/>
            </w:tcMar>
            <w:vAlign w:val="center"/>
          </w:tcPr>
          <w:p w14:paraId="05598DE4" w14:textId="77777777" w:rsidR="0011534A" w:rsidRDefault="00000000">
            <w:pPr>
              <w:spacing w:after="0" w:line="240" w:lineRule="auto"/>
              <w:jc w:val="left"/>
            </w:pPr>
            <w:r>
              <w:rPr>
                <w:rFonts w:eastAsia="Times New Roman"/>
                <w:sz w:val="17"/>
              </w:rPr>
              <w:t>Current ARCON publication</w:t>
            </w:r>
          </w:p>
        </w:tc>
        <w:tc>
          <w:tcPr>
            <w:tcW w:w="1056" w:type="pct"/>
            <w:tcMar>
              <w:top w:w="90" w:type="dxa"/>
              <w:left w:w="90" w:type="dxa"/>
              <w:bottom w:w="90" w:type="dxa"/>
              <w:right w:w="90" w:type="dxa"/>
            </w:tcMar>
            <w:vAlign w:val="center"/>
          </w:tcPr>
          <w:p w14:paraId="57A52910" w14:textId="77777777" w:rsidR="0011534A" w:rsidRDefault="00000000">
            <w:pPr>
              <w:spacing w:after="0" w:line="240" w:lineRule="auto"/>
              <w:jc w:val="left"/>
            </w:pPr>
            <w:r>
              <w:rPr>
                <w:rFonts w:eastAsia="Times New Roman"/>
                <w:sz w:val="17"/>
              </w:rPr>
              <w:t>Content standards and professional practice</w:t>
            </w:r>
          </w:p>
        </w:tc>
      </w:tr>
      <w:tr w:rsidR="0011534A" w14:paraId="1A3BF39E" w14:textId="77777777" w:rsidTr="00EA07FF">
        <w:trPr>
          <w:cantSplit/>
          <w:jc w:val="center"/>
        </w:trPr>
        <w:tc>
          <w:tcPr>
            <w:tcW w:w="1056" w:type="pct"/>
            <w:tcMar>
              <w:top w:w="90" w:type="dxa"/>
              <w:left w:w="90" w:type="dxa"/>
              <w:bottom w:w="90" w:type="dxa"/>
              <w:right w:w="90" w:type="dxa"/>
            </w:tcMar>
            <w:vAlign w:val="center"/>
          </w:tcPr>
          <w:p w14:paraId="090A7735" w14:textId="77777777" w:rsidR="0011534A" w:rsidRDefault="00000000">
            <w:pPr>
              <w:spacing w:after="0" w:line="240" w:lineRule="auto"/>
              <w:jc w:val="left"/>
            </w:pPr>
            <w:r>
              <w:rPr>
                <w:rFonts w:eastAsia="Times New Roman"/>
                <w:sz w:val="17"/>
              </w:rPr>
              <w:t>Ghana</w:t>
            </w:r>
          </w:p>
        </w:tc>
        <w:tc>
          <w:tcPr>
            <w:tcW w:w="1832" w:type="pct"/>
            <w:tcMar>
              <w:top w:w="90" w:type="dxa"/>
              <w:left w:w="90" w:type="dxa"/>
              <w:bottom w:w="90" w:type="dxa"/>
              <w:right w:w="90" w:type="dxa"/>
            </w:tcMar>
            <w:vAlign w:val="center"/>
          </w:tcPr>
          <w:p w14:paraId="718BE054" w14:textId="77777777" w:rsidR="0011534A" w:rsidRDefault="00000000">
            <w:pPr>
              <w:spacing w:after="0" w:line="240" w:lineRule="auto"/>
              <w:jc w:val="left"/>
            </w:pPr>
            <w:r>
              <w:rPr>
                <w:rFonts w:eastAsia="Times New Roman"/>
                <w:sz w:val="17"/>
              </w:rPr>
              <w:t>Public Health Act, 2012 (Act 851)</w:t>
            </w:r>
          </w:p>
        </w:tc>
        <w:tc>
          <w:tcPr>
            <w:tcW w:w="1056" w:type="pct"/>
            <w:tcMar>
              <w:top w:w="90" w:type="dxa"/>
              <w:left w:w="90" w:type="dxa"/>
              <w:bottom w:w="90" w:type="dxa"/>
              <w:right w:w="90" w:type="dxa"/>
            </w:tcMar>
            <w:vAlign w:val="center"/>
          </w:tcPr>
          <w:p w14:paraId="1E29D993" w14:textId="77777777" w:rsidR="0011534A" w:rsidRDefault="00000000">
            <w:pPr>
              <w:spacing w:after="0" w:line="240" w:lineRule="auto"/>
              <w:jc w:val="left"/>
            </w:pPr>
            <w:r>
              <w:rPr>
                <w:rFonts w:eastAsia="Times New Roman"/>
                <w:sz w:val="17"/>
              </w:rPr>
              <w:t>2012; operative</w:t>
            </w:r>
          </w:p>
        </w:tc>
        <w:tc>
          <w:tcPr>
            <w:tcW w:w="1056" w:type="pct"/>
            <w:tcMar>
              <w:top w:w="90" w:type="dxa"/>
              <w:left w:w="90" w:type="dxa"/>
              <w:bottom w:w="90" w:type="dxa"/>
              <w:right w:w="90" w:type="dxa"/>
            </w:tcMar>
            <w:vAlign w:val="center"/>
          </w:tcPr>
          <w:p w14:paraId="468C94F9" w14:textId="77777777" w:rsidR="0011534A" w:rsidRDefault="00000000">
            <w:pPr>
              <w:spacing w:after="0" w:line="240" w:lineRule="auto"/>
              <w:jc w:val="left"/>
            </w:pPr>
            <w:r>
              <w:rPr>
                <w:rFonts w:eastAsia="Times New Roman"/>
                <w:sz w:val="17"/>
              </w:rPr>
              <w:t>Food, drug, tobacco and regulated-product advertising</w:t>
            </w:r>
          </w:p>
        </w:tc>
      </w:tr>
      <w:tr w:rsidR="0011534A" w14:paraId="01DBEFBA" w14:textId="77777777" w:rsidTr="00EA07FF">
        <w:trPr>
          <w:cantSplit/>
          <w:jc w:val="center"/>
        </w:trPr>
        <w:tc>
          <w:tcPr>
            <w:tcW w:w="1056" w:type="pct"/>
            <w:tcMar>
              <w:top w:w="90" w:type="dxa"/>
              <w:left w:w="90" w:type="dxa"/>
              <w:bottom w:w="90" w:type="dxa"/>
              <w:right w:w="90" w:type="dxa"/>
            </w:tcMar>
            <w:vAlign w:val="center"/>
          </w:tcPr>
          <w:p w14:paraId="08FDC21A" w14:textId="77777777" w:rsidR="0011534A" w:rsidRDefault="00000000">
            <w:pPr>
              <w:spacing w:after="0" w:line="240" w:lineRule="auto"/>
              <w:jc w:val="left"/>
            </w:pPr>
            <w:r>
              <w:rPr>
                <w:rFonts w:eastAsia="Times New Roman"/>
                <w:sz w:val="17"/>
              </w:rPr>
              <w:t>Ghana</w:t>
            </w:r>
          </w:p>
        </w:tc>
        <w:tc>
          <w:tcPr>
            <w:tcW w:w="1832" w:type="pct"/>
            <w:tcMar>
              <w:top w:w="90" w:type="dxa"/>
              <w:left w:w="90" w:type="dxa"/>
              <w:bottom w:w="90" w:type="dxa"/>
              <w:right w:w="90" w:type="dxa"/>
            </w:tcMar>
            <w:vAlign w:val="center"/>
          </w:tcPr>
          <w:p w14:paraId="0A0C20C9" w14:textId="77777777" w:rsidR="0011534A" w:rsidRDefault="00000000">
            <w:pPr>
              <w:spacing w:after="0" w:line="240" w:lineRule="auto"/>
              <w:jc w:val="left"/>
            </w:pPr>
            <w:r>
              <w:rPr>
                <w:rFonts w:eastAsia="Times New Roman"/>
                <w:sz w:val="17"/>
              </w:rPr>
              <w:t>FDA Guidelines for Advertisement of Regulated Products</w:t>
            </w:r>
          </w:p>
        </w:tc>
        <w:tc>
          <w:tcPr>
            <w:tcW w:w="1056" w:type="pct"/>
            <w:tcMar>
              <w:top w:w="90" w:type="dxa"/>
              <w:left w:w="90" w:type="dxa"/>
              <w:bottom w:w="90" w:type="dxa"/>
              <w:right w:w="90" w:type="dxa"/>
            </w:tcMar>
            <w:vAlign w:val="center"/>
          </w:tcPr>
          <w:p w14:paraId="0E52817C" w14:textId="77777777" w:rsidR="0011534A" w:rsidRDefault="00000000">
            <w:pPr>
              <w:spacing w:after="0" w:line="240" w:lineRule="auto"/>
              <w:jc w:val="left"/>
            </w:pPr>
            <w:r>
              <w:rPr>
                <w:rFonts w:eastAsia="Times New Roman"/>
                <w:sz w:val="17"/>
              </w:rPr>
              <w:t>2023; current guideline</w:t>
            </w:r>
          </w:p>
        </w:tc>
        <w:tc>
          <w:tcPr>
            <w:tcW w:w="1056" w:type="pct"/>
            <w:tcMar>
              <w:top w:w="90" w:type="dxa"/>
              <w:left w:w="90" w:type="dxa"/>
              <w:bottom w:w="90" w:type="dxa"/>
              <w:right w:w="90" w:type="dxa"/>
            </w:tcMar>
            <w:vAlign w:val="center"/>
          </w:tcPr>
          <w:p w14:paraId="0E3E29F2" w14:textId="77777777" w:rsidR="0011534A" w:rsidRDefault="00000000">
            <w:pPr>
              <w:spacing w:after="0" w:line="240" w:lineRule="auto"/>
              <w:jc w:val="left"/>
            </w:pPr>
            <w:r>
              <w:rPr>
                <w:rFonts w:eastAsia="Times New Roman"/>
                <w:sz w:val="17"/>
              </w:rPr>
              <w:t>Approval and content requirements for regulated products</w:t>
            </w:r>
          </w:p>
        </w:tc>
      </w:tr>
      <w:tr w:rsidR="0011534A" w14:paraId="7138D7E0" w14:textId="77777777" w:rsidTr="00EA07FF">
        <w:trPr>
          <w:cantSplit/>
          <w:jc w:val="center"/>
        </w:trPr>
        <w:tc>
          <w:tcPr>
            <w:tcW w:w="1056" w:type="pct"/>
            <w:tcMar>
              <w:top w:w="90" w:type="dxa"/>
              <w:left w:w="90" w:type="dxa"/>
              <w:bottom w:w="90" w:type="dxa"/>
              <w:right w:w="90" w:type="dxa"/>
            </w:tcMar>
            <w:vAlign w:val="center"/>
          </w:tcPr>
          <w:p w14:paraId="6D8858A2" w14:textId="77777777" w:rsidR="0011534A" w:rsidRDefault="00000000">
            <w:pPr>
              <w:spacing w:after="0" w:line="240" w:lineRule="auto"/>
              <w:jc w:val="left"/>
            </w:pPr>
            <w:r>
              <w:rPr>
                <w:rFonts w:eastAsia="Times New Roman"/>
                <w:sz w:val="17"/>
              </w:rPr>
              <w:t>Ghana</w:t>
            </w:r>
          </w:p>
        </w:tc>
        <w:tc>
          <w:tcPr>
            <w:tcW w:w="1832" w:type="pct"/>
            <w:tcMar>
              <w:top w:w="90" w:type="dxa"/>
              <w:left w:w="90" w:type="dxa"/>
              <w:bottom w:w="90" w:type="dxa"/>
              <w:right w:w="90" w:type="dxa"/>
            </w:tcMar>
            <w:vAlign w:val="center"/>
          </w:tcPr>
          <w:p w14:paraId="22BD232F" w14:textId="77777777" w:rsidR="0011534A" w:rsidRDefault="00000000">
            <w:pPr>
              <w:spacing w:after="0" w:line="240" w:lineRule="auto"/>
              <w:jc w:val="left"/>
            </w:pPr>
            <w:r>
              <w:rPr>
                <w:rFonts w:eastAsia="Times New Roman"/>
                <w:sz w:val="17"/>
              </w:rPr>
              <w:t>Gaming Commission Guidelines on Advertisement</w:t>
            </w:r>
          </w:p>
        </w:tc>
        <w:tc>
          <w:tcPr>
            <w:tcW w:w="1056" w:type="pct"/>
            <w:tcMar>
              <w:top w:w="90" w:type="dxa"/>
              <w:left w:w="90" w:type="dxa"/>
              <w:bottom w:w="90" w:type="dxa"/>
              <w:right w:w="90" w:type="dxa"/>
            </w:tcMar>
            <w:vAlign w:val="center"/>
          </w:tcPr>
          <w:p w14:paraId="4CFB94DF" w14:textId="77777777" w:rsidR="0011534A" w:rsidRDefault="00000000">
            <w:pPr>
              <w:spacing w:after="0" w:line="240" w:lineRule="auto"/>
              <w:jc w:val="left"/>
            </w:pPr>
            <w:r>
              <w:rPr>
                <w:rFonts w:eastAsia="Times New Roman"/>
                <w:sz w:val="17"/>
              </w:rPr>
              <w:t>2020; current guideline</w:t>
            </w:r>
          </w:p>
        </w:tc>
        <w:tc>
          <w:tcPr>
            <w:tcW w:w="1056" w:type="pct"/>
            <w:tcMar>
              <w:top w:w="90" w:type="dxa"/>
              <w:left w:w="90" w:type="dxa"/>
              <w:bottom w:w="90" w:type="dxa"/>
              <w:right w:w="90" w:type="dxa"/>
            </w:tcMar>
            <w:vAlign w:val="center"/>
          </w:tcPr>
          <w:p w14:paraId="6A8AFDD6" w14:textId="77777777" w:rsidR="0011534A" w:rsidRDefault="00000000">
            <w:pPr>
              <w:spacing w:after="0" w:line="240" w:lineRule="auto"/>
              <w:jc w:val="left"/>
            </w:pPr>
            <w:r>
              <w:rPr>
                <w:rFonts w:eastAsia="Times New Roman"/>
                <w:sz w:val="17"/>
              </w:rPr>
              <w:t>Gambling-advertising approval and content restrictions</w:t>
            </w:r>
          </w:p>
        </w:tc>
      </w:tr>
      <w:tr w:rsidR="0011534A" w14:paraId="35884F3C" w14:textId="77777777" w:rsidTr="00EA07FF">
        <w:trPr>
          <w:cantSplit/>
          <w:jc w:val="center"/>
        </w:trPr>
        <w:tc>
          <w:tcPr>
            <w:tcW w:w="1056" w:type="pct"/>
            <w:tcMar>
              <w:top w:w="90" w:type="dxa"/>
              <w:left w:w="90" w:type="dxa"/>
              <w:bottom w:w="90" w:type="dxa"/>
              <w:right w:w="90" w:type="dxa"/>
            </w:tcMar>
            <w:vAlign w:val="center"/>
          </w:tcPr>
          <w:p w14:paraId="2CBEA41D" w14:textId="77777777" w:rsidR="0011534A" w:rsidRDefault="00000000">
            <w:pPr>
              <w:spacing w:after="0" w:line="240" w:lineRule="auto"/>
              <w:jc w:val="left"/>
            </w:pPr>
            <w:r>
              <w:rPr>
                <w:rFonts w:eastAsia="Times New Roman"/>
                <w:sz w:val="17"/>
              </w:rPr>
              <w:t>The Gambia</w:t>
            </w:r>
          </w:p>
        </w:tc>
        <w:tc>
          <w:tcPr>
            <w:tcW w:w="1832" w:type="pct"/>
            <w:tcMar>
              <w:top w:w="90" w:type="dxa"/>
              <w:left w:w="90" w:type="dxa"/>
              <w:bottom w:w="90" w:type="dxa"/>
              <w:right w:w="90" w:type="dxa"/>
            </w:tcMar>
            <w:vAlign w:val="center"/>
          </w:tcPr>
          <w:p w14:paraId="28AAAA34" w14:textId="77777777" w:rsidR="0011534A" w:rsidRDefault="00000000">
            <w:pPr>
              <w:spacing w:after="0" w:line="240" w:lineRule="auto"/>
              <w:jc w:val="left"/>
            </w:pPr>
            <w:r>
              <w:rPr>
                <w:rFonts w:eastAsia="Times New Roman"/>
                <w:sz w:val="17"/>
              </w:rPr>
              <w:t>Consumer Protection Act, 2014</w:t>
            </w:r>
          </w:p>
        </w:tc>
        <w:tc>
          <w:tcPr>
            <w:tcW w:w="1056" w:type="pct"/>
            <w:tcMar>
              <w:top w:w="90" w:type="dxa"/>
              <w:left w:w="90" w:type="dxa"/>
              <w:bottom w:w="90" w:type="dxa"/>
              <w:right w:w="90" w:type="dxa"/>
            </w:tcMar>
            <w:vAlign w:val="center"/>
          </w:tcPr>
          <w:p w14:paraId="3650532D" w14:textId="77777777" w:rsidR="0011534A" w:rsidRDefault="00000000">
            <w:pPr>
              <w:spacing w:after="0" w:line="240" w:lineRule="auto"/>
              <w:jc w:val="left"/>
            </w:pPr>
            <w:r>
              <w:rPr>
                <w:rFonts w:eastAsia="Times New Roman"/>
                <w:sz w:val="17"/>
              </w:rPr>
              <w:t>2014; operative</w:t>
            </w:r>
          </w:p>
        </w:tc>
        <w:tc>
          <w:tcPr>
            <w:tcW w:w="1056" w:type="pct"/>
            <w:tcMar>
              <w:top w:w="90" w:type="dxa"/>
              <w:left w:w="90" w:type="dxa"/>
              <w:bottom w:w="90" w:type="dxa"/>
              <w:right w:w="90" w:type="dxa"/>
            </w:tcMar>
            <w:vAlign w:val="center"/>
          </w:tcPr>
          <w:p w14:paraId="4293A75C" w14:textId="77777777" w:rsidR="0011534A" w:rsidRDefault="00000000">
            <w:pPr>
              <w:spacing w:after="0" w:line="240" w:lineRule="auto"/>
              <w:jc w:val="left"/>
            </w:pPr>
            <w:r>
              <w:rPr>
                <w:rFonts w:eastAsia="Times New Roman"/>
                <w:sz w:val="17"/>
              </w:rPr>
              <w:t>False/misleading advertising, burden of proof, consumer remedies</w:t>
            </w:r>
          </w:p>
        </w:tc>
      </w:tr>
      <w:tr w:rsidR="0011534A" w14:paraId="67C102D0" w14:textId="77777777" w:rsidTr="00EA07FF">
        <w:trPr>
          <w:cantSplit/>
          <w:jc w:val="center"/>
        </w:trPr>
        <w:tc>
          <w:tcPr>
            <w:tcW w:w="1056" w:type="pct"/>
            <w:tcMar>
              <w:top w:w="90" w:type="dxa"/>
              <w:left w:w="90" w:type="dxa"/>
              <w:bottom w:w="90" w:type="dxa"/>
              <w:right w:w="90" w:type="dxa"/>
            </w:tcMar>
            <w:vAlign w:val="center"/>
          </w:tcPr>
          <w:p w14:paraId="49549055" w14:textId="77777777" w:rsidR="0011534A" w:rsidRDefault="00000000">
            <w:pPr>
              <w:spacing w:after="0" w:line="240" w:lineRule="auto"/>
              <w:jc w:val="left"/>
            </w:pPr>
            <w:r>
              <w:rPr>
                <w:rFonts w:eastAsia="Times New Roman"/>
                <w:sz w:val="17"/>
              </w:rPr>
              <w:t>Sierra Leone</w:t>
            </w:r>
          </w:p>
        </w:tc>
        <w:tc>
          <w:tcPr>
            <w:tcW w:w="1832" w:type="pct"/>
            <w:tcMar>
              <w:top w:w="90" w:type="dxa"/>
              <w:left w:w="90" w:type="dxa"/>
              <w:bottom w:w="90" w:type="dxa"/>
              <w:right w:w="90" w:type="dxa"/>
            </w:tcMar>
            <w:vAlign w:val="center"/>
          </w:tcPr>
          <w:p w14:paraId="4C31D70F" w14:textId="77777777" w:rsidR="0011534A" w:rsidRDefault="00000000">
            <w:pPr>
              <w:spacing w:after="0" w:line="240" w:lineRule="auto"/>
              <w:jc w:val="left"/>
            </w:pPr>
            <w:r>
              <w:rPr>
                <w:rFonts w:eastAsia="Times New Roman"/>
                <w:sz w:val="17"/>
              </w:rPr>
              <w:t>Independent Media Commission Act, 2020 (Act No. 5 of 2020)</w:t>
            </w:r>
          </w:p>
        </w:tc>
        <w:tc>
          <w:tcPr>
            <w:tcW w:w="1056" w:type="pct"/>
            <w:tcMar>
              <w:top w:w="90" w:type="dxa"/>
              <w:left w:w="90" w:type="dxa"/>
              <w:bottom w:w="90" w:type="dxa"/>
              <w:right w:w="90" w:type="dxa"/>
            </w:tcMar>
            <w:vAlign w:val="center"/>
          </w:tcPr>
          <w:p w14:paraId="2F142D8C" w14:textId="77777777" w:rsidR="0011534A" w:rsidRDefault="00000000">
            <w:pPr>
              <w:spacing w:after="0" w:line="240" w:lineRule="auto"/>
              <w:jc w:val="left"/>
            </w:pPr>
            <w:r>
              <w:rPr>
                <w:rFonts w:eastAsia="Times New Roman"/>
                <w:sz w:val="17"/>
              </w:rPr>
              <w:t>2020; operative</w:t>
            </w:r>
          </w:p>
        </w:tc>
        <w:tc>
          <w:tcPr>
            <w:tcW w:w="1056" w:type="pct"/>
            <w:tcMar>
              <w:top w:w="90" w:type="dxa"/>
              <w:left w:w="90" w:type="dxa"/>
              <w:bottom w:w="90" w:type="dxa"/>
              <w:right w:w="90" w:type="dxa"/>
            </w:tcMar>
            <w:vAlign w:val="center"/>
          </w:tcPr>
          <w:p w14:paraId="34241832" w14:textId="77777777" w:rsidR="0011534A" w:rsidRDefault="00000000">
            <w:pPr>
              <w:spacing w:after="0" w:line="240" w:lineRule="auto"/>
              <w:jc w:val="left"/>
            </w:pPr>
            <w:r>
              <w:rPr>
                <w:rFonts w:eastAsia="Times New Roman"/>
                <w:sz w:val="17"/>
              </w:rPr>
              <w:t>Media institutions, registration and regulatory authority</w:t>
            </w:r>
          </w:p>
        </w:tc>
      </w:tr>
      <w:tr w:rsidR="0011534A" w14:paraId="7C81CC28" w14:textId="77777777" w:rsidTr="00EA07FF">
        <w:trPr>
          <w:cantSplit/>
          <w:jc w:val="center"/>
        </w:trPr>
        <w:tc>
          <w:tcPr>
            <w:tcW w:w="1056" w:type="pct"/>
            <w:tcMar>
              <w:top w:w="90" w:type="dxa"/>
              <w:left w:w="90" w:type="dxa"/>
              <w:bottom w:w="90" w:type="dxa"/>
              <w:right w:w="90" w:type="dxa"/>
            </w:tcMar>
            <w:vAlign w:val="center"/>
          </w:tcPr>
          <w:p w14:paraId="7295DECB" w14:textId="77777777" w:rsidR="0011534A" w:rsidRDefault="00000000">
            <w:pPr>
              <w:spacing w:after="0" w:line="240" w:lineRule="auto"/>
              <w:jc w:val="left"/>
            </w:pPr>
            <w:r>
              <w:rPr>
                <w:rFonts w:eastAsia="Times New Roman"/>
                <w:sz w:val="17"/>
              </w:rPr>
              <w:t>Sierra Leone</w:t>
            </w:r>
          </w:p>
        </w:tc>
        <w:tc>
          <w:tcPr>
            <w:tcW w:w="1832" w:type="pct"/>
            <w:tcMar>
              <w:top w:w="90" w:type="dxa"/>
              <w:left w:w="90" w:type="dxa"/>
              <w:bottom w:w="90" w:type="dxa"/>
              <w:right w:w="90" w:type="dxa"/>
            </w:tcMar>
            <w:vAlign w:val="center"/>
          </w:tcPr>
          <w:p w14:paraId="7A910DE6" w14:textId="77777777" w:rsidR="0011534A" w:rsidRDefault="00000000">
            <w:pPr>
              <w:spacing w:after="0" w:line="240" w:lineRule="auto"/>
              <w:jc w:val="left"/>
            </w:pPr>
            <w:r>
              <w:rPr>
                <w:rFonts w:eastAsia="Times New Roman"/>
                <w:sz w:val="17"/>
              </w:rPr>
              <w:t>Independent Media Commission (Print and Electronic Media) Regulations, 2022</w:t>
            </w:r>
          </w:p>
        </w:tc>
        <w:tc>
          <w:tcPr>
            <w:tcW w:w="1056" w:type="pct"/>
            <w:tcMar>
              <w:top w:w="90" w:type="dxa"/>
              <w:left w:w="90" w:type="dxa"/>
              <w:bottom w:w="90" w:type="dxa"/>
              <w:right w:w="90" w:type="dxa"/>
            </w:tcMar>
            <w:vAlign w:val="center"/>
          </w:tcPr>
          <w:p w14:paraId="29CF3002" w14:textId="77777777" w:rsidR="0011534A" w:rsidRDefault="00000000">
            <w:pPr>
              <w:spacing w:after="0" w:line="240" w:lineRule="auto"/>
              <w:jc w:val="left"/>
            </w:pPr>
            <w:r>
              <w:rPr>
                <w:rFonts w:eastAsia="Times New Roman"/>
                <w:sz w:val="17"/>
              </w:rPr>
              <w:t>2022; operative</w:t>
            </w:r>
          </w:p>
        </w:tc>
        <w:tc>
          <w:tcPr>
            <w:tcW w:w="1056" w:type="pct"/>
            <w:tcMar>
              <w:top w:w="90" w:type="dxa"/>
              <w:left w:w="90" w:type="dxa"/>
              <w:bottom w:w="90" w:type="dxa"/>
              <w:right w:w="90" w:type="dxa"/>
            </w:tcMar>
            <w:vAlign w:val="center"/>
          </w:tcPr>
          <w:p w14:paraId="0C719585" w14:textId="77777777" w:rsidR="0011534A" w:rsidRDefault="00000000">
            <w:pPr>
              <w:spacing w:after="0" w:line="240" w:lineRule="auto"/>
              <w:jc w:val="left"/>
            </w:pPr>
            <w:r>
              <w:rPr>
                <w:rFonts w:eastAsia="Times New Roman"/>
                <w:sz w:val="17"/>
              </w:rPr>
              <w:t>Accuracy, professional standards and media enforcement</w:t>
            </w:r>
          </w:p>
        </w:tc>
      </w:tr>
      <w:tr w:rsidR="0011534A" w14:paraId="3ABF5A72" w14:textId="77777777" w:rsidTr="00EA07FF">
        <w:trPr>
          <w:cantSplit/>
          <w:jc w:val="center"/>
        </w:trPr>
        <w:tc>
          <w:tcPr>
            <w:tcW w:w="1056" w:type="pct"/>
            <w:tcMar>
              <w:top w:w="90" w:type="dxa"/>
              <w:left w:w="90" w:type="dxa"/>
              <w:bottom w:w="90" w:type="dxa"/>
              <w:right w:w="90" w:type="dxa"/>
            </w:tcMar>
            <w:vAlign w:val="center"/>
          </w:tcPr>
          <w:p w14:paraId="1A820741" w14:textId="77777777" w:rsidR="0011534A" w:rsidRDefault="00000000">
            <w:pPr>
              <w:spacing w:after="0" w:line="240" w:lineRule="auto"/>
              <w:jc w:val="left"/>
            </w:pPr>
            <w:r>
              <w:rPr>
                <w:rFonts w:eastAsia="Times New Roman"/>
                <w:sz w:val="17"/>
              </w:rPr>
              <w:t>Liberia</w:t>
            </w:r>
          </w:p>
        </w:tc>
        <w:tc>
          <w:tcPr>
            <w:tcW w:w="1832" w:type="pct"/>
            <w:tcMar>
              <w:top w:w="90" w:type="dxa"/>
              <w:left w:w="90" w:type="dxa"/>
              <w:bottom w:w="90" w:type="dxa"/>
              <w:right w:w="90" w:type="dxa"/>
            </w:tcMar>
            <w:vAlign w:val="center"/>
          </w:tcPr>
          <w:p w14:paraId="095D11AC" w14:textId="77777777" w:rsidR="0011534A" w:rsidRDefault="00000000">
            <w:pPr>
              <w:spacing w:after="0" w:line="240" w:lineRule="auto"/>
              <w:jc w:val="left"/>
            </w:pPr>
            <w:r>
              <w:rPr>
                <w:rFonts w:eastAsia="Times New Roman"/>
                <w:sz w:val="17"/>
              </w:rPr>
              <w:t>Competition Law of Liberia</w:t>
            </w:r>
          </w:p>
        </w:tc>
        <w:tc>
          <w:tcPr>
            <w:tcW w:w="1056" w:type="pct"/>
            <w:tcMar>
              <w:top w:w="90" w:type="dxa"/>
              <w:left w:w="90" w:type="dxa"/>
              <w:bottom w:w="90" w:type="dxa"/>
              <w:right w:w="90" w:type="dxa"/>
            </w:tcMar>
            <w:vAlign w:val="center"/>
          </w:tcPr>
          <w:p w14:paraId="527BAAC8" w14:textId="77777777" w:rsidR="0011534A" w:rsidRDefault="00000000">
            <w:pPr>
              <w:spacing w:after="0" w:line="240" w:lineRule="auto"/>
              <w:jc w:val="left"/>
            </w:pPr>
            <w:r>
              <w:rPr>
                <w:rFonts w:eastAsia="Times New Roman"/>
                <w:sz w:val="17"/>
              </w:rPr>
              <w:t>2016; operative</w:t>
            </w:r>
          </w:p>
        </w:tc>
        <w:tc>
          <w:tcPr>
            <w:tcW w:w="1056" w:type="pct"/>
            <w:tcMar>
              <w:top w:w="90" w:type="dxa"/>
              <w:left w:w="90" w:type="dxa"/>
              <w:bottom w:w="90" w:type="dxa"/>
              <w:right w:w="90" w:type="dxa"/>
            </w:tcMar>
            <w:vAlign w:val="center"/>
          </w:tcPr>
          <w:p w14:paraId="6D539671" w14:textId="77777777" w:rsidR="0011534A" w:rsidRDefault="00000000">
            <w:pPr>
              <w:spacing w:after="0" w:line="240" w:lineRule="auto"/>
              <w:jc w:val="left"/>
            </w:pPr>
            <w:r>
              <w:rPr>
                <w:rFonts w:eastAsia="Times New Roman"/>
                <w:sz w:val="17"/>
              </w:rPr>
              <w:t>Misrepresentation and unfair trade practices</w:t>
            </w:r>
          </w:p>
        </w:tc>
      </w:tr>
      <w:tr w:rsidR="0011534A" w14:paraId="1BBD1C89" w14:textId="77777777" w:rsidTr="00EA07FF">
        <w:trPr>
          <w:cantSplit/>
          <w:jc w:val="center"/>
        </w:trPr>
        <w:tc>
          <w:tcPr>
            <w:tcW w:w="1056" w:type="pct"/>
            <w:tcMar>
              <w:top w:w="90" w:type="dxa"/>
              <w:left w:w="90" w:type="dxa"/>
              <w:bottom w:w="90" w:type="dxa"/>
              <w:right w:w="90" w:type="dxa"/>
            </w:tcMar>
            <w:vAlign w:val="center"/>
          </w:tcPr>
          <w:p w14:paraId="59FDA8BF" w14:textId="77777777" w:rsidR="0011534A" w:rsidRDefault="00000000">
            <w:pPr>
              <w:spacing w:after="0" w:line="240" w:lineRule="auto"/>
              <w:jc w:val="left"/>
            </w:pPr>
            <w:r>
              <w:rPr>
                <w:rFonts w:eastAsia="Times New Roman"/>
                <w:sz w:val="17"/>
              </w:rPr>
              <w:t>Liberia</w:t>
            </w:r>
          </w:p>
        </w:tc>
        <w:tc>
          <w:tcPr>
            <w:tcW w:w="1832" w:type="pct"/>
            <w:tcMar>
              <w:top w:w="90" w:type="dxa"/>
              <w:left w:w="90" w:type="dxa"/>
              <w:bottom w:w="90" w:type="dxa"/>
              <w:right w:w="90" w:type="dxa"/>
            </w:tcMar>
            <w:vAlign w:val="center"/>
          </w:tcPr>
          <w:p w14:paraId="733F7F5A" w14:textId="77777777" w:rsidR="0011534A" w:rsidRDefault="00000000">
            <w:pPr>
              <w:spacing w:after="0" w:line="240" w:lineRule="auto"/>
              <w:jc w:val="left"/>
            </w:pPr>
            <w:r>
              <w:rPr>
                <w:rFonts w:eastAsia="Times New Roman"/>
                <w:sz w:val="17"/>
              </w:rPr>
              <w:t>Liberia Intellectual Property Act, 2016</w:t>
            </w:r>
          </w:p>
        </w:tc>
        <w:tc>
          <w:tcPr>
            <w:tcW w:w="1056" w:type="pct"/>
            <w:tcMar>
              <w:top w:w="90" w:type="dxa"/>
              <w:left w:w="90" w:type="dxa"/>
              <w:bottom w:w="90" w:type="dxa"/>
              <w:right w:w="90" w:type="dxa"/>
            </w:tcMar>
            <w:vAlign w:val="center"/>
          </w:tcPr>
          <w:p w14:paraId="660582F9" w14:textId="77777777" w:rsidR="0011534A" w:rsidRDefault="00000000">
            <w:pPr>
              <w:spacing w:after="0" w:line="240" w:lineRule="auto"/>
              <w:jc w:val="left"/>
            </w:pPr>
            <w:r>
              <w:rPr>
                <w:rFonts w:eastAsia="Times New Roman"/>
                <w:sz w:val="17"/>
              </w:rPr>
              <w:t>2016; operative</w:t>
            </w:r>
          </w:p>
        </w:tc>
        <w:tc>
          <w:tcPr>
            <w:tcW w:w="1056" w:type="pct"/>
            <w:tcMar>
              <w:top w:w="90" w:type="dxa"/>
              <w:left w:w="90" w:type="dxa"/>
              <w:bottom w:w="90" w:type="dxa"/>
              <w:right w:w="90" w:type="dxa"/>
            </w:tcMar>
            <w:vAlign w:val="center"/>
          </w:tcPr>
          <w:p w14:paraId="7C7E7E38" w14:textId="77777777" w:rsidR="0011534A" w:rsidRDefault="00000000">
            <w:pPr>
              <w:spacing w:after="0" w:line="240" w:lineRule="auto"/>
              <w:jc w:val="left"/>
            </w:pPr>
            <w:r>
              <w:rPr>
                <w:rFonts w:eastAsia="Times New Roman"/>
                <w:sz w:val="17"/>
              </w:rPr>
              <w:t>Marks, misleading indications and related commercial protections</w:t>
            </w:r>
          </w:p>
        </w:tc>
      </w:tr>
    </w:tbl>
    <w:p w14:paraId="40FC86B7" w14:textId="77777777" w:rsidR="0011534A" w:rsidRDefault="00000000">
      <w:pPr>
        <w:pStyle w:val="Heading2"/>
      </w:pPr>
      <w:r>
        <w:lastRenderedPageBreak/>
        <w:t>5.3 Coding and Comparative Analysis</w:t>
      </w:r>
    </w:p>
    <w:p w14:paraId="32C8F73E" w14:textId="77777777" w:rsidR="0011534A" w:rsidRDefault="00000000">
      <w:r>
        <w:rPr>
          <w:rFonts w:eastAsia="Times New Roman"/>
        </w:rPr>
        <w:t xml:space="preserve">A coding sheet </w:t>
      </w:r>
      <w:proofErr w:type="spellStart"/>
      <w:r>
        <w:rPr>
          <w:rFonts w:eastAsia="Times New Roman"/>
        </w:rPr>
        <w:t>organised</w:t>
      </w:r>
      <w:proofErr w:type="spellEnd"/>
      <w:r>
        <w:rPr>
          <w:rFonts w:eastAsia="Times New Roman"/>
        </w:rPr>
        <w:t xml:space="preserve"> the material around the seven analytical dimensions specified in the framework. The original coding exercise reported intercoder reliability using </w:t>
      </w:r>
      <w:proofErr w:type="spellStart"/>
      <w:r>
        <w:rPr>
          <w:rFonts w:eastAsia="Times New Roman"/>
        </w:rPr>
        <w:t>Holsti's</w:t>
      </w:r>
      <w:proofErr w:type="spellEnd"/>
      <w:r>
        <w:rPr>
          <w:rFonts w:eastAsia="Times New Roman"/>
        </w:rPr>
        <w:t xml:space="preserve"> coefficient and yielded a coefficient of 0.83. Consistent with recommendations on intercoder-reliability reporting, the coefficient is treated as an indicator of coding consistency rather than as evidence that the underlying legal sources are substantively valid (Lombard et al., 2002). The analysis therefore gives source verification independent priority: country-level legal propositions were checked against the underlying instruments and current official institutional materials before comparative interpretation.</w:t>
      </w:r>
    </w:p>
    <w:p w14:paraId="62C1DA6A" w14:textId="77777777" w:rsidR="0011534A" w:rsidRDefault="00000000">
      <w:r>
        <w:rPr>
          <w:rFonts w:eastAsia="Times New Roman"/>
        </w:rPr>
        <w:t xml:space="preserve">The analysis proceeded by identifying explicit legal or regulatory provisions within each jurisdiction, grouping them under the predefined dimensions, and comparing similarities and differences across countries. Absence claims were handled conservatively. Where an equivalent rule was not found in the selected corpus, the finding is reported as an absence within the documents examined rather than proof that no such rule exists anywhere in national law. This distinction is particularly important in </w:t>
      </w:r>
      <w:proofErr w:type="spellStart"/>
      <w:r>
        <w:rPr>
          <w:rFonts w:eastAsia="Times New Roman"/>
        </w:rPr>
        <w:t>sectorally</w:t>
      </w:r>
      <w:proofErr w:type="spellEnd"/>
      <w:r>
        <w:rPr>
          <w:rFonts w:eastAsia="Times New Roman"/>
        </w:rPr>
        <w:t xml:space="preserve"> regulated environments.</w:t>
      </w:r>
    </w:p>
    <w:p w14:paraId="41E50CFE" w14:textId="77777777" w:rsidR="0011534A" w:rsidRDefault="00000000">
      <w:pPr>
        <w:pStyle w:val="Heading2"/>
      </w:pPr>
      <w:r>
        <w:t>5.4 Source Verification and Use of Generative AI Assistance</w:t>
      </w:r>
    </w:p>
    <w:p w14:paraId="0B30491D" w14:textId="77777777" w:rsidR="0011534A" w:rsidRDefault="00000000">
      <w:r>
        <w:rPr>
          <w:rFonts w:eastAsia="Times New Roman"/>
        </w:rPr>
        <w:t xml:space="preserve">Official legislation, regulator websites, and </w:t>
      </w:r>
      <w:proofErr w:type="spellStart"/>
      <w:r>
        <w:rPr>
          <w:rFonts w:eastAsia="Times New Roman"/>
        </w:rPr>
        <w:t>recognised</w:t>
      </w:r>
      <w:proofErr w:type="spellEnd"/>
      <w:r>
        <w:rPr>
          <w:rFonts w:eastAsia="Times New Roman"/>
        </w:rPr>
        <w:t xml:space="preserve"> legal repositories were used to verify the status and wording of the primary regulatory sources. Scholarly references used for contextual interpretation were checked against publisher or DOI records. Google </w:t>
      </w:r>
      <w:proofErr w:type="spellStart"/>
      <w:r>
        <w:rPr>
          <w:rFonts w:eastAsia="Times New Roman"/>
        </w:rPr>
        <w:t>NotebookLM</w:t>
      </w:r>
      <w:proofErr w:type="spellEnd"/>
      <w:r>
        <w:rPr>
          <w:rFonts w:eastAsia="Times New Roman"/>
        </w:rPr>
        <w:t xml:space="preserve"> was used as a document-</w:t>
      </w:r>
      <w:proofErr w:type="spellStart"/>
      <w:r>
        <w:rPr>
          <w:rFonts w:eastAsia="Times New Roman"/>
        </w:rPr>
        <w:t>organisation</w:t>
      </w:r>
      <w:proofErr w:type="spellEnd"/>
      <w:r>
        <w:rPr>
          <w:rFonts w:eastAsia="Times New Roman"/>
        </w:rPr>
        <w:t xml:space="preserve"> and retrieval aid; its outputs were not treated as independent evidence. All legal propositions retained in the manuscript were checked against the underlying primary or official source. This procedure is intended to </w:t>
      </w:r>
      <w:proofErr w:type="spellStart"/>
      <w:r>
        <w:rPr>
          <w:rFonts w:eastAsia="Times New Roman"/>
        </w:rPr>
        <w:t>minimise</w:t>
      </w:r>
      <w:proofErr w:type="spellEnd"/>
      <w:r>
        <w:rPr>
          <w:rFonts w:eastAsia="Times New Roman"/>
        </w:rPr>
        <w:t xml:space="preserve"> the risk that automated summaries substitute for legal-source verification.</w:t>
      </w:r>
    </w:p>
    <w:p w14:paraId="56719308" w14:textId="77777777" w:rsidR="0011534A" w:rsidRDefault="00000000">
      <w:pPr>
        <w:pStyle w:val="Heading1"/>
      </w:pPr>
      <w:r>
        <w:t>6. Data Analysis and Findings</w:t>
      </w:r>
    </w:p>
    <w:p w14:paraId="5E228E45" w14:textId="77777777" w:rsidR="0011534A" w:rsidRDefault="00000000">
      <w:pPr>
        <w:pStyle w:val="Heading2"/>
      </w:pPr>
      <w:r>
        <w:t>6.1 Institutional Bodies Responsible for Advertising Regulation</w:t>
      </w:r>
    </w:p>
    <w:p w14:paraId="6EB8CA46" w14:textId="77777777" w:rsidR="0011534A" w:rsidRDefault="00000000">
      <w:pPr>
        <w:pStyle w:val="Heading3"/>
      </w:pPr>
      <w:r>
        <w:t xml:space="preserve">6.1.1 Nigeria: </w:t>
      </w:r>
      <w:proofErr w:type="spellStart"/>
      <w:r>
        <w:t>Centralised</w:t>
      </w:r>
      <w:proofErr w:type="spellEnd"/>
      <w:r>
        <w:t xml:space="preserve"> Advertising-specific Statutory Regulation</w:t>
      </w:r>
    </w:p>
    <w:p w14:paraId="4234DE22" w14:textId="77777777" w:rsidR="0011534A" w:rsidRDefault="00000000">
      <w:r>
        <w:t xml:space="preserve">Nigeria presents the clearest case of </w:t>
      </w:r>
      <w:proofErr w:type="spellStart"/>
      <w:r>
        <w:t>centralised</w:t>
      </w:r>
      <w:proofErr w:type="spellEnd"/>
      <w:r>
        <w:t xml:space="preserve"> advertising-specific regulation among the five jurisdictions. The Advertising Regulatory Council of Nigeria (ARCON) </w:t>
      </w:r>
      <w:r>
        <w:rPr>
          <w:highlight w:val="yellow"/>
        </w:rPr>
        <w:t>is established by Act No. 23 of 2022</w:t>
      </w:r>
      <w:r>
        <w:t xml:space="preserve"> as the apex regulatory authority for advertising, advertisements, and marketing communications. ARCON's official description of its statutory mandate includes regulation and control of advertising practice, consumer protection, standard-setting, professional registration, and pre-exposure clearance of advertisements (Advertising Regulatory Council of Nigeria [ARCON], 2022). The institutional architecture is therefore distinctive because advertising is not merely an incidental component of another regulatory mandate; it is the regulator's principal subject matter.</w:t>
      </w:r>
    </w:p>
    <w:p w14:paraId="013A9E30" w14:textId="77777777" w:rsidR="0011534A" w:rsidRDefault="00000000">
      <w:r>
        <w:rPr>
          <w:rFonts w:eastAsia="Times New Roman"/>
        </w:rPr>
        <w:t xml:space="preserve">The Nigerian framework is supplemented by the Nigerian Code of Advertising and professional and corporate-practice requirements published by ARCON (ARCON, n.d.). This </w:t>
      </w:r>
      <w:proofErr w:type="spellStart"/>
      <w:r>
        <w:rPr>
          <w:rFonts w:eastAsia="Times New Roman"/>
        </w:rPr>
        <w:t>centralisation</w:t>
      </w:r>
      <w:proofErr w:type="spellEnd"/>
      <w:r>
        <w:rPr>
          <w:rFonts w:eastAsia="Times New Roman"/>
        </w:rPr>
        <w:t xml:space="preserve"> does not eliminate sector-specific legislation. Tobacco, health products, financial services, and other sectors may remain subject to additional rules administered by specialist authorities. The appropriate conclusion is therefore that Nigeria possesses a dedicated national advertising layer superimposed on sectoral regulation, not that ARCON is the only public body whose rules can affect advertising.</w:t>
      </w:r>
    </w:p>
    <w:p w14:paraId="40D35720" w14:textId="77777777" w:rsidR="0011534A" w:rsidRDefault="00000000">
      <w:pPr>
        <w:pStyle w:val="Heading3"/>
      </w:pPr>
      <w:r>
        <w:t>6.1.2 Ghana: Sectoral and Hybrid Regulation</w:t>
      </w:r>
    </w:p>
    <w:p w14:paraId="06C24F9B" w14:textId="6AE21A4D" w:rsidR="0011534A" w:rsidRDefault="00000000">
      <w:r>
        <w:rPr>
          <w:rFonts w:eastAsia="Times New Roman"/>
        </w:rPr>
        <w:t xml:space="preserve">Ghana's advertising governance is distributed across statutory sector regulators and industry structures. The Food and Drugs Authority (FDA), acting under the Public Health Act 2012, regulates advertising of products within its statutory mandate, including food, medicines, medical devices, cosmetics, household chemicals, tobacco, and related regulated products (Ghana Ministry of Health, 2012; </w:t>
      </w:r>
      <w:r w:rsidR="00C11BE8" w:rsidRPr="00C11BE8">
        <w:rPr>
          <w:rFonts w:eastAsia="Times New Roman"/>
        </w:rPr>
        <w:t>Food and Drugs Authority</w:t>
      </w:r>
      <w:r>
        <w:rPr>
          <w:rFonts w:eastAsia="Times New Roman"/>
        </w:rPr>
        <w:t xml:space="preserve">, 2023). </w:t>
      </w:r>
      <w:r>
        <w:rPr>
          <w:rFonts w:eastAsia="Times New Roman"/>
        </w:rPr>
        <w:lastRenderedPageBreak/>
        <w:t>The FDA's current advertising guidance requires approval for advertisements of covered regulated products and establishes substantive conditions relating to accuracy, misleading claims, and product status.</w:t>
      </w:r>
    </w:p>
    <w:p w14:paraId="6774983E" w14:textId="77777777" w:rsidR="0011534A" w:rsidRDefault="00000000">
      <w:r>
        <w:rPr>
          <w:rFonts w:eastAsia="Times New Roman"/>
        </w:rPr>
        <w:t xml:space="preserve">The Gaming Commission provides a separate sectoral layer. Its Guidelines on Advertisement require gaming advertisements to be vetted and approved, prohibit misleading content and unsubstantiated claims, </w:t>
      </w:r>
      <w:r>
        <w:rPr>
          <w:rFonts w:eastAsia="Times New Roman"/>
          <w:highlight w:val="yellow"/>
        </w:rPr>
        <w:t>prohibit the use of celebrities</w:t>
      </w:r>
      <w:r>
        <w:rPr>
          <w:rFonts w:eastAsia="Times New Roman"/>
        </w:rPr>
        <w:t xml:space="preserve">, and require responsible-gambling warnings (Gaming Commission of Ghana, 2020). These provisions are consistent with the sector-specific evidence </w:t>
      </w:r>
      <w:proofErr w:type="spellStart"/>
      <w:r>
        <w:rPr>
          <w:rFonts w:eastAsia="Times New Roman"/>
        </w:rPr>
        <w:t>synthesised</w:t>
      </w:r>
      <w:proofErr w:type="spellEnd"/>
      <w:r>
        <w:rPr>
          <w:rFonts w:eastAsia="Times New Roman"/>
        </w:rPr>
        <w:t xml:space="preserve"> by Badu et al. (2025). Industry self-regulation through the Advertising Association of Ghana provides an additional professional layer. Ghana therefore fits a sectoral and hybrid model: advertising-related authority is dispersed by subject matter, while professional standards supplement statutory rules.</w:t>
      </w:r>
    </w:p>
    <w:p w14:paraId="7F015F6E" w14:textId="77777777" w:rsidR="0011534A" w:rsidRDefault="00000000">
      <w:r>
        <w:rPr>
          <w:rFonts w:eastAsia="Times New Roman"/>
        </w:rPr>
        <w:t>A comprehensive Advertising Bill has been discussed for many years but had not become operative legislation by the study's cut-off date. In May 2026, the Advertising Association of Ghana reported renewed collaboration with the Ministry of Trade, Agribusiness and Industry and stakeholder review intended to strengthen the Bill, including digital-advertising provisions (AAG, 2026). The study therefore treats the Bill as evidence of an ongoing reform process, not as current law.</w:t>
      </w:r>
    </w:p>
    <w:p w14:paraId="72B70827" w14:textId="77777777" w:rsidR="0011534A" w:rsidRDefault="00000000">
      <w:pPr>
        <w:pStyle w:val="Heading3"/>
      </w:pPr>
      <w:r>
        <w:t>6.1.3 The Gambia: Consumer-protection-</w:t>
      </w:r>
      <w:proofErr w:type="spellStart"/>
      <w:r>
        <w:t>centred</w:t>
      </w:r>
      <w:proofErr w:type="spellEnd"/>
      <w:r>
        <w:t xml:space="preserve"> Regulation</w:t>
      </w:r>
    </w:p>
    <w:p w14:paraId="72C0B07C" w14:textId="77777777" w:rsidR="0011534A" w:rsidRDefault="00000000">
      <w:r>
        <w:t>The Gambia regulates advertising principally through consumer-protection law. The Gambia Competition and Consumer Protection Commission (GCCPC) is responsible for consumer protection under the Consumer Protection Act 2014, in addition to its competition responsibilities (Gambia Competition and Consumer Protection Commission [GCCPC], n.d.). Section 12 of the Consumer Protection Act contains express advertising provisions and prohibits false or misleading advertising. The legislation also places the burden of proving the truth of advertising statements on the advertiser in specified circumstances (Consumer Protection Act, 2014).</w:t>
      </w:r>
    </w:p>
    <w:p w14:paraId="653F69AC" w14:textId="77777777" w:rsidR="0011534A" w:rsidRDefault="00000000">
      <w:r>
        <w:rPr>
          <w:rFonts w:eastAsia="Times New Roman"/>
        </w:rPr>
        <w:t>This arrangement differs from Nigeria's because advertising is governed as a subset of consumer-market conduct rather than as an independently regulated profession. Nevertheless, it is not merely implicit regulation: the Act contains deliberate advertising provisions and the GCCPC has publicly treated false or misleading advertisements as enforceable consumer-protection matters. The Gambia is therefore best classified as indirect, consumer-protection-</w:t>
      </w:r>
      <w:proofErr w:type="spellStart"/>
      <w:r>
        <w:rPr>
          <w:rFonts w:eastAsia="Times New Roman"/>
        </w:rPr>
        <w:t>centred</w:t>
      </w:r>
      <w:proofErr w:type="spellEnd"/>
      <w:r>
        <w:rPr>
          <w:rFonts w:eastAsia="Times New Roman"/>
        </w:rPr>
        <w:t xml:space="preserve"> advertising regulation with express statutory advertising rules.</w:t>
      </w:r>
    </w:p>
    <w:p w14:paraId="4CC5E997" w14:textId="77777777" w:rsidR="0011534A" w:rsidRDefault="00000000">
      <w:pPr>
        <w:pStyle w:val="Heading3"/>
      </w:pPr>
      <w:r>
        <w:t>6.1.4 Sierra Leone: Media-</w:t>
      </w:r>
      <w:proofErr w:type="spellStart"/>
      <w:r>
        <w:t>centred</w:t>
      </w:r>
      <w:proofErr w:type="spellEnd"/>
      <w:r>
        <w:t xml:space="preserve"> Sectoral Regulation</w:t>
      </w:r>
    </w:p>
    <w:p w14:paraId="5F9F143B" w14:textId="77777777" w:rsidR="0011534A" w:rsidRDefault="00000000">
      <w:r>
        <w:rPr>
          <w:rFonts w:eastAsia="Times New Roman"/>
        </w:rPr>
        <w:t xml:space="preserve">Sierra Leone places advertising within a wider media-regulatory structure. The Independent Media Commission Act 2020 continues the Independent Media Commission (IMC) and provides for registration and regulation of mass-media institutions. Its statutory definition of media institution expressly encompasses advertising and public-relations services, thereby bringing relevant advertising activities within the media-regulatory field (Independent Media Commission Act, 2020). </w:t>
      </w:r>
      <w:r>
        <w:rPr>
          <w:rFonts w:eastAsia="Times New Roman"/>
          <w:highlight w:val="yellow"/>
        </w:rPr>
        <w:t>The subsequent Independent Media Commission (Print and Electronic Media) Regulations, 2022 establish</w:t>
      </w:r>
      <w:r>
        <w:rPr>
          <w:rFonts w:eastAsia="Times New Roman"/>
        </w:rPr>
        <w:t xml:space="preserve"> standards of accuracy, balance, credibility, professional responsibility, and related media conduct (Independent Media Commission [IMC], 2023).</w:t>
      </w:r>
    </w:p>
    <w:p w14:paraId="74D7F51F" w14:textId="77777777" w:rsidR="0011534A" w:rsidRDefault="00000000">
      <w:r>
        <w:rPr>
          <w:rFonts w:eastAsia="Times New Roman"/>
        </w:rPr>
        <w:t xml:space="preserve">The IMC's contemporary enforcement activity demonstrates that the 2022 regulations remain operational: </w:t>
      </w:r>
      <w:r>
        <w:rPr>
          <w:rFonts w:eastAsia="Times New Roman"/>
          <w:highlight w:val="yellow"/>
        </w:rPr>
        <w:t>in 2026, the Commission relied</w:t>
      </w:r>
      <w:r>
        <w:rPr>
          <w:rFonts w:eastAsia="Times New Roman"/>
        </w:rPr>
        <w:t xml:space="preserve"> on Regulation 5(1)(a) </w:t>
      </w:r>
      <w:r>
        <w:rPr>
          <w:rFonts w:eastAsia="Times New Roman"/>
          <w:highlight w:val="yellow"/>
        </w:rPr>
        <w:t>when ordering a retraction and an apology for the publication</w:t>
      </w:r>
      <w:r>
        <w:rPr>
          <w:rFonts w:eastAsia="Times New Roman"/>
        </w:rPr>
        <w:t xml:space="preserve"> of inaccurate information (IMC, 2026). Such evidence establishes active use of the media standards, although it does not demonstrate that every advertising category is comprehensively regulated. Sierra Leone is consequently classified as a media-</w:t>
      </w:r>
      <w:proofErr w:type="spellStart"/>
      <w:r>
        <w:rPr>
          <w:rFonts w:eastAsia="Times New Roman"/>
        </w:rPr>
        <w:t>centred</w:t>
      </w:r>
      <w:proofErr w:type="spellEnd"/>
      <w:r>
        <w:rPr>
          <w:rFonts w:eastAsia="Times New Roman"/>
        </w:rPr>
        <w:t xml:space="preserve"> sectoral system rather than as a dedicated advertising-regulatory regime.</w:t>
      </w:r>
    </w:p>
    <w:p w14:paraId="1BE3905D" w14:textId="77777777" w:rsidR="0011534A" w:rsidRDefault="00000000">
      <w:pPr>
        <w:pStyle w:val="Heading3"/>
      </w:pPr>
      <w:r>
        <w:t>6.1.5 Liberia: Competition- and Intellectual-property-</w:t>
      </w:r>
      <w:proofErr w:type="spellStart"/>
      <w:r>
        <w:t>centred</w:t>
      </w:r>
      <w:proofErr w:type="spellEnd"/>
      <w:r>
        <w:t xml:space="preserve"> Indirect Regulation</w:t>
      </w:r>
    </w:p>
    <w:p w14:paraId="0425FB0F" w14:textId="77777777" w:rsidR="0011534A" w:rsidRDefault="00000000">
      <w:r>
        <w:t xml:space="preserve">Liberia's verified legal position differs from accounts based on a purported 2014 Protection Against Unfair Competition Act. WTO accession records identify that instrument as a draft, and WIPO's comparative review </w:t>
      </w:r>
      <w:r>
        <w:lastRenderedPageBreak/>
        <w:t>states that the draft appears not to have become law (WIPO, n.d.; WTO, 2014). It is therefore inappropriate to treat the 2014 draft as operative Liberian legislation.</w:t>
      </w:r>
    </w:p>
    <w:p w14:paraId="401D1590" w14:textId="14193BA9" w:rsidR="0011534A" w:rsidRDefault="00000000">
      <w:r>
        <w:t>The operative framework relevant to misleading commercial representations is instead found principally in Liberia's Competition Law of 2016, administered through the Ministry of Commerce and Industry (Liberia Ministry of Commerce and Industry [MOCI], 201</w:t>
      </w:r>
      <w:r w:rsidR="00C11BE8">
        <w:t>6</w:t>
      </w:r>
      <w:r>
        <w:t>). Current ministry materials confirm continuing reform efforts aimed at strengthening competition and consumer-protection institutions (MOCI, 2026). The Liberia Intellectual Property Act 2016 provides an additional legal layer concerning marks, misleading indications, and related intellectual-property matters (WIPO, 2016). No comprehensive advertising-specific statute or dedicated advertising regulator was identified within the verified source corpus. Liberia is therefore classified as an indirect system in which relevant advertising conduct is addressed through adjacent commercial-law domains.</w:t>
      </w:r>
    </w:p>
    <w:p w14:paraId="36D1081C" w14:textId="77777777" w:rsidR="0011534A" w:rsidRDefault="00000000">
      <w:pPr>
        <w:pStyle w:val="Heading2"/>
      </w:pPr>
      <w:r>
        <w:t>6.2 Dedicated Advertising Legislation Across the Five Jurisdictions</w:t>
      </w:r>
    </w:p>
    <w:p w14:paraId="0C30E900" w14:textId="77777777" w:rsidR="0011534A" w:rsidRDefault="00000000">
      <w:r>
        <w:rPr>
          <w:rFonts w:eastAsia="Times New Roman"/>
        </w:rPr>
        <w:t xml:space="preserve">The comparison demonstrates a clear difference between advertising-specific statutory consolidation and advertising regulation through adjacent fields. </w:t>
      </w:r>
      <w:r>
        <w:rPr>
          <w:rFonts w:eastAsia="Times New Roman"/>
          <w:highlight w:val="yellow"/>
        </w:rPr>
        <w:t>Among the five countries studied, Nigeria alone has</w:t>
      </w:r>
      <w:r>
        <w:rPr>
          <w:rFonts w:eastAsia="Times New Roman"/>
        </w:rPr>
        <w:t xml:space="preserve"> a comprehensive national statute whose central purpose is the regulation of advertising, advertisements, and marketing communications. Ghana has extensive sector-specific controls but no operative comprehensive advertising statute as at 21 August 2026. The Gambia has explicit advertising provisions within consumer-protection legislation. Sierra Leone incorporates advertising within the scope of media regulation. Liberia relies more indirectly on competition and intellectual-property law.</w:t>
      </w:r>
    </w:p>
    <w:p w14:paraId="4B675BC6" w14:textId="77777777" w:rsidR="0011534A" w:rsidRDefault="00000000">
      <w:r>
        <w:rPr>
          <w:rFonts w:eastAsia="Times New Roman"/>
        </w:rPr>
        <w:t xml:space="preserve">This distinction is analytically important because the absence of a dedicated advertising statute should not be conflated with regulatory absence. The Gambia provides a particularly clear example: its Consumer Protection Act expressly addresses advertising despite the absence of a </w:t>
      </w:r>
      <w:proofErr w:type="spellStart"/>
      <w:r>
        <w:rPr>
          <w:rFonts w:eastAsia="Times New Roman"/>
        </w:rPr>
        <w:t>specialised</w:t>
      </w:r>
      <w:proofErr w:type="spellEnd"/>
      <w:r>
        <w:rPr>
          <w:rFonts w:eastAsia="Times New Roman"/>
        </w:rPr>
        <w:t xml:space="preserve"> advertising regulator. Similarly, Ghana's public-health and gaming regimes impose meaningful approval and content obligations within defined sectors. The legal question is therefore not simply whether a country has an 'Advertising Act', but which institutions possess authority over particular advertising practices and how those authorities interact.</w:t>
      </w:r>
    </w:p>
    <w:p w14:paraId="57388C4D" w14:textId="77777777" w:rsidR="0011534A" w:rsidRDefault="00000000">
      <w:pPr>
        <w:pStyle w:val="Heading2"/>
      </w:pPr>
      <w:r>
        <w:t>6.3 Common Principles and Standards</w:t>
      </w:r>
    </w:p>
    <w:p w14:paraId="2F6B49DA" w14:textId="77777777" w:rsidR="0011534A" w:rsidRDefault="00000000">
      <w:r>
        <w:t xml:space="preserve">A common normative core can be identified, although the precise legal formulations differ. The strongest recurring principle is the control of false, misleading, inaccurate, or otherwise deceptive commercial communication. Nigeria's regulatory architecture identifies misleading advertising as a core concern of pre-exposure review (ARCON, 2022). Ghana's Public Health Act and FDA guidance prohibit misleading claims for regulated products, while the Gaming Commission requires advertising to be non-misleading and claims to be substantiated (FDA, 2023; Gaming Commission of Ghana, 2020). The Gambia's Consumer Protection Act expressly prohibits false or misleading advertising and allocates evidentiary responsibility to advertisers for relevant claims. Liberia's Competition Law addresses misrepresentation and unfair trade practices. Sierra Leone's media regulations </w:t>
      </w:r>
      <w:proofErr w:type="spellStart"/>
      <w:r>
        <w:t>emphasise</w:t>
      </w:r>
      <w:proofErr w:type="spellEnd"/>
      <w:r>
        <w:t xml:space="preserve"> accuracy and credible information, although their scope is framed through media responsibility rather than a general advertising code.</w:t>
      </w:r>
    </w:p>
    <w:p w14:paraId="41FD0EE8" w14:textId="77777777" w:rsidR="0011534A" w:rsidRDefault="00000000">
      <w:r>
        <w:rPr>
          <w:rFonts w:eastAsia="Times New Roman"/>
        </w:rPr>
        <w:t>A second recurring principle is responsibility for the evidentiary basis or accuracy of promotional claims. This principle is strongest where legislation or sectoral guidance explicitly places substantiation obligations on advertisers, as in The Gambia and Ghanaian gaming regulation. In other jurisdictions, the comparable requirement appears through broader duties of truthfulness, accuracy, or non-misrepresentation. The documents therefore support a conclusion of normative convergence around anti-deception and accuracy, but not an assertion that every jurisdiction uses identical substantiation rules or identical standards of decency.</w:t>
      </w:r>
    </w:p>
    <w:p w14:paraId="2431A48A" w14:textId="77777777" w:rsidR="0011534A" w:rsidRDefault="00000000">
      <w:pPr>
        <w:pStyle w:val="Heading2"/>
      </w:pPr>
      <w:r>
        <w:lastRenderedPageBreak/>
        <w:t>6.4 Differences in Approval, Sectoral Restrictions, and Enforcement</w:t>
      </w:r>
    </w:p>
    <w:p w14:paraId="1F81F5D6" w14:textId="77777777" w:rsidR="0011534A" w:rsidRDefault="00000000">
      <w:r>
        <w:rPr>
          <w:rFonts w:eastAsia="Times New Roman"/>
        </w:rPr>
        <w:t xml:space="preserve">The most operationally significant differences concern when regulatory scrutiny occurs, which products receive </w:t>
      </w:r>
      <w:proofErr w:type="spellStart"/>
      <w:r>
        <w:rPr>
          <w:rFonts w:eastAsia="Times New Roman"/>
        </w:rPr>
        <w:t>specialised</w:t>
      </w:r>
      <w:proofErr w:type="spellEnd"/>
      <w:r>
        <w:rPr>
          <w:rFonts w:eastAsia="Times New Roman"/>
        </w:rPr>
        <w:t xml:space="preserve"> treatment, and which remedies are available. Nigeria operates a broad pre-exposure vetting system through ARCON. Ghana uses pre-approval within specific sectors, notably FDA-regulated products and gaming advertisements. The Gambia's consumer-protection framework is principally complaint- and enforcement-oriented rather than a general prior-vetting system. Sierra Leone's media framework is predominantly supervisory and remedial within licensed or registered media activity. Liberia's competition framework is also primarily ex post and commercial-law based.</w:t>
      </w:r>
    </w:p>
    <w:p w14:paraId="57C0D2F4" w14:textId="77777777" w:rsidR="0011534A" w:rsidRDefault="00000000">
      <w:r>
        <w:rPr>
          <w:rFonts w:eastAsia="Times New Roman"/>
        </w:rPr>
        <w:t xml:space="preserve">Sector-specific restrictions further complicate regional </w:t>
      </w:r>
      <w:proofErr w:type="spellStart"/>
      <w:r>
        <w:rPr>
          <w:rFonts w:eastAsia="Times New Roman"/>
        </w:rPr>
        <w:t>standardisation</w:t>
      </w:r>
      <w:proofErr w:type="spellEnd"/>
      <w:r>
        <w:rPr>
          <w:rFonts w:eastAsia="Times New Roman"/>
        </w:rPr>
        <w:t xml:space="preserve">. Ghana's gaming guidelines prohibit celebrity use, require responsible-gambling warnings, and </w:t>
      </w:r>
      <w:r>
        <w:rPr>
          <w:rFonts w:eastAsia="Times New Roman"/>
          <w:highlight w:val="yellow"/>
        </w:rPr>
        <w:t>require approval by the Commission</w:t>
      </w:r>
      <w:r>
        <w:rPr>
          <w:rFonts w:eastAsia="Times New Roman"/>
        </w:rPr>
        <w:t xml:space="preserve">. Public-health regulation also creates specific requirements for regulated products. In Nigeria, general ARCON rules coexist with </w:t>
      </w:r>
      <w:proofErr w:type="spellStart"/>
      <w:r>
        <w:rPr>
          <w:rFonts w:eastAsia="Times New Roman"/>
        </w:rPr>
        <w:t>specialised</w:t>
      </w:r>
      <w:proofErr w:type="spellEnd"/>
      <w:r>
        <w:rPr>
          <w:rFonts w:eastAsia="Times New Roman"/>
        </w:rPr>
        <w:t xml:space="preserve"> public-health controls; tobacco regulation illustrates how product-specific advertising rules can develop through a separate statutory trajectory (Egbe et al., 2019). These variations confirm that an international advertiser cannot infer full compliance from conformity with a general national advertising code alone.</w:t>
      </w:r>
    </w:p>
    <w:p w14:paraId="1B69CE08" w14:textId="77777777" w:rsidR="0011534A" w:rsidRDefault="00000000">
      <w:r>
        <w:rPr>
          <w:rFonts w:eastAsia="Times New Roman"/>
        </w:rPr>
        <w:t xml:space="preserve">Enforcement mechanisms also differ in institutional form. Nigeria has an advertising-specific regulator and </w:t>
      </w:r>
      <w:proofErr w:type="spellStart"/>
      <w:r>
        <w:rPr>
          <w:rFonts w:eastAsia="Times New Roman"/>
        </w:rPr>
        <w:t>specialised</w:t>
      </w:r>
      <w:proofErr w:type="spellEnd"/>
      <w:r>
        <w:rPr>
          <w:rFonts w:eastAsia="Times New Roman"/>
        </w:rPr>
        <w:t xml:space="preserve"> enforcement architecture under the ARCON Act. The Gambia uses consumer-protection institutions and tribunals. Sierra Leone relies on the IMC's regulatory and complaints powers within media governance, including corrective remedies such as retractions and apologies. Liberia's current system relies on institutions responsible for competition and related commercial law; the Ministry of Commerce and Industry acknowledged in 2026 that weaknesses in implementation of the 2016 Competition Law had prompted </w:t>
      </w:r>
      <w:r>
        <w:rPr>
          <w:rFonts w:eastAsia="Times New Roman"/>
          <w:highlight w:val="yellow"/>
        </w:rPr>
        <w:t>reform efforts towards a stronger competition and consumer-protection authority</w:t>
      </w:r>
      <w:r>
        <w:rPr>
          <w:rFonts w:eastAsia="Times New Roman"/>
        </w:rPr>
        <w:t xml:space="preserve"> (MOCI, 2026). This evidence cautions against assuming that formal legal coverage is equivalent to institutional capacity or enforcement intensity.</w:t>
      </w:r>
    </w:p>
    <w:p w14:paraId="4511D841" w14:textId="77777777" w:rsidR="0011534A" w:rsidRDefault="00000000">
      <w:pPr>
        <w:keepNext/>
        <w:jc w:val="center"/>
      </w:pPr>
      <w:r>
        <w:rPr>
          <w:rFonts w:eastAsia="Times New Roman"/>
          <w:b/>
          <w:sz w:val="21"/>
        </w:rPr>
        <w:t>Table 2. Comparative profile of advertising-regulatory architecture</w:t>
      </w:r>
    </w:p>
    <w:tbl>
      <w:tblPr>
        <w:tblStyle w:val="TableGrid"/>
        <w:tblW w:w="0" w:type="auto"/>
        <w:jc w:val="center"/>
        <w:tblLayout w:type="fixed"/>
        <w:tblLook w:val="04A0" w:firstRow="1" w:lastRow="0" w:firstColumn="1" w:lastColumn="0" w:noHBand="0" w:noVBand="1"/>
      </w:tblPr>
      <w:tblGrid>
        <w:gridCol w:w="1512"/>
        <w:gridCol w:w="2232"/>
        <w:gridCol w:w="2232"/>
        <w:gridCol w:w="2088"/>
        <w:gridCol w:w="1800"/>
      </w:tblGrid>
      <w:tr w:rsidR="0011534A" w14:paraId="24AF4747" w14:textId="77777777">
        <w:trPr>
          <w:cantSplit/>
          <w:tblHeader/>
          <w:jc w:val="center"/>
        </w:trPr>
        <w:tc>
          <w:tcPr>
            <w:tcW w:w="1512" w:type="dxa"/>
            <w:shd w:val="clear" w:color="auto" w:fill="D9E2F3"/>
            <w:tcMar>
              <w:top w:w="90" w:type="dxa"/>
              <w:left w:w="90" w:type="dxa"/>
              <w:bottom w:w="90" w:type="dxa"/>
              <w:right w:w="90" w:type="dxa"/>
            </w:tcMar>
            <w:vAlign w:val="center"/>
          </w:tcPr>
          <w:p w14:paraId="58A21D2A" w14:textId="77777777" w:rsidR="0011534A" w:rsidRDefault="00000000">
            <w:pPr>
              <w:jc w:val="left"/>
            </w:pPr>
            <w:r>
              <w:rPr>
                <w:rFonts w:eastAsia="Times New Roman"/>
                <w:b/>
                <w:sz w:val="16"/>
              </w:rPr>
              <w:t>Country</w:t>
            </w:r>
          </w:p>
        </w:tc>
        <w:tc>
          <w:tcPr>
            <w:tcW w:w="2232" w:type="dxa"/>
            <w:shd w:val="clear" w:color="auto" w:fill="D9E2F3"/>
            <w:tcMar>
              <w:top w:w="90" w:type="dxa"/>
              <w:left w:w="90" w:type="dxa"/>
              <w:bottom w:w="90" w:type="dxa"/>
              <w:right w:w="90" w:type="dxa"/>
            </w:tcMar>
            <w:vAlign w:val="center"/>
          </w:tcPr>
          <w:p w14:paraId="5E45AF25" w14:textId="77777777" w:rsidR="0011534A" w:rsidRDefault="00000000">
            <w:pPr>
              <w:jc w:val="left"/>
            </w:pPr>
            <w:r>
              <w:rPr>
                <w:rFonts w:eastAsia="Times New Roman"/>
                <w:b/>
                <w:sz w:val="16"/>
              </w:rPr>
              <w:t>Dominant model</w:t>
            </w:r>
          </w:p>
        </w:tc>
        <w:tc>
          <w:tcPr>
            <w:tcW w:w="2232" w:type="dxa"/>
            <w:shd w:val="clear" w:color="auto" w:fill="D9E2F3"/>
            <w:tcMar>
              <w:top w:w="90" w:type="dxa"/>
              <w:left w:w="90" w:type="dxa"/>
              <w:bottom w:w="90" w:type="dxa"/>
              <w:right w:w="90" w:type="dxa"/>
            </w:tcMar>
            <w:vAlign w:val="center"/>
          </w:tcPr>
          <w:p w14:paraId="325D04F2" w14:textId="77777777" w:rsidR="0011534A" w:rsidRDefault="00000000">
            <w:pPr>
              <w:jc w:val="left"/>
            </w:pPr>
            <w:r>
              <w:rPr>
                <w:rFonts w:eastAsia="Times New Roman"/>
                <w:b/>
                <w:sz w:val="16"/>
              </w:rPr>
              <w:t>Dedicated advertising statute?</w:t>
            </w:r>
          </w:p>
        </w:tc>
        <w:tc>
          <w:tcPr>
            <w:tcW w:w="2088" w:type="dxa"/>
            <w:shd w:val="clear" w:color="auto" w:fill="D9E2F3"/>
            <w:tcMar>
              <w:top w:w="90" w:type="dxa"/>
              <w:left w:w="90" w:type="dxa"/>
              <w:bottom w:w="90" w:type="dxa"/>
              <w:right w:w="90" w:type="dxa"/>
            </w:tcMar>
            <w:vAlign w:val="center"/>
          </w:tcPr>
          <w:p w14:paraId="35937DF9" w14:textId="77777777" w:rsidR="0011534A" w:rsidRDefault="00000000">
            <w:pPr>
              <w:jc w:val="left"/>
            </w:pPr>
            <w:r>
              <w:rPr>
                <w:rFonts w:eastAsia="Times New Roman"/>
                <w:b/>
                <w:sz w:val="16"/>
              </w:rPr>
              <w:t>Pre-approval in examined corpus</w:t>
            </w:r>
          </w:p>
        </w:tc>
        <w:tc>
          <w:tcPr>
            <w:tcW w:w="1800" w:type="dxa"/>
            <w:shd w:val="clear" w:color="auto" w:fill="D9E2F3"/>
            <w:tcMar>
              <w:top w:w="90" w:type="dxa"/>
              <w:left w:w="90" w:type="dxa"/>
              <w:bottom w:w="90" w:type="dxa"/>
              <w:right w:w="90" w:type="dxa"/>
            </w:tcMar>
            <w:vAlign w:val="center"/>
          </w:tcPr>
          <w:p w14:paraId="76548CED" w14:textId="77777777" w:rsidR="0011534A" w:rsidRDefault="00000000">
            <w:pPr>
              <w:jc w:val="left"/>
            </w:pPr>
            <w:r>
              <w:rPr>
                <w:rFonts w:eastAsia="Times New Roman"/>
                <w:b/>
                <w:sz w:val="16"/>
              </w:rPr>
              <w:t>Principal enforcement locus</w:t>
            </w:r>
          </w:p>
        </w:tc>
      </w:tr>
      <w:tr w:rsidR="0011534A" w14:paraId="56868F15" w14:textId="77777777">
        <w:trPr>
          <w:cantSplit/>
          <w:jc w:val="center"/>
        </w:trPr>
        <w:tc>
          <w:tcPr>
            <w:tcW w:w="1512" w:type="dxa"/>
            <w:tcMar>
              <w:top w:w="90" w:type="dxa"/>
              <w:left w:w="90" w:type="dxa"/>
              <w:bottom w:w="90" w:type="dxa"/>
              <w:right w:w="90" w:type="dxa"/>
            </w:tcMar>
            <w:vAlign w:val="center"/>
          </w:tcPr>
          <w:p w14:paraId="734E26E9" w14:textId="77777777" w:rsidR="0011534A" w:rsidRDefault="00000000">
            <w:pPr>
              <w:spacing w:after="0" w:line="240" w:lineRule="auto"/>
              <w:jc w:val="left"/>
            </w:pPr>
            <w:r>
              <w:rPr>
                <w:rFonts w:eastAsia="Times New Roman"/>
                <w:sz w:val="16"/>
              </w:rPr>
              <w:t>Nigeria</w:t>
            </w:r>
          </w:p>
        </w:tc>
        <w:tc>
          <w:tcPr>
            <w:tcW w:w="2232" w:type="dxa"/>
            <w:tcMar>
              <w:top w:w="90" w:type="dxa"/>
              <w:left w:w="90" w:type="dxa"/>
              <w:bottom w:w="90" w:type="dxa"/>
              <w:right w:w="90" w:type="dxa"/>
            </w:tcMar>
            <w:vAlign w:val="center"/>
          </w:tcPr>
          <w:p w14:paraId="1837BAB9" w14:textId="77777777" w:rsidR="0011534A" w:rsidRDefault="00000000">
            <w:pPr>
              <w:spacing w:after="0" w:line="240" w:lineRule="auto"/>
              <w:jc w:val="left"/>
            </w:pPr>
            <w:proofErr w:type="spellStart"/>
            <w:r>
              <w:rPr>
                <w:rFonts w:eastAsia="Times New Roman"/>
                <w:sz w:val="16"/>
              </w:rPr>
              <w:t>Centralised</w:t>
            </w:r>
            <w:proofErr w:type="spellEnd"/>
            <w:r>
              <w:rPr>
                <w:rFonts w:eastAsia="Times New Roman"/>
                <w:sz w:val="16"/>
              </w:rPr>
              <w:t xml:space="preserve"> advertising-specific</w:t>
            </w:r>
          </w:p>
        </w:tc>
        <w:tc>
          <w:tcPr>
            <w:tcW w:w="2232" w:type="dxa"/>
            <w:tcMar>
              <w:top w:w="90" w:type="dxa"/>
              <w:left w:w="90" w:type="dxa"/>
              <w:bottom w:w="90" w:type="dxa"/>
              <w:right w:w="90" w:type="dxa"/>
            </w:tcMar>
            <w:vAlign w:val="center"/>
          </w:tcPr>
          <w:p w14:paraId="2D030B46" w14:textId="77777777" w:rsidR="0011534A" w:rsidRDefault="00000000">
            <w:pPr>
              <w:spacing w:after="0" w:line="240" w:lineRule="auto"/>
              <w:jc w:val="left"/>
            </w:pPr>
            <w:r>
              <w:rPr>
                <w:rFonts w:eastAsia="Times New Roman"/>
                <w:sz w:val="16"/>
              </w:rPr>
              <w:t>Yes: ARCON Act 2022</w:t>
            </w:r>
          </w:p>
        </w:tc>
        <w:tc>
          <w:tcPr>
            <w:tcW w:w="2088" w:type="dxa"/>
            <w:tcMar>
              <w:top w:w="90" w:type="dxa"/>
              <w:left w:w="90" w:type="dxa"/>
              <w:bottom w:w="90" w:type="dxa"/>
              <w:right w:w="90" w:type="dxa"/>
            </w:tcMar>
            <w:vAlign w:val="center"/>
          </w:tcPr>
          <w:p w14:paraId="68D43B84" w14:textId="77777777" w:rsidR="0011534A" w:rsidRDefault="00000000">
            <w:pPr>
              <w:spacing w:after="0" w:line="240" w:lineRule="auto"/>
              <w:jc w:val="left"/>
            </w:pPr>
            <w:r>
              <w:rPr>
                <w:rFonts w:eastAsia="Times New Roman"/>
                <w:sz w:val="16"/>
              </w:rPr>
              <w:t>Broad ARCON pre-exposure vetting</w:t>
            </w:r>
          </w:p>
        </w:tc>
        <w:tc>
          <w:tcPr>
            <w:tcW w:w="1800" w:type="dxa"/>
            <w:tcMar>
              <w:top w:w="90" w:type="dxa"/>
              <w:left w:w="90" w:type="dxa"/>
              <w:bottom w:w="90" w:type="dxa"/>
              <w:right w:w="90" w:type="dxa"/>
            </w:tcMar>
            <w:vAlign w:val="center"/>
          </w:tcPr>
          <w:p w14:paraId="30FC34E9" w14:textId="77777777" w:rsidR="0011534A" w:rsidRDefault="00000000">
            <w:pPr>
              <w:spacing w:after="0" w:line="240" w:lineRule="auto"/>
              <w:jc w:val="left"/>
            </w:pPr>
            <w:r>
              <w:rPr>
                <w:rFonts w:eastAsia="Times New Roman"/>
                <w:sz w:val="16"/>
              </w:rPr>
              <w:t>ARCON and statutory advertising mechanisms</w:t>
            </w:r>
          </w:p>
        </w:tc>
      </w:tr>
      <w:tr w:rsidR="0011534A" w14:paraId="2240C46E" w14:textId="77777777">
        <w:trPr>
          <w:cantSplit/>
          <w:jc w:val="center"/>
        </w:trPr>
        <w:tc>
          <w:tcPr>
            <w:tcW w:w="1512" w:type="dxa"/>
            <w:tcMar>
              <w:top w:w="90" w:type="dxa"/>
              <w:left w:w="90" w:type="dxa"/>
              <w:bottom w:w="90" w:type="dxa"/>
              <w:right w:w="90" w:type="dxa"/>
            </w:tcMar>
            <w:vAlign w:val="center"/>
          </w:tcPr>
          <w:p w14:paraId="032BFA90" w14:textId="77777777" w:rsidR="0011534A" w:rsidRDefault="00000000">
            <w:pPr>
              <w:spacing w:after="0" w:line="240" w:lineRule="auto"/>
              <w:jc w:val="left"/>
            </w:pPr>
            <w:r>
              <w:rPr>
                <w:rFonts w:eastAsia="Times New Roman"/>
                <w:sz w:val="16"/>
              </w:rPr>
              <w:t>Ghana</w:t>
            </w:r>
          </w:p>
        </w:tc>
        <w:tc>
          <w:tcPr>
            <w:tcW w:w="2232" w:type="dxa"/>
            <w:tcMar>
              <w:top w:w="90" w:type="dxa"/>
              <w:left w:w="90" w:type="dxa"/>
              <w:bottom w:w="90" w:type="dxa"/>
              <w:right w:w="90" w:type="dxa"/>
            </w:tcMar>
            <w:vAlign w:val="center"/>
          </w:tcPr>
          <w:p w14:paraId="4938294C" w14:textId="77777777" w:rsidR="0011534A" w:rsidRDefault="00000000">
            <w:pPr>
              <w:spacing w:after="0" w:line="240" w:lineRule="auto"/>
              <w:jc w:val="left"/>
            </w:pPr>
            <w:r>
              <w:rPr>
                <w:rFonts w:eastAsia="Times New Roman"/>
                <w:sz w:val="16"/>
              </w:rPr>
              <w:t>Sectoral/hybrid</w:t>
            </w:r>
          </w:p>
        </w:tc>
        <w:tc>
          <w:tcPr>
            <w:tcW w:w="2232" w:type="dxa"/>
            <w:tcMar>
              <w:top w:w="90" w:type="dxa"/>
              <w:left w:w="90" w:type="dxa"/>
              <w:bottom w:w="90" w:type="dxa"/>
              <w:right w:w="90" w:type="dxa"/>
            </w:tcMar>
            <w:vAlign w:val="center"/>
          </w:tcPr>
          <w:p w14:paraId="0A95314A" w14:textId="77777777" w:rsidR="0011534A" w:rsidRDefault="00000000">
            <w:pPr>
              <w:spacing w:after="0" w:line="240" w:lineRule="auto"/>
              <w:jc w:val="left"/>
            </w:pPr>
            <w:r>
              <w:rPr>
                <w:rFonts w:eastAsia="Times New Roman"/>
                <w:sz w:val="16"/>
              </w:rPr>
              <w:t>No comprehensive operative Act</w:t>
            </w:r>
          </w:p>
        </w:tc>
        <w:tc>
          <w:tcPr>
            <w:tcW w:w="2088" w:type="dxa"/>
            <w:tcMar>
              <w:top w:w="90" w:type="dxa"/>
              <w:left w:w="90" w:type="dxa"/>
              <w:bottom w:w="90" w:type="dxa"/>
              <w:right w:w="90" w:type="dxa"/>
            </w:tcMar>
            <w:vAlign w:val="center"/>
          </w:tcPr>
          <w:p w14:paraId="1890A4D9" w14:textId="77777777" w:rsidR="0011534A" w:rsidRDefault="00000000">
            <w:pPr>
              <w:spacing w:after="0" w:line="240" w:lineRule="auto"/>
              <w:jc w:val="left"/>
            </w:pPr>
            <w:r>
              <w:rPr>
                <w:rFonts w:eastAsia="Times New Roman"/>
                <w:sz w:val="16"/>
              </w:rPr>
              <w:t>Yes, in selected regulated sectors</w:t>
            </w:r>
          </w:p>
        </w:tc>
        <w:tc>
          <w:tcPr>
            <w:tcW w:w="1800" w:type="dxa"/>
            <w:tcMar>
              <w:top w:w="90" w:type="dxa"/>
              <w:left w:w="90" w:type="dxa"/>
              <w:bottom w:w="90" w:type="dxa"/>
              <w:right w:w="90" w:type="dxa"/>
            </w:tcMar>
            <w:vAlign w:val="center"/>
          </w:tcPr>
          <w:p w14:paraId="0010DED2" w14:textId="77777777" w:rsidR="0011534A" w:rsidRDefault="00000000">
            <w:pPr>
              <w:spacing w:after="0" w:line="240" w:lineRule="auto"/>
              <w:jc w:val="left"/>
            </w:pPr>
            <w:r>
              <w:rPr>
                <w:rFonts w:eastAsia="Times New Roman"/>
                <w:sz w:val="16"/>
              </w:rPr>
              <w:t>FDA, Gaming Commission and other sector regulators</w:t>
            </w:r>
          </w:p>
        </w:tc>
      </w:tr>
      <w:tr w:rsidR="0011534A" w14:paraId="7B5925FE" w14:textId="77777777">
        <w:trPr>
          <w:cantSplit/>
          <w:jc w:val="center"/>
        </w:trPr>
        <w:tc>
          <w:tcPr>
            <w:tcW w:w="1512" w:type="dxa"/>
            <w:tcMar>
              <w:top w:w="90" w:type="dxa"/>
              <w:left w:w="90" w:type="dxa"/>
              <w:bottom w:w="90" w:type="dxa"/>
              <w:right w:w="90" w:type="dxa"/>
            </w:tcMar>
            <w:vAlign w:val="center"/>
          </w:tcPr>
          <w:p w14:paraId="29BC74E6" w14:textId="77777777" w:rsidR="0011534A" w:rsidRDefault="00000000">
            <w:pPr>
              <w:spacing w:after="0" w:line="240" w:lineRule="auto"/>
              <w:jc w:val="left"/>
            </w:pPr>
            <w:r>
              <w:rPr>
                <w:rFonts w:eastAsia="Times New Roman"/>
                <w:sz w:val="16"/>
              </w:rPr>
              <w:t>The Gambia</w:t>
            </w:r>
          </w:p>
        </w:tc>
        <w:tc>
          <w:tcPr>
            <w:tcW w:w="2232" w:type="dxa"/>
            <w:tcMar>
              <w:top w:w="90" w:type="dxa"/>
              <w:left w:w="90" w:type="dxa"/>
              <w:bottom w:w="90" w:type="dxa"/>
              <w:right w:w="90" w:type="dxa"/>
            </w:tcMar>
            <w:vAlign w:val="center"/>
          </w:tcPr>
          <w:p w14:paraId="3DDD60DD" w14:textId="77777777" w:rsidR="0011534A" w:rsidRDefault="00000000">
            <w:pPr>
              <w:spacing w:after="0" w:line="240" w:lineRule="auto"/>
              <w:jc w:val="left"/>
            </w:pPr>
            <w:r>
              <w:rPr>
                <w:rFonts w:eastAsia="Times New Roman"/>
                <w:sz w:val="16"/>
              </w:rPr>
              <w:t>Consumer-protection-</w:t>
            </w:r>
            <w:proofErr w:type="spellStart"/>
            <w:r>
              <w:rPr>
                <w:rFonts w:eastAsia="Times New Roman"/>
                <w:sz w:val="16"/>
              </w:rPr>
              <w:t>centred</w:t>
            </w:r>
            <w:proofErr w:type="spellEnd"/>
            <w:r>
              <w:rPr>
                <w:rFonts w:eastAsia="Times New Roman"/>
                <w:sz w:val="16"/>
              </w:rPr>
              <w:t xml:space="preserve"> indirect</w:t>
            </w:r>
          </w:p>
        </w:tc>
        <w:tc>
          <w:tcPr>
            <w:tcW w:w="2232" w:type="dxa"/>
            <w:tcMar>
              <w:top w:w="90" w:type="dxa"/>
              <w:left w:w="90" w:type="dxa"/>
              <w:bottom w:w="90" w:type="dxa"/>
              <w:right w:w="90" w:type="dxa"/>
            </w:tcMar>
            <w:vAlign w:val="center"/>
          </w:tcPr>
          <w:p w14:paraId="70D9D8CC" w14:textId="77777777" w:rsidR="0011534A" w:rsidRDefault="00000000">
            <w:pPr>
              <w:spacing w:after="0" w:line="240" w:lineRule="auto"/>
              <w:jc w:val="left"/>
            </w:pPr>
            <w:r>
              <w:rPr>
                <w:rFonts w:eastAsia="Times New Roman"/>
                <w:sz w:val="16"/>
              </w:rPr>
              <w:t>No</w:t>
            </w:r>
          </w:p>
        </w:tc>
        <w:tc>
          <w:tcPr>
            <w:tcW w:w="2088" w:type="dxa"/>
            <w:tcMar>
              <w:top w:w="90" w:type="dxa"/>
              <w:left w:w="90" w:type="dxa"/>
              <w:bottom w:w="90" w:type="dxa"/>
              <w:right w:w="90" w:type="dxa"/>
            </w:tcMar>
            <w:vAlign w:val="center"/>
          </w:tcPr>
          <w:p w14:paraId="705EF421" w14:textId="77777777" w:rsidR="0011534A" w:rsidRDefault="00000000">
            <w:pPr>
              <w:spacing w:after="0" w:line="240" w:lineRule="auto"/>
              <w:jc w:val="left"/>
            </w:pPr>
            <w:r>
              <w:rPr>
                <w:rFonts w:eastAsia="Times New Roman"/>
                <w:sz w:val="16"/>
              </w:rPr>
              <w:t>No general prior-vetting requirement identified</w:t>
            </w:r>
          </w:p>
        </w:tc>
        <w:tc>
          <w:tcPr>
            <w:tcW w:w="1800" w:type="dxa"/>
            <w:tcMar>
              <w:top w:w="90" w:type="dxa"/>
              <w:left w:w="90" w:type="dxa"/>
              <w:bottom w:w="90" w:type="dxa"/>
              <w:right w:w="90" w:type="dxa"/>
            </w:tcMar>
            <w:vAlign w:val="center"/>
          </w:tcPr>
          <w:p w14:paraId="05C89718" w14:textId="77777777" w:rsidR="0011534A" w:rsidRDefault="00000000">
            <w:pPr>
              <w:spacing w:after="0" w:line="240" w:lineRule="auto"/>
              <w:jc w:val="left"/>
            </w:pPr>
            <w:r>
              <w:rPr>
                <w:rFonts w:eastAsia="Times New Roman"/>
                <w:sz w:val="16"/>
              </w:rPr>
              <w:t>GCCPC and consumer-protection institutions</w:t>
            </w:r>
          </w:p>
        </w:tc>
      </w:tr>
      <w:tr w:rsidR="0011534A" w14:paraId="38502865" w14:textId="77777777">
        <w:trPr>
          <w:cantSplit/>
          <w:jc w:val="center"/>
        </w:trPr>
        <w:tc>
          <w:tcPr>
            <w:tcW w:w="1512" w:type="dxa"/>
            <w:tcMar>
              <w:top w:w="90" w:type="dxa"/>
              <w:left w:w="90" w:type="dxa"/>
              <w:bottom w:w="90" w:type="dxa"/>
              <w:right w:w="90" w:type="dxa"/>
            </w:tcMar>
            <w:vAlign w:val="center"/>
          </w:tcPr>
          <w:p w14:paraId="26137CE8" w14:textId="77777777" w:rsidR="0011534A" w:rsidRDefault="00000000">
            <w:pPr>
              <w:spacing w:after="0" w:line="240" w:lineRule="auto"/>
              <w:jc w:val="left"/>
            </w:pPr>
            <w:r>
              <w:rPr>
                <w:rFonts w:eastAsia="Times New Roman"/>
                <w:sz w:val="16"/>
              </w:rPr>
              <w:t>Sierra Leone</w:t>
            </w:r>
          </w:p>
        </w:tc>
        <w:tc>
          <w:tcPr>
            <w:tcW w:w="2232" w:type="dxa"/>
            <w:tcMar>
              <w:top w:w="90" w:type="dxa"/>
              <w:left w:w="90" w:type="dxa"/>
              <w:bottom w:w="90" w:type="dxa"/>
              <w:right w:w="90" w:type="dxa"/>
            </w:tcMar>
            <w:vAlign w:val="center"/>
          </w:tcPr>
          <w:p w14:paraId="54AB9F08" w14:textId="77777777" w:rsidR="0011534A" w:rsidRDefault="00000000">
            <w:pPr>
              <w:spacing w:after="0" w:line="240" w:lineRule="auto"/>
              <w:jc w:val="left"/>
            </w:pPr>
            <w:r>
              <w:rPr>
                <w:rFonts w:eastAsia="Times New Roman"/>
                <w:sz w:val="16"/>
              </w:rPr>
              <w:t>Media-</w:t>
            </w:r>
            <w:proofErr w:type="spellStart"/>
            <w:r>
              <w:rPr>
                <w:rFonts w:eastAsia="Times New Roman"/>
                <w:sz w:val="16"/>
              </w:rPr>
              <w:t>centred</w:t>
            </w:r>
            <w:proofErr w:type="spellEnd"/>
            <w:r>
              <w:rPr>
                <w:rFonts w:eastAsia="Times New Roman"/>
                <w:sz w:val="16"/>
              </w:rPr>
              <w:t xml:space="preserve"> sectoral</w:t>
            </w:r>
          </w:p>
        </w:tc>
        <w:tc>
          <w:tcPr>
            <w:tcW w:w="2232" w:type="dxa"/>
            <w:tcMar>
              <w:top w:w="90" w:type="dxa"/>
              <w:left w:w="90" w:type="dxa"/>
              <w:bottom w:w="90" w:type="dxa"/>
              <w:right w:w="90" w:type="dxa"/>
            </w:tcMar>
            <w:vAlign w:val="center"/>
          </w:tcPr>
          <w:p w14:paraId="5700CC13" w14:textId="77777777" w:rsidR="0011534A" w:rsidRDefault="00000000">
            <w:pPr>
              <w:spacing w:after="0" w:line="240" w:lineRule="auto"/>
              <w:jc w:val="left"/>
            </w:pPr>
            <w:r>
              <w:rPr>
                <w:rFonts w:eastAsia="Times New Roman"/>
                <w:sz w:val="16"/>
              </w:rPr>
              <w:t>No</w:t>
            </w:r>
          </w:p>
        </w:tc>
        <w:tc>
          <w:tcPr>
            <w:tcW w:w="2088" w:type="dxa"/>
            <w:tcMar>
              <w:top w:w="90" w:type="dxa"/>
              <w:left w:w="90" w:type="dxa"/>
              <w:bottom w:w="90" w:type="dxa"/>
              <w:right w:w="90" w:type="dxa"/>
            </w:tcMar>
            <w:vAlign w:val="center"/>
          </w:tcPr>
          <w:p w14:paraId="54A1CA65" w14:textId="77777777" w:rsidR="0011534A" w:rsidRDefault="00000000">
            <w:pPr>
              <w:spacing w:after="0" w:line="240" w:lineRule="auto"/>
              <w:jc w:val="left"/>
            </w:pPr>
            <w:r>
              <w:rPr>
                <w:rFonts w:eastAsia="Times New Roman"/>
                <w:sz w:val="16"/>
              </w:rPr>
              <w:t>No general prior-vetting requirement identified</w:t>
            </w:r>
          </w:p>
        </w:tc>
        <w:tc>
          <w:tcPr>
            <w:tcW w:w="1800" w:type="dxa"/>
            <w:tcMar>
              <w:top w:w="90" w:type="dxa"/>
              <w:left w:w="90" w:type="dxa"/>
              <w:bottom w:w="90" w:type="dxa"/>
              <w:right w:w="90" w:type="dxa"/>
            </w:tcMar>
            <w:vAlign w:val="center"/>
          </w:tcPr>
          <w:p w14:paraId="5DDE6832" w14:textId="77777777" w:rsidR="0011534A" w:rsidRDefault="00000000">
            <w:pPr>
              <w:spacing w:after="0" w:line="240" w:lineRule="auto"/>
              <w:jc w:val="left"/>
            </w:pPr>
            <w:r>
              <w:rPr>
                <w:rFonts w:eastAsia="Times New Roman"/>
                <w:sz w:val="16"/>
              </w:rPr>
              <w:t>Independent Media Commission</w:t>
            </w:r>
          </w:p>
        </w:tc>
      </w:tr>
      <w:tr w:rsidR="0011534A" w14:paraId="0E8C59D9" w14:textId="77777777">
        <w:trPr>
          <w:cantSplit/>
          <w:jc w:val="center"/>
        </w:trPr>
        <w:tc>
          <w:tcPr>
            <w:tcW w:w="1512" w:type="dxa"/>
            <w:tcMar>
              <w:top w:w="90" w:type="dxa"/>
              <w:left w:w="90" w:type="dxa"/>
              <w:bottom w:w="90" w:type="dxa"/>
              <w:right w:w="90" w:type="dxa"/>
            </w:tcMar>
            <w:vAlign w:val="center"/>
          </w:tcPr>
          <w:p w14:paraId="762A898C" w14:textId="77777777" w:rsidR="0011534A" w:rsidRDefault="00000000">
            <w:pPr>
              <w:spacing w:after="0" w:line="240" w:lineRule="auto"/>
              <w:jc w:val="left"/>
            </w:pPr>
            <w:r>
              <w:rPr>
                <w:rFonts w:eastAsia="Times New Roman"/>
                <w:sz w:val="16"/>
              </w:rPr>
              <w:t>Liberia</w:t>
            </w:r>
          </w:p>
        </w:tc>
        <w:tc>
          <w:tcPr>
            <w:tcW w:w="2232" w:type="dxa"/>
            <w:tcMar>
              <w:top w:w="90" w:type="dxa"/>
              <w:left w:w="90" w:type="dxa"/>
              <w:bottom w:w="90" w:type="dxa"/>
              <w:right w:w="90" w:type="dxa"/>
            </w:tcMar>
            <w:vAlign w:val="center"/>
          </w:tcPr>
          <w:p w14:paraId="58EBBE69" w14:textId="77777777" w:rsidR="0011534A" w:rsidRDefault="00000000">
            <w:pPr>
              <w:spacing w:after="0" w:line="240" w:lineRule="auto"/>
              <w:jc w:val="left"/>
            </w:pPr>
            <w:r>
              <w:rPr>
                <w:rFonts w:eastAsia="Times New Roman"/>
                <w:sz w:val="16"/>
              </w:rPr>
              <w:t>Competition/IP-</w:t>
            </w:r>
            <w:proofErr w:type="spellStart"/>
            <w:r>
              <w:rPr>
                <w:rFonts w:eastAsia="Times New Roman"/>
                <w:sz w:val="16"/>
              </w:rPr>
              <w:t>centred</w:t>
            </w:r>
            <w:proofErr w:type="spellEnd"/>
            <w:r>
              <w:rPr>
                <w:rFonts w:eastAsia="Times New Roman"/>
                <w:sz w:val="16"/>
              </w:rPr>
              <w:t xml:space="preserve"> indirect</w:t>
            </w:r>
          </w:p>
        </w:tc>
        <w:tc>
          <w:tcPr>
            <w:tcW w:w="2232" w:type="dxa"/>
            <w:tcMar>
              <w:top w:w="90" w:type="dxa"/>
              <w:left w:w="90" w:type="dxa"/>
              <w:bottom w:w="90" w:type="dxa"/>
              <w:right w:w="90" w:type="dxa"/>
            </w:tcMar>
            <w:vAlign w:val="center"/>
          </w:tcPr>
          <w:p w14:paraId="66F4BA67" w14:textId="77777777" w:rsidR="0011534A" w:rsidRDefault="00000000">
            <w:pPr>
              <w:spacing w:after="0" w:line="240" w:lineRule="auto"/>
              <w:jc w:val="left"/>
            </w:pPr>
            <w:r>
              <w:rPr>
                <w:rFonts w:eastAsia="Times New Roman"/>
                <w:sz w:val="16"/>
              </w:rPr>
              <w:t>No</w:t>
            </w:r>
          </w:p>
        </w:tc>
        <w:tc>
          <w:tcPr>
            <w:tcW w:w="2088" w:type="dxa"/>
            <w:tcMar>
              <w:top w:w="90" w:type="dxa"/>
              <w:left w:w="90" w:type="dxa"/>
              <w:bottom w:w="90" w:type="dxa"/>
              <w:right w:w="90" w:type="dxa"/>
            </w:tcMar>
            <w:vAlign w:val="center"/>
          </w:tcPr>
          <w:p w14:paraId="559FEFB6" w14:textId="77777777" w:rsidR="0011534A" w:rsidRDefault="00000000">
            <w:pPr>
              <w:spacing w:after="0" w:line="240" w:lineRule="auto"/>
              <w:jc w:val="left"/>
            </w:pPr>
            <w:r>
              <w:rPr>
                <w:rFonts w:eastAsia="Times New Roman"/>
                <w:sz w:val="16"/>
              </w:rPr>
              <w:t>No general prior-vetting requirement identified</w:t>
            </w:r>
          </w:p>
        </w:tc>
        <w:tc>
          <w:tcPr>
            <w:tcW w:w="1800" w:type="dxa"/>
            <w:tcMar>
              <w:top w:w="90" w:type="dxa"/>
              <w:left w:w="90" w:type="dxa"/>
              <w:bottom w:w="90" w:type="dxa"/>
              <w:right w:w="90" w:type="dxa"/>
            </w:tcMar>
            <w:vAlign w:val="center"/>
          </w:tcPr>
          <w:p w14:paraId="73BC0157" w14:textId="77777777" w:rsidR="0011534A" w:rsidRDefault="00000000">
            <w:pPr>
              <w:spacing w:after="0" w:line="240" w:lineRule="auto"/>
              <w:jc w:val="left"/>
            </w:pPr>
            <w:r>
              <w:rPr>
                <w:rFonts w:eastAsia="Times New Roman"/>
                <w:sz w:val="16"/>
              </w:rPr>
              <w:t>Ministry of Commerce and Industry and relevant commercial-law institutions</w:t>
            </w:r>
          </w:p>
        </w:tc>
      </w:tr>
    </w:tbl>
    <w:p w14:paraId="395F9B65" w14:textId="77777777" w:rsidR="0011534A" w:rsidRDefault="00000000">
      <w:pPr>
        <w:pStyle w:val="Heading2"/>
      </w:pPr>
      <w:r>
        <w:t>6.5 Implications for International Advertising Practice</w:t>
      </w:r>
    </w:p>
    <w:p w14:paraId="23D9490F" w14:textId="77777777" w:rsidR="0011534A" w:rsidRDefault="00000000">
      <w:r>
        <w:rPr>
          <w:rFonts w:eastAsia="Times New Roman"/>
        </w:rPr>
        <w:t xml:space="preserve">The principal implication for cross-border advertising is that compliance must be mapped by jurisdiction and by sector. A regional campaign cannot safely rely on a single compliance checklist because the institutional entry point, timing of review, evidentiary burden, and product-specific rules differ. This conclusion aligns with the broader international advertising literature, which finds that regulatory and institutional differences </w:t>
      </w:r>
      <w:r>
        <w:rPr>
          <w:rFonts w:eastAsia="Times New Roman"/>
        </w:rPr>
        <w:lastRenderedPageBreak/>
        <w:t xml:space="preserve">constrain complete </w:t>
      </w:r>
      <w:proofErr w:type="spellStart"/>
      <w:r>
        <w:rPr>
          <w:rFonts w:eastAsia="Times New Roman"/>
        </w:rPr>
        <w:t>standardisation</w:t>
      </w:r>
      <w:proofErr w:type="spellEnd"/>
      <w:r>
        <w:rPr>
          <w:rFonts w:eastAsia="Times New Roman"/>
        </w:rPr>
        <w:t xml:space="preserve"> (</w:t>
      </w:r>
      <w:proofErr w:type="spellStart"/>
      <w:r>
        <w:rPr>
          <w:rFonts w:eastAsia="Times New Roman"/>
        </w:rPr>
        <w:t>Kanso</w:t>
      </w:r>
      <w:proofErr w:type="spellEnd"/>
      <w:r>
        <w:rPr>
          <w:rFonts w:eastAsia="Times New Roman"/>
        </w:rPr>
        <w:t xml:space="preserve"> &amp; Nelson, 2002). Digital distribution makes such </w:t>
      </w:r>
      <w:proofErr w:type="spellStart"/>
      <w:r>
        <w:rPr>
          <w:rFonts w:eastAsia="Times New Roman"/>
        </w:rPr>
        <w:t>localisation</w:t>
      </w:r>
      <w:proofErr w:type="spellEnd"/>
      <w:r>
        <w:rPr>
          <w:rFonts w:eastAsia="Times New Roman"/>
        </w:rPr>
        <w:t xml:space="preserve"> more demanding because a campaign may reach several jurisdictions through the same platform while remaining subject to different national legal obligations.</w:t>
      </w:r>
    </w:p>
    <w:p w14:paraId="61D49658" w14:textId="77777777" w:rsidR="0011534A" w:rsidRDefault="00000000">
      <w:r>
        <w:rPr>
          <w:rFonts w:eastAsia="Times New Roman"/>
        </w:rPr>
        <w:t>Nigeria requires engagement with a dedicated advertising regulator and general advertising standards in addition to sector-specific law. Ghana requires identification of the competent sector regulator and, for regulated categories such as gaming or FDA-controlled products, compliance with pre-approval and content conditions. The Gambia places particular emphasis on misleading advertising and advertiser responsibility under consumer-protection law. Sierra Leone requires attention to the media-regulatory environment in which advertising is carried. Liberia requires careful analysis of competition and related commercial-law rules rather than reliance on a nonexistent comprehensive advertising act. For multinational advertisers, the practical response is therefore a layered compliance model: regional creative strategy should be combined with jurisdiction-specific legal review and sector-specific clearance where required.</w:t>
      </w:r>
    </w:p>
    <w:p w14:paraId="33989C44" w14:textId="77777777" w:rsidR="0011534A" w:rsidRDefault="00000000">
      <w:r>
        <w:rPr>
          <w:rFonts w:eastAsia="Times New Roman"/>
        </w:rPr>
        <w:t xml:space="preserve">Digital advertising intensifies the need for this approach. Contemporary scholarship shows that influencer, native, </w:t>
      </w:r>
      <w:proofErr w:type="spellStart"/>
      <w:r>
        <w:rPr>
          <w:rFonts w:eastAsia="Times New Roman"/>
        </w:rPr>
        <w:t>personalised</w:t>
      </w:r>
      <w:proofErr w:type="spellEnd"/>
      <w:r>
        <w:rPr>
          <w:rFonts w:eastAsia="Times New Roman"/>
        </w:rPr>
        <w:t xml:space="preserve">, and platform-mediated advertising can create disclosure and accountability problems that older frameworks did not anticipate (Campbell &amp; Grimm, 2019; </w:t>
      </w:r>
      <w:proofErr w:type="spellStart"/>
      <w:r>
        <w:rPr>
          <w:rFonts w:eastAsia="Times New Roman"/>
        </w:rPr>
        <w:t>Duivenvoorde</w:t>
      </w:r>
      <w:proofErr w:type="spellEnd"/>
      <w:r>
        <w:rPr>
          <w:rFonts w:eastAsia="Times New Roman"/>
        </w:rPr>
        <w:t xml:space="preserve"> &amp; </w:t>
      </w:r>
      <w:proofErr w:type="spellStart"/>
      <w:r>
        <w:rPr>
          <w:rFonts w:eastAsia="Times New Roman"/>
        </w:rPr>
        <w:t>Goanta</w:t>
      </w:r>
      <w:proofErr w:type="spellEnd"/>
      <w:r>
        <w:rPr>
          <w:rFonts w:eastAsia="Times New Roman"/>
        </w:rPr>
        <w:t>, 2023). Ghana's 2026 Advertising Bill review explicitly identified digital advertising as an area requiring updated provisions (AAG, 2026). The same structural issue is relevant across the region: even where anti-deception principles are established, regulators may need clearer rules concerning influencer disclosures, platform responsibilities, cross-border targeting, and digital evidence.</w:t>
      </w:r>
    </w:p>
    <w:p w14:paraId="00AF9E92" w14:textId="77777777" w:rsidR="0011534A" w:rsidRDefault="00000000">
      <w:pPr>
        <w:pStyle w:val="Heading1"/>
      </w:pPr>
      <w:r>
        <w:t>7. Discussion</w:t>
      </w:r>
    </w:p>
    <w:p w14:paraId="6C62ED8D" w14:textId="77777777" w:rsidR="0011534A" w:rsidRDefault="00000000">
      <w:r>
        <w:rPr>
          <w:rFonts w:eastAsia="Times New Roman"/>
        </w:rPr>
        <w:t>The findings demonstrate both convergence and divergence in West African advertising governance. Convergence occurs principally at the level of normative objectives: the verified instruments repeatedly seek to prevent misleading or inaccurate communication and to protect fair market conduct or consumer interests. Divergence occurs at the level of institutional architecture, legal consolidation, procedural controls, sectoral scope, and enforcement mechanisms. This distinction is more defensible than a simple hierarchy of 'advanced' and 'underdeveloped' systems because different models can pursue similar regulatory objectives through different institutional arrangements.</w:t>
      </w:r>
    </w:p>
    <w:p w14:paraId="2A402200" w14:textId="77777777" w:rsidR="0011534A" w:rsidRDefault="00000000">
      <w:r>
        <w:rPr>
          <w:rFonts w:eastAsia="Times New Roman"/>
        </w:rPr>
        <w:t xml:space="preserve">Nigeria's framework represents the strongest degree of advertising-specific statutory </w:t>
      </w:r>
      <w:proofErr w:type="spellStart"/>
      <w:r>
        <w:rPr>
          <w:rFonts w:eastAsia="Times New Roman"/>
        </w:rPr>
        <w:t>specialisation</w:t>
      </w:r>
      <w:proofErr w:type="spellEnd"/>
      <w:r>
        <w:rPr>
          <w:rFonts w:eastAsia="Times New Roman"/>
        </w:rPr>
        <w:t xml:space="preserve"> among the five countries. From a regulatory-state perspective, this reflects institutional differentiation: advertising is </w:t>
      </w:r>
      <w:proofErr w:type="spellStart"/>
      <w:r>
        <w:rPr>
          <w:rFonts w:eastAsia="Times New Roman"/>
        </w:rPr>
        <w:t>recognised</w:t>
      </w:r>
      <w:proofErr w:type="spellEnd"/>
      <w:r>
        <w:rPr>
          <w:rFonts w:eastAsia="Times New Roman"/>
        </w:rPr>
        <w:t xml:space="preserve"> as a domain requiring its own statutory regulator, professional structure, and pre-exposure mechanisms (Majone, 1994; Thatcher, 2002). Such </w:t>
      </w:r>
      <w:proofErr w:type="spellStart"/>
      <w:r>
        <w:rPr>
          <w:rFonts w:eastAsia="Times New Roman"/>
        </w:rPr>
        <w:t>centralisation</w:t>
      </w:r>
      <w:proofErr w:type="spellEnd"/>
      <w:r>
        <w:rPr>
          <w:rFonts w:eastAsia="Times New Roman"/>
        </w:rPr>
        <w:t xml:space="preserve"> can improve clarity concerning the principal authority and may facilitate uniform general standards. It can, however, also coexist with overlapping sectoral rules. </w:t>
      </w:r>
      <w:proofErr w:type="spellStart"/>
      <w:r>
        <w:rPr>
          <w:rFonts w:eastAsia="Times New Roman"/>
        </w:rPr>
        <w:t>Centralisation</w:t>
      </w:r>
      <w:proofErr w:type="spellEnd"/>
      <w:r>
        <w:rPr>
          <w:rFonts w:eastAsia="Times New Roman"/>
        </w:rPr>
        <w:t xml:space="preserve"> should therefore be understood as an institutional characteristic </w:t>
      </w:r>
      <w:r>
        <w:rPr>
          <w:rFonts w:eastAsia="Times New Roman"/>
          <w:highlight w:val="yellow"/>
        </w:rPr>
        <w:t>rather than as direct evidence</w:t>
      </w:r>
      <w:r>
        <w:rPr>
          <w:rFonts w:eastAsia="Times New Roman"/>
        </w:rPr>
        <w:t xml:space="preserve"> of superior regulatory outcomes.</w:t>
      </w:r>
    </w:p>
    <w:p w14:paraId="79652F0A" w14:textId="77777777" w:rsidR="0011534A" w:rsidRDefault="00000000">
      <w:r>
        <w:rPr>
          <w:rFonts w:eastAsia="Times New Roman"/>
        </w:rPr>
        <w:t xml:space="preserve">Ghana illustrates the potential advantages and costs of sectoral </w:t>
      </w:r>
      <w:proofErr w:type="spellStart"/>
      <w:r>
        <w:rPr>
          <w:rFonts w:eastAsia="Times New Roman"/>
        </w:rPr>
        <w:t>specialisation</w:t>
      </w:r>
      <w:proofErr w:type="spellEnd"/>
      <w:r>
        <w:rPr>
          <w:rFonts w:eastAsia="Times New Roman"/>
        </w:rPr>
        <w:t xml:space="preserve">. The FDA and Gaming Commission apply rules tailored to risks associated with particular products and services. Badu et al. (2025), for example, show that Ghana's gambling-advertising guidelines contain detailed responsible-gambling safeguards but also identify limitations concerning online advertising and enforcement. A sectoral system can therefore generate substantive specificity </w:t>
      </w:r>
      <w:r>
        <w:rPr>
          <w:rFonts w:eastAsia="Times New Roman"/>
          <w:highlight w:val="yellow"/>
        </w:rPr>
        <w:t>while leaving questions of coordination and coverage across sectors</w:t>
      </w:r>
      <w:r>
        <w:rPr>
          <w:rFonts w:eastAsia="Times New Roman"/>
        </w:rPr>
        <w:t>. The continuing Advertising Bill process indicates institutional recognition of these coordination and digital-governance concerns (AAG, 2026).</w:t>
      </w:r>
    </w:p>
    <w:p w14:paraId="39CA990E" w14:textId="77777777" w:rsidR="0011534A" w:rsidRDefault="00000000">
      <w:r>
        <w:rPr>
          <w:rFonts w:eastAsia="Times New Roman"/>
        </w:rPr>
        <w:t xml:space="preserve">The Gambia demonstrates that indirect regulation need not be vague. Its Consumer Protection Act contains explicit advertising provisions, including rules against false or misleading advertising and a statutory evidentiary burden for relevant claims. The substantive rule is clear even though advertising is not </w:t>
      </w:r>
      <w:proofErr w:type="spellStart"/>
      <w:r>
        <w:rPr>
          <w:rFonts w:eastAsia="Times New Roman"/>
        </w:rPr>
        <w:t>organised</w:t>
      </w:r>
      <w:proofErr w:type="spellEnd"/>
      <w:r>
        <w:rPr>
          <w:rFonts w:eastAsia="Times New Roman"/>
        </w:rPr>
        <w:t xml:space="preserve"> </w:t>
      </w:r>
      <w:r>
        <w:rPr>
          <w:rFonts w:eastAsia="Times New Roman"/>
        </w:rPr>
        <w:lastRenderedPageBreak/>
        <w:t>as a separate profession under a dedicated advertising act. This finding supports the broader proposition that institutional labels do not by themselves determine the specificity of legal protection.</w:t>
      </w:r>
    </w:p>
    <w:p w14:paraId="2C5E82D5" w14:textId="77777777" w:rsidR="0011534A" w:rsidRDefault="00000000">
      <w:r>
        <w:rPr>
          <w:rFonts w:eastAsia="Times New Roman"/>
        </w:rPr>
        <w:t>Sierra Leone's media-</w:t>
      </w:r>
      <w:proofErr w:type="spellStart"/>
      <w:r>
        <w:rPr>
          <w:rFonts w:eastAsia="Times New Roman"/>
        </w:rPr>
        <w:t>centred</w:t>
      </w:r>
      <w:proofErr w:type="spellEnd"/>
      <w:r>
        <w:rPr>
          <w:rFonts w:eastAsia="Times New Roman"/>
        </w:rPr>
        <w:t xml:space="preserve"> model similarly reflects the historical association between advertising and regulated media institutions. The IMC framework provides standards concerning accuracy and professional responsibility and has an active complaints and corrective-remedy structure. Nevertheless, contemporary digital advertising can occur outside traditional editorial or licensed-media relationships. The digital-regulation literature suggests that platform-mediated advertising can create accountability gaps where legal obligations are tied primarily to conventional media actors (Dickinson-Delaporte et al., 2020; </w:t>
      </w:r>
      <w:proofErr w:type="spellStart"/>
      <w:r>
        <w:rPr>
          <w:rFonts w:eastAsia="Times New Roman"/>
        </w:rPr>
        <w:t>Duivenvoorde</w:t>
      </w:r>
      <w:proofErr w:type="spellEnd"/>
      <w:r>
        <w:rPr>
          <w:rFonts w:eastAsia="Times New Roman"/>
        </w:rPr>
        <w:t xml:space="preserve"> &amp; </w:t>
      </w:r>
      <w:proofErr w:type="spellStart"/>
      <w:r>
        <w:rPr>
          <w:rFonts w:eastAsia="Times New Roman"/>
        </w:rPr>
        <w:t>Goanta</w:t>
      </w:r>
      <w:proofErr w:type="spellEnd"/>
      <w:r>
        <w:rPr>
          <w:rFonts w:eastAsia="Times New Roman"/>
        </w:rPr>
        <w:t>, 2023). This does not establish a specific legal gap in every Sierra Leonean digital-advertising context, but it identifies an important area for further doctrinal and enforcement research.</w:t>
      </w:r>
    </w:p>
    <w:p w14:paraId="40CDE990" w14:textId="77777777" w:rsidR="0011534A" w:rsidRDefault="00000000">
      <w:r>
        <w:rPr>
          <w:rFonts w:eastAsia="Times New Roman"/>
        </w:rPr>
        <w:t>Liberia provides the clearest example of why verification of legal status is essential in comparative regulatory research. Treating the 2014 draft unfair-competition instrument as enacted law would overstate the specificity of Liberia's advertising framework and distort cross-country comparison. Once the operative 2016 Competition Law is used, Liberia is more accurately understood as a system in which misleading commercial conduct is addressed within general competition and unfair-trade principles. Current government acknowledgement of enforcement weaknesses and proposed institutional reform further indicates that legal existence and regulatory capacity must be evaluated separately (MOCI, 2026).</w:t>
      </w:r>
    </w:p>
    <w:p w14:paraId="36861E64" w14:textId="77777777" w:rsidR="0011534A" w:rsidRDefault="00000000">
      <w:r>
        <w:rPr>
          <w:rFonts w:eastAsia="Times New Roman"/>
        </w:rPr>
        <w:t xml:space="preserve">The findings also support a cautious approach to regional </w:t>
      </w:r>
      <w:proofErr w:type="spellStart"/>
      <w:r>
        <w:rPr>
          <w:rFonts w:eastAsia="Times New Roman"/>
        </w:rPr>
        <w:t>harmonisation</w:t>
      </w:r>
      <w:proofErr w:type="spellEnd"/>
      <w:r>
        <w:rPr>
          <w:rFonts w:eastAsia="Times New Roman"/>
        </w:rPr>
        <w:t xml:space="preserve">. </w:t>
      </w:r>
      <w:proofErr w:type="spellStart"/>
      <w:r>
        <w:rPr>
          <w:rFonts w:eastAsia="Times New Roman"/>
        </w:rPr>
        <w:t>Harmonisation</w:t>
      </w:r>
      <w:proofErr w:type="spellEnd"/>
      <w:r>
        <w:rPr>
          <w:rFonts w:eastAsia="Times New Roman"/>
        </w:rPr>
        <w:t xml:space="preserve"> need not require identical institutions. A regional minimum-standard approach could focus instead on shared substantive principles—clear identification of commercial communication, prohibition of deceptive claims, claim substantiation where appropriate, protections for minors and vulnerable consumers, transparent complaint routes, and accessible regulator guidance—while allowing national systems to retain different institutional structures. Such an approach would be </w:t>
      </w:r>
      <w:r>
        <w:rPr>
          <w:rFonts w:eastAsia="Times New Roman"/>
          <w:highlight w:val="yellow"/>
        </w:rPr>
        <w:t>more compatible with the demonstrated diversity of the five systems than would an attempt to replicate a single national model across the region</w:t>
      </w:r>
      <w:r>
        <w:rPr>
          <w:rFonts w:eastAsia="Times New Roman"/>
        </w:rPr>
        <w:t>.</w:t>
      </w:r>
    </w:p>
    <w:p w14:paraId="5248BD71" w14:textId="77777777" w:rsidR="0011534A" w:rsidRDefault="00000000">
      <w:pPr>
        <w:pStyle w:val="Heading1"/>
      </w:pPr>
      <w:r>
        <w:t>8. Limitations</w:t>
      </w:r>
    </w:p>
    <w:p w14:paraId="4B986D18" w14:textId="77777777" w:rsidR="0011534A" w:rsidRDefault="00000000">
      <w:r>
        <w:rPr>
          <w:rFonts w:eastAsia="Times New Roman"/>
        </w:rPr>
        <w:t>This study has four principal limitations. First, it is a document-based comparative analysis and does not measure enforcement frequency, institutional resources, compliance rates, consumer outcomes, or judicial interpretation; accordingly, conclusions concern regulatory architecture rather than comparative regulatory effectiveness. Second, the source corpus is purposive rather than exhaustive. Sector-specific statutes outside the ten principal documents may impose additional advertising obligations, and absence within the corpus should not be interpreted as proof that no relevant rule exists elsewhere. Third, the study is limited to five Anglophone West African countries and does not represent the regulatory diversity of Francophone or Lusophone West Africa. Fourth, laws, regulations, and administrative guidance can change rapidly. The legal-status verification is current to 21 August 2026 and should be updated in future research before relying on the analysis for compliance decisions.</w:t>
      </w:r>
    </w:p>
    <w:p w14:paraId="319E11C7" w14:textId="77777777" w:rsidR="0011534A" w:rsidRDefault="00000000">
      <w:pPr>
        <w:pStyle w:val="Heading1"/>
      </w:pPr>
      <w:r>
        <w:t>9. Conclusion</w:t>
      </w:r>
    </w:p>
    <w:p w14:paraId="181CD3E4" w14:textId="77777777" w:rsidR="0011534A" w:rsidRDefault="00000000">
      <w:r>
        <w:rPr>
          <w:rFonts w:eastAsia="Times New Roman"/>
        </w:rPr>
        <w:t xml:space="preserve">Advertising regulation across Ghana, Liberia, Nigeria, The Gambia, and Sierra Leone </w:t>
      </w:r>
      <w:r>
        <w:rPr>
          <w:rFonts w:eastAsia="Times New Roman"/>
          <w:highlight w:val="yellow"/>
        </w:rPr>
        <w:t xml:space="preserve">is </w:t>
      </w:r>
      <w:proofErr w:type="spellStart"/>
      <w:r>
        <w:rPr>
          <w:rFonts w:eastAsia="Times New Roman"/>
          <w:highlight w:val="yellow"/>
        </w:rPr>
        <w:t>characterised</w:t>
      </w:r>
      <w:proofErr w:type="spellEnd"/>
      <w:r>
        <w:rPr>
          <w:rFonts w:eastAsia="Times New Roman"/>
          <w:highlight w:val="yellow"/>
        </w:rPr>
        <w:t xml:space="preserve"> by a shared concern with misleading or inaccurate commercial communication, but also by substantial variation in institutional design</w:t>
      </w:r>
      <w:r>
        <w:rPr>
          <w:rFonts w:eastAsia="Times New Roman"/>
        </w:rPr>
        <w:t xml:space="preserve">. Nigeria has the most advertising-specific statutory structure, </w:t>
      </w:r>
      <w:proofErr w:type="spellStart"/>
      <w:r>
        <w:rPr>
          <w:rFonts w:eastAsia="Times New Roman"/>
        </w:rPr>
        <w:t>centred</w:t>
      </w:r>
      <w:proofErr w:type="spellEnd"/>
      <w:r>
        <w:rPr>
          <w:rFonts w:eastAsia="Times New Roman"/>
        </w:rPr>
        <w:t xml:space="preserve"> on ARCON and the 2022 Act. Ghana operates a sectoral and hybrid model in which health, gaming, and other regulators coexist with professional self-regulation, while a comprehensive Advertising Bill remained under review in 2026. The Gambia regulates advertising explicitly within consumer-protection law. Sierra Leone embeds relevant advertising oversight within media regulation. Liberia relies principally on competition and intellectual-</w:t>
      </w:r>
      <w:r>
        <w:rPr>
          <w:rFonts w:eastAsia="Times New Roman"/>
        </w:rPr>
        <w:lastRenderedPageBreak/>
        <w:t>property law and should not be described as operating under the unenacted 2014 draft Protection Against Unfair Competition Act.</w:t>
      </w:r>
    </w:p>
    <w:p w14:paraId="24F98814" w14:textId="77777777" w:rsidR="0011534A" w:rsidRDefault="00000000">
      <w:r>
        <w:rPr>
          <w:rFonts w:eastAsia="Times New Roman"/>
        </w:rPr>
        <w:t>The comparative evidence therefore supports two conclusions. First, the presence or absence of a dedicated advertising statute does not by itself determine whether meaningful advertising controls exist. Second, formal legal architecture should not be used as a proxy for enforcement effectiveness. For international advertisers, the practical consequence is a need for jurisdiction-specific and sector-specific compliance mapping, particularly for digital campaigns distributed across borders. For policymakers, the strongest basis for regional cooperation lies in transparent minimum standards, regulatory coordination, and digital-advertising capacity rather than compulsory institutional uniformity.</w:t>
      </w:r>
    </w:p>
    <w:p w14:paraId="13E62E3A" w14:textId="77777777" w:rsidR="0011534A" w:rsidRDefault="00000000">
      <w:pPr>
        <w:pStyle w:val="Heading1"/>
      </w:pPr>
      <w:r>
        <w:t>10. Recommendations</w:t>
      </w:r>
    </w:p>
    <w:p w14:paraId="00881B13" w14:textId="77777777" w:rsidR="0011534A" w:rsidRDefault="00000000">
      <w:pPr>
        <w:ind w:left="259" w:hanging="259"/>
      </w:pPr>
      <w:r>
        <w:rPr>
          <w:rFonts w:eastAsia="Times New Roman"/>
          <w:b/>
        </w:rPr>
        <w:t xml:space="preserve">1. </w:t>
      </w:r>
      <w:r>
        <w:rPr>
          <w:rFonts w:eastAsia="Times New Roman"/>
        </w:rPr>
        <w:t>National regulators should publish consolidated, regularly updated advertising-compliance guidance identifying the competent authority, applicable approval procedures, sector-specific restrictions, complaint routes, and sanctions.</w:t>
      </w:r>
    </w:p>
    <w:p w14:paraId="00835DA1" w14:textId="77777777" w:rsidR="0011534A" w:rsidRDefault="00000000">
      <w:pPr>
        <w:ind w:left="259" w:hanging="259"/>
      </w:pPr>
      <w:r>
        <w:rPr>
          <w:rFonts w:eastAsia="Times New Roman"/>
          <w:b/>
        </w:rPr>
        <w:t xml:space="preserve">2. </w:t>
      </w:r>
      <w:r>
        <w:rPr>
          <w:rFonts w:eastAsia="Times New Roman"/>
        </w:rPr>
        <w:t>Ghana's ongoing Advertising Bill process should continue to address coordination among sector regulators and the regulatory treatment of digital, influencer, and cross-border advertising, while preserving specialist public-health and gaming safeguards.</w:t>
      </w:r>
    </w:p>
    <w:p w14:paraId="4AABA608" w14:textId="77777777" w:rsidR="0011534A" w:rsidRDefault="00000000">
      <w:pPr>
        <w:ind w:left="259" w:hanging="259"/>
      </w:pPr>
      <w:r>
        <w:rPr>
          <w:rFonts w:eastAsia="Times New Roman"/>
          <w:b/>
        </w:rPr>
        <w:t xml:space="preserve">3. </w:t>
      </w:r>
      <w:r>
        <w:rPr>
          <w:rFonts w:eastAsia="Times New Roman"/>
        </w:rPr>
        <w:t xml:space="preserve">Liberia should strengthen implementation of the Competition Law and clarify the institutional pathway for consumer complaints concerning misleading commercial representations; current </w:t>
      </w:r>
      <w:r>
        <w:rPr>
          <w:rFonts w:eastAsia="Times New Roman"/>
          <w:highlight w:val="yellow"/>
        </w:rPr>
        <w:t>reform towards a stronger</w:t>
      </w:r>
      <w:r>
        <w:rPr>
          <w:rFonts w:eastAsia="Times New Roman"/>
        </w:rPr>
        <w:t xml:space="preserve"> competition and consumer-protection authority provides an appropriate opportunity to do so.</w:t>
      </w:r>
    </w:p>
    <w:p w14:paraId="360D5D41" w14:textId="77777777" w:rsidR="0011534A" w:rsidRDefault="00000000">
      <w:pPr>
        <w:ind w:left="259" w:hanging="259"/>
      </w:pPr>
      <w:r>
        <w:rPr>
          <w:rFonts w:eastAsia="Times New Roman"/>
          <w:b/>
        </w:rPr>
        <w:t xml:space="preserve">4. </w:t>
      </w:r>
      <w:r>
        <w:rPr>
          <w:rFonts w:eastAsia="Times New Roman"/>
        </w:rPr>
        <w:t>Sierra Leone and The Gambia should periodically review whether existing media- and consumer-protection mandates adequately address influencer marketing, platform-based advertising, and other digital formats that may not fit traditional enforcement assumptions.</w:t>
      </w:r>
    </w:p>
    <w:p w14:paraId="39BF57C3" w14:textId="77777777" w:rsidR="0011534A" w:rsidRDefault="00000000">
      <w:pPr>
        <w:ind w:left="259" w:hanging="259"/>
      </w:pPr>
      <w:r>
        <w:rPr>
          <w:rFonts w:eastAsia="Times New Roman"/>
          <w:b/>
        </w:rPr>
        <w:t xml:space="preserve">5. </w:t>
      </w:r>
      <w:r>
        <w:rPr>
          <w:rFonts w:eastAsia="Times New Roman"/>
        </w:rPr>
        <w:t>Nigeria should maintain transparent coordination between ARCON's general advertising requirements and specialist sector regulators so that advertisers can identify overlapping obligations without unnecessary duplication.</w:t>
      </w:r>
    </w:p>
    <w:p w14:paraId="7C96A2D0" w14:textId="77777777" w:rsidR="0011534A" w:rsidRDefault="00000000">
      <w:pPr>
        <w:ind w:left="259" w:hanging="259"/>
      </w:pPr>
      <w:r>
        <w:rPr>
          <w:rFonts w:eastAsia="Times New Roman"/>
          <w:b/>
        </w:rPr>
        <w:t xml:space="preserve">6. </w:t>
      </w:r>
      <w:r>
        <w:rPr>
          <w:rFonts w:eastAsia="Times New Roman"/>
        </w:rPr>
        <w:t>ECOWAS and national stakeholders should explore regional minimum principles for transparent, non-deceptive advertising and interoperable regulatory information, rather than assuming that all member states require an identical institutional model.</w:t>
      </w:r>
    </w:p>
    <w:p w14:paraId="39F0F0A3" w14:textId="77777777" w:rsidR="0011534A" w:rsidRDefault="00000000">
      <w:pPr>
        <w:ind w:left="259" w:hanging="259"/>
      </w:pPr>
      <w:r>
        <w:rPr>
          <w:rFonts w:eastAsia="Times New Roman"/>
          <w:b/>
        </w:rPr>
        <w:t xml:space="preserve">7. </w:t>
      </w:r>
      <w:r>
        <w:rPr>
          <w:rFonts w:eastAsia="Times New Roman"/>
        </w:rPr>
        <w:t>Future empirical research should evaluate enforcement records, complaint outcomes, regulatory resources, industry compliance, and consumer experience before drawing conclusions about the comparative effectiveness of the different institutional models.</w:t>
      </w:r>
    </w:p>
    <w:p w14:paraId="6B4C666B" w14:textId="77777777" w:rsidR="0011534A" w:rsidRDefault="00000000">
      <w:pPr>
        <w:pStyle w:val="Heading1"/>
      </w:pPr>
      <w:r>
        <w:t>Declarations</w:t>
      </w:r>
    </w:p>
    <w:p w14:paraId="6D020277" w14:textId="77777777" w:rsidR="0011534A" w:rsidRDefault="00000000">
      <w:pPr>
        <w:pStyle w:val="Heading2"/>
      </w:pPr>
      <w:r>
        <w:t>Conflict of Interest</w:t>
      </w:r>
    </w:p>
    <w:p w14:paraId="01258925" w14:textId="77777777" w:rsidR="0011534A" w:rsidRDefault="00000000">
      <w:r>
        <w:rPr>
          <w:rFonts w:eastAsia="Times New Roman"/>
        </w:rPr>
        <w:t>The authors declare no conflict of interest.</w:t>
      </w:r>
    </w:p>
    <w:p w14:paraId="180AF1F0" w14:textId="77777777" w:rsidR="0011534A" w:rsidRDefault="00000000">
      <w:pPr>
        <w:pStyle w:val="Heading2"/>
      </w:pPr>
      <w:r>
        <w:t>Data Availability</w:t>
      </w:r>
    </w:p>
    <w:p w14:paraId="76F03F14" w14:textId="77777777" w:rsidR="0011534A" w:rsidRDefault="00000000">
      <w:r>
        <w:rPr>
          <w:rFonts w:eastAsia="Times New Roman"/>
        </w:rPr>
        <w:t>The study is based on publicly accessible legal, regulatory, institutional, and scholarly sources cited in the manuscript. No confidential dataset was used.</w:t>
      </w:r>
    </w:p>
    <w:p w14:paraId="79B0E520" w14:textId="77777777" w:rsidR="0011534A" w:rsidRDefault="00000000">
      <w:pPr>
        <w:pStyle w:val="Heading2"/>
      </w:pPr>
      <w:r>
        <w:lastRenderedPageBreak/>
        <w:t>Use of Generative AI-assisted Technology</w:t>
      </w:r>
    </w:p>
    <w:p w14:paraId="1252F2CA" w14:textId="77777777" w:rsidR="0011534A" w:rsidRDefault="00000000">
      <w:r>
        <w:rPr>
          <w:rFonts w:eastAsia="Times New Roman"/>
        </w:rPr>
        <w:t xml:space="preserve">Google </w:t>
      </w:r>
      <w:proofErr w:type="spellStart"/>
      <w:r>
        <w:rPr>
          <w:rFonts w:eastAsia="Times New Roman"/>
        </w:rPr>
        <w:t>NotebookLM</w:t>
      </w:r>
      <w:proofErr w:type="spellEnd"/>
      <w:r>
        <w:rPr>
          <w:rFonts w:eastAsia="Times New Roman"/>
        </w:rPr>
        <w:t xml:space="preserve"> was used as a document-</w:t>
      </w:r>
      <w:proofErr w:type="spellStart"/>
      <w:r>
        <w:rPr>
          <w:rFonts w:eastAsia="Times New Roman"/>
        </w:rPr>
        <w:t>organisation</w:t>
      </w:r>
      <w:proofErr w:type="spellEnd"/>
      <w:r>
        <w:rPr>
          <w:rFonts w:eastAsia="Times New Roman"/>
        </w:rPr>
        <w:t xml:space="preserve"> and retrieval aid. AI-generated summaries were not treated as evidence; legal propositions retained in the manuscript were checked against the cited primary or official sources. Responsibility for the interpretation and content remains with the authors.</w:t>
      </w:r>
    </w:p>
    <w:p w14:paraId="1338F418" w14:textId="77777777" w:rsidR="0011534A" w:rsidRDefault="00000000">
      <w:pPr>
        <w:pStyle w:val="Heading1"/>
      </w:pPr>
      <w:r>
        <w:t>References</w:t>
      </w:r>
    </w:p>
    <w:p w14:paraId="2555DD28" w14:textId="228679D2" w:rsidR="00C11BE8" w:rsidRDefault="00C11BE8" w:rsidP="00C11BE8">
      <w:pPr>
        <w:pStyle w:val="isselectedend"/>
        <w:ind w:left="540" w:hanging="540"/>
        <w:jc w:val="both"/>
      </w:pPr>
      <w:r>
        <w:t xml:space="preserve">Advertising Association of Ghana. (2026, May 18). </w:t>
      </w:r>
      <w:r>
        <w:rPr>
          <w:rStyle w:val="Emphasis"/>
        </w:rPr>
        <w:t>The advertising bill is back on track.</w:t>
      </w:r>
      <w:r>
        <w:t xml:space="preserve"> </w:t>
      </w:r>
    </w:p>
    <w:p w14:paraId="6A12050C" w14:textId="77777777" w:rsidR="00C11BE8" w:rsidRDefault="00C11BE8" w:rsidP="00C11BE8">
      <w:pPr>
        <w:pStyle w:val="isselectedend"/>
        <w:ind w:left="540" w:hanging="540"/>
        <w:jc w:val="both"/>
      </w:pPr>
      <w:r>
        <w:t xml:space="preserve">Advertising Regulatory Council of Nigeria. (n.d.). </w:t>
      </w:r>
      <w:r>
        <w:rPr>
          <w:rStyle w:val="Emphasis"/>
        </w:rPr>
        <w:t>Nigerian code of advertising.</w:t>
      </w:r>
      <w:r>
        <w:t xml:space="preserve"> Retrieved August 21, 2026, from </w:t>
      </w:r>
      <w:hyperlink r:id="rId8" w:history="1">
        <w:r>
          <w:rPr>
            <w:rStyle w:val="Hyperlink"/>
          </w:rPr>
          <w:t>https://advertcouncil.gov.ng/_nig_code_of_advertising.php</w:t>
        </w:r>
      </w:hyperlink>
    </w:p>
    <w:p w14:paraId="50587C11" w14:textId="77777777" w:rsidR="00C11BE8" w:rsidRDefault="00C11BE8" w:rsidP="00C11BE8">
      <w:pPr>
        <w:pStyle w:val="isselectedend"/>
        <w:ind w:left="540" w:hanging="540"/>
        <w:jc w:val="both"/>
      </w:pPr>
      <w:r>
        <w:t xml:space="preserve">Advertising Regulatory Council of Nigeria. (2022). </w:t>
      </w:r>
      <w:r>
        <w:rPr>
          <w:rStyle w:val="Emphasis"/>
        </w:rPr>
        <w:t>Advertising Regulatory Council of Nigeria Act, 2022 (Act No. 23 of 2022).</w:t>
      </w:r>
      <w:r>
        <w:t xml:space="preserve"> </w:t>
      </w:r>
      <w:hyperlink r:id="rId9" w:history="1">
        <w:r>
          <w:rPr>
            <w:rStyle w:val="Hyperlink"/>
          </w:rPr>
          <w:t>https://advertcouncil.gov.ng/documents/ARCON%20Act%202022.pdf</w:t>
        </w:r>
      </w:hyperlink>
    </w:p>
    <w:p w14:paraId="6D9C88CA" w14:textId="77777777" w:rsidR="00C11BE8" w:rsidRDefault="00C11BE8" w:rsidP="00C11BE8">
      <w:pPr>
        <w:pStyle w:val="isselectedend"/>
        <w:ind w:left="540" w:hanging="540"/>
        <w:jc w:val="both"/>
      </w:pPr>
      <w:r>
        <w:t xml:space="preserve">Badu, E., Crawford, G., Hallett, J., &amp; Leavy, J. E. (2025). Gambling advertising regulation in Ghana: What do we know and where to next? </w:t>
      </w:r>
      <w:r>
        <w:rPr>
          <w:rStyle w:val="Emphasis"/>
        </w:rPr>
        <w:t>Journal of Public Health Policy, 46</w:t>
      </w:r>
      <w:r>
        <w:t xml:space="preserve">(2), 433–443. </w:t>
      </w:r>
      <w:hyperlink r:id="rId10" w:history="1">
        <w:r>
          <w:rPr>
            <w:rStyle w:val="Hyperlink"/>
          </w:rPr>
          <w:t>https://doi.org/10.1057/s41271-025-00547-z</w:t>
        </w:r>
      </w:hyperlink>
    </w:p>
    <w:p w14:paraId="2938ADD0" w14:textId="77777777" w:rsidR="00C11BE8" w:rsidRDefault="00C11BE8" w:rsidP="00C11BE8">
      <w:pPr>
        <w:pStyle w:val="isselectedend"/>
        <w:ind w:left="540" w:hanging="540"/>
        <w:jc w:val="both"/>
      </w:pPr>
      <w:proofErr w:type="spellStart"/>
      <w:r>
        <w:t>Boddewyn</w:t>
      </w:r>
      <w:proofErr w:type="spellEnd"/>
      <w:r>
        <w:t xml:space="preserve">, J. J. (1989). Advertising self-regulation: True purpose and limits. </w:t>
      </w:r>
      <w:r>
        <w:rPr>
          <w:rStyle w:val="Emphasis"/>
        </w:rPr>
        <w:t>Journal of Advertising, 18</w:t>
      </w:r>
      <w:r>
        <w:t xml:space="preserve">(2), 19–27. </w:t>
      </w:r>
      <w:hyperlink r:id="rId11" w:history="1">
        <w:r>
          <w:rPr>
            <w:rStyle w:val="Hyperlink"/>
          </w:rPr>
          <w:t>https://doi.org/10.1080/00913367.1989.10673148</w:t>
        </w:r>
      </w:hyperlink>
    </w:p>
    <w:p w14:paraId="7E70C4EC" w14:textId="77777777" w:rsidR="00C11BE8" w:rsidRDefault="00C11BE8" w:rsidP="00C11BE8">
      <w:pPr>
        <w:pStyle w:val="isselectedend"/>
        <w:ind w:left="540" w:hanging="540"/>
        <w:jc w:val="both"/>
      </w:pPr>
      <w:r>
        <w:t xml:space="preserve">Campbell, C., &amp; Grimm, P. E. (2019). The challenges native advertising poses: Exploring potential Federal Trade Commission responses and identifying research needs. </w:t>
      </w:r>
      <w:r>
        <w:rPr>
          <w:rStyle w:val="Emphasis"/>
        </w:rPr>
        <w:t>Journal of Public Policy &amp; Marketing, 38</w:t>
      </w:r>
      <w:r>
        <w:t xml:space="preserve">(1), 110–123. </w:t>
      </w:r>
      <w:hyperlink r:id="rId12" w:history="1">
        <w:r>
          <w:rPr>
            <w:rStyle w:val="Hyperlink"/>
          </w:rPr>
          <w:t>https://doi.org/10.1177/0743915618818576</w:t>
        </w:r>
      </w:hyperlink>
    </w:p>
    <w:p w14:paraId="473F930F" w14:textId="77777777" w:rsidR="00C11BE8" w:rsidRDefault="00C11BE8" w:rsidP="00C11BE8">
      <w:pPr>
        <w:pStyle w:val="isselectedend"/>
        <w:ind w:left="540" w:hanging="540"/>
        <w:jc w:val="both"/>
      </w:pPr>
      <w:r>
        <w:rPr>
          <w:rStyle w:val="Emphasis"/>
        </w:rPr>
        <w:t>Consumer Protection Act, 2014</w:t>
      </w:r>
      <w:r>
        <w:t xml:space="preserve"> (The Gambia). </w:t>
      </w:r>
      <w:hyperlink r:id="rId13" w:history="1">
        <w:r>
          <w:rPr>
            <w:rStyle w:val="Hyperlink"/>
          </w:rPr>
          <w:t>https://gcc.gm/wp-content/uploads/2018/05/GAMBIA-CONSUMER-PROTECTION-ACT-2014.pdf</w:t>
        </w:r>
      </w:hyperlink>
    </w:p>
    <w:p w14:paraId="6CF99411" w14:textId="77777777" w:rsidR="00C11BE8" w:rsidRDefault="00C11BE8" w:rsidP="00C11BE8">
      <w:pPr>
        <w:pStyle w:val="isselectedend"/>
        <w:ind w:left="540" w:hanging="540"/>
        <w:jc w:val="both"/>
      </w:pPr>
      <w:r>
        <w:t xml:space="preserve">Dickinson-Delaporte, S., Mortimer, K., Kerr, G., Waller, D. S., &amp; Kendrick, A. (2020). Power and responsibility: Advertising self-regulation and consumer protection in a digital world. </w:t>
      </w:r>
      <w:r>
        <w:rPr>
          <w:rStyle w:val="Emphasis"/>
        </w:rPr>
        <w:t>Journal of Consumer Affairs, 54</w:t>
      </w:r>
      <w:r>
        <w:t xml:space="preserve">(2), 675–700. </w:t>
      </w:r>
      <w:hyperlink r:id="rId14" w:history="1">
        <w:r>
          <w:rPr>
            <w:rStyle w:val="Hyperlink"/>
          </w:rPr>
          <w:t>https://doi.org/10.1111/joca.12295</w:t>
        </w:r>
      </w:hyperlink>
    </w:p>
    <w:p w14:paraId="3DB2466A" w14:textId="77777777" w:rsidR="00C11BE8" w:rsidRDefault="00C11BE8" w:rsidP="00C11BE8">
      <w:pPr>
        <w:pStyle w:val="isselectedend"/>
        <w:ind w:left="540" w:hanging="540"/>
        <w:jc w:val="both"/>
      </w:pPr>
      <w:proofErr w:type="spellStart"/>
      <w:r>
        <w:t>Duivenvoorde</w:t>
      </w:r>
      <w:proofErr w:type="spellEnd"/>
      <w:r>
        <w:t xml:space="preserve">, B., &amp; </w:t>
      </w:r>
      <w:proofErr w:type="spellStart"/>
      <w:r>
        <w:t>Goanta</w:t>
      </w:r>
      <w:proofErr w:type="spellEnd"/>
      <w:r>
        <w:t xml:space="preserve">, C. (2023). The regulation of digital advertising under the DSA: A critical assessment. </w:t>
      </w:r>
      <w:r>
        <w:rPr>
          <w:rStyle w:val="Emphasis"/>
        </w:rPr>
        <w:t>Computer Law &amp; Security Review, 51</w:t>
      </w:r>
      <w:r>
        <w:t xml:space="preserve">, Article 105870. </w:t>
      </w:r>
      <w:hyperlink r:id="rId15" w:history="1">
        <w:r>
          <w:rPr>
            <w:rStyle w:val="Hyperlink"/>
          </w:rPr>
          <w:t>https://doi.org/10.1016/j.clsr.2023.105870</w:t>
        </w:r>
      </w:hyperlink>
    </w:p>
    <w:p w14:paraId="7B441C42" w14:textId="77777777" w:rsidR="00C11BE8" w:rsidRDefault="00C11BE8" w:rsidP="00C11BE8">
      <w:pPr>
        <w:pStyle w:val="isselectedend"/>
        <w:ind w:left="540" w:hanging="540"/>
        <w:jc w:val="both"/>
      </w:pPr>
      <w:r>
        <w:t xml:space="preserve">Egbe, C. O., </w:t>
      </w:r>
      <w:proofErr w:type="spellStart"/>
      <w:r>
        <w:t>Bialous</w:t>
      </w:r>
      <w:proofErr w:type="spellEnd"/>
      <w:r>
        <w:t xml:space="preserve">, S. A., &amp; Glantz, S. (2019). Framework Convention on Tobacco Control implementation in Nigeria: Lessons for low- and middle-income countries. </w:t>
      </w:r>
      <w:r>
        <w:rPr>
          <w:rStyle w:val="Emphasis"/>
        </w:rPr>
        <w:t>Nicotine &amp; Tobacco Research, 21</w:t>
      </w:r>
      <w:r>
        <w:t xml:space="preserve">(8), 1122–1130. </w:t>
      </w:r>
      <w:hyperlink r:id="rId16" w:history="1">
        <w:r>
          <w:rPr>
            <w:rStyle w:val="Hyperlink"/>
          </w:rPr>
          <w:t>https://doi.org/10.1093/ntr/nty069</w:t>
        </w:r>
      </w:hyperlink>
    </w:p>
    <w:p w14:paraId="7EFD0250" w14:textId="77777777" w:rsidR="00C11BE8" w:rsidRDefault="00C11BE8" w:rsidP="00C11BE8">
      <w:pPr>
        <w:pStyle w:val="isselectedend"/>
        <w:ind w:left="540" w:hanging="540"/>
        <w:jc w:val="both"/>
      </w:pPr>
      <w:r>
        <w:t xml:space="preserve">Gambia Competition and Consumer Protection Commission. (n.d.). </w:t>
      </w:r>
      <w:r>
        <w:rPr>
          <w:rStyle w:val="Emphasis"/>
        </w:rPr>
        <w:t>Our mandate.</w:t>
      </w:r>
      <w:r>
        <w:t xml:space="preserve"> Retrieved August 21, 2026, from </w:t>
      </w:r>
      <w:hyperlink r:id="rId17" w:history="1">
        <w:r>
          <w:rPr>
            <w:rStyle w:val="Hyperlink"/>
          </w:rPr>
          <w:t>https://gcc.gm/about-us/our-mandate/</w:t>
        </w:r>
      </w:hyperlink>
    </w:p>
    <w:p w14:paraId="4B4EBE75" w14:textId="77777777" w:rsidR="00C11BE8" w:rsidRDefault="00C11BE8" w:rsidP="00C11BE8">
      <w:pPr>
        <w:pStyle w:val="isselectedend"/>
        <w:ind w:left="540" w:hanging="540"/>
        <w:jc w:val="both"/>
      </w:pPr>
      <w:r>
        <w:t xml:space="preserve">Gaming Commission of Ghana. (2020). </w:t>
      </w:r>
      <w:r>
        <w:rPr>
          <w:rStyle w:val="Emphasis"/>
        </w:rPr>
        <w:t>Guidelines on advertisement.</w:t>
      </w:r>
      <w:r>
        <w:t xml:space="preserve"> </w:t>
      </w:r>
      <w:hyperlink r:id="rId18" w:history="1">
        <w:r>
          <w:rPr>
            <w:rStyle w:val="Hyperlink"/>
          </w:rPr>
          <w:t>https://www.gamingcommission.gov.gh/wp-content/uploads/2025/01/ADVERTISING-GUIDELINES-OF-THE-GAMING-COMMISSION.pdf</w:t>
        </w:r>
      </w:hyperlink>
    </w:p>
    <w:p w14:paraId="26ED7109" w14:textId="77777777" w:rsidR="00C11BE8" w:rsidRDefault="00C11BE8" w:rsidP="00C11BE8">
      <w:pPr>
        <w:pStyle w:val="isselectedend"/>
        <w:ind w:left="540" w:hanging="540"/>
        <w:jc w:val="both"/>
      </w:pPr>
      <w:r>
        <w:lastRenderedPageBreak/>
        <w:t xml:space="preserve">Food and Drugs Authority. (2023). </w:t>
      </w:r>
      <w:r>
        <w:rPr>
          <w:rStyle w:val="Emphasis"/>
        </w:rPr>
        <w:t>Guidelines for advertisement of regulated products (FDA/DRI/DMS/GL-ADV/2023/01).</w:t>
      </w:r>
      <w:r>
        <w:t xml:space="preserve"> </w:t>
      </w:r>
      <w:hyperlink r:id="rId19" w:history="1">
        <w:r>
          <w:rPr>
            <w:rStyle w:val="Hyperlink"/>
          </w:rPr>
          <w:t>https://fdaghana.gov.gh/wp-content/uploads/2025/02/GUIDELINES-FOR-ADVERTISEMENT-OF-REGULATED-PRODUCTS-Final-1.pdf</w:t>
        </w:r>
      </w:hyperlink>
    </w:p>
    <w:p w14:paraId="35D46D49" w14:textId="77777777" w:rsidR="00C11BE8" w:rsidRDefault="00C11BE8" w:rsidP="00C11BE8">
      <w:pPr>
        <w:pStyle w:val="isselectedend"/>
        <w:ind w:left="540" w:hanging="540"/>
        <w:jc w:val="both"/>
      </w:pPr>
      <w:r>
        <w:t xml:space="preserve">Ghana Ministry of Health. (2012). </w:t>
      </w:r>
      <w:r>
        <w:rPr>
          <w:rStyle w:val="Emphasis"/>
        </w:rPr>
        <w:t>Public Health Act, 2012 (Act 851).</w:t>
      </w:r>
      <w:r>
        <w:t xml:space="preserve"> </w:t>
      </w:r>
      <w:hyperlink r:id="rId20" w:history="1">
        <w:r>
          <w:rPr>
            <w:rStyle w:val="Hyperlink"/>
          </w:rPr>
          <w:t>https://brr.gov.gh/reg_details?id=MjYz</w:t>
        </w:r>
      </w:hyperlink>
    </w:p>
    <w:p w14:paraId="31715CEA" w14:textId="77777777" w:rsidR="00C11BE8" w:rsidRDefault="00C11BE8" w:rsidP="00C11BE8">
      <w:pPr>
        <w:pStyle w:val="isselectedend"/>
        <w:ind w:left="540" w:hanging="540"/>
        <w:jc w:val="both"/>
      </w:pPr>
      <w:r>
        <w:t xml:space="preserve">Gilmore, A. B., Fooks, G., Drope, J., </w:t>
      </w:r>
      <w:proofErr w:type="spellStart"/>
      <w:r>
        <w:t>Bialous</w:t>
      </w:r>
      <w:proofErr w:type="spellEnd"/>
      <w:r>
        <w:t xml:space="preserve">, S. A., &amp; Jackson, R. R. (2015). Exposing and addressing tobacco industry conduct in low-income and middle-income countries. </w:t>
      </w:r>
      <w:r>
        <w:rPr>
          <w:rStyle w:val="Emphasis"/>
        </w:rPr>
        <w:t>The Lancet, 385</w:t>
      </w:r>
      <w:r>
        <w:t xml:space="preserve">(9972), 1029–1043. </w:t>
      </w:r>
      <w:hyperlink r:id="rId21" w:history="1">
        <w:r>
          <w:rPr>
            <w:rStyle w:val="Hyperlink"/>
          </w:rPr>
          <w:t>https://doi.org/10.1016/S0140-6736(15)60312-9</w:t>
        </w:r>
      </w:hyperlink>
    </w:p>
    <w:p w14:paraId="65065D37" w14:textId="77777777" w:rsidR="00C11BE8" w:rsidRDefault="00C11BE8" w:rsidP="00C11BE8">
      <w:pPr>
        <w:pStyle w:val="isselectedend"/>
        <w:ind w:left="540" w:hanging="540"/>
        <w:jc w:val="both"/>
      </w:pPr>
      <w:r>
        <w:t xml:space="preserve">Independent Media Commission. (2023, July 27). </w:t>
      </w:r>
      <w:r>
        <w:rPr>
          <w:rStyle w:val="Emphasis"/>
        </w:rPr>
        <w:t>District level popularization workshops on the IMC (Elections Coverage and Reporting/Print and Electronic Media) Regulations 2022.</w:t>
      </w:r>
      <w:r>
        <w:t xml:space="preserve"> </w:t>
      </w:r>
      <w:hyperlink r:id="rId22" w:history="1">
        <w:r>
          <w:rPr>
            <w:rStyle w:val="Hyperlink"/>
          </w:rPr>
          <w:t>https://imc.gov.sl/district-level-popularization-workshops-on-the-imc-elections-coverage-and-reporting-print-and-electronic-media-regulations-2022/</w:t>
        </w:r>
      </w:hyperlink>
    </w:p>
    <w:p w14:paraId="4032E983" w14:textId="77777777" w:rsidR="00C11BE8" w:rsidRDefault="00C11BE8" w:rsidP="00C11BE8">
      <w:pPr>
        <w:pStyle w:val="isselectedend"/>
        <w:ind w:left="540" w:hanging="540"/>
        <w:jc w:val="both"/>
      </w:pPr>
      <w:r>
        <w:t xml:space="preserve">Independent Media Commission. (2026, August 11). </w:t>
      </w:r>
      <w:r>
        <w:rPr>
          <w:rStyle w:val="Emphasis"/>
        </w:rPr>
        <w:t>Press release: Ruling under Regulation 5(1)(a) of the Print and Electronic Media Regulations 2022.</w:t>
      </w:r>
      <w:r>
        <w:t xml:space="preserve"> </w:t>
      </w:r>
      <w:hyperlink r:id="rId23" w:history="1">
        <w:r>
          <w:rPr>
            <w:rStyle w:val="Hyperlink"/>
          </w:rPr>
          <w:t>https://imc.gov.sl/press-release-30/</w:t>
        </w:r>
      </w:hyperlink>
    </w:p>
    <w:p w14:paraId="7C351AF5" w14:textId="77777777" w:rsidR="00C11BE8" w:rsidRDefault="00C11BE8" w:rsidP="00C11BE8">
      <w:pPr>
        <w:pStyle w:val="isselectedend"/>
        <w:ind w:left="540" w:hanging="540"/>
        <w:jc w:val="both"/>
      </w:pPr>
      <w:r>
        <w:rPr>
          <w:rStyle w:val="Emphasis"/>
        </w:rPr>
        <w:t>Independent Media Commission Act, 2020</w:t>
      </w:r>
      <w:r>
        <w:t xml:space="preserve"> (Act No. 5 of 2020) (Sierra Leone). </w:t>
      </w:r>
      <w:hyperlink r:id="rId24" w:history="1">
        <w:r>
          <w:rPr>
            <w:rStyle w:val="Hyperlink"/>
          </w:rPr>
          <w:t>https://sierralii.gov.sl/akn/sl/act/2020/5/eng@2020-08-18/source.pdf</w:t>
        </w:r>
      </w:hyperlink>
    </w:p>
    <w:p w14:paraId="1C581713" w14:textId="77777777" w:rsidR="00C11BE8" w:rsidRDefault="00C11BE8" w:rsidP="00C11BE8">
      <w:pPr>
        <w:pStyle w:val="isselectedend"/>
        <w:ind w:left="540" w:hanging="540"/>
        <w:jc w:val="both"/>
      </w:pPr>
      <w:r>
        <w:rPr>
          <w:rStyle w:val="Emphasis"/>
        </w:rPr>
        <w:t>Independent Media Commission (Print and Electronic Media) Regulations, 2022</w:t>
      </w:r>
      <w:r>
        <w:t xml:space="preserve"> (Statutory Instrument No. 11 of 2022) (Sierra Leone). </w:t>
      </w:r>
      <w:hyperlink r:id="rId25" w:history="1">
        <w:r>
          <w:rPr>
            <w:rStyle w:val="Hyperlink"/>
          </w:rPr>
          <w:t>https://imc.gov.sl/district-level-popularization-workshops-on-the-imc-elections-coverage-and-reporting-print-and-electronic-media-regulations-2022/</w:t>
        </w:r>
      </w:hyperlink>
    </w:p>
    <w:p w14:paraId="7A7A074B" w14:textId="77777777" w:rsidR="00C11BE8" w:rsidRDefault="00C11BE8" w:rsidP="00C11BE8">
      <w:pPr>
        <w:pStyle w:val="isselectedend"/>
        <w:ind w:left="540" w:hanging="540"/>
        <w:jc w:val="both"/>
      </w:pPr>
      <w:proofErr w:type="spellStart"/>
      <w:r>
        <w:t>Kanso</w:t>
      </w:r>
      <w:proofErr w:type="spellEnd"/>
      <w:r>
        <w:t xml:space="preserve">, A., &amp; Nelson, R. A. (2002). Advertising localization overshadows standardization. </w:t>
      </w:r>
      <w:r>
        <w:rPr>
          <w:rStyle w:val="Emphasis"/>
        </w:rPr>
        <w:t>Journal of Advertising Research, 42</w:t>
      </w:r>
      <w:r>
        <w:t xml:space="preserve">(1), 79–89. </w:t>
      </w:r>
      <w:hyperlink r:id="rId26" w:history="1">
        <w:r>
          <w:rPr>
            <w:rStyle w:val="Hyperlink"/>
          </w:rPr>
          <w:t>https://doi.org/10.2501/jar-42-1-79-89</w:t>
        </w:r>
      </w:hyperlink>
    </w:p>
    <w:p w14:paraId="3676CED1" w14:textId="77777777" w:rsidR="00C11BE8" w:rsidRDefault="00C11BE8" w:rsidP="00C11BE8">
      <w:pPr>
        <w:pStyle w:val="isselectedend"/>
        <w:ind w:left="540" w:hanging="540"/>
        <w:jc w:val="both"/>
      </w:pPr>
      <w:r>
        <w:t xml:space="preserve">Krippendorff, K. (2019). </w:t>
      </w:r>
      <w:r>
        <w:rPr>
          <w:rStyle w:val="Emphasis"/>
        </w:rPr>
        <w:t>Content analysis: An introduction to its methodology</w:t>
      </w:r>
      <w:r>
        <w:t xml:space="preserve"> (4th ed.). SAGE Publications. </w:t>
      </w:r>
      <w:hyperlink r:id="rId27" w:history="1">
        <w:r>
          <w:rPr>
            <w:rStyle w:val="Hyperlink"/>
          </w:rPr>
          <w:t>https://doi.org/10.4135/9781071878781</w:t>
        </w:r>
      </w:hyperlink>
    </w:p>
    <w:p w14:paraId="06E90A76" w14:textId="77777777" w:rsidR="00C11BE8" w:rsidRDefault="00C11BE8" w:rsidP="00C11BE8">
      <w:pPr>
        <w:pStyle w:val="isselectedend"/>
        <w:ind w:left="540" w:hanging="540"/>
        <w:jc w:val="both"/>
      </w:pPr>
      <w:r>
        <w:t xml:space="preserve">Liberia Ministry of Commerce and Industry. (2016). </w:t>
      </w:r>
      <w:r>
        <w:rPr>
          <w:rStyle w:val="Emphasis"/>
        </w:rPr>
        <w:t>Competition law of Liberia.</w:t>
      </w:r>
      <w:r>
        <w:t xml:space="preserve"> </w:t>
      </w:r>
      <w:hyperlink r:id="rId28" w:history="1">
        <w:r>
          <w:rPr>
            <w:rStyle w:val="Hyperlink"/>
          </w:rPr>
          <w:t>https://moci.gov.lr/sites/default/files/documents/Competition%20Law.compressed.pdf</w:t>
        </w:r>
      </w:hyperlink>
    </w:p>
    <w:p w14:paraId="66389F14" w14:textId="77777777" w:rsidR="00C11BE8" w:rsidRDefault="00C11BE8" w:rsidP="00C11BE8">
      <w:pPr>
        <w:pStyle w:val="isselectedend"/>
        <w:ind w:left="540" w:hanging="540"/>
        <w:jc w:val="both"/>
      </w:pPr>
      <w:r>
        <w:t xml:space="preserve">Liberia Ministry of Commerce and Industry. (2026, July 23). </w:t>
      </w:r>
      <w:r>
        <w:rPr>
          <w:rStyle w:val="Emphasis"/>
        </w:rPr>
        <w:t>Workshop on competition law &amp; policy begins in Monrovia.</w:t>
      </w:r>
      <w:r>
        <w:t xml:space="preserve"> </w:t>
      </w:r>
      <w:hyperlink r:id="rId29" w:history="1">
        <w:r>
          <w:rPr>
            <w:rStyle w:val="Hyperlink"/>
          </w:rPr>
          <w:t>https://moci.gov.lr/media/press-releases/workshop-competition-law-policy-begins-monrovia</w:t>
        </w:r>
      </w:hyperlink>
    </w:p>
    <w:p w14:paraId="253BBBF3" w14:textId="77777777" w:rsidR="00C11BE8" w:rsidRDefault="00C11BE8" w:rsidP="00C11BE8">
      <w:pPr>
        <w:pStyle w:val="isselectedend"/>
        <w:ind w:left="540" w:hanging="540"/>
        <w:jc w:val="both"/>
      </w:pPr>
      <w:r>
        <w:t xml:space="preserve">Lombard, M., Snyder-Duch, J., &amp; Bracken, C. C. (2002). Content analysis in mass communication: Assessment and reporting of intercoder reliability. </w:t>
      </w:r>
      <w:r>
        <w:rPr>
          <w:rStyle w:val="Emphasis"/>
        </w:rPr>
        <w:t>Human Communication Research, 28</w:t>
      </w:r>
      <w:r>
        <w:t xml:space="preserve">(4), 587–604. </w:t>
      </w:r>
      <w:hyperlink r:id="rId30" w:history="1">
        <w:r>
          <w:rPr>
            <w:rStyle w:val="Hyperlink"/>
          </w:rPr>
          <w:t>https://doi.org/10.1111/j.1468-2958.2002.tb00826.x</w:t>
        </w:r>
      </w:hyperlink>
    </w:p>
    <w:p w14:paraId="7FA63283" w14:textId="77777777" w:rsidR="00C11BE8" w:rsidRDefault="00C11BE8" w:rsidP="00C11BE8">
      <w:pPr>
        <w:pStyle w:val="isselectedend"/>
        <w:ind w:left="540" w:hanging="540"/>
        <w:jc w:val="both"/>
      </w:pPr>
      <w:r>
        <w:t xml:space="preserve">Majone, G. (1994). The rise of the regulatory state in Europe. </w:t>
      </w:r>
      <w:r>
        <w:rPr>
          <w:rStyle w:val="Emphasis"/>
        </w:rPr>
        <w:t>West European Politics, 17</w:t>
      </w:r>
      <w:r>
        <w:t xml:space="preserve">(3), 77–101. </w:t>
      </w:r>
      <w:hyperlink r:id="rId31" w:history="1">
        <w:r>
          <w:rPr>
            <w:rStyle w:val="Hyperlink"/>
          </w:rPr>
          <w:t>https://doi.org/10.1080/01402389408425031</w:t>
        </w:r>
      </w:hyperlink>
    </w:p>
    <w:p w14:paraId="25ECD89B" w14:textId="77777777" w:rsidR="00C11BE8" w:rsidRDefault="00C11BE8" w:rsidP="00C11BE8">
      <w:pPr>
        <w:pStyle w:val="isselectedend"/>
        <w:ind w:left="540" w:hanging="540"/>
        <w:jc w:val="both"/>
      </w:pPr>
      <w:r>
        <w:lastRenderedPageBreak/>
        <w:t xml:space="preserve">Ringold, D. J. (2023). Consumer skepticism, advertising regulation, and the internet: Questions worth exploring. </w:t>
      </w:r>
      <w:r>
        <w:rPr>
          <w:rStyle w:val="Emphasis"/>
        </w:rPr>
        <w:t>Journal of Consumer Affairs, 57</w:t>
      </w:r>
      <w:r>
        <w:t xml:space="preserve">(3), 1000–1014. </w:t>
      </w:r>
      <w:hyperlink r:id="rId32" w:history="1">
        <w:r>
          <w:rPr>
            <w:rStyle w:val="Hyperlink"/>
          </w:rPr>
          <w:t>https://doi.org/10.1111/joca.12544</w:t>
        </w:r>
      </w:hyperlink>
    </w:p>
    <w:p w14:paraId="0A3E8675" w14:textId="77777777" w:rsidR="00C11BE8" w:rsidRDefault="00C11BE8" w:rsidP="00C11BE8">
      <w:pPr>
        <w:pStyle w:val="isselectedend"/>
        <w:ind w:left="540" w:hanging="540"/>
        <w:jc w:val="both"/>
      </w:pPr>
      <w:r>
        <w:t xml:space="preserve">Thatcher, M. (2002). Regulation after delegation: Independent regulatory agencies in Europe. </w:t>
      </w:r>
      <w:r>
        <w:rPr>
          <w:rStyle w:val="Emphasis"/>
        </w:rPr>
        <w:t>Journal of European Public Policy, 9</w:t>
      </w:r>
      <w:r>
        <w:t xml:space="preserve">(6), 954–972. </w:t>
      </w:r>
      <w:hyperlink r:id="rId33" w:history="1">
        <w:r>
          <w:rPr>
            <w:rStyle w:val="Hyperlink"/>
          </w:rPr>
          <w:t>https://doi.org/10.1080/1350176022000046445</w:t>
        </w:r>
      </w:hyperlink>
    </w:p>
    <w:p w14:paraId="1BB8E94F" w14:textId="77777777" w:rsidR="00C11BE8" w:rsidRDefault="00C11BE8" w:rsidP="00C11BE8">
      <w:pPr>
        <w:pStyle w:val="isselectedend"/>
        <w:ind w:left="540" w:hanging="540"/>
        <w:jc w:val="both"/>
      </w:pPr>
      <w:r>
        <w:t xml:space="preserve">World Intellectual Property Organization. (2016). </w:t>
      </w:r>
      <w:r>
        <w:rPr>
          <w:rStyle w:val="Emphasis"/>
        </w:rPr>
        <w:t>Liberia Intellectual Property Act, 2016.</w:t>
      </w:r>
      <w:r>
        <w:t xml:space="preserve"> WIPO Lex. </w:t>
      </w:r>
      <w:hyperlink r:id="rId34" w:history="1">
        <w:r>
          <w:rPr>
            <w:rStyle w:val="Hyperlink"/>
          </w:rPr>
          <w:t>https://www.wipo.int/wipolex/en/legislation/details/16994</w:t>
        </w:r>
      </w:hyperlink>
    </w:p>
    <w:p w14:paraId="378DD8EF" w14:textId="41DEA518" w:rsidR="00C11BE8" w:rsidRPr="00C11BE8" w:rsidRDefault="00C11BE8" w:rsidP="00C11BE8">
      <w:pPr>
        <w:pStyle w:val="isselectedend"/>
        <w:ind w:left="540" w:hanging="540"/>
        <w:jc w:val="both"/>
        <w:rPr>
          <w:b/>
          <w:bCs/>
        </w:rPr>
      </w:pPr>
      <w:proofErr w:type="spellStart"/>
      <w:r w:rsidRPr="00C11BE8">
        <w:rPr>
          <w:rStyle w:val="Strong"/>
          <w:b w:val="0"/>
          <w:bCs w:val="0"/>
        </w:rPr>
        <w:t>Senftleben</w:t>
      </w:r>
      <w:proofErr w:type="spellEnd"/>
      <w:r w:rsidRPr="00C11BE8">
        <w:rPr>
          <w:rStyle w:val="Strong"/>
          <w:b w:val="0"/>
          <w:bCs w:val="0"/>
        </w:rPr>
        <w:t xml:space="preserve">, M. (2022). </w:t>
      </w:r>
      <w:r w:rsidRPr="00C11BE8">
        <w:rPr>
          <w:rStyle w:val="Strong"/>
          <w:b w:val="0"/>
          <w:bCs w:val="0"/>
          <w:i/>
          <w:iCs/>
        </w:rPr>
        <w:t>Status report on the protection against unfair competition in WIPO member states</w:t>
      </w:r>
      <w:r w:rsidRPr="00C11BE8">
        <w:rPr>
          <w:rStyle w:val="Strong"/>
          <w:b w:val="0"/>
          <w:bCs w:val="0"/>
        </w:rPr>
        <w:t xml:space="preserve">. World Intellectual Property Organization. </w:t>
      </w:r>
      <w:hyperlink r:id="rId35" w:history="1">
        <w:r w:rsidRPr="00C11BE8">
          <w:rPr>
            <w:rStyle w:val="Strong"/>
            <w:b w:val="0"/>
            <w:bCs w:val="0"/>
            <w:color w:val="0000FF"/>
            <w:u w:val="single"/>
          </w:rPr>
          <w:t>https://www.wipo.int/sct/en/meetings/pdf/wipo-strad-inf-8-prov.pdf</w:t>
        </w:r>
      </w:hyperlink>
    </w:p>
    <w:p w14:paraId="57C813AD" w14:textId="77777777" w:rsidR="00C11BE8" w:rsidRDefault="00C11BE8" w:rsidP="00C11BE8">
      <w:pPr>
        <w:pStyle w:val="NormalWeb"/>
        <w:ind w:left="540" w:hanging="540"/>
        <w:jc w:val="both"/>
      </w:pPr>
      <w:r>
        <w:t xml:space="preserve">World Trade Organization. (2014). </w:t>
      </w:r>
      <w:r>
        <w:rPr>
          <w:rStyle w:val="Emphasis"/>
        </w:rPr>
        <w:t>Draft Protection Against Unfair Competition Act, 2014: Liberia accession documentation.</w:t>
      </w:r>
      <w:r>
        <w:t xml:space="preserve"> </w:t>
      </w:r>
      <w:hyperlink r:id="rId36" w:history="1">
        <w:r>
          <w:rPr>
            <w:rStyle w:val="Hyperlink"/>
          </w:rPr>
          <w:t>https://www.wto.org/english/thewto_e/acc_e/a1_liberia_e.htm</w:t>
        </w:r>
      </w:hyperlink>
    </w:p>
    <w:p w14:paraId="32AA2A9D" w14:textId="19DBEE68" w:rsidR="0011534A" w:rsidRDefault="0011534A" w:rsidP="00C11BE8">
      <w:pPr>
        <w:spacing w:after="80" w:line="240" w:lineRule="auto"/>
        <w:ind w:left="432" w:hanging="432"/>
        <w:jc w:val="left"/>
      </w:pPr>
    </w:p>
    <w:sectPr w:rsidR="0011534A" w:rsidSect="00034616">
      <w:footerReference w:type="default" r:id="rId37"/>
      <w:pgSz w:w="12240" w:h="15840"/>
      <w:pgMar w:top="1224"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D25B0" w14:textId="77777777" w:rsidR="00777122" w:rsidRDefault="00777122">
      <w:pPr>
        <w:spacing w:after="0" w:line="240" w:lineRule="auto"/>
      </w:pPr>
      <w:r>
        <w:separator/>
      </w:r>
    </w:p>
  </w:endnote>
  <w:endnote w:type="continuationSeparator" w:id="0">
    <w:p w14:paraId="3A03A648" w14:textId="77777777" w:rsidR="00777122" w:rsidRDefault="00777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3BC69" w14:textId="77777777" w:rsidR="0011534A" w:rsidRDefault="00000000">
    <w:pPr>
      <w:pStyle w:val="Footer"/>
      <w:jc w:val="center"/>
    </w:pP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sidR="00EA07FF">
      <w:rPr>
        <w:rFonts w:eastAsia="Times New Roman"/>
        <w:noProof/>
        <w:sz w:val="18"/>
      </w:rPr>
      <w:t>1</w:t>
    </w:r>
    <w:r>
      <w:rPr>
        <w:rFonts w:eastAsia="Times New Roman"/>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E0BAD" w14:textId="77777777" w:rsidR="00777122" w:rsidRDefault="00777122">
      <w:pPr>
        <w:spacing w:after="0" w:line="240" w:lineRule="auto"/>
      </w:pPr>
      <w:r>
        <w:separator/>
      </w:r>
    </w:p>
  </w:footnote>
  <w:footnote w:type="continuationSeparator" w:id="0">
    <w:p w14:paraId="490D030E" w14:textId="77777777" w:rsidR="00777122" w:rsidRDefault="007771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7816219">
    <w:abstractNumId w:val="8"/>
  </w:num>
  <w:num w:numId="2" w16cid:durableId="950626510">
    <w:abstractNumId w:val="6"/>
  </w:num>
  <w:num w:numId="3" w16cid:durableId="482545548">
    <w:abstractNumId w:val="5"/>
  </w:num>
  <w:num w:numId="4" w16cid:durableId="130447740">
    <w:abstractNumId w:val="4"/>
  </w:num>
  <w:num w:numId="5" w16cid:durableId="212888285">
    <w:abstractNumId w:val="7"/>
  </w:num>
  <w:num w:numId="6" w16cid:durableId="1713185782">
    <w:abstractNumId w:val="3"/>
  </w:num>
  <w:num w:numId="7" w16cid:durableId="1287354424">
    <w:abstractNumId w:val="2"/>
  </w:num>
  <w:num w:numId="8" w16cid:durableId="1881169482">
    <w:abstractNumId w:val="1"/>
  </w:num>
  <w:num w:numId="9" w16cid:durableId="1805535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534A"/>
    <w:rsid w:val="0015074B"/>
    <w:rsid w:val="0029639D"/>
    <w:rsid w:val="002D6292"/>
    <w:rsid w:val="00311CB8"/>
    <w:rsid w:val="00326F90"/>
    <w:rsid w:val="00361FD4"/>
    <w:rsid w:val="00553244"/>
    <w:rsid w:val="00597409"/>
    <w:rsid w:val="00777122"/>
    <w:rsid w:val="00811D16"/>
    <w:rsid w:val="00937BB6"/>
    <w:rsid w:val="009A1C85"/>
    <w:rsid w:val="00AA1D8D"/>
    <w:rsid w:val="00AB5D3A"/>
    <w:rsid w:val="00B05796"/>
    <w:rsid w:val="00B47730"/>
    <w:rsid w:val="00B7281A"/>
    <w:rsid w:val="00C11BE8"/>
    <w:rsid w:val="00C2251E"/>
    <w:rsid w:val="00C67FDE"/>
    <w:rsid w:val="00CA3564"/>
    <w:rsid w:val="00CB0664"/>
    <w:rsid w:val="00EA07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C2A03B"/>
  <w14:defaultImageDpi w14:val="300"/>
  <w15:docId w15:val="{A18D8EF9-DF07-4241-AC84-ACB353DCC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C11BE8"/>
    <w:pPr>
      <w:spacing w:before="100" w:beforeAutospacing="1" w:afterAutospacing="1" w:line="240" w:lineRule="auto"/>
      <w:jc w:val="left"/>
    </w:pPr>
    <w:rPr>
      <w:rFonts w:eastAsia="Times New Roman" w:cs="Times New Roman"/>
      <w:sz w:val="24"/>
      <w:szCs w:val="24"/>
    </w:rPr>
  </w:style>
  <w:style w:type="character" w:styleId="Hyperlink">
    <w:name w:val="Hyperlink"/>
    <w:basedOn w:val="DefaultParagraphFont"/>
    <w:uiPriority w:val="99"/>
    <w:semiHidden/>
    <w:unhideWhenUsed/>
    <w:rsid w:val="00C11BE8"/>
    <w:rPr>
      <w:color w:val="0000FF"/>
      <w:u w:val="single"/>
    </w:rPr>
  </w:style>
  <w:style w:type="character" w:customStyle="1" w:styleId="text-token-text-primary">
    <w:name w:val="text-token-text-primary"/>
    <w:basedOn w:val="DefaultParagraphFont"/>
    <w:rsid w:val="00C11BE8"/>
  </w:style>
  <w:style w:type="paragraph" w:styleId="NormalWeb">
    <w:name w:val="Normal (Web)"/>
    <w:basedOn w:val="Normal"/>
    <w:uiPriority w:val="99"/>
    <w:semiHidden/>
    <w:unhideWhenUsed/>
    <w:rsid w:val="00C11BE8"/>
    <w:pPr>
      <w:spacing w:before="100" w:beforeAutospacing="1" w:afterAutospacing="1" w:line="240" w:lineRule="auto"/>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cc.gm/wp-content/uploads/2018/05/GAMBIA-CONSUMER-PROTECTION-ACT-2014.pdf" TargetMode="External"/><Relationship Id="rId18" Type="http://schemas.openxmlformats.org/officeDocument/2006/relationships/hyperlink" Target="https://www.gamingcommission.gov.gh/wp-content/uploads/2025/01/ADVERTISING-GUIDELINES-OF-THE-GAMING-COMMISSION.pdf" TargetMode="External"/><Relationship Id="rId26" Type="http://schemas.openxmlformats.org/officeDocument/2006/relationships/hyperlink" Target="https://doi.org/10.2501/jar-42-1-79-89" TargetMode="External"/><Relationship Id="rId39" Type="http://schemas.openxmlformats.org/officeDocument/2006/relationships/theme" Target="theme/theme1.xml"/><Relationship Id="rId21" Type="http://schemas.openxmlformats.org/officeDocument/2006/relationships/hyperlink" Target="https://doi.org/10.1016/S0140-6736(15)60312-9" TargetMode="External"/><Relationship Id="rId34" Type="http://schemas.openxmlformats.org/officeDocument/2006/relationships/hyperlink" Target="https://www.wipo.int/wipolex/en/legislation/details/16994" TargetMode="External"/><Relationship Id="rId7" Type="http://schemas.openxmlformats.org/officeDocument/2006/relationships/endnotes" Target="endnotes.xml"/><Relationship Id="rId12" Type="http://schemas.openxmlformats.org/officeDocument/2006/relationships/hyperlink" Target="https://doi.org/10.1177/0743915618818576" TargetMode="External"/><Relationship Id="rId17" Type="http://schemas.openxmlformats.org/officeDocument/2006/relationships/hyperlink" Target="https://gcc.gm/about-us/our-mandate/" TargetMode="External"/><Relationship Id="rId25" Type="http://schemas.openxmlformats.org/officeDocument/2006/relationships/hyperlink" Target="https://imc.gov.sl/district-level-popularization-workshops-on-the-imc-elections-coverage-and-reporting-print-and-electronic-media-regulations-2022/" TargetMode="External"/><Relationship Id="rId33" Type="http://schemas.openxmlformats.org/officeDocument/2006/relationships/hyperlink" Target="https://doi.org/10.1080/1350176022000046445"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93/ntr/nty069" TargetMode="External"/><Relationship Id="rId20" Type="http://schemas.openxmlformats.org/officeDocument/2006/relationships/hyperlink" Target="https://brr.gov.gh/reg_details?id=MjYz" TargetMode="External"/><Relationship Id="rId29" Type="http://schemas.openxmlformats.org/officeDocument/2006/relationships/hyperlink" Target="https://moci.gov.lr/media/press-releases/workshop-competition-law-policy-begins-monrov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0913367.1989.10673148" TargetMode="External"/><Relationship Id="rId24" Type="http://schemas.openxmlformats.org/officeDocument/2006/relationships/hyperlink" Target="https://sierralii.gov.sl/akn/sl/act/2020/5/eng@2020-08-18/source.pdf" TargetMode="External"/><Relationship Id="rId32" Type="http://schemas.openxmlformats.org/officeDocument/2006/relationships/hyperlink" Target="https://doi.org/10.1111/joca.12544"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16/j.clsr.2023.105870" TargetMode="External"/><Relationship Id="rId23" Type="http://schemas.openxmlformats.org/officeDocument/2006/relationships/hyperlink" Target="https://imc.gov.sl/press-release-30/" TargetMode="External"/><Relationship Id="rId28" Type="http://schemas.openxmlformats.org/officeDocument/2006/relationships/hyperlink" Target="https://moci.gov.lr/sites/default/files/documents/Competition%20Law.compressed.pdf" TargetMode="External"/><Relationship Id="rId36" Type="http://schemas.openxmlformats.org/officeDocument/2006/relationships/hyperlink" Target="https://www.wto.org/english/thewto_e/acc_e/a1_liberia_e.htm" TargetMode="External"/><Relationship Id="rId10" Type="http://schemas.openxmlformats.org/officeDocument/2006/relationships/hyperlink" Target="https://doi.org/10.1057/s41271-025-00547-z" TargetMode="External"/><Relationship Id="rId19" Type="http://schemas.openxmlformats.org/officeDocument/2006/relationships/hyperlink" Target="https://fdaghana.gov.gh/wp-content/uploads/2025/02/GUIDELINES-FOR-ADVERTISEMENT-OF-REGULATED-PRODUCTS-Final-1.pdf" TargetMode="External"/><Relationship Id="rId31" Type="http://schemas.openxmlformats.org/officeDocument/2006/relationships/hyperlink" Target="https://doi.org/10.1080/01402389408425031" TargetMode="External"/><Relationship Id="rId4" Type="http://schemas.openxmlformats.org/officeDocument/2006/relationships/settings" Target="settings.xml"/><Relationship Id="rId9" Type="http://schemas.openxmlformats.org/officeDocument/2006/relationships/hyperlink" Target="https://advertcouncil.gov.ng/documents/ARCON%20Act%202022.pdf" TargetMode="External"/><Relationship Id="rId14" Type="http://schemas.openxmlformats.org/officeDocument/2006/relationships/hyperlink" Target="https://doi.org/10.1111/joca.12295" TargetMode="External"/><Relationship Id="rId22" Type="http://schemas.openxmlformats.org/officeDocument/2006/relationships/hyperlink" Target="https://imc.gov.sl/district-level-popularization-workshops-on-the-imc-elections-coverage-and-reporting-print-and-electronic-media-regulations-2022/" TargetMode="External"/><Relationship Id="rId27" Type="http://schemas.openxmlformats.org/officeDocument/2006/relationships/hyperlink" Target="https://doi.org/10.4135/9781071878781" TargetMode="External"/><Relationship Id="rId30" Type="http://schemas.openxmlformats.org/officeDocument/2006/relationships/hyperlink" Target="https://doi.org/10.1111/j.1468-2958.2002.tb00826.x" TargetMode="External"/><Relationship Id="rId35" Type="http://schemas.openxmlformats.org/officeDocument/2006/relationships/hyperlink" Target="https://www.wipo.int/sct/en/meetings/pdf/wipo-strad-inf-8-prov.pdf" TargetMode="External"/><Relationship Id="rId8" Type="http://schemas.openxmlformats.org/officeDocument/2006/relationships/hyperlink" Target="https://advertcouncil.gov.ng/_nig_code_of_advertising.php"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8250</Words>
  <Characters>47027</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Comparative Analysis of Advertising Regulation in West Africa: A Study of Ghana, Liberia, Nigeria, The Gambia, and Sierra Leone</dc:title>
  <dc:subject>Comparative advertising regulation in five Anglophone West African countries</dc:subject>
  <dc:creator>Hero Sunday AKPATA; Philomena Effiong UMOREN</dc:creator>
  <cp:keywords>advertising regulation; West Africa; consumer protection; digital advertising; ARCON</cp:keywords>
  <dc:description>generated by python-docx</dc:description>
  <cp:lastModifiedBy>Editor-90</cp:lastModifiedBy>
  <cp:revision>9</cp:revision>
  <dcterms:created xsi:type="dcterms:W3CDTF">2013-12-23T23:15:00Z</dcterms:created>
  <dcterms:modified xsi:type="dcterms:W3CDTF">2026-08-28T05:12:00Z</dcterms:modified>
  <cp:category/>
</cp:coreProperties>
</file>