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752CBE" w14:paraId="3F1F26DF" w14:textId="77777777">
        <w:trPr>
          <w:trHeight w:val="20"/>
          <w:jc w:val="center"/>
        </w:trPr>
        <w:tc>
          <w:tcPr>
            <w:tcW w:w="1186" w:type="pct"/>
          </w:tcPr>
          <w:p w14:paraId="544ABCA8" w14:textId="77777777" w:rsidR="00752CBE" w:rsidRDefault="00C40E3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234654D" w14:textId="77777777" w:rsidR="00752CBE" w:rsidRDefault="00752CBE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Journal of Global Ecology and Environment</w:t>
              </w:r>
            </w:hyperlink>
          </w:p>
        </w:tc>
      </w:tr>
      <w:tr w:rsidR="00752CBE" w14:paraId="5C52A487" w14:textId="77777777">
        <w:trPr>
          <w:trHeight w:val="20"/>
          <w:jc w:val="center"/>
        </w:trPr>
        <w:tc>
          <w:tcPr>
            <w:tcW w:w="1186" w:type="pct"/>
          </w:tcPr>
          <w:p w14:paraId="29230212" w14:textId="77777777" w:rsidR="00752CBE" w:rsidRDefault="00C40E3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F1323D6" w14:textId="34DFF6D3" w:rsidR="00752CBE" w:rsidRDefault="00D0315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031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Ms_JOGEE_15411</w:t>
            </w:r>
          </w:p>
        </w:tc>
      </w:tr>
      <w:tr w:rsidR="00752CBE" w14:paraId="055DF5C9" w14:textId="77777777">
        <w:trPr>
          <w:trHeight w:val="20"/>
          <w:jc w:val="center"/>
        </w:trPr>
        <w:tc>
          <w:tcPr>
            <w:tcW w:w="1186" w:type="pct"/>
          </w:tcPr>
          <w:p w14:paraId="697EBC70" w14:textId="77777777" w:rsidR="00752CBE" w:rsidRDefault="00C40E3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E0FF605" w14:textId="5A7E0CED" w:rsidR="00752CBE" w:rsidRDefault="00D0315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0315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Detection of precipitation breaks as an indicator of climate variability at the Kolda station</w:t>
            </w:r>
          </w:p>
        </w:tc>
      </w:tr>
      <w:tr w:rsidR="00752CBE" w14:paraId="33FB1A18" w14:textId="77777777">
        <w:trPr>
          <w:trHeight w:val="20"/>
          <w:jc w:val="center"/>
        </w:trPr>
        <w:tc>
          <w:tcPr>
            <w:tcW w:w="1186" w:type="pct"/>
          </w:tcPr>
          <w:p w14:paraId="00AADCF1" w14:textId="77777777" w:rsidR="00752CBE" w:rsidRDefault="00C40E3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7827CD1" w14:textId="564C316D" w:rsidR="00752CBE" w:rsidRDefault="00D45CA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45CA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43084491" w14:textId="77777777" w:rsidR="00752CBE" w:rsidRDefault="00752CB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2F3B51F5" w14:textId="77777777" w:rsidR="00752CBE" w:rsidRDefault="00C40E36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11C3F155" w14:textId="77777777" w:rsidR="00752CBE" w:rsidRDefault="00752CBE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752CBE" w14:paraId="6452F0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E0EBD" w14:textId="77777777" w:rsidR="00752CBE" w:rsidRDefault="00752CB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7583FBB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F919EF4" w14:textId="77777777" w:rsidR="00752CBE" w:rsidRDefault="00C40E36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08BF56C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3DBB6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E4F88B" w14:textId="77777777" w:rsidR="00752CBE" w:rsidRDefault="00C40E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71FD9F7" w14:textId="77777777" w:rsidR="00752CBE" w:rsidRDefault="00C40E36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6403E82" w14:textId="6107DE03" w:rsidR="000836BA" w:rsidRPr="00321D2C" w:rsidRDefault="000836BA" w:rsidP="000836BA">
            <w:pPr>
              <w:spacing w:before="100" w:beforeAutospacing="1" w:after="100" w:afterAutospacing="1" w:line="300" w:lineRule="atLeast"/>
              <w:jc w:val="both"/>
              <w:rPr>
                <w:rFonts w:ascii="Segoe UI" w:hAnsi="Segoe UI" w:cs="Segoe UI"/>
                <w:sz w:val="21"/>
                <w:szCs w:val="21"/>
              </w:rPr>
            </w:pPr>
            <w:r w:rsidRPr="00321D2C">
              <w:rPr>
                <w:rFonts w:ascii="Segoe UI" w:hAnsi="Segoe UI" w:cs="Segoe UI"/>
                <w:sz w:val="21"/>
                <w:szCs w:val="21"/>
              </w:rPr>
              <w:t xml:space="preserve">This manuscript addresses an important topic in climate science, particularly for the Sahel region where rainfall variability has significant implications for agriculture, water resources, and livelihoods. </w:t>
            </w:r>
          </w:p>
          <w:p w14:paraId="29AADB4B" w14:textId="05DCFBA0" w:rsidR="000836BA" w:rsidRPr="00321D2C" w:rsidRDefault="000836BA" w:rsidP="000836BA">
            <w:pPr>
              <w:spacing w:before="100" w:beforeAutospacing="1" w:after="100" w:afterAutospacing="1" w:line="300" w:lineRule="atLeast"/>
              <w:jc w:val="both"/>
              <w:rPr>
                <w:rFonts w:ascii="Segoe UI" w:hAnsi="Segoe UI" w:cs="Segoe UI"/>
                <w:sz w:val="21"/>
                <w:szCs w:val="21"/>
              </w:rPr>
            </w:pPr>
            <w:r w:rsidRPr="00321D2C">
              <w:rPr>
                <w:rFonts w:ascii="Segoe UI" w:hAnsi="Segoe UI" w:cs="Segoe UI"/>
                <w:sz w:val="21"/>
                <w:szCs w:val="21"/>
              </w:rPr>
              <w:t xml:space="preserve">One of the strongest aspects of the study is the use of several change-point detection methods (Pettitt, </w:t>
            </w:r>
            <w:proofErr w:type="spellStart"/>
            <w:r w:rsidRPr="00321D2C">
              <w:rPr>
                <w:rFonts w:ascii="Segoe UI" w:hAnsi="Segoe UI" w:cs="Segoe UI"/>
                <w:sz w:val="21"/>
                <w:szCs w:val="21"/>
              </w:rPr>
              <w:t>Buishand</w:t>
            </w:r>
            <w:proofErr w:type="spellEnd"/>
            <w:r w:rsidRPr="00321D2C">
              <w:rPr>
                <w:rFonts w:ascii="Segoe UI" w:hAnsi="Segoe UI" w:cs="Segoe UI"/>
                <w:sz w:val="21"/>
                <w:szCs w:val="21"/>
              </w:rPr>
              <w:t>, Hubert segmentation, and Lee–</w:t>
            </w:r>
            <w:proofErr w:type="spellStart"/>
            <w:r w:rsidRPr="00321D2C">
              <w:rPr>
                <w:rFonts w:ascii="Segoe UI" w:hAnsi="Segoe UI" w:cs="Segoe UI"/>
                <w:sz w:val="21"/>
                <w:szCs w:val="21"/>
              </w:rPr>
              <w:t>Heghinian</w:t>
            </w:r>
            <w:proofErr w:type="spellEnd"/>
            <w:r w:rsidRPr="00321D2C">
              <w:rPr>
                <w:rFonts w:ascii="Segoe UI" w:hAnsi="Segoe UI" w:cs="Segoe UI"/>
                <w:sz w:val="21"/>
                <w:szCs w:val="21"/>
              </w:rPr>
              <w:t xml:space="preserve"> tests) rather than relying on a single statistical approach. </w:t>
            </w:r>
          </w:p>
          <w:p w14:paraId="1AAB8C76" w14:textId="77777777" w:rsidR="000836BA" w:rsidRPr="00321D2C" w:rsidRDefault="000836BA" w:rsidP="000836BA">
            <w:pPr>
              <w:spacing w:before="100" w:beforeAutospacing="1" w:after="100" w:afterAutospacing="1" w:line="300" w:lineRule="atLeast"/>
              <w:jc w:val="both"/>
              <w:rPr>
                <w:rFonts w:ascii="Segoe UI" w:hAnsi="Segoe UI" w:cs="Segoe UI"/>
                <w:sz w:val="21"/>
                <w:szCs w:val="21"/>
              </w:rPr>
            </w:pPr>
            <w:r w:rsidRPr="00321D2C">
              <w:rPr>
                <w:rFonts w:ascii="Segoe UI" w:hAnsi="Segoe UI" w:cs="Segoe UI"/>
                <w:sz w:val="21"/>
                <w:szCs w:val="21"/>
              </w:rPr>
              <w:t>The study is also well grounded in the regional climatic context. The authors successfully relate the detected rainfall changes to the well-known Sahelian drought period that affected West Africa during the late 1960s and early 1970s. This consistency with existing knowledge enhances confidence in the overall conclusions.</w:t>
            </w:r>
          </w:p>
          <w:p w14:paraId="0690BB8B" w14:textId="77777777" w:rsidR="000836BA" w:rsidRPr="00321D2C" w:rsidRDefault="000836BA" w:rsidP="000836BA">
            <w:pPr>
              <w:spacing w:before="100" w:beforeAutospacing="1" w:after="100" w:afterAutospacing="1" w:line="300" w:lineRule="atLeast"/>
              <w:jc w:val="both"/>
              <w:rPr>
                <w:rFonts w:ascii="Segoe UI" w:hAnsi="Segoe UI" w:cs="Segoe UI"/>
                <w:sz w:val="21"/>
                <w:szCs w:val="21"/>
              </w:rPr>
            </w:pPr>
            <w:r w:rsidRPr="00321D2C">
              <w:rPr>
                <w:rFonts w:ascii="Segoe UI" w:hAnsi="Segoe UI" w:cs="Segoe UI"/>
                <w:sz w:val="21"/>
                <w:szCs w:val="21"/>
              </w:rPr>
              <w:t>Overall, the topic is timely, relevant, and of practical importance for climate adaptation and water-resource management in Senegal and other parts of the Sahel.</w:t>
            </w:r>
          </w:p>
          <w:p w14:paraId="7BF9C107" w14:textId="77777777" w:rsidR="00752CBE" w:rsidRDefault="00752CBE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6F23C0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6D09E01" w14:textId="77777777" w:rsidR="00752CBE" w:rsidRDefault="00752CBE">
      <w:pPr>
        <w:rPr>
          <w:sz w:val="20"/>
          <w:szCs w:val="20"/>
          <w:lang w:val="en-GB"/>
        </w:rPr>
      </w:pPr>
    </w:p>
    <w:p w14:paraId="0C4A3F51" w14:textId="77777777" w:rsidR="00752CBE" w:rsidRDefault="00C40E36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76BCDAF" w14:textId="77777777" w:rsidR="00752CBE" w:rsidRDefault="00752CB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752CBE" w14:paraId="45511E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BE8273" w14:textId="77777777" w:rsidR="00752CBE" w:rsidRDefault="00752CB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09F4162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89C0AA4" w14:textId="1493AD6D" w:rsidR="00752CBE" w:rsidRDefault="00C40E36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3372C0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372C0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52CBE" w14:paraId="286499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13B329" w14:textId="77777777" w:rsidR="00752CBE" w:rsidRDefault="00C40E3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CD0895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CF0A0E" w14:textId="77777777" w:rsidR="00752CBE" w:rsidRDefault="00C40E36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C19154" w14:textId="24D930A0" w:rsidR="00752CBE" w:rsidRDefault="001C14A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7F11FFA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4C6B4F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56427F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2641DD7A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DA54E8" w14:textId="77777777" w:rsidR="00752CBE" w:rsidRDefault="00C40E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F81BFB" w14:textId="3B2B350E" w:rsidR="00752CBE" w:rsidRDefault="001C14A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2561B8A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73E7C6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C96D94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97DA6C1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72E160" w14:textId="77777777" w:rsidR="00752CBE" w:rsidRDefault="00C40E3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D009C" w14:textId="039F2624" w:rsidR="00752CBE" w:rsidRDefault="001C14A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D4D2741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3817CD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B6E6D5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CC2340D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5392D1" w14:textId="77777777" w:rsidR="00752CBE" w:rsidRDefault="00C40E3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342953" w14:textId="5257C1EB" w:rsidR="00752CBE" w:rsidRDefault="001C14A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224758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4B27D2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4366C6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CA6876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648FC" w14:textId="77777777" w:rsidR="00752CBE" w:rsidRDefault="00C40E3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FAEEC0" w14:textId="0BB7424B" w:rsidR="00752CBE" w:rsidRDefault="001C14A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AA5F152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4BE322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B4C880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7CBD27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71552A" w14:textId="77777777" w:rsidR="00752CBE" w:rsidRDefault="00C40E3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DCF77D" w14:textId="7D4AAC5C" w:rsidR="00752CBE" w:rsidRDefault="001C14A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0F37F8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46EB2D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BBCAB2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65C0AE5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AD32E" w14:textId="77777777" w:rsidR="00752CBE" w:rsidRDefault="00C40E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432FA" w14:textId="34C345A0" w:rsidR="00752CBE" w:rsidRDefault="001C14A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C45B30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60F71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8E67D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CEF13BD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51AB2" w14:textId="77777777" w:rsidR="00752CBE" w:rsidRDefault="00C40E3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DDAD5" w14:textId="5ED253E3" w:rsidR="00752CBE" w:rsidRDefault="001C14A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D70F1C0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49BDD3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ECDD4" w14:textId="77777777" w:rsidR="00752CBE" w:rsidRDefault="00C40E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CEAF0E4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28417C" w14:textId="77777777" w:rsidR="00752CBE" w:rsidRDefault="00C40E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64F6C1" w14:textId="45E91257" w:rsidR="00752CBE" w:rsidRDefault="001C14A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5B399B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2FE1E8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7875DB" w14:textId="77777777" w:rsidR="00752CBE" w:rsidRDefault="00C40E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24E19F7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46F68A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26CF5DC" w14:textId="77777777" w:rsidR="00752CBE" w:rsidRDefault="00752CB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920B7CA" w14:textId="77777777" w:rsidR="00752CBE" w:rsidRDefault="00752CB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378312" w14:textId="19717C82" w:rsidR="00752CBE" w:rsidRDefault="001C14A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7AC1657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0ED27A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9DF810" w14:textId="77777777" w:rsidR="00752CBE" w:rsidRDefault="00C40E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423137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66D5B0" w14:textId="77777777" w:rsidR="00752CBE" w:rsidRDefault="00C40E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07816" w14:textId="67E35E40" w:rsidR="00752CBE" w:rsidRDefault="000A7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ABB1D9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164F67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BBAB9B" w14:textId="77777777" w:rsidR="00752CBE" w:rsidRDefault="00C40E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9B33852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4618D" w14:textId="77777777" w:rsidR="00752CBE" w:rsidRDefault="00C40E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9F4E2B" w14:textId="18A3B643" w:rsidR="00752CBE" w:rsidRDefault="000A7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868954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379B94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364B44" w14:textId="77777777" w:rsidR="00752CBE" w:rsidRDefault="00C40E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0F25DB2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16861" w14:textId="77777777" w:rsidR="00752CBE" w:rsidRDefault="00C40E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0E2E99" w14:textId="5B93E93A" w:rsidR="00752CBE" w:rsidRDefault="000A7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D1E89DD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72D3C7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9A6C85" w14:textId="77777777" w:rsidR="00752CBE" w:rsidRDefault="00C40E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D42105E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ACF1F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468C475" w14:textId="77777777" w:rsidR="00752CBE" w:rsidRDefault="00C40E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45A16E" w14:textId="54673B73" w:rsidR="00752CBE" w:rsidRDefault="000A7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44EEC80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363734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A44954" w14:textId="77777777" w:rsidR="00752CBE" w:rsidRDefault="00C40E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69DF727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F72A1" w14:textId="77777777" w:rsidR="00752CBE" w:rsidRDefault="00C40E3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7D4DB3" w14:textId="77777777" w:rsidR="00752CBE" w:rsidRDefault="00C40E3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C1AA33F" w14:textId="17607B67" w:rsidR="00752CBE" w:rsidRDefault="000A7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F56BD8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ED2F1D6" w14:textId="77777777" w:rsidR="00752CBE" w:rsidRDefault="00752CB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D949906" w14:textId="77777777" w:rsidR="00752CBE" w:rsidRDefault="00752CB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48BF65CD" w14:textId="77777777" w:rsidR="00752CBE" w:rsidRDefault="00C40E36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1B15597" w14:textId="77777777" w:rsidR="00752CBE" w:rsidRDefault="00752CB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752CBE" w14:paraId="626F4F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2D862E" w14:textId="77777777" w:rsidR="00752CBE" w:rsidRDefault="00752CB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816428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AEC3D60" w14:textId="77777777" w:rsidR="00752CBE" w:rsidRDefault="00752CB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FB8CD5" w14:textId="77777777" w:rsidR="00752CBE" w:rsidRDefault="00C40E36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3372C0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4566BB8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01EC7D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423E8" w14:textId="77777777" w:rsidR="00752CBE" w:rsidRDefault="00C40E3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2270EB" w14:textId="77777777" w:rsidR="00752CBE" w:rsidRDefault="00752CBE">
            <w:pPr>
              <w:rPr>
                <w:bCs/>
                <w:sz w:val="20"/>
                <w:szCs w:val="20"/>
                <w:lang w:val="en-GB"/>
              </w:rPr>
            </w:pPr>
          </w:p>
          <w:p w14:paraId="6C52C7F4" w14:textId="77777777" w:rsidR="00752CBE" w:rsidRDefault="00C40E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ECDBAA6" w14:textId="77777777" w:rsidR="00752CBE" w:rsidRDefault="00752CBE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B898E8F" w14:textId="66616BC5" w:rsidR="001612B7" w:rsidRDefault="004B0E8D" w:rsidP="001612B7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1612B7">
              <w:rPr>
                <w:rFonts w:ascii="Segoe UI" w:hAnsi="Segoe UI" w:cs="Segoe UI"/>
                <w:b/>
                <w:bCs/>
                <w:sz w:val="21"/>
                <w:szCs w:val="21"/>
              </w:rPr>
              <w:t>NO</w:t>
            </w:r>
            <w:r>
              <w:rPr>
                <w:rFonts w:ascii="Segoe UI" w:hAnsi="Segoe UI" w:cs="Segoe UI"/>
                <w:sz w:val="21"/>
                <w:szCs w:val="21"/>
              </w:rPr>
              <w:t>:</w:t>
            </w:r>
          </w:p>
          <w:p w14:paraId="46688148" w14:textId="1350BDAF" w:rsidR="001612B7" w:rsidRDefault="001612B7" w:rsidP="001612B7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The current title reflects the objective of the study but does not clearly convey the methodology and scientific contribution. The expression “precipitation breaks” is uncommon in climate science literature. A more appropriate title would be: </w:t>
            </w:r>
            <w:r>
              <w:rPr>
                <w:rStyle w:val="Strong"/>
                <w:rFonts w:ascii="Segoe UI" w:hAnsi="Segoe UI" w:cs="Segoe UI"/>
                <w:sz w:val="21"/>
                <w:szCs w:val="21"/>
              </w:rPr>
              <w:t xml:space="preserve">“Detection of Rainfall Regime Shifts and Climate </w:t>
            </w:r>
            <w:r>
              <w:rPr>
                <w:rStyle w:val="Strong"/>
                <w:rFonts w:ascii="Segoe UI" w:hAnsi="Segoe UI" w:cs="Segoe UI"/>
                <w:sz w:val="21"/>
                <w:szCs w:val="21"/>
              </w:rPr>
              <w:lastRenderedPageBreak/>
              <w:t>Variability in Kolda, Southern Senegal (1951–2025)”</w:t>
            </w:r>
            <w:r>
              <w:rPr>
                <w:rFonts w:ascii="Segoe UI" w:hAnsi="Segoe UI" w:cs="Segoe UI"/>
                <w:sz w:val="21"/>
                <w:szCs w:val="21"/>
              </w:rPr>
              <w:t>.</w:t>
            </w:r>
          </w:p>
          <w:p w14:paraId="757E586E" w14:textId="3E9071BF" w:rsidR="00752CBE" w:rsidRDefault="00752CB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1363E8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06B3EC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9C151" w14:textId="77777777" w:rsidR="00752CBE" w:rsidRDefault="00C40E3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CA2835" w14:textId="77777777" w:rsidR="00752CBE" w:rsidRDefault="00C40E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71753352" w14:textId="77777777" w:rsidR="00752CBE" w:rsidRDefault="00C40E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3EC83A" w14:textId="77777777" w:rsidR="00752CBE" w:rsidRDefault="00752CB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29688E" w14:textId="4543B150" w:rsidR="001612B7" w:rsidRDefault="001612B7" w:rsidP="001612B7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YES: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The abstract adequately summarizes the objectives, methods, results, and conclusions. However, it could be shortened and the practical implications of the findings could be highlighted more clearly.</w:t>
            </w:r>
          </w:p>
          <w:p w14:paraId="5B94213A" w14:textId="539CE680" w:rsidR="00752CBE" w:rsidRDefault="00752CB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CB84D6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059096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9524C" w14:textId="77777777" w:rsidR="00752CBE" w:rsidRDefault="00C40E36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122712D7" w14:textId="77777777" w:rsidR="00752CBE" w:rsidRDefault="00C40E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0A84CC" w14:textId="77777777" w:rsidR="00752CBE" w:rsidRDefault="00C40E3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1D3D7D9" w14:textId="77777777" w:rsidR="001612B7" w:rsidRPr="001612B7" w:rsidRDefault="001612B7" w:rsidP="001612B7">
            <w:pPr>
              <w:spacing w:line="300" w:lineRule="atLeast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612B7">
              <w:rPr>
                <w:rFonts w:ascii="Segoe UI" w:hAnsi="Segoe UI" w:cs="Segoe UI"/>
                <w:b/>
                <w:bCs/>
                <w:sz w:val="21"/>
                <w:szCs w:val="21"/>
              </w:rPr>
              <w:t>YES (with revisions required)</w:t>
            </w:r>
          </w:p>
          <w:p w14:paraId="45ABE549" w14:textId="77777777" w:rsidR="001612B7" w:rsidRDefault="001612B7" w:rsidP="001612B7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The methodology is generally appropriate and the application of multiple change-point detection tests strengthens the scientific validity of the study. However, the manuscript should provide a stronger justification for the use of a 10% significance level, discuss the differences among detected break years, and better address uncertainties and study limitations.</w:t>
            </w:r>
          </w:p>
          <w:p w14:paraId="2E952C8D" w14:textId="77777777" w:rsidR="00752CBE" w:rsidRPr="001612B7" w:rsidRDefault="00752CBE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AD7AB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274BC5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E330B7" w14:textId="77777777" w:rsidR="00752CBE" w:rsidRDefault="00C40E3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4D0920E" w14:textId="77777777" w:rsidR="00752CBE" w:rsidRDefault="00C40E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07FF80D" w14:textId="77777777" w:rsidR="00752CBE" w:rsidRDefault="00752CBE">
            <w:pPr>
              <w:rPr>
                <w:bCs/>
                <w:sz w:val="20"/>
                <w:szCs w:val="20"/>
                <w:lang w:val="en-GB"/>
              </w:rPr>
            </w:pPr>
          </w:p>
          <w:p w14:paraId="785C0A2C" w14:textId="77777777" w:rsidR="00752CBE" w:rsidRDefault="00C40E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DFF3922" w14:textId="77777777" w:rsidR="00752CBE" w:rsidRDefault="00752CBE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0D01F2" w14:textId="77777777" w:rsidR="001612B7" w:rsidRPr="001612B7" w:rsidRDefault="001612B7" w:rsidP="001612B7">
            <w:pPr>
              <w:spacing w:line="300" w:lineRule="atLeast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612B7">
              <w:rPr>
                <w:rFonts w:ascii="Segoe UI" w:hAnsi="Segoe UI" w:cs="Segoe UI"/>
                <w:b/>
                <w:bCs/>
                <w:sz w:val="21"/>
                <w:szCs w:val="21"/>
              </w:rPr>
              <w:t>NO</w:t>
            </w:r>
          </w:p>
          <w:p w14:paraId="3B4233AE" w14:textId="77777777" w:rsidR="004B0E8D" w:rsidRDefault="004B0E8D" w:rsidP="004B0E8D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Although the manuscript contains a substantial number of references, many are relatively old. The authors should include more recent studies (preferably from the last 5–10 years) related to climate variability, rainfall change-point analysis, hydroclimatic studies, and Sahelian climate dynamics to strengthen the literature review and discussion.</w:t>
            </w:r>
          </w:p>
          <w:p w14:paraId="433FD6FF" w14:textId="77777777" w:rsidR="00752CBE" w:rsidRDefault="00752CBE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27C20B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52CBE" w14:paraId="1C927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E312D1" w14:textId="77777777" w:rsidR="00752CBE" w:rsidRDefault="00C40E3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255A954" w14:textId="77777777" w:rsidR="00752CBE" w:rsidRDefault="00C40E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B4DC757" w14:textId="77777777" w:rsidR="00752CBE" w:rsidRDefault="00752CBE">
            <w:pPr>
              <w:rPr>
                <w:bCs/>
                <w:sz w:val="20"/>
                <w:szCs w:val="20"/>
                <w:lang w:val="en-GB"/>
              </w:rPr>
            </w:pPr>
          </w:p>
          <w:p w14:paraId="21E54DEB" w14:textId="77777777" w:rsidR="00752CBE" w:rsidRDefault="00C40E3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4EAE6D7" w14:textId="77777777" w:rsidR="00752CBE" w:rsidRDefault="00752CBE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A6C854" w14:textId="177A8931" w:rsidR="00752CBE" w:rsidRPr="004B0E8D" w:rsidRDefault="004B0E8D">
            <w:pPr>
              <w:contextualSpacing/>
              <w:rPr>
                <w:b/>
                <w:sz w:val="20"/>
                <w:szCs w:val="20"/>
                <w:lang w:val="en-GB"/>
              </w:rPr>
            </w:pPr>
            <w:r w:rsidRPr="004B0E8D">
              <w:rPr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3603308" w14:textId="77777777" w:rsidR="00752CBE" w:rsidRDefault="00752CB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9F96553" w14:textId="77777777" w:rsidR="0052022E" w:rsidRPr="0052022E" w:rsidRDefault="0052022E" w:rsidP="0052022E">
      <w:pPr>
        <w:rPr>
          <w:rFonts w:ascii="Arial" w:hAnsi="Arial" w:cs="Arial"/>
          <w:b/>
          <w:sz w:val="20"/>
          <w:szCs w:val="20"/>
        </w:rPr>
      </w:pPr>
    </w:p>
    <w:p w14:paraId="2FB0F825" w14:textId="77777777" w:rsidR="0052022E" w:rsidRPr="0052022E" w:rsidRDefault="0052022E" w:rsidP="0052022E">
      <w:pPr>
        <w:rPr>
          <w:rFonts w:ascii="Arial" w:hAnsi="Arial" w:cs="Arial"/>
          <w:b/>
          <w:sz w:val="20"/>
          <w:szCs w:val="20"/>
          <w:u w:val="single"/>
        </w:rPr>
      </w:pPr>
      <w:r w:rsidRPr="0052022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32C78DC" w14:textId="77777777" w:rsidR="0052022E" w:rsidRPr="0052022E" w:rsidRDefault="0052022E" w:rsidP="0052022E">
      <w:pPr>
        <w:rPr>
          <w:rFonts w:ascii="Arial" w:hAnsi="Arial" w:cs="Arial"/>
          <w:sz w:val="20"/>
          <w:szCs w:val="20"/>
        </w:rPr>
      </w:pPr>
      <w:r w:rsidRPr="0052022E">
        <w:rPr>
          <w:rFonts w:ascii="Arial" w:hAnsi="Arial" w:cs="Arial"/>
          <w:color w:val="000000"/>
          <w:sz w:val="20"/>
          <w:szCs w:val="20"/>
        </w:rPr>
        <w:t xml:space="preserve">Dereje </w:t>
      </w:r>
      <w:proofErr w:type="spellStart"/>
      <w:r w:rsidRPr="0052022E">
        <w:rPr>
          <w:rFonts w:ascii="Arial" w:hAnsi="Arial" w:cs="Arial"/>
          <w:color w:val="000000"/>
          <w:sz w:val="20"/>
          <w:szCs w:val="20"/>
        </w:rPr>
        <w:t>Tesfahun</w:t>
      </w:r>
      <w:proofErr w:type="spellEnd"/>
      <w:r w:rsidRPr="0052022E">
        <w:rPr>
          <w:rFonts w:ascii="Arial" w:hAnsi="Arial" w:cs="Arial"/>
          <w:color w:val="000000"/>
          <w:sz w:val="20"/>
          <w:szCs w:val="20"/>
        </w:rPr>
        <w:t xml:space="preserve"> Mengistu, Geophysical institute</w:t>
      </w:r>
      <w:r w:rsidRPr="0052022E">
        <w:rPr>
          <w:rFonts w:ascii="Arial" w:hAnsi="Arial" w:cs="Arial"/>
          <w:sz w:val="20"/>
          <w:szCs w:val="20"/>
        </w:rPr>
        <w:t xml:space="preserve">, </w:t>
      </w:r>
      <w:r w:rsidRPr="0052022E">
        <w:rPr>
          <w:rFonts w:ascii="Arial" w:hAnsi="Arial" w:cs="Arial"/>
          <w:color w:val="000000"/>
          <w:sz w:val="20"/>
          <w:szCs w:val="20"/>
        </w:rPr>
        <w:t>Ethiopia</w:t>
      </w:r>
    </w:p>
    <w:p w14:paraId="4C256C75" w14:textId="77777777" w:rsidR="0052022E" w:rsidRPr="0052022E" w:rsidRDefault="0052022E" w:rsidP="0052022E">
      <w:pPr>
        <w:rPr>
          <w:rFonts w:ascii="Arial" w:hAnsi="Arial" w:cs="Arial"/>
          <w:sz w:val="20"/>
          <w:szCs w:val="20"/>
        </w:rPr>
      </w:pPr>
    </w:p>
    <w:p w14:paraId="52BEAADB" w14:textId="77777777" w:rsidR="0052022E" w:rsidRPr="0052022E" w:rsidRDefault="0052022E" w:rsidP="0052022E">
      <w:pPr>
        <w:rPr>
          <w:rFonts w:ascii="Arial" w:hAnsi="Arial" w:cs="Arial"/>
          <w:b/>
          <w:sz w:val="20"/>
          <w:szCs w:val="20"/>
        </w:rPr>
      </w:pPr>
    </w:p>
    <w:p w14:paraId="7A4D2426" w14:textId="77777777" w:rsidR="002726EC" w:rsidRPr="002726EC" w:rsidRDefault="002726EC" w:rsidP="002726EC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sectPr w:rsidR="002726EC" w:rsidRPr="002726E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60DB" w14:textId="77777777" w:rsidR="00A34C76" w:rsidRDefault="00A34C76">
      <w:r>
        <w:separator/>
      </w:r>
    </w:p>
  </w:endnote>
  <w:endnote w:type="continuationSeparator" w:id="0">
    <w:p w14:paraId="5B536F31" w14:textId="77777777" w:rsidR="00A34C76" w:rsidRDefault="00A3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D44C" w14:textId="77777777" w:rsidR="00752CBE" w:rsidRDefault="00752CBE">
    <w:pPr>
      <w:pStyle w:val="Footer"/>
      <w:jc w:val="right"/>
    </w:pPr>
  </w:p>
  <w:p w14:paraId="4E9A20B4" w14:textId="77777777" w:rsidR="00752CBE" w:rsidRDefault="00C40E3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9E582F8" w14:textId="77777777" w:rsidR="00752CBE" w:rsidRDefault="00C40E3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4DE14F2" w14:textId="77777777" w:rsidR="00752CBE" w:rsidRDefault="00752CBE">
    <w:pPr>
      <w:pStyle w:val="Footer"/>
      <w:jc w:val="right"/>
    </w:pPr>
  </w:p>
  <w:p w14:paraId="16D6723D" w14:textId="77777777" w:rsidR="00752CBE" w:rsidRDefault="00752CB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A63F" w14:textId="77777777" w:rsidR="00A34C76" w:rsidRDefault="00A34C76">
      <w:r>
        <w:separator/>
      </w:r>
    </w:p>
  </w:footnote>
  <w:footnote w:type="continuationSeparator" w:id="0">
    <w:p w14:paraId="4F49818E" w14:textId="77777777" w:rsidR="00A34C76" w:rsidRDefault="00A34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22FF" w14:textId="77777777" w:rsidR="00752CBE" w:rsidRDefault="00752CB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428CDD" w14:textId="77777777" w:rsidR="00752CBE" w:rsidRDefault="00C40E3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310251"/>
    <w:multiLevelType w:val="multilevel"/>
    <w:tmpl w:val="FB92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8935430">
    <w:abstractNumId w:val="4"/>
  </w:num>
  <w:num w:numId="2" w16cid:durableId="283393707">
    <w:abstractNumId w:val="8"/>
  </w:num>
  <w:num w:numId="3" w16cid:durableId="1163620101">
    <w:abstractNumId w:val="7"/>
  </w:num>
  <w:num w:numId="4" w16cid:durableId="566841953">
    <w:abstractNumId w:val="9"/>
  </w:num>
  <w:num w:numId="5" w16cid:durableId="628635730">
    <w:abstractNumId w:val="6"/>
  </w:num>
  <w:num w:numId="6" w16cid:durableId="686713227">
    <w:abstractNumId w:val="0"/>
  </w:num>
  <w:num w:numId="7" w16cid:durableId="1691950466">
    <w:abstractNumId w:val="3"/>
  </w:num>
  <w:num w:numId="8" w16cid:durableId="1957717469">
    <w:abstractNumId w:val="12"/>
  </w:num>
  <w:num w:numId="9" w16cid:durableId="484512220">
    <w:abstractNumId w:val="10"/>
  </w:num>
  <w:num w:numId="10" w16cid:durableId="1793287735">
    <w:abstractNumId w:val="2"/>
  </w:num>
  <w:num w:numId="11" w16cid:durableId="785078700">
    <w:abstractNumId w:val="1"/>
  </w:num>
  <w:num w:numId="12" w16cid:durableId="1518543583">
    <w:abstractNumId w:val="5"/>
  </w:num>
  <w:num w:numId="13" w16cid:durableId="19628068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BE"/>
    <w:rsid w:val="000836BA"/>
    <w:rsid w:val="000A7B92"/>
    <w:rsid w:val="001612B7"/>
    <w:rsid w:val="001C14AE"/>
    <w:rsid w:val="002001D6"/>
    <w:rsid w:val="00235205"/>
    <w:rsid w:val="002726EC"/>
    <w:rsid w:val="00275FD6"/>
    <w:rsid w:val="002B3592"/>
    <w:rsid w:val="002E6BF3"/>
    <w:rsid w:val="003372C0"/>
    <w:rsid w:val="004206DF"/>
    <w:rsid w:val="004B0E8D"/>
    <w:rsid w:val="004C2780"/>
    <w:rsid w:val="0052022E"/>
    <w:rsid w:val="006945A5"/>
    <w:rsid w:val="0072633D"/>
    <w:rsid w:val="00752CBE"/>
    <w:rsid w:val="00784680"/>
    <w:rsid w:val="007A080A"/>
    <w:rsid w:val="008F683B"/>
    <w:rsid w:val="00A34C76"/>
    <w:rsid w:val="00A35C80"/>
    <w:rsid w:val="00A90298"/>
    <w:rsid w:val="00AE0F83"/>
    <w:rsid w:val="00C40E36"/>
    <w:rsid w:val="00C60F2A"/>
    <w:rsid w:val="00CB22F6"/>
    <w:rsid w:val="00D03153"/>
    <w:rsid w:val="00D45CAF"/>
    <w:rsid w:val="00DC1CEA"/>
    <w:rsid w:val="00E207F9"/>
    <w:rsid w:val="00E942B8"/>
    <w:rsid w:val="00F703CC"/>
    <w:rsid w:val="00FD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7D972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61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2026-07-29T12:34:00Z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