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ED1DF7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ED1DF7" w:rsidRDefault="00287A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ED1DF7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D1DF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ED1DF7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ED1DF7" w:rsidRDefault="00287A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71F35F3A" w:rsidR="002D2FC6" w:rsidRPr="00ED1DF7" w:rsidRDefault="00B134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Ms_JOBI_15427</w:t>
            </w:r>
          </w:p>
        </w:tc>
      </w:tr>
      <w:tr w:rsidR="002D2FC6" w:rsidRPr="00ED1DF7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ED1DF7" w:rsidRDefault="00287A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5634337" w:rsidR="002D2FC6" w:rsidRPr="00ED1DF7" w:rsidRDefault="00B134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Synergistic Phytochemical Profiling of Nigella sativa, </w:t>
            </w:r>
            <w:proofErr w:type="spellStart"/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Sphagneticola</w:t>
            </w:r>
            <w:proofErr w:type="spellEnd"/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calendulacea</w:t>
            </w:r>
            <w:proofErr w:type="spellEnd"/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, and Their Co-Extract: A Comparative GC-MS Analysis for Targeted PCOS Therapeutics</w:t>
            </w:r>
          </w:p>
        </w:tc>
      </w:tr>
      <w:tr w:rsidR="002D2FC6" w:rsidRPr="00ED1DF7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ED1DF7" w:rsidRDefault="00287A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ED1DF7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D92D833" w14:textId="77777777" w:rsidR="002D2FC6" w:rsidRPr="00ED1DF7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35EB0252" w:rsidR="002D2FC6" w:rsidRPr="00ED1DF7" w:rsidRDefault="00287AB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D1DF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ART 1 (Importance of the manuscript)</w:t>
      </w:r>
      <w:r w:rsidRPr="00ED1DF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ED1DF7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ED1DF7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ED1DF7" w:rsidRDefault="00287A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D1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D1DF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ED1DF7" w:rsidRDefault="00287AB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1A8762EC" w:rsidR="002D2FC6" w:rsidRPr="00ED1DF7" w:rsidRDefault="00D2599B" w:rsidP="00D2599B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</w:rPr>
              <w:t xml:space="preserve">This research depicts a comparative Gas Chromatography-Mass Spectrometry (GC-MS) investigation evaluating individual extracts of Nigella sativa (NS) seeds, </w:t>
            </w:r>
            <w:proofErr w:type="spellStart"/>
            <w:r w:rsidRPr="00ED1DF7">
              <w:rPr>
                <w:rFonts w:ascii="Arial" w:hAnsi="Arial" w:cs="Arial"/>
                <w:sz w:val="20"/>
                <w:szCs w:val="20"/>
              </w:rPr>
              <w:t>Sphagneticola</w:t>
            </w:r>
            <w:proofErr w:type="spellEnd"/>
            <w:r w:rsidRPr="00ED1DF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1DF7">
              <w:rPr>
                <w:rFonts w:ascii="Arial" w:hAnsi="Arial" w:cs="Arial"/>
                <w:sz w:val="20"/>
                <w:szCs w:val="20"/>
              </w:rPr>
              <w:t>calendulacea</w:t>
            </w:r>
            <w:proofErr w:type="spellEnd"/>
            <w:r w:rsidRPr="00ED1DF7">
              <w:rPr>
                <w:rFonts w:ascii="Arial" w:hAnsi="Arial" w:cs="Arial"/>
                <w:sz w:val="20"/>
                <w:szCs w:val="20"/>
              </w:rPr>
              <w:t xml:space="preserve"> (SC) leaves, and their intertwined combined co-extract (NS-SC). The base chromatograms mapped highly distinctive molecular footprints. The NS profile was anchored by the volatile therapeutic quinone Thymoquinone (1.44% at 12.239 min) alongside a dense essential lipid matrix comprising </w:t>
            </w:r>
            <w:proofErr w:type="spellStart"/>
            <w:r w:rsidRPr="00ED1DF7">
              <w:rPr>
                <w:rFonts w:ascii="Arial" w:hAnsi="Arial" w:cs="Arial"/>
                <w:sz w:val="20"/>
                <w:szCs w:val="20"/>
              </w:rPr>
              <w:t>Hexadecanoic</w:t>
            </w:r>
            <w:proofErr w:type="spellEnd"/>
            <w:r w:rsidRPr="00ED1DF7">
              <w:rPr>
                <w:rFonts w:ascii="Arial" w:hAnsi="Arial" w:cs="Arial"/>
                <w:sz w:val="20"/>
                <w:szCs w:val="20"/>
              </w:rPr>
              <w:t xml:space="preserve"> acid (20.95%) and major unsaturated octadecadienoate derivatives (&gt;54%). Conversely, the SC extract demonstrated high antioxidant capacity, yielding substantial phenolic fractions (11.47%) and 1-(+)-Ascorbic acid 2,6-dihexadecanoate (8.19% at 29.710 min). Notably, the combined co-extract (NS-SC) achieved an excellent structural integration, cleanly preserving active parent markers including Thymoquinone (1.96% at 12.243 min) and core phenolic keys, while exhibiting a prominent recovery spike in the Ascorbic acid derivative (14.18% at 29.830 min) embedded inside a balanced lipid carrier environment. The absence of newly generated baseline fragments or destructive cross-reactivity indicates excellent chemical compatibility. These findings build a compelling biochemical rationale for utilizing the NS-SC combination matrix as a potential therapeutic intervention to address the complex metabolic and reproductive features of PCOS.</w:t>
            </w:r>
          </w:p>
        </w:tc>
        <w:tc>
          <w:tcPr>
            <w:tcW w:w="1667" w:type="pct"/>
          </w:tcPr>
          <w:p w14:paraId="3B115E0C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ED1DF7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ED1DF7" w:rsidRDefault="00287A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D1D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ED1DF7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ED1DF7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ED1DF7" w:rsidRDefault="00287AB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D1DF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ED1DF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ED1DF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ED1DF7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ED1DF7" w:rsidRDefault="00287A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2D727669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4F8FC0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30F2FB4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1B35586A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88D8BCF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04529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193971F9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4BD614E7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6EECCBA4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0D4D37BC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65FE32A" w:rsidR="002D2FC6" w:rsidRPr="00ED1DF7" w:rsidRDefault="003A5E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628859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079AA11F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ED1DF7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ED1DF7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7B9CDAC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978975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2E142BD5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8CDA4C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56E25708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BE85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4431A0C7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B7619F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3EF1C816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ED1DF7" w:rsidRDefault="00287A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ED1DF7" w:rsidRDefault="00287A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5C95CD01" w:rsidR="002D2FC6" w:rsidRPr="00ED1DF7" w:rsidRDefault="003A5E32" w:rsidP="003A5E32">
            <w:pPr>
              <w:ind w:left="333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ED1DF7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ED1DF7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ED1DF7" w:rsidRDefault="00287A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D1D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009EE453" w14:textId="77777777" w:rsidR="002D2FC6" w:rsidRPr="00ED1DF7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ED1DF7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ED1DF7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ED1DF7" w:rsidRDefault="00287A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D1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D1DF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D1DF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ED1DF7" w:rsidRDefault="00287A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ED1DF7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ED1DF7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01156F52" w:rsidR="002D2FC6" w:rsidRPr="00ED1DF7" w:rsidRDefault="003A5E32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Yes, the title of the article is suitable.</w:t>
            </w:r>
          </w:p>
        </w:tc>
        <w:tc>
          <w:tcPr>
            <w:tcW w:w="1667" w:type="pct"/>
          </w:tcPr>
          <w:p w14:paraId="4FE1C56C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ED1DF7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6F3BB48E" w:rsidR="002D2FC6" w:rsidRPr="00ED1DF7" w:rsidRDefault="00832B5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Yes, the abstract of the article is comprehensive.</w:t>
            </w:r>
          </w:p>
        </w:tc>
        <w:tc>
          <w:tcPr>
            <w:tcW w:w="1667" w:type="pct"/>
          </w:tcPr>
          <w:p w14:paraId="06D6FBC4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D1DF7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ED1DF7" w:rsidRDefault="00287A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D1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ED1DF7" w:rsidRDefault="00287A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ED1DF7" w:rsidRDefault="00287A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5C6CA2" w14:textId="77777777" w:rsidR="002D2FC6" w:rsidRPr="00ED1DF7" w:rsidRDefault="00832B51" w:rsidP="00832B51">
            <w:pPr>
              <w:ind w:left="333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manuscript is scientifically correct.</w:t>
            </w:r>
          </w:p>
          <w:p w14:paraId="07F7F2B4" w14:textId="77777777" w:rsidR="000F5539" w:rsidRPr="00ED1DF7" w:rsidRDefault="000F5539" w:rsidP="00832B51">
            <w:pPr>
              <w:ind w:left="333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269930" w14:textId="77777777" w:rsidR="000F5539" w:rsidRPr="00ED1DF7" w:rsidRDefault="000F5539" w:rsidP="000F5539">
            <w:pPr>
              <w:numPr>
                <w:ilvl w:val="0"/>
                <w:numId w:val="14"/>
              </w:numPr>
              <w:spacing w:before="120" w:line="276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The GC-MS equipment specifications and photograph should be included in the Materials and Methods section.</w:t>
            </w:r>
          </w:p>
          <w:p w14:paraId="39CFB050" w14:textId="77777777" w:rsidR="000F5539" w:rsidRPr="00ED1DF7" w:rsidRDefault="000F5539" w:rsidP="000F5539">
            <w:pPr>
              <w:numPr>
                <w:ilvl w:val="0"/>
                <w:numId w:val="14"/>
              </w:numPr>
              <w:spacing w:before="120" w:line="276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Improvements in the present analysis must be placed vis-à-vis the results reported in the recently established literature in tabular or graphical form.</w:t>
            </w:r>
          </w:p>
          <w:p w14:paraId="6FABB9C9" w14:textId="77777777" w:rsidR="000F5539" w:rsidRPr="00ED1DF7" w:rsidRDefault="000F5539" w:rsidP="000F5539">
            <w:pPr>
              <w:numPr>
                <w:ilvl w:val="0"/>
                <w:numId w:val="14"/>
              </w:numPr>
              <w:spacing w:before="120" w:line="276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The conclusion section needs to be supported with relevant data.</w:t>
            </w:r>
          </w:p>
          <w:p w14:paraId="2A035439" w14:textId="77777777" w:rsidR="000F5539" w:rsidRPr="00ED1DF7" w:rsidRDefault="000F5539" w:rsidP="000F5539">
            <w:pPr>
              <w:numPr>
                <w:ilvl w:val="0"/>
                <w:numId w:val="14"/>
              </w:numPr>
              <w:spacing w:before="120" w:line="276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Limitations of this research and future recommendations are missing from the manuscript. They should be incorporated after the conclusion section.</w:t>
            </w:r>
          </w:p>
          <w:p w14:paraId="5CC2E074" w14:textId="77777777" w:rsidR="000F5539" w:rsidRPr="00ED1DF7" w:rsidRDefault="000F5539" w:rsidP="000F5539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sz w:val="20"/>
                <w:szCs w:val="20"/>
                <w:lang w:val="en-GB"/>
              </w:rPr>
              <w:t>The number of references used in this manuscript are not enough. Authors are suggested to use more recent literature as references in the present manuscript.</w:t>
            </w:r>
          </w:p>
          <w:p w14:paraId="594CE61D" w14:textId="584DAF63" w:rsidR="000F5539" w:rsidRPr="00ED1DF7" w:rsidRDefault="000F5539" w:rsidP="00832B51">
            <w:pPr>
              <w:ind w:left="333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ED1DF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2B51" w:rsidRPr="00ED1DF7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832B51" w:rsidRPr="00ED1DF7" w:rsidRDefault="00832B51" w:rsidP="00832B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832B51" w:rsidRPr="00ED1DF7" w:rsidRDefault="00832B51" w:rsidP="00832B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BFBE16" w14:textId="77777777" w:rsidR="00832B51" w:rsidRPr="00ED1DF7" w:rsidRDefault="00832B51" w:rsidP="00832B51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recommended to include the following articles in the reference section.</w:t>
            </w:r>
          </w:p>
          <w:p w14:paraId="51B55C77" w14:textId="56036D81" w:rsidR="00A154CE" w:rsidRPr="00ED1DF7" w:rsidRDefault="00A154CE" w:rsidP="00832B51">
            <w:pPr>
              <w:pStyle w:val="ListParagraph"/>
              <w:numPr>
                <w:ilvl w:val="0"/>
                <w:numId w:val="13"/>
              </w:numPr>
              <w:ind w:left="356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Jagati P,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Thaimei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L. Pathophysiology and nutritional management of polycystic ovary syndrome in women of reproductive age group: A scoping review. Bharati Vidyapeeth Medical Journal. 2024 Oct 1;4(4):35-42.</w:t>
            </w:r>
          </w:p>
          <w:p w14:paraId="27EC1043" w14:textId="3CCE4EE4" w:rsidR="00832B51" w:rsidRPr="00ED1DF7" w:rsidRDefault="00832B51" w:rsidP="00832B51">
            <w:pPr>
              <w:pStyle w:val="ListParagraph"/>
              <w:numPr>
                <w:ilvl w:val="0"/>
                <w:numId w:val="13"/>
              </w:numPr>
              <w:ind w:left="356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>Pham DC, Shibu MA, Mahalakshmi B, Velmurugan BK. Effects of phytochemicals on cellular signaling: reviewing their recent usage approaches. Critical reviews in food science and nutrition. 2020 Nov 12;60(20):3522-46.</w:t>
            </w:r>
          </w:p>
          <w:p w14:paraId="26389724" w14:textId="65CA53E3" w:rsidR="00832B51" w:rsidRPr="00ED1DF7" w:rsidRDefault="00832B51" w:rsidP="00832B51">
            <w:pPr>
              <w:pStyle w:val="ListParagraph"/>
              <w:numPr>
                <w:ilvl w:val="0"/>
                <w:numId w:val="13"/>
              </w:numPr>
              <w:ind w:left="356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Arshad MT, Ali MK, Maqsood S, Ikram A, Hossain MS,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Aljameel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AI, AL</w:t>
            </w:r>
            <w:r w:rsidRPr="00ED1DF7">
              <w:rPr>
                <w:rFonts w:ascii="Cambria Math" w:hAnsi="Cambria Math" w:cs="Cambria Math"/>
                <w:bCs/>
                <w:sz w:val="20"/>
                <w:szCs w:val="20"/>
              </w:rPr>
              <w:t>‐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Farga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A,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Gnedeka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KT. Dietary Phytochemicals in Cardiovascular Disease Prevention and Management: A Comprehensive Review. Food Science &amp; Nutrition. 2025 Sep;13(9):e70872.</w:t>
            </w:r>
          </w:p>
          <w:p w14:paraId="640B0E7D" w14:textId="721384A7" w:rsidR="00832B51" w:rsidRPr="00ED1DF7" w:rsidRDefault="00D2599B" w:rsidP="00832B51">
            <w:pPr>
              <w:pStyle w:val="ListParagraph"/>
              <w:numPr>
                <w:ilvl w:val="0"/>
                <w:numId w:val="13"/>
              </w:numPr>
              <w:ind w:left="356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Cherian IV,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Vijukumar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A, Islam MM, Vikal A. Assessing the therapeutic potential of quercetin, a widely spread flavonoid, in the prevention and management of chronic and degenerative diseases through a modern Chinese medicine perspective. Pharmacological Research-Modern Chinese Medicine. 2025 Jun 1;15:100630. </w:t>
            </w:r>
            <w:r w:rsidR="00832B51" w:rsidRPr="00ED1DF7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832B51"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1737C1C5" w14:textId="162D9244" w:rsidR="00832B51" w:rsidRPr="00ED1DF7" w:rsidRDefault="00D2599B" w:rsidP="00832B51">
            <w:pPr>
              <w:pStyle w:val="ListParagraph"/>
              <w:numPr>
                <w:ilvl w:val="0"/>
                <w:numId w:val="13"/>
              </w:numPr>
              <w:ind w:left="356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Grigorescu A, Riza AL,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Streata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I,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Netea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 MG. Metabolic dysregulation of trained immunity in immune aging and the impact of dietary patterns. American Journal of Physiology-Cell Physiology. 2025 Aug 1;329(2):C456-70. </w:t>
            </w:r>
            <w:r w:rsidR="00832B51" w:rsidRPr="00ED1DF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32B51"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061F13DE" w14:textId="49022742" w:rsidR="00832B51" w:rsidRPr="00ED1DF7" w:rsidRDefault="00D2599B" w:rsidP="00832B51">
            <w:pPr>
              <w:numPr>
                <w:ilvl w:val="0"/>
                <w:numId w:val="13"/>
              </w:numPr>
              <w:ind w:left="333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Rosli SH, Lim XY, Krishnan P, Ahmad IF, Voon YL, Siau TC, Chan JS, Omar MH, Tan TY. Unveiling the safety, tolerability, and herb-drug interaction concerns of Hibiscus Sabdariffa L.(Roselle): A systematic scoping review of current evidence. </w:t>
            </w:r>
            <w:proofErr w:type="spellStart"/>
            <w:r w:rsidRPr="00ED1DF7">
              <w:rPr>
                <w:rFonts w:ascii="Arial" w:hAnsi="Arial" w:cs="Arial"/>
                <w:bCs/>
                <w:sz w:val="20"/>
                <w:szCs w:val="20"/>
              </w:rPr>
              <w:t>Heliyon</w:t>
            </w:r>
            <w:proofErr w:type="spellEnd"/>
            <w:r w:rsidRPr="00ED1DF7">
              <w:rPr>
                <w:rFonts w:ascii="Arial" w:hAnsi="Arial" w:cs="Arial"/>
                <w:bCs/>
                <w:sz w:val="20"/>
                <w:szCs w:val="20"/>
              </w:rPr>
              <w:t xml:space="preserve">. 2026 Mar 1;12(3). </w:t>
            </w:r>
            <w:r w:rsidR="00832B51" w:rsidRPr="00ED1DF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7149D3CF" w14:textId="77777777" w:rsidR="00832B51" w:rsidRPr="00ED1DF7" w:rsidRDefault="00832B51" w:rsidP="00832B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2B51" w:rsidRPr="00ED1DF7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832B51" w:rsidRPr="00ED1DF7" w:rsidRDefault="00832B51" w:rsidP="00832B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832B51" w:rsidRPr="00ED1DF7" w:rsidRDefault="00832B51" w:rsidP="00832B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553D687E" w:rsidR="00832B51" w:rsidRPr="00ED1DF7" w:rsidRDefault="00D2599B" w:rsidP="00832B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D1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832B51" w:rsidRPr="00ED1DF7" w:rsidRDefault="00832B51" w:rsidP="00832B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C183F3" w14:textId="77777777" w:rsidR="00ED1DF7" w:rsidRPr="00ED1DF7" w:rsidRDefault="00ED1DF7" w:rsidP="00ED1DF7">
      <w:pPr>
        <w:rPr>
          <w:rFonts w:ascii="Arial" w:hAnsi="Arial" w:cs="Arial"/>
          <w:b/>
          <w:sz w:val="20"/>
          <w:szCs w:val="20"/>
          <w:u w:val="single"/>
        </w:rPr>
      </w:pPr>
      <w:r w:rsidRPr="00ED1DF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0EFCF21" w14:textId="77777777" w:rsidR="00ED1DF7" w:rsidRPr="00ED1DF7" w:rsidRDefault="00ED1DF7" w:rsidP="00ED1DF7">
      <w:pPr>
        <w:rPr>
          <w:rFonts w:ascii="Arial" w:hAnsi="Arial" w:cs="Arial"/>
          <w:sz w:val="20"/>
          <w:szCs w:val="20"/>
        </w:rPr>
      </w:pPr>
    </w:p>
    <w:p w14:paraId="1AE9F444" w14:textId="77777777" w:rsidR="00ED1DF7" w:rsidRPr="00ED1DF7" w:rsidRDefault="00ED1DF7" w:rsidP="00ED1DF7">
      <w:pPr>
        <w:rPr>
          <w:rFonts w:ascii="Arial" w:hAnsi="Arial" w:cs="Arial"/>
          <w:sz w:val="20"/>
          <w:szCs w:val="20"/>
        </w:rPr>
      </w:pPr>
      <w:r w:rsidRPr="00ED1DF7">
        <w:rPr>
          <w:rFonts w:ascii="Arial" w:hAnsi="Arial" w:cs="Arial"/>
          <w:color w:val="000000"/>
          <w:sz w:val="20"/>
          <w:szCs w:val="20"/>
        </w:rPr>
        <w:t>Padmaja Jagati, Shailabala Women’s Autonomous College, India</w:t>
      </w:r>
    </w:p>
    <w:p w14:paraId="46CE94D5" w14:textId="77777777" w:rsidR="002D2FC6" w:rsidRPr="00ED1DF7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ED1DF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1128" w14:textId="77777777" w:rsidR="00B00665" w:rsidRDefault="00B00665">
      <w:r>
        <w:separator/>
      </w:r>
    </w:p>
  </w:endnote>
  <w:endnote w:type="continuationSeparator" w:id="0">
    <w:p w14:paraId="44665DD7" w14:textId="77777777" w:rsidR="00B00665" w:rsidRDefault="00B0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287AB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287AB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FA2A" w14:textId="77777777" w:rsidR="00B00665" w:rsidRDefault="00B00665">
      <w:r>
        <w:separator/>
      </w:r>
    </w:p>
  </w:footnote>
  <w:footnote w:type="continuationSeparator" w:id="0">
    <w:p w14:paraId="715EC95F" w14:textId="77777777" w:rsidR="00B00665" w:rsidRDefault="00B00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287AB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6B1550"/>
    <w:multiLevelType w:val="hybridMultilevel"/>
    <w:tmpl w:val="2EB898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AF2A42"/>
    <w:multiLevelType w:val="hybridMultilevel"/>
    <w:tmpl w:val="EF0072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81414">
    <w:abstractNumId w:val="4"/>
  </w:num>
  <w:num w:numId="2" w16cid:durableId="285937348">
    <w:abstractNumId w:val="9"/>
  </w:num>
  <w:num w:numId="3" w16cid:durableId="1799949741">
    <w:abstractNumId w:val="8"/>
  </w:num>
  <w:num w:numId="4" w16cid:durableId="201015351">
    <w:abstractNumId w:val="10"/>
  </w:num>
  <w:num w:numId="5" w16cid:durableId="747465681">
    <w:abstractNumId w:val="7"/>
  </w:num>
  <w:num w:numId="6" w16cid:durableId="2037926165">
    <w:abstractNumId w:val="0"/>
  </w:num>
  <w:num w:numId="7" w16cid:durableId="783307712">
    <w:abstractNumId w:val="3"/>
  </w:num>
  <w:num w:numId="8" w16cid:durableId="903223838">
    <w:abstractNumId w:val="12"/>
  </w:num>
  <w:num w:numId="9" w16cid:durableId="2101172079">
    <w:abstractNumId w:val="11"/>
  </w:num>
  <w:num w:numId="10" w16cid:durableId="1379234235">
    <w:abstractNumId w:val="2"/>
  </w:num>
  <w:num w:numId="11" w16cid:durableId="1291323635">
    <w:abstractNumId w:val="1"/>
  </w:num>
  <w:num w:numId="12" w16cid:durableId="986742715">
    <w:abstractNumId w:val="5"/>
  </w:num>
  <w:num w:numId="13" w16cid:durableId="1006174480">
    <w:abstractNumId w:val="6"/>
  </w:num>
  <w:num w:numId="14" w16cid:durableId="18641278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11B0F"/>
    <w:rsid w:val="000403EC"/>
    <w:rsid w:val="000F5539"/>
    <w:rsid w:val="001C714B"/>
    <w:rsid w:val="00204486"/>
    <w:rsid w:val="00287ABA"/>
    <w:rsid w:val="002D2FC6"/>
    <w:rsid w:val="003034A0"/>
    <w:rsid w:val="00395BC5"/>
    <w:rsid w:val="003A5E32"/>
    <w:rsid w:val="00586BC9"/>
    <w:rsid w:val="007A140F"/>
    <w:rsid w:val="00832B51"/>
    <w:rsid w:val="00944016"/>
    <w:rsid w:val="00951944"/>
    <w:rsid w:val="009734C1"/>
    <w:rsid w:val="009979FD"/>
    <w:rsid w:val="009F544C"/>
    <w:rsid w:val="00A154CE"/>
    <w:rsid w:val="00A23990"/>
    <w:rsid w:val="00B00665"/>
    <w:rsid w:val="00B13477"/>
    <w:rsid w:val="00C21002"/>
    <w:rsid w:val="00C4544D"/>
    <w:rsid w:val="00CE5FB6"/>
    <w:rsid w:val="00D2599B"/>
    <w:rsid w:val="00D54AF3"/>
    <w:rsid w:val="00E27F9A"/>
    <w:rsid w:val="00ED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1185</Words>
  <Characters>6761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