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E20EE" w14:textId="77777777" w:rsidR="00AA5485" w:rsidRPr="002E5953" w:rsidRDefault="00AA5485" w:rsidP="00AA5485">
      <w:pPr>
        <w:pStyle w:val="Author"/>
        <w:rPr>
          <w:rFonts w:ascii="Arial" w:hAnsi="Arial" w:cs="Arial"/>
          <w:bCs/>
          <w:i/>
          <w:iCs/>
          <w:kern w:val="28"/>
          <w:sz w:val="20"/>
          <w:u w:val="single"/>
        </w:rPr>
      </w:pPr>
      <w:r w:rsidRPr="002E5953">
        <w:rPr>
          <w:rFonts w:ascii="Arial" w:hAnsi="Arial" w:cs="Arial"/>
          <w:bCs/>
          <w:i/>
          <w:iCs/>
          <w:kern w:val="28"/>
          <w:sz w:val="20"/>
          <w:u w:val="single"/>
        </w:rPr>
        <w:t>Original Research Article</w:t>
      </w:r>
    </w:p>
    <w:p w14:paraId="7912335B" w14:textId="552D9902" w:rsidR="006E6500" w:rsidRDefault="00000000">
      <w:r>
        <w:rPr>
          <w:b/>
          <w:color w:val="FF0000"/>
        </w:rPr>
        <w:t>Overall recommendation: Major revision. Correct the numerical inconsistencies in Table 1, complete the statistical methodology, clarify isolate identification and experimental details, and standardize language, citations, and references.</w:t>
      </w:r>
    </w:p>
    <w:p w14:paraId="4A4935A6" w14:textId="77777777" w:rsidR="00AA5485" w:rsidRPr="00AA5485" w:rsidRDefault="00AA5485" w:rsidP="00AA5485">
      <w:pPr>
        <w:pStyle w:val="Author"/>
        <w:rPr>
          <w:rFonts w:ascii="Arial" w:hAnsi="Arial" w:cs="Arial"/>
          <w:bCs/>
          <w:i/>
          <w:iCs/>
          <w:kern w:val="28"/>
          <w:sz w:val="36"/>
          <w:u w:val="single"/>
        </w:rPr>
      </w:pPr>
    </w:p>
    <w:p w14:paraId="759C0A6D" w14:textId="77777777" w:rsidR="00C844CF" w:rsidRPr="00AA5485" w:rsidRDefault="00C844CF" w:rsidP="00C844CF">
      <w:pPr>
        <w:pStyle w:val="Author"/>
        <w:spacing w:line="240" w:lineRule="auto"/>
        <w:rPr>
          <w:rFonts w:ascii="Arial" w:hAnsi="Arial" w:cs="Arial"/>
          <w:bCs/>
          <w:kern w:val="28"/>
          <w:sz w:val="36"/>
        </w:rPr>
      </w:pPr>
      <w:r w:rsidRPr="00AA5485">
        <w:rPr>
          <w:rFonts w:ascii="Arial" w:hAnsi="Arial" w:cs="Arial"/>
          <w:bCs/>
          <w:kern w:val="28"/>
          <w:sz w:val="36"/>
        </w:rPr>
        <w:t xml:space="preserve">In Vitro Antagonistic Efficacy of </w:t>
      </w:r>
      <w:r w:rsidRPr="00AA5485">
        <w:rPr>
          <w:rFonts w:ascii="Arial" w:hAnsi="Arial" w:cs="Arial"/>
          <w:bCs/>
          <w:i/>
          <w:iCs/>
          <w:kern w:val="28"/>
          <w:sz w:val="36"/>
        </w:rPr>
        <w:t>Trichoderma viride</w:t>
      </w:r>
      <w:r w:rsidRPr="00AA5485">
        <w:rPr>
          <w:rFonts w:ascii="Arial" w:hAnsi="Arial" w:cs="Arial"/>
          <w:bCs/>
          <w:kern w:val="28"/>
          <w:sz w:val="36"/>
        </w:rPr>
        <w:t xml:space="preserve"> Culture Filtrates Against </w:t>
      </w:r>
      <w:r w:rsidRPr="00AA5485">
        <w:rPr>
          <w:rFonts w:ascii="Arial" w:hAnsi="Arial" w:cs="Arial"/>
          <w:bCs/>
          <w:i/>
          <w:iCs/>
          <w:kern w:val="28"/>
          <w:sz w:val="36"/>
        </w:rPr>
        <w:t xml:space="preserve">Sclerotium </w:t>
      </w:r>
      <w:proofErr w:type="spellStart"/>
      <w:r w:rsidRPr="00AA5485">
        <w:rPr>
          <w:rFonts w:ascii="Arial" w:hAnsi="Arial" w:cs="Arial"/>
          <w:bCs/>
          <w:i/>
          <w:iCs/>
          <w:kern w:val="28"/>
          <w:sz w:val="36"/>
        </w:rPr>
        <w:t>rolfsii</w:t>
      </w:r>
      <w:proofErr w:type="spellEnd"/>
      <w:r w:rsidRPr="00AA5485">
        <w:rPr>
          <w:rFonts w:ascii="Arial" w:hAnsi="Arial" w:cs="Arial"/>
          <w:bCs/>
          <w:kern w:val="28"/>
          <w:sz w:val="36"/>
        </w:rPr>
        <w:t xml:space="preserve"> </w:t>
      </w:r>
      <w:proofErr w:type="spellStart"/>
      <w:r w:rsidRPr="00AA5485">
        <w:rPr>
          <w:rFonts w:ascii="Arial" w:hAnsi="Arial" w:cs="Arial"/>
          <w:bCs/>
          <w:kern w:val="28"/>
          <w:sz w:val="36"/>
        </w:rPr>
        <w:t>Sacc</w:t>
      </w:r>
      <w:proofErr w:type="spellEnd"/>
      <w:r w:rsidRPr="00AA5485">
        <w:rPr>
          <w:rFonts w:ascii="Arial" w:hAnsi="Arial" w:cs="Arial"/>
          <w:bCs/>
          <w:kern w:val="28"/>
          <w:sz w:val="36"/>
        </w:rPr>
        <w:t>., the Causal Agent of Groundnut Stem Rot</w:t>
      </w:r>
    </w:p>
    <w:p w14:paraId="7E48F1BA" w14:textId="77777777" w:rsidR="00A258C3" w:rsidRPr="00AA5485" w:rsidRDefault="00A258C3" w:rsidP="00C844CF">
      <w:pPr>
        <w:pStyle w:val="Author"/>
        <w:spacing w:line="240" w:lineRule="auto"/>
        <w:jc w:val="left"/>
        <w:rPr>
          <w:rFonts w:ascii="Arial" w:hAnsi="Arial" w:cs="Arial"/>
          <w:sz w:val="36"/>
        </w:rPr>
      </w:pPr>
    </w:p>
    <w:p w14:paraId="4F6E6FC5" w14:textId="77777777" w:rsidR="002F631D" w:rsidRPr="00AA5485" w:rsidRDefault="002F631D" w:rsidP="00D84FD6">
      <w:pPr>
        <w:pStyle w:val="Affiliation"/>
        <w:rPr>
          <w:rFonts w:ascii="Arial" w:hAnsi="Arial" w:cs="Arial"/>
          <w:i/>
          <w:sz w:val="16"/>
        </w:rPr>
      </w:pPr>
    </w:p>
    <w:p w14:paraId="5AC2B481" w14:textId="77777777" w:rsidR="00790ADA" w:rsidRPr="00AA5485" w:rsidRDefault="00790ADA" w:rsidP="00441B6F">
      <w:pPr>
        <w:pStyle w:val="Affiliation"/>
        <w:spacing w:after="0" w:line="240" w:lineRule="auto"/>
        <w:jc w:val="both"/>
        <w:rPr>
          <w:rFonts w:ascii="Arial" w:hAnsi="Arial" w:cs="Arial"/>
        </w:rPr>
      </w:pPr>
    </w:p>
    <w:p w14:paraId="7A938DD4" w14:textId="77777777" w:rsidR="002C57D2" w:rsidRPr="00AA5485" w:rsidRDefault="002C57D2" w:rsidP="00441B6F">
      <w:pPr>
        <w:pStyle w:val="Affiliation"/>
        <w:spacing w:after="0" w:line="240" w:lineRule="auto"/>
        <w:jc w:val="both"/>
        <w:rPr>
          <w:rFonts w:ascii="Arial" w:hAnsi="Arial" w:cs="Arial"/>
        </w:rPr>
      </w:pPr>
    </w:p>
    <w:p w14:paraId="09B4FD79" w14:textId="77777777" w:rsidR="00B01FCD" w:rsidRPr="00AA5485" w:rsidRDefault="00000000" w:rsidP="00441B6F">
      <w:pPr>
        <w:pStyle w:val="Copyright"/>
        <w:spacing w:after="0" w:line="240" w:lineRule="auto"/>
        <w:jc w:val="both"/>
        <w:rPr>
          <w:rFonts w:ascii="Arial" w:hAnsi="Arial" w:cs="Arial"/>
        </w:rPr>
        <w:sectPr w:rsidR="00B01FCD" w:rsidRPr="00AA5485" w:rsidSect="007A6D7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24CD0035">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AA5485">
        <w:rPr>
          <w:rFonts w:ascii="Arial" w:hAnsi="Arial" w:cs="Arial"/>
        </w:rPr>
        <w:t>.</w:t>
      </w:r>
    </w:p>
    <w:p w14:paraId="7F6CBD61" w14:textId="77777777" w:rsidR="00B01FCD" w:rsidRPr="00AA5485" w:rsidRDefault="00B01FCD" w:rsidP="00441B6F">
      <w:pPr>
        <w:pStyle w:val="AbstHead"/>
        <w:spacing w:after="0"/>
        <w:jc w:val="both"/>
        <w:rPr>
          <w:rFonts w:ascii="Arial" w:hAnsi="Arial" w:cs="Arial"/>
        </w:rPr>
      </w:pPr>
      <w:r w:rsidRPr="00AA5485">
        <w:rPr>
          <w:rFonts w:ascii="Arial" w:hAnsi="Arial" w:cs="Arial"/>
        </w:rPr>
        <w:t>ABSTRACT</w:t>
      </w:r>
      <w:r w:rsidR="0066510A" w:rsidRPr="00AA5485">
        <w:rPr>
          <w:rFonts w:ascii="Arial" w:hAnsi="Arial" w:cs="Arial"/>
        </w:rPr>
        <w:t xml:space="preserve"> </w:t>
      </w:r>
    </w:p>
    <w:p w14:paraId="09AA3BCF" w14:textId="77777777" w:rsidR="00EB11D8" w:rsidRPr="00A5115B" w:rsidRDefault="00EB11D8" w:rsidP="00EB11D8">
      <w:pPr>
        <w:spacing w:before="100" w:beforeAutospacing="1" w:after="100" w:afterAutospacing="1"/>
        <w:rPr>
          <w:rFonts w:ascii="Times New Roman" w:hAnsi="Times New Roman"/>
          <w:sz w:val="24"/>
          <w:szCs w:val="24"/>
        </w:rPr>
      </w:pPr>
      <w:r w:rsidRPr="00A5115B">
        <w:rPr>
          <w:rFonts w:ascii="Times New Roman" w:hAnsi="Times New Roman"/>
          <w:sz w:val="24"/>
          <w:szCs w:val="24"/>
        </w:rPr>
        <w:t>Groundnut (</w:t>
      </w:r>
      <w:r w:rsidRPr="00A5115B">
        <w:rPr>
          <w:rFonts w:ascii="Times New Roman" w:hAnsi="Times New Roman"/>
          <w:i/>
          <w:iCs/>
          <w:sz w:val="24"/>
          <w:szCs w:val="24"/>
        </w:rPr>
        <w:t>Arachis hypogaea</w:t>
      </w:r>
      <w:r w:rsidRPr="00A5115B">
        <w:rPr>
          <w:rFonts w:ascii="Times New Roman" w:hAnsi="Times New Roman"/>
          <w:sz w:val="24"/>
          <w:szCs w:val="24"/>
        </w:rPr>
        <w:t xml:space="preserve"> L.) is an important oilseed crop, but its productivity is affected by stem rot caused by </w:t>
      </w:r>
      <w:r w:rsidRPr="00A5115B">
        <w:rPr>
          <w:rFonts w:ascii="Times New Roman" w:hAnsi="Times New Roman"/>
          <w:i/>
          <w:iCs/>
          <w:sz w:val="24"/>
          <w:szCs w:val="24"/>
        </w:rPr>
        <w:t xml:space="preserve">Sclerotium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xml:space="preserve"> </w:t>
      </w:r>
      <w:proofErr w:type="spellStart"/>
      <w:r w:rsidRPr="00A5115B">
        <w:rPr>
          <w:rFonts w:ascii="Times New Roman" w:hAnsi="Times New Roman"/>
          <w:sz w:val="24"/>
          <w:szCs w:val="24"/>
        </w:rPr>
        <w:t>Sacc</w:t>
      </w:r>
      <w:proofErr w:type="spellEnd"/>
      <w:r w:rsidRPr="00A5115B">
        <w:rPr>
          <w:rFonts w:ascii="Times New Roman" w:hAnsi="Times New Roman"/>
          <w:sz w:val="24"/>
          <w:szCs w:val="24"/>
        </w:rPr>
        <w:t xml:space="preserve">. Biological control using antagonistic fungi offers a potential approach for reducing dependence on chemical disease management. The present study evaluated the in vitro inhibitory activity of cell-free culture filtrates from ten native isolates of </w:t>
      </w:r>
      <w:r w:rsidRPr="00A5115B">
        <w:rPr>
          <w:rFonts w:ascii="Times New Roman" w:hAnsi="Times New Roman"/>
          <w:i/>
          <w:iCs/>
          <w:sz w:val="24"/>
          <w:szCs w:val="24"/>
        </w:rPr>
        <w:t>Trichoderma viride</w:t>
      </w:r>
      <w:r w:rsidRPr="00A5115B">
        <w:rPr>
          <w:rFonts w:ascii="Times New Roman" w:hAnsi="Times New Roman"/>
          <w:sz w:val="24"/>
          <w:szCs w:val="24"/>
        </w:rPr>
        <w:t xml:space="preserve"> against </w:t>
      </w:r>
      <w:r w:rsidRPr="00A5115B">
        <w:rPr>
          <w:rFonts w:ascii="Times New Roman" w:hAnsi="Times New Roman"/>
          <w:i/>
          <w:iCs/>
          <w:sz w:val="24"/>
          <w:szCs w:val="24"/>
        </w:rPr>
        <w:t xml:space="preserve">S.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xml:space="preserve">. The pathogen was isolated from infected groundnut stem tissues and identified based on colony morphology and </w:t>
      </w:r>
      <w:proofErr w:type="spellStart"/>
      <w:r w:rsidRPr="00A5115B">
        <w:rPr>
          <w:rFonts w:ascii="Times New Roman" w:hAnsi="Times New Roman"/>
          <w:sz w:val="24"/>
          <w:szCs w:val="24"/>
        </w:rPr>
        <w:t>sclerotial</w:t>
      </w:r>
      <w:proofErr w:type="spellEnd"/>
      <w:r w:rsidRPr="00A5115B">
        <w:rPr>
          <w:rFonts w:ascii="Times New Roman" w:hAnsi="Times New Roman"/>
          <w:sz w:val="24"/>
          <w:szCs w:val="24"/>
        </w:rPr>
        <w:t xml:space="preserve"> characteristics. </w:t>
      </w:r>
      <w:r w:rsidRPr="00A5115B">
        <w:rPr>
          <w:rFonts w:ascii="Times New Roman" w:hAnsi="Times New Roman"/>
          <w:i/>
          <w:iCs/>
          <w:sz w:val="24"/>
          <w:szCs w:val="24"/>
        </w:rPr>
        <w:t>T. viride</w:t>
      </w:r>
      <w:r w:rsidRPr="00A5115B">
        <w:rPr>
          <w:rFonts w:ascii="Times New Roman" w:hAnsi="Times New Roman"/>
          <w:sz w:val="24"/>
          <w:szCs w:val="24"/>
        </w:rPr>
        <w:t xml:space="preserve"> isolates were obtained from rhizosphere soil samples and maintained as Tv1 to Tv10. Culture filtrates were prepared from 10-day-old potato dextrose broth cultures and incorporated into potato dextrose agar at 10%, 20%, 30% and 40% concentrations using the poisoned food technique. All isolates reduced radial mycelial growth of </w:t>
      </w:r>
      <w:r w:rsidRPr="00A5115B">
        <w:rPr>
          <w:rFonts w:ascii="Times New Roman" w:hAnsi="Times New Roman"/>
          <w:i/>
          <w:iCs/>
          <w:sz w:val="24"/>
          <w:szCs w:val="24"/>
        </w:rPr>
        <w:t xml:space="preserve">S.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xml:space="preserve"> compared with the control, and inhibition generally increased with filtrate concentration. Among the isolates tested, Tv4 showed the greatest inhibitory effect, restricting pathogen growth to 27.79 mm, 19.56 mm, 12.26 mm and 0.00 mm at 10%, 20%, 30% and 40% concentrations, respectively. Complete inhibition was observed with Tv4 at 40% concentration. Tv6, Tv7 and Tv8 also showed high inhibition at the highest concentration. These results indicate that </w:t>
      </w:r>
      <w:r w:rsidRPr="00A5115B">
        <w:rPr>
          <w:rFonts w:ascii="Times New Roman" w:hAnsi="Times New Roman"/>
          <w:i/>
          <w:iCs/>
          <w:sz w:val="24"/>
          <w:szCs w:val="24"/>
        </w:rPr>
        <w:t>T. viride</w:t>
      </w:r>
      <w:r w:rsidRPr="00A5115B">
        <w:rPr>
          <w:rFonts w:ascii="Times New Roman" w:hAnsi="Times New Roman"/>
          <w:sz w:val="24"/>
          <w:szCs w:val="24"/>
        </w:rPr>
        <w:t xml:space="preserve"> culture filtrates can suppress </w:t>
      </w:r>
      <w:r w:rsidRPr="00A5115B">
        <w:rPr>
          <w:rFonts w:ascii="Times New Roman" w:hAnsi="Times New Roman"/>
          <w:i/>
          <w:iCs/>
          <w:sz w:val="24"/>
          <w:szCs w:val="24"/>
        </w:rPr>
        <w:t xml:space="preserve">S.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xml:space="preserve"> growth under in vitro conditions.</w:t>
      </w:r>
    </w:p>
    <w:p w14:paraId="62C53A8E" w14:textId="77777777" w:rsidR="00636EB2" w:rsidRPr="00AA5485" w:rsidRDefault="00636EB2" w:rsidP="00441B6F">
      <w:pPr>
        <w:pStyle w:val="Body"/>
        <w:spacing w:after="0"/>
        <w:rPr>
          <w:rFonts w:ascii="Arial" w:hAnsi="Arial" w:cs="Arial"/>
          <w:i/>
        </w:rPr>
      </w:pPr>
    </w:p>
    <w:p w14:paraId="436448EE" w14:textId="77777777" w:rsidR="00A24E7E" w:rsidRPr="00AA5485" w:rsidRDefault="00A24E7E" w:rsidP="00441B6F">
      <w:pPr>
        <w:pStyle w:val="Body"/>
        <w:spacing w:after="0"/>
        <w:rPr>
          <w:rFonts w:ascii="Arial" w:hAnsi="Arial" w:cs="Arial"/>
          <w:i/>
        </w:rPr>
      </w:pPr>
      <w:r w:rsidRPr="00AA5485">
        <w:rPr>
          <w:rFonts w:ascii="Arial" w:hAnsi="Arial" w:cs="Arial"/>
          <w:i/>
        </w:rPr>
        <w:t>Keywords:</w:t>
      </w:r>
      <w:r w:rsidR="00C844CF" w:rsidRPr="00AA5485">
        <w:rPr>
          <w:rFonts w:ascii="Times New Roman" w:eastAsia="Arial" w:hAnsi="Times New Roman"/>
          <w:i/>
          <w:iCs/>
          <w:color w:val="1F1F1F"/>
          <w:sz w:val="22"/>
          <w:szCs w:val="22"/>
          <w:lang w:bidi="ta-IN"/>
        </w:rPr>
        <w:t xml:space="preserve"> </w:t>
      </w:r>
      <w:r w:rsidR="00C844CF" w:rsidRPr="00AA5485">
        <w:rPr>
          <w:rFonts w:ascii="Arial" w:hAnsi="Arial" w:cs="Arial"/>
          <w:i/>
          <w:iCs/>
        </w:rPr>
        <w:t>Arachis hypogaea</w:t>
      </w:r>
      <w:r w:rsidR="00C844CF" w:rsidRPr="00AA5485">
        <w:rPr>
          <w:rFonts w:ascii="Arial" w:hAnsi="Arial" w:cs="Arial"/>
          <w:i/>
        </w:rPr>
        <w:t xml:space="preserve">, </w:t>
      </w:r>
      <w:r w:rsidR="00C844CF" w:rsidRPr="00AA5485">
        <w:rPr>
          <w:rFonts w:ascii="Arial" w:hAnsi="Arial" w:cs="Arial"/>
          <w:i/>
          <w:iCs/>
        </w:rPr>
        <w:t xml:space="preserve">Sclerotium </w:t>
      </w:r>
      <w:proofErr w:type="spellStart"/>
      <w:r w:rsidR="00C844CF" w:rsidRPr="00AA5485">
        <w:rPr>
          <w:rFonts w:ascii="Arial" w:hAnsi="Arial" w:cs="Arial"/>
          <w:i/>
          <w:iCs/>
        </w:rPr>
        <w:t>rolfsii</w:t>
      </w:r>
      <w:proofErr w:type="spellEnd"/>
      <w:r w:rsidR="00C844CF" w:rsidRPr="00AA5485">
        <w:rPr>
          <w:rFonts w:ascii="Arial" w:hAnsi="Arial" w:cs="Arial"/>
          <w:i/>
        </w:rPr>
        <w:t xml:space="preserve">, </w:t>
      </w:r>
      <w:r w:rsidR="00C844CF" w:rsidRPr="00AA5485">
        <w:rPr>
          <w:rFonts w:ascii="Arial" w:hAnsi="Arial" w:cs="Arial"/>
          <w:i/>
          <w:iCs/>
        </w:rPr>
        <w:t>Trichoderma viride</w:t>
      </w:r>
      <w:r w:rsidR="00C844CF" w:rsidRPr="00AA5485">
        <w:rPr>
          <w:rFonts w:ascii="Arial" w:hAnsi="Arial" w:cs="Arial"/>
          <w:i/>
        </w:rPr>
        <w:t>, biological control, poisoned food technique, secondary metabolites</w:t>
      </w:r>
    </w:p>
    <w:p w14:paraId="794EA926" w14:textId="77777777" w:rsidR="0024282C" w:rsidRPr="00AA5485" w:rsidRDefault="0024282C" w:rsidP="00441B6F">
      <w:pPr>
        <w:pStyle w:val="Body"/>
        <w:spacing w:after="0"/>
        <w:rPr>
          <w:rFonts w:ascii="Arial" w:hAnsi="Arial" w:cs="Arial"/>
          <w:i/>
          <w:sz w:val="18"/>
        </w:rPr>
      </w:pPr>
    </w:p>
    <w:p w14:paraId="59BC1D13" w14:textId="77777777" w:rsidR="00505F06" w:rsidRPr="00AA5485" w:rsidRDefault="00505F06" w:rsidP="00441B6F">
      <w:pPr>
        <w:pStyle w:val="Body"/>
        <w:spacing w:after="0"/>
        <w:rPr>
          <w:rFonts w:ascii="Arial" w:hAnsi="Arial" w:cs="Arial"/>
          <w:i/>
        </w:rPr>
      </w:pPr>
    </w:p>
    <w:p w14:paraId="20B44EED" w14:textId="77777777" w:rsidR="007F7B32" w:rsidRPr="00AA5485" w:rsidRDefault="00902823" w:rsidP="00441B6F">
      <w:pPr>
        <w:pStyle w:val="AbstHead"/>
        <w:spacing w:after="0"/>
        <w:jc w:val="both"/>
        <w:rPr>
          <w:rFonts w:ascii="Arial" w:hAnsi="Arial" w:cs="Arial"/>
        </w:rPr>
      </w:pPr>
      <w:r w:rsidRPr="00AA5485">
        <w:rPr>
          <w:rFonts w:ascii="Arial" w:hAnsi="Arial" w:cs="Arial"/>
        </w:rPr>
        <w:t xml:space="preserve">1. </w:t>
      </w:r>
      <w:r w:rsidR="00B01FCD" w:rsidRPr="00AA5485">
        <w:rPr>
          <w:rFonts w:ascii="Arial" w:hAnsi="Arial" w:cs="Arial"/>
        </w:rPr>
        <w:t>INTRODUCTION</w:t>
      </w:r>
      <w:r w:rsidR="007F7B32" w:rsidRPr="00AA5485">
        <w:rPr>
          <w:rFonts w:ascii="Arial" w:hAnsi="Arial" w:cs="Arial"/>
        </w:rPr>
        <w:t xml:space="preserve"> </w:t>
      </w:r>
    </w:p>
    <w:p w14:paraId="40449897" w14:textId="77777777" w:rsidR="00790ADA" w:rsidRPr="00AA5485" w:rsidRDefault="00790ADA" w:rsidP="00441B6F">
      <w:pPr>
        <w:pStyle w:val="AbstHead"/>
        <w:spacing w:after="0"/>
        <w:jc w:val="both"/>
        <w:rPr>
          <w:rFonts w:ascii="Arial" w:hAnsi="Arial" w:cs="Arial"/>
        </w:rPr>
      </w:pPr>
    </w:p>
    <w:p w14:paraId="229E9F11" w14:textId="77777777" w:rsidR="00C844CF" w:rsidRPr="00AA5485" w:rsidRDefault="00C844CF" w:rsidP="00C844CF">
      <w:pPr>
        <w:pStyle w:val="Body"/>
        <w:rPr>
          <w:rFonts w:ascii="Arial" w:hAnsi="Arial" w:cs="Arial"/>
        </w:rPr>
      </w:pPr>
      <w:r w:rsidRPr="00AA5485">
        <w:rPr>
          <w:rFonts w:ascii="Arial" w:hAnsi="Arial" w:cs="Arial"/>
        </w:rPr>
        <w:t>Groundnut (</w:t>
      </w:r>
      <w:r w:rsidRPr="00AA5485">
        <w:rPr>
          <w:rFonts w:ascii="Arial" w:hAnsi="Arial" w:cs="Arial"/>
          <w:i/>
          <w:iCs/>
        </w:rPr>
        <w:t>Arachis hypogaea</w:t>
      </w:r>
      <w:r w:rsidRPr="00AA5485">
        <w:rPr>
          <w:rFonts w:ascii="Arial" w:hAnsi="Arial" w:cs="Arial"/>
        </w:rPr>
        <w:t xml:space="preserve"> L.), frequently termed the "poor man's nut," serves as a crucial source of vegetable protein and edible oil globally</w:t>
      </w:r>
      <w:r w:rsidR="005F35E4" w:rsidRPr="00AA5485">
        <w:rPr>
          <w:rFonts w:ascii="Arial" w:hAnsi="Arial" w:cs="Arial"/>
        </w:rPr>
        <w:t xml:space="preserve"> (Parmar et al. 2022)</w:t>
      </w:r>
      <w:r w:rsidRPr="00AA5485">
        <w:rPr>
          <w:rFonts w:ascii="Arial" w:hAnsi="Arial" w:cs="Arial"/>
        </w:rPr>
        <w:t>. In agricultural economies such as India, rapid demographic growth has substantially heightened market demand</w:t>
      </w:r>
      <w:r w:rsidR="005F35E4" w:rsidRPr="00AA5485">
        <w:rPr>
          <w:rFonts w:ascii="Arial" w:hAnsi="Arial" w:cs="Arial"/>
        </w:rPr>
        <w:t xml:space="preserve"> (Kadiyala et al. 2021)</w:t>
      </w:r>
      <w:r w:rsidRPr="00AA5485">
        <w:rPr>
          <w:rFonts w:ascii="Arial" w:hAnsi="Arial" w:cs="Arial"/>
        </w:rPr>
        <w:t xml:space="preserve">. Nevertheless, realization of optimal yield potential is frequently hampered by an array of biotic and abiotic constraints. Soil-borne fungal epidemics, particularly stem rot incited by </w:t>
      </w:r>
      <w:r w:rsidRPr="00AA5485">
        <w:rPr>
          <w:rFonts w:ascii="Arial" w:hAnsi="Arial" w:cs="Arial"/>
          <w:i/>
          <w:iCs/>
        </w:rPr>
        <w:t xml:space="preserve">Sclerotium </w:t>
      </w:r>
      <w:proofErr w:type="spellStart"/>
      <w:r w:rsidRPr="00AA5485">
        <w:rPr>
          <w:rFonts w:ascii="Arial" w:hAnsi="Arial" w:cs="Arial"/>
          <w:i/>
          <w:iCs/>
        </w:rPr>
        <w:t>rolfsii</w:t>
      </w:r>
      <w:proofErr w:type="spellEnd"/>
      <w:r w:rsidRPr="00AA5485">
        <w:rPr>
          <w:rFonts w:ascii="Arial" w:hAnsi="Arial" w:cs="Arial"/>
        </w:rPr>
        <w:t xml:space="preserve"> </w:t>
      </w:r>
      <w:proofErr w:type="spellStart"/>
      <w:r w:rsidRPr="00AA5485">
        <w:rPr>
          <w:rFonts w:ascii="Arial" w:hAnsi="Arial" w:cs="Arial"/>
        </w:rPr>
        <w:t>Sacc</w:t>
      </w:r>
      <w:proofErr w:type="spellEnd"/>
      <w:r w:rsidRPr="00AA5485">
        <w:rPr>
          <w:rFonts w:ascii="Arial" w:hAnsi="Arial" w:cs="Arial"/>
        </w:rPr>
        <w:t>., represent major yield-limiting factors in both rainfed and irrigated production systems</w:t>
      </w:r>
      <w:r w:rsidR="005F35E4" w:rsidRPr="00AA5485">
        <w:rPr>
          <w:rFonts w:ascii="Arial" w:hAnsi="Arial" w:cs="Arial"/>
        </w:rPr>
        <w:t xml:space="preserve"> (Meena et al. 2024)</w:t>
      </w:r>
      <w:r w:rsidRPr="00AA5485">
        <w:rPr>
          <w:rFonts w:ascii="Arial" w:hAnsi="Arial" w:cs="Arial"/>
        </w:rPr>
        <w:t>.</w:t>
      </w:r>
    </w:p>
    <w:p w14:paraId="3A490A38" w14:textId="5153C229" w:rsidR="006E6500" w:rsidRDefault="00000000">
      <w:r>
        <w:rPr>
          <w:b/>
          <w:color w:val="FF0000"/>
        </w:rPr>
        <w:lastRenderedPageBreak/>
        <w:t>Please revise the introductory paragraph for conciseness and improve the statement on market demand. The rationale for the present study should be linked more explicitly to the need for biological management of groundnut stem rot.</w:t>
      </w:r>
    </w:p>
    <w:p w14:paraId="1F19E548" w14:textId="77777777" w:rsidR="00C844CF" w:rsidRPr="00AA5485" w:rsidRDefault="00C844CF" w:rsidP="00C844CF">
      <w:pPr>
        <w:pStyle w:val="Body"/>
        <w:rPr>
          <w:rFonts w:ascii="Arial" w:hAnsi="Arial" w:cs="Arial"/>
        </w:rPr>
      </w:pPr>
      <w:r w:rsidRPr="00AA5485">
        <w:rPr>
          <w:rFonts w:ascii="Arial" w:hAnsi="Arial" w:cs="Arial"/>
        </w:rPr>
        <w:t xml:space="preserve">Because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 xml:space="preserve"> forms resilient sclerotia capable of surviving extended periods in the soil matrix, conventional chemical interventions often prove economically inefficient and ecologically undesirable</w:t>
      </w:r>
      <w:r w:rsidR="005F35E4" w:rsidRPr="00AA5485">
        <w:rPr>
          <w:rFonts w:ascii="Arial" w:hAnsi="Arial" w:cs="Arial"/>
        </w:rPr>
        <w:t xml:space="preserve"> (Biswas et al. 2026)</w:t>
      </w:r>
      <w:r w:rsidRPr="00AA5485">
        <w:rPr>
          <w:rFonts w:ascii="Arial" w:hAnsi="Arial" w:cs="Arial"/>
        </w:rPr>
        <w:t xml:space="preserve">. Consequently, contemporary plant protection paradigms focus on sustainable biological control methods. Antagonistic fungi belonging to the genus </w:t>
      </w:r>
      <w:r w:rsidRPr="00AA5485">
        <w:rPr>
          <w:rFonts w:ascii="Arial" w:hAnsi="Arial" w:cs="Arial"/>
          <w:i/>
          <w:iCs/>
        </w:rPr>
        <w:t>Trichoderma</w:t>
      </w:r>
      <w:r w:rsidRPr="00AA5485">
        <w:rPr>
          <w:rFonts w:ascii="Arial" w:hAnsi="Arial" w:cs="Arial"/>
        </w:rPr>
        <w:t xml:space="preserve"> have demonstrated broad-spectrum biocontrol activity against numerous soil-borne, foliar, and post-harvest phytopathogens</w:t>
      </w:r>
      <w:r w:rsidR="00C84921" w:rsidRPr="00AA5485">
        <w:rPr>
          <w:rFonts w:ascii="Arial" w:hAnsi="Arial" w:cs="Arial"/>
        </w:rPr>
        <w:t xml:space="preserve"> (Hossain et al. 2025)</w:t>
      </w:r>
      <w:r w:rsidRPr="00AA5485">
        <w:rPr>
          <w:rFonts w:ascii="Arial" w:hAnsi="Arial" w:cs="Arial"/>
        </w:rPr>
        <w:t>. Their antagonistic modes of action encompass mycoparasitism, competitive exclusion, induction of systemic resistance, and the biosynthesis of volatile and non-volatile fungistatic compounds</w:t>
      </w:r>
      <w:r w:rsidR="00C84921" w:rsidRPr="00AA5485">
        <w:rPr>
          <w:rFonts w:ascii="Arial" w:hAnsi="Arial" w:cs="Arial"/>
        </w:rPr>
        <w:t xml:space="preserve"> (</w:t>
      </w:r>
      <w:proofErr w:type="spellStart"/>
      <w:r w:rsidR="00C84921" w:rsidRPr="00AA5485">
        <w:rPr>
          <w:rFonts w:ascii="Arial" w:hAnsi="Arial" w:cs="Arial"/>
        </w:rPr>
        <w:t>Manathunga</w:t>
      </w:r>
      <w:proofErr w:type="spellEnd"/>
      <w:r w:rsidR="00C84921" w:rsidRPr="00AA5485">
        <w:rPr>
          <w:rFonts w:ascii="Arial" w:hAnsi="Arial" w:cs="Arial"/>
        </w:rPr>
        <w:t xml:space="preserve"> et al. 2024)</w:t>
      </w:r>
      <w:r w:rsidRPr="00AA5485">
        <w:rPr>
          <w:rFonts w:ascii="Arial" w:hAnsi="Arial" w:cs="Arial"/>
        </w:rPr>
        <w:t>.</w:t>
      </w:r>
    </w:p>
    <w:p w14:paraId="3F7DB3F4" w14:textId="77777777" w:rsidR="001F6921" w:rsidRPr="00AA5485" w:rsidRDefault="00000000">
      <w:pPr>
        <w:pStyle w:val="Body"/>
      </w:pPr>
      <w:r w:rsidRPr="00AA5485">
        <w:rPr>
          <w:rFonts w:ascii="Arial" w:hAnsi="Arial"/>
        </w:rPr>
        <w:t xml:space="preserve">Recent evidence indicates that antagonistic performance against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is strongly isolate dependent rather than uniform across the genus </w:t>
      </w:r>
      <w:r w:rsidRPr="00AA5485">
        <w:rPr>
          <w:rFonts w:ascii="Arial" w:hAnsi="Arial"/>
          <w:i/>
        </w:rPr>
        <w:t>Trichoderma</w:t>
      </w:r>
      <w:r w:rsidRPr="00AA5485">
        <w:rPr>
          <w:rFonts w:ascii="Arial" w:hAnsi="Arial"/>
        </w:rPr>
        <w:t xml:space="preserve">. In a groundnut-associated </w:t>
      </w:r>
      <w:proofErr w:type="spellStart"/>
      <w:r w:rsidRPr="00AA5485">
        <w:rPr>
          <w:rFonts w:ascii="Arial" w:hAnsi="Arial"/>
        </w:rPr>
        <w:t>pathosystem</w:t>
      </w:r>
      <w:proofErr w:type="spellEnd"/>
      <w:r w:rsidRPr="00AA5485">
        <w:rPr>
          <w:rFonts w:ascii="Arial" w:hAnsi="Arial"/>
        </w:rPr>
        <w:t xml:space="preserve">, substantial variation among </w:t>
      </w:r>
      <w:r w:rsidRPr="00AA5485">
        <w:rPr>
          <w:rFonts w:ascii="Arial" w:hAnsi="Arial"/>
          <w:i/>
        </w:rPr>
        <w:t>Trichoderma</w:t>
      </w:r>
      <w:r w:rsidRPr="00AA5485">
        <w:rPr>
          <w:rFonts w:ascii="Arial" w:hAnsi="Arial"/>
        </w:rPr>
        <w:t xml:space="preserve"> isolates was linked with differences in secreted antifungal constituents, whereas another multi-isolate study found that only subsets of </w:t>
      </w:r>
      <w:r w:rsidRPr="00AA5485">
        <w:rPr>
          <w:rFonts w:ascii="Arial" w:hAnsi="Arial"/>
          <w:i/>
        </w:rPr>
        <w:t>Trichoderma</w:t>
      </w:r>
      <w:r w:rsidRPr="00AA5485">
        <w:rPr>
          <w:rFonts w:ascii="Arial" w:hAnsi="Arial"/>
        </w:rPr>
        <w:t xml:space="preserve"> strains produced volatile or non-volatile metabolites capable of suppressing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(Hirpara et al., 2016; </w:t>
      </w:r>
      <w:proofErr w:type="spellStart"/>
      <w:r w:rsidRPr="00AA5485">
        <w:rPr>
          <w:rFonts w:ascii="Arial" w:hAnsi="Arial"/>
        </w:rPr>
        <w:t>Montalvão</w:t>
      </w:r>
      <w:proofErr w:type="spellEnd"/>
      <w:r w:rsidRPr="00AA5485">
        <w:rPr>
          <w:rFonts w:ascii="Arial" w:hAnsi="Arial"/>
        </w:rPr>
        <w:t xml:space="preserve"> et al., 2023).</w:t>
      </w:r>
    </w:p>
    <w:p w14:paraId="546D6557" w14:textId="154C6FF8" w:rsidR="006E6500" w:rsidRDefault="00000000">
      <w:r>
        <w:rPr>
          <w:b/>
          <w:color w:val="FF0000"/>
        </w:rPr>
        <w:t>Please standardize citation formatting throughout the manuscript. Use one consistent author–year citation style.</w:t>
      </w:r>
    </w:p>
    <w:p w14:paraId="03D5A24F" w14:textId="77777777" w:rsidR="001F6921" w:rsidRPr="00AA5485" w:rsidRDefault="00000000">
      <w:pPr>
        <w:pStyle w:val="Body"/>
      </w:pPr>
      <w:r w:rsidRPr="00AA5485">
        <w:rPr>
          <w:rFonts w:ascii="Arial" w:hAnsi="Arial"/>
        </w:rPr>
        <w:t xml:space="preserve">This functional heterogeneity is biologically plausible because </w:t>
      </w:r>
      <w:r w:rsidRPr="00AA5485">
        <w:rPr>
          <w:rFonts w:ascii="Arial" w:hAnsi="Arial"/>
          <w:i/>
        </w:rPr>
        <w:t>Trichoderma</w:t>
      </w:r>
      <w:r w:rsidRPr="00AA5485">
        <w:rPr>
          <w:rFonts w:ascii="Arial" w:hAnsi="Arial"/>
        </w:rPr>
        <w:t xml:space="preserve"> secondary metabolism encompasses diverse metabolite classes and is regulated by species, strain, and environmental context; consequently, screening locally adapted isolates and their extracellular products is necessary before selecting candidates for further development (Zeilinger et al., 2016).</w:t>
      </w:r>
    </w:p>
    <w:p w14:paraId="35C07329" w14:textId="77777777" w:rsidR="00C844CF" w:rsidRPr="00AA5485" w:rsidRDefault="00C844CF" w:rsidP="00C844CF">
      <w:pPr>
        <w:pStyle w:val="Body"/>
        <w:rPr>
          <w:rFonts w:ascii="Arial" w:hAnsi="Arial" w:cs="Arial"/>
        </w:rPr>
      </w:pPr>
      <w:r w:rsidRPr="00AA5485">
        <w:rPr>
          <w:rFonts w:ascii="Arial" w:hAnsi="Arial" w:cs="Arial"/>
        </w:rPr>
        <w:t xml:space="preserve">The primary objective of this investigation was to isolate native </w:t>
      </w:r>
      <w:r w:rsidRPr="00AA5485">
        <w:rPr>
          <w:rFonts w:ascii="Arial" w:hAnsi="Arial" w:cs="Arial"/>
          <w:i/>
          <w:iCs/>
        </w:rPr>
        <w:t>T. viride</w:t>
      </w:r>
      <w:r w:rsidRPr="00AA5485">
        <w:rPr>
          <w:rFonts w:ascii="Arial" w:hAnsi="Arial" w:cs="Arial"/>
        </w:rPr>
        <w:t xml:space="preserve"> strains from the groundnut rhizosphere and systematically evaluate the in vitro inhibitory potential of their cell-free culture filtrates against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w:t>
      </w:r>
    </w:p>
    <w:p w14:paraId="330ECA28" w14:textId="77777777" w:rsidR="00790ADA" w:rsidRPr="00AA5485" w:rsidRDefault="00902823" w:rsidP="00C844CF">
      <w:pPr>
        <w:pStyle w:val="Body"/>
        <w:rPr>
          <w:rFonts w:ascii="Arial" w:hAnsi="Arial" w:cs="Arial"/>
          <w:b/>
          <w:bCs/>
          <w:sz w:val="22"/>
          <w:szCs w:val="22"/>
        </w:rPr>
      </w:pPr>
      <w:r w:rsidRPr="00AA5485">
        <w:rPr>
          <w:rFonts w:ascii="Arial" w:hAnsi="Arial" w:cs="Arial"/>
          <w:b/>
          <w:bCs/>
          <w:sz w:val="22"/>
          <w:szCs w:val="22"/>
        </w:rPr>
        <w:t xml:space="preserve">2. </w:t>
      </w:r>
      <w:r w:rsidR="00C844CF" w:rsidRPr="00AA5485">
        <w:rPr>
          <w:rFonts w:ascii="Arial" w:hAnsi="Arial" w:cs="Arial"/>
          <w:b/>
          <w:bCs/>
          <w:sz w:val="22"/>
          <w:szCs w:val="22"/>
        </w:rPr>
        <w:t xml:space="preserve">MATERIAL AND METHODS </w:t>
      </w:r>
    </w:p>
    <w:p w14:paraId="596E2756" w14:textId="77777777" w:rsidR="00C844CF" w:rsidRPr="00AA5485" w:rsidRDefault="00C844CF" w:rsidP="00C844CF">
      <w:pPr>
        <w:pStyle w:val="Body"/>
        <w:rPr>
          <w:rFonts w:ascii="Arial" w:hAnsi="Arial" w:cs="Arial"/>
          <w:b/>
          <w:bCs/>
        </w:rPr>
      </w:pPr>
      <w:r w:rsidRPr="00AA5485">
        <w:rPr>
          <w:rFonts w:ascii="Arial" w:hAnsi="Arial" w:cs="Arial"/>
          <w:b/>
          <w:bCs/>
        </w:rPr>
        <w:t>2.1 Isolation and Identification of the Pathogen (</w:t>
      </w:r>
      <w:r w:rsidRPr="00AA5485">
        <w:rPr>
          <w:rFonts w:ascii="Arial" w:hAnsi="Arial" w:cs="Arial"/>
          <w:b/>
          <w:bCs/>
          <w:i/>
          <w:iCs/>
        </w:rPr>
        <w:t xml:space="preserve">Sclerotium </w:t>
      </w:r>
      <w:proofErr w:type="spellStart"/>
      <w:r w:rsidRPr="00AA5485">
        <w:rPr>
          <w:rFonts w:ascii="Arial" w:hAnsi="Arial" w:cs="Arial"/>
          <w:b/>
          <w:bCs/>
          <w:i/>
          <w:iCs/>
        </w:rPr>
        <w:t>rolfsii</w:t>
      </w:r>
      <w:proofErr w:type="spellEnd"/>
      <w:r w:rsidRPr="00AA5485">
        <w:rPr>
          <w:rFonts w:ascii="Arial" w:hAnsi="Arial" w:cs="Arial"/>
          <w:b/>
          <w:bCs/>
        </w:rPr>
        <w:t>)</w:t>
      </w:r>
    </w:p>
    <w:p w14:paraId="71E80108" w14:textId="77777777" w:rsidR="00C844CF" w:rsidRPr="00AA5485" w:rsidRDefault="00C844CF" w:rsidP="00C844CF">
      <w:pPr>
        <w:pStyle w:val="Body"/>
        <w:rPr>
          <w:rFonts w:ascii="Arial" w:hAnsi="Arial" w:cs="Arial"/>
        </w:rPr>
      </w:pPr>
      <w:r w:rsidRPr="00AA5485">
        <w:rPr>
          <w:rFonts w:ascii="Arial" w:hAnsi="Arial" w:cs="Arial"/>
        </w:rPr>
        <w:t>Groundnut specimens exhibiting characteristic stem rot lesions were collected from field plots. Small tissue segments (2–3 mm) excised from the advancing margins of infected stems were surface-sterilized using a 0.1% sodium hypochlorite (</w:t>
      </w:r>
      <w:proofErr w:type="spellStart"/>
      <w:r w:rsidRPr="00AA5485">
        <w:rPr>
          <w:rFonts w:ascii="Arial" w:hAnsi="Arial" w:cs="Arial"/>
        </w:rPr>
        <w:t>NaOCl</w:t>
      </w:r>
      <w:proofErr w:type="spellEnd"/>
      <w:r w:rsidRPr="00AA5485">
        <w:rPr>
          <w:rFonts w:ascii="Arial" w:hAnsi="Arial" w:cs="Arial"/>
        </w:rPr>
        <w:t>) solution for 30 seconds. The segments were thoroughly rinsed in three successive changes of sterile distilled water and placed onto Potato Dextrose Agar (PDA) plates. The culture plates were incubated at 28</w:t>
      </w:r>
      <w:r w:rsidRPr="00AA5485">
        <w:rPr>
          <w:rFonts w:ascii="Ebrima" w:hAnsi="Ebrima" w:cs="Arial"/>
        </w:rPr>
        <w:t>°</w:t>
      </w:r>
      <w:r w:rsidRPr="00AA5485">
        <w:rPr>
          <w:rFonts w:ascii="Arial" w:hAnsi="Arial" w:cs="Arial"/>
        </w:rPr>
        <w:t xml:space="preserve">C for 5 days. Fungal cultures were purified using the single hyphal tip technique. Pathogen identification as </w:t>
      </w:r>
      <w:r w:rsidRPr="00AA5485">
        <w:rPr>
          <w:rFonts w:ascii="Arial" w:hAnsi="Arial" w:cs="Arial"/>
          <w:i/>
          <w:iCs/>
        </w:rPr>
        <w:t xml:space="preserve">Sclerotium </w:t>
      </w:r>
      <w:proofErr w:type="spellStart"/>
      <w:r w:rsidRPr="00AA5485">
        <w:rPr>
          <w:rFonts w:ascii="Arial" w:hAnsi="Arial" w:cs="Arial"/>
          <w:i/>
          <w:iCs/>
        </w:rPr>
        <w:t>rolfsii</w:t>
      </w:r>
      <w:proofErr w:type="spellEnd"/>
      <w:r w:rsidRPr="00AA5485">
        <w:rPr>
          <w:rFonts w:ascii="Arial" w:hAnsi="Arial" w:cs="Arial"/>
          <w:i/>
          <w:iCs/>
        </w:rPr>
        <w:t xml:space="preserve"> </w:t>
      </w:r>
      <w:proofErr w:type="spellStart"/>
      <w:r w:rsidRPr="00AA5485">
        <w:rPr>
          <w:rFonts w:ascii="Arial" w:hAnsi="Arial" w:cs="Arial"/>
        </w:rPr>
        <w:t>Sacc</w:t>
      </w:r>
      <w:proofErr w:type="spellEnd"/>
      <w:r w:rsidRPr="00AA5485">
        <w:rPr>
          <w:rFonts w:ascii="Arial" w:hAnsi="Arial" w:cs="Arial"/>
        </w:rPr>
        <w:t xml:space="preserve">. was confirmed through characteristic macroscopic colony features and </w:t>
      </w:r>
      <w:proofErr w:type="spellStart"/>
      <w:r w:rsidRPr="00AA5485">
        <w:rPr>
          <w:rFonts w:ascii="Arial" w:hAnsi="Arial" w:cs="Arial"/>
        </w:rPr>
        <w:t>sclerotial</w:t>
      </w:r>
      <w:proofErr w:type="spellEnd"/>
      <w:r w:rsidRPr="00AA5485">
        <w:rPr>
          <w:rFonts w:ascii="Arial" w:hAnsi="Arial" w:cs="Arial"/>
        </w:rPr>
        <w:t xml:space="preserve"> arrangement.</w:t>
      </w:r>
    </w:p>
    <w:p w14:paraId="6C7C743C" w14:textId="42452EF8" w:rsidR="006E6500" w:rsidRDefault="00000000">
      <w:r>
        <w:rPr>
          <w:b/>
          <w:color w:val="FF0000"/>
        </w:rPr>
        <w:t xml:space="preserve">Please provide the location, sampling period, number of samples collected, and criteria for selecting representative isolates. Clarify the basis for identification of </w:t>
      </w:r>
      <w:r w:rsidRPr="00AC0FF1">
        <w:rPr>
          <w:b/>
          <w:i/>
          <w:iCs/>
          <w:color w:val="FF0000"/>
        </w:rPr>
        <w:t xml:space="preserve">S. </w:t>
      </w:r>
      <w:proofErr w:type="spellStart"/>
      <w:r w:rsidRPr="00AC0FF1">
        <w:rPr>
          <w:b/>
          <w:i/>
          <w:iCs/>
          <w:color w:val="FF0000"/>
        </w:rPr>
        <w:t>rolfsii</w:t>
      </w:r>
      <w:proofErr w:type="spellEnd"/>
      <w:r>
        <w:rPr>
          <w:b/>
          <w:color w:val="FF0000"/>
        </w:rPr>
        <w:t xml:space="preserve"> and provide molecular confirmation if available.</w:t>
      </w:r>
    </w:p>
    <w:p w14:paraId="7D840406" w14:textId="77777777" w:rsidR="00C844CF" w:rsidRPr="00AA5485" w:rsidRDefault="00C844CF" w:rsidP="00C844CF">
      <w:pPr>
        <w:pStyle w:val="Body"/>
        <w:rPr>
          <w:rFonts w:ascii="Arial" w:hAnsi="Arial" w:cs="Arial"/>
          <w:b/>
          <w:bCs/>
        </w:rPr>
      </w:pPr>
      <w:r w:rsidRPr="00AA5485">
        <w:rPr>
          <w:rFonts w:ascii="Arial" w:hAnsi="Arial" w:cs="Arial"/>
          <w:b/>
          <w:bCs/>
        </w:rPr>
        <w:t xml:space="preserve">2.2 Isolation and Maintenance of Antagonistic </w:t>
      </w:r>
      <w:r w:rsidRPr="00AA5485">
        <w:rPr>
          <w:rFonts w:ascii="Arial" w:hAnsi="Arial" w:cs="Arial"/>
          <w:b/>
          <w:bCs/>
          <w:i/>
          <w:iCs/>
        </w:rPr>
        <w:t>Trichoderma viride</w:t>
      </w:r>
    </w:p>
    <w:p w14:paraId="4C9B5F7A" w14:textId="77777777" w:rsidR="00C844CF" w:rsidRPr="00AA5485" w:rsidRDefault="00C844CF" w:rsidP="00C844CF">
      <w:pPr>
        <w:pStyle w:val="Body"/>
        <w:rPr>
          <w:rFonts w:ascii="Arial" w:hAnsi="Arial" w:cs="Arial"/>
        </w:rPr>
      </w:pPr>
      <w:r w:rsidRPr="00AA5485">
        <w:rPr>
          <w:rFonts w:ascii="Arial" w:hAnsi="Arial" w:cs="Arial"/>
        </w:rPr>
        <w:t xml:space="preserve">Rhizosphere soil samples were collected from healthy groundnut fields. Strains of </w:t>
      </w:r>
      <w:r w:rsidRPr="00AA5485">
        <w:rPr>
          <w:rFonts w:ascii="Arial" w:hAnsi="Arial" w:cs="Arial"/>
          <w:i/>
          <w:iCs/>
        </w:rPr>
        <w:t>T. viride</w:t>
      </w:r>
      <w:r w:rsidRPr="00AA5485">
        <w:rPr>
          <w:rFonts w:ascii="Arial" w:hAnsi="Arial" w:cs="Arial"/>
        </w:rPr>
        <w:t xml:space="preserve"> were isolated via the serial dilution plate technique on Trichoderma Selective Medium (TSM) as described by </w:t>
      </w:r>
      <w:r w:rsidR="00C84921" w:rsidRPr="00AA5485">
        <w:rPr>
          <w:rFonts w:ascii="Arial" w:hAnsi="Arial" w:cs="Arial"/>
        </w:rPr>
        <w:t>Aseel et al. (2023).</w:t>
      </w:r>
      <w:r w:rsidRPr="00AA5485">
        <w:rPr>
          <w:rFonts w:ascii="Arial" w:hAnsi="Arial" w:cs="Arial"/>
        </w:rPr>
        <w:t xml:space="preserve"> Isolates were purified via single hyphal tip propagation and verified taxonomically using standard identification </w:t>
      </w:r>
      <w:r w:rsidR="00C84921" w:rsidRPr="00AA5485">
        <w:rPr>
          <w:rFonts w:ascii="Arial" w:hAnsi="Arial" w:cs="Arial"/>
          <w:color w:val="000000" w:themeColor="text1"/>
        </w:rPr>
        <w:t>(</w:t>
      </w:r>
      <w:proofErr w:type="spellStart"/>
      <w:r w:rsidR="00C84921" w:rsidRPr="00AA5485">
        <w:rPr>
          <w:rFonts w:ascii="Arial" w:hAnsi="Arial" w:cs="Arial"/>
          <w:color w:val="000000" w:themeColor="text1"/>
        </w:rPr>
        <w:t>Kharkwal</w:t>
      </w:r>
      <w:proofErr w:type="spellEnd"/>
      <w:r w:rsidR="00C84921" w:rsidRPr="00AA5485">
        <w:rPr>
          <w:rFonts w:ascii="Arial" w:hAnsi="Arial" w:cs="Arial"/>
          <w:color w:val="000000" w:themeColor="text1"/>
        </w:rPr>
        <w:t xml:space="preserve"> et al. 2024</w:t>
      </w:r>
      <w:r w:rsidR="006C2564" w:rsidRPr="00AA5485">
        <w:rPr>
          <w:rFonts w:ascii="Arial" w:hAnsi="Arial" w:cs="Arial"/>
          <w:color w:val="000000" w:themeColor="text1"/>
        </w:rPr>
        <w:t xml:space="preserve">; </w:t>
      </w:r>
      <w:r w:rsidR="006C2564" w:rsidRPr="00AA5485">
        <w:rPr>
          <w:rFonts w:ascii="Arial" w:hAnsi="Arial" w:cs="Arial"/>
        </w:rPr>
        <w:t>Balamurugan et al. 2025b</w:t>
      </w:r>
      <w:r w:rsidR="00C84921" w:rsidRPr="00AA5485">
        <w:rPr>
          <w:rFonts w:ascii="Arial" w:hAnsi="Arial" w:cs="Arial"/>
          <w:color w:val="000000" w:themeColor="text1"/>
        </w:rPr>
        <w:t>)</w:t>
      </w:r>
      <w:r w:rsidRPr="00AA5485">
        <w:rPr>
          <w:rFonts w:ascii="Arial" w:hAnsi="Arial" w:cs="Arial"/>
          <w:color w:val="000000" w:themeColor="text1"/>
        </w:rPr>
        <w:t>.</w:t>
      </w:r>
      <w:r w:rsidRPr="00AA5485">
        <w:rPr>
          <w:rFonts w:ascii="Arial" w:hAnsi="Arial" w:cs="Arial"/>
          <w:color w:val="FF0000"/>
        </w:rPr>
        <w:t xml:space="preserve"> </w:t>
      </w:r>
      <w:r w:rsidRPr="00AA5485">
        <w:rPr>
          <w:rFonts w:ascii="Arial" w:hAnsi="Arial" w:cs="Arial"/>
        </w:rPr>
        <w:t>Ten distinct isolates (designated Tv</w:t>
      </w:r>
      <w:r w:rsidRPr="00AA5485">
        <w:rPr>
          <w:rFonts w:ascii="Arial" w:hAnsi="Arial" w:cs="Arial"/>
          <w:vertAlign w:val="subscript"/>
        </w:rPr>
        <w:t>1</w:t>
      </w:r>
      <w:r w:rsidRPr="00AA5485">
        <w:rPr>
          <w:rFonts w:ascii="Arial" w:hAnsi="Arial" w:cs="Arial"/>
        </w:rPr>
        <w:t xml:space="preserve"> through Tv</w:t>
      </w:r>
      <w:r w:rsidRPr="00AA5485">
        <w:rPr>
          <w:rFonts w:ascii="Arial" w:hAnsi="Arial" w:cs="Arial"/>
          <w:vertAlign w:val="subscript"/>
        </w:rPr>
        <w:t>10</w:t>
      </w:r>
      <w:r w:rsidRPr="00AA5485">
        <w:rPr>
          <w:rFonts w:ascii="Arial" w:hAnsi="Arial" w:cs="Arial"/>
        </w:rPr>
        <w:t>) we</w:t>
      </w:r>
      <w:r w:rsidR="00145BDF" w:rsidRPr="00AA5485">
        <w:rPr>
          <w:rFonts w:ascii="Arial" w:hAnsi="Arial" w:cs="Arial"/>
        </w:rPr>
        <w:t xml:space="preserve">re maintained on PDA slants at </w:t>
      </w:r>
      <w:r w:rsidRPr="00AA5485">
        <w:rPr>
          <w:rFonts w:ascii="Arial" w:hAnsi="Arial" w:cs="Arial"/>
        </w:rPr>
        <w:t>4</w:t>
      </w:r>
      <w:r w:rsidR="00145BDF" w:rsidRPr="00AA5485">
        <w:rPr>
          <w:rFonts w:ascii="Ebrima" w:hAnsi="Ebrima" w:cs="Arial"/>
        </w:rPr>
        <w:t>°</w:t>
      </w:r>
      <w:r w:rsidR="00145BDF" w:rsidRPr="00AA5485">
        <w:rPr>
          <w:rFonts w:ascii="Arial" w:hAnsi="Arial" w:cs="Arial"/>
        </w:rPr>
        <w:t xml:space="preserve">C </w:t>
      </w:r>
      <w:r w:rsidRPr="00AA5485">
        <w:rPr>
          <w:rFonts w:ascii="Arial" w:hAnsi="Arial" w:cs="Arial"/>
        </w:rPr>
        <w:t>for further experimentation.</w:t>
      </w:r>
    </w:p>
    <w:p w14:paraId="7FAAAA8D" w14:textId="7327AF37" w:rsidR="006E6500" w:rsidRDefault="00000000">
      <w:r>
        <w:rPr>
          <w:b/>
          <w:color w:val="FF0000"/>
        </w:rPr>
        <w:t xml:space="preserve">Please provide the sampling location, sampling depth, number of soil samples, and criteria used to obtain the ten </w:t>
      </w:r>
      <w:r w:rsidRPr="00AC0FF1">
        <w:rPr>
          <w:b/>
          <w:i/>
          <w:iCs/>
          <w:color w:val="FF0000"/>
        </w:rPr>
        <w:t>T. viride</w:t>
      </w:r>
      <w:r>
        <w:rPr>
          <w:b/>
          <w:color w:val="FF0000"/>
        </w:rPr>
        <w:t xml:space="preserve"> isolates. Describe the taxonomic identification procedure more clearly.</w:t>
      </w:r>
    </w:p>
    <w:p w14:paraId="515DDE41" w14:textId="77777777" w:rsidR="00C844CF" w:rsidRPr="00AA5485" w:rsidRDefault="00C844CF" w:rsidP="00C844CF">
      <w:pPr>
        <w:pStyle w:val="Body"/>
        <w:rPr>
          <w:rFonts w:ascii="Arial" w:hAnsi="Arial" w:cs="Arial"/>
          <w:b/>
          <w:bCs/>
        </w:rPr>
      </w:pPr>
      <w:r w:rsidRPr="00AA5485">
        <w:rPr>
          <w:rFonts w:ascii="Arial" w:hAnsi="Arial" w:cs="Arial"/>
          <w:b/>
          <w:bCs/>
        </w:rPr>
        <w:t>2.3 Extraction of Cell-Free Culture Filtrates</w:t>
      </w:r>
    </w:p>
    <w:p w14:paraId="19244758" w14:textId="77777777" w:rsidR="00C844CF" w:rsidRPr="00AA5485" w:rsidRDefault="00C844CF" w:rsidP="00C844CF">
      <w:pPr>
        <w:pStyle w:val="Body"/>
        <w:rPr>
          <w:rFonts w:ascii="Arial" w:hAnsi="Arial" w:cs="Arial"/>
        </w:rPr>
      </w:pPr>
      <w:r w:rsidRPr="00AA5485">
        <w:rPr>
          <w:rFonts w:ascii="Arial" w:hAnsi="Arial" w:cs="Arial"/>
        </w:rPr>
        <w:t xml:space="preserve">Mycelial discs (7 mm diameter) obtained from the active growing margins of each </w:t>
      </w:r>
      <w:r w:rsidRPr="00AA5485">
        <w:rPr>
          <w:rFonts w:ascii="Arial" w:hAnsi="Arial" w:cs="Arial"/>
          <w:i/>
          <w:iCs/>
        </w:rPr>
        <w:t xml:space="preserve">T. viride </w:t>
      </w:r>
      <w:r w:rsidRPr="00AA5485">
        <w:rPr>
          <w:rFonts w:ascii="Arial" w:hAnsi="Arial" w:cs="Arial"/>
        </w:rPr>
        <w:t xml:space="preserve">isolate were inoculated into 250 mL Erlenmeyer flasks containing 50 mL of sterile Potato Dextrose Broth (PDB). The flasks were incubated at room temperature </w:t>
      </w:r>
      <w:r w:rsidR="00145BDF" w:rsidRPr="00AA5485">
        <w:rPr>
          <w:rFonts w:ascii="Arial" w:hAnsi="Arial" w:cs="Arial"/>
        </w:rPr>
        <w:t>(</w:t>
      </w:r>
      <w:r w:rsidRPr="00AA5485">
        <w:rPr>
          <w:rFonts w:ascii="Arial" w:hAnsi="Arial" w:cs="Arial"/>
        </w:rPr>
        <w:t>28</w:t>
      </w:r>
      <w:r w:rsidR="00145BDF" w:rsidRPr="00AA5485">
        <w:rPr>
          <w:rFonts w:ascii="Ebrima" w:hAnsi="Ebrima" w:cs="Arial"/>
        </w:rPr>
        <w:t>°</w:t>
      </w:r>
      <w:r w:rsidR="00145BDF" w:rsidRPr="00AA5485">
        <w:rPr>
          <w:rFonts w:ascii="Arial" w:hAnsi="Arial" w:cs="Arial"/>
        </w:rPr>
        <w:t>C</w:t>
      </w:r>
      <w:r w:rsidRPr="00AA5485">
        <w:rPr>
          <w:rFonts w:ascii="Arial" w:hAnsi="Arial" w:cs="Arial"/>
        </w:rPr>
        <w:t>) for 10 days. The fungal culture was subsequently filtered through Whatman No. 1 filter paper, follo</w:t>
      </w:r>
      <w:r w:rsidR="00145BDF" w:rsidRPr="00AA5485">
        <w:rPr>
          <w:rFonts w:ascii="Arial" w:hAnsi="Arial" w:cs="Arial"/>
        </w:rPr>
        <w:t xml:space="preserve">wed by sterilization through a </w:t>
      </w:r>
      <w:r w:rsidRPr="00AA5485">
        <w:rPr>
          <w:rFonts w:ascii="Arial" w:hAnsi="Arial" w:cs="Arial"/>
        </w:rPr>
        <w:t>0.22</w:t>
      </w:r>
      <w:r w:rsidR="00145BDF" w:rsidRPr="00AA5485">
        <w:rPr>
          <w:rFonts w:ascii="Arial" w:hAnsi="Arial" w:cs="Arial"/>
        </w:rPr>
        <w:t xml:space="preserve"> µ</w:t>
      </w:r>
      <w:r w:rsidRPr="00AA5485">
        <w:rPr>
          <w:rFonts w:ascii="Arial" w:hAnsi="Arial" w:cs="Arial"/>
        </w:rPr>
        <w:t>m membrane filter to obtain cell-free culture filtrates.</w:t>
      </w:r>
    </w:p>
    <w:p w14:paraId="1FD1CBBE" w14:textId="3E1A62E1" w:rsidR="006E6500" w:rsidRDefault="00000000">
      <w:r>
        <w:rPr>
          <w:b/>
          <w:color w:val="FF0000"/>
        </w:rPr>
        <w:t>Please clarify whether the culture filtrates were tested for sterility after 0.22 µm filtration and whether they were used immediately or stored. Provide sufficient culture conditions for reproducibility.</w:t>
      </w:r>
    </w:p>
    <w:p w14:paraId="4E820A85" w14:textId="77777777" w:rsidR="00C844CF" w:rsidRPr="00AA5485" w:rsidRDefault="00C844CF" w:rsidP="00C844CF">
      <w:pPr>
        <w:pStyle w:val="Body"/>
        <w:rPr>
          <w:rFonts w:ascii="Arial" w:hAnsi="Arial" w:cs="Arial"/>
          <w:b/>
          <w:bCs/>
        </w:rPr>
      </w:pPr>
      <w:r w:rsidRPr="00AA5485">
        <w:rPr>
          <w:rFonts w:ascii="Arial" w:hAnsi="Arial" w:cs="Arial"/>
          <w:b/>
          <w:bCs/>
        </w:rPr>
        <w:lastRenderedPageBreak/>
        <w:t>2.4 In Vitro Antifungal Assay (Poisoned Food Technique)</w:t>
      </w:r>
    </w:p>
    <w:p w14:paraId="6DDA69A1" w14:textId="77777777" w:rsidR="00C844CF" w:rsidRPr="00AA5485" w:rsidRDefault="00C844CF" w:rsidP="00C844CF">
      <w:pPr>
        <w:pStyle w:val="Body"/>
        <w:rPr>
          <w:rFonts w:ascii="Arial" w:hAnsi="Arial" w:cs="Arial"/>
        </w:rPr>
      </w:pPr>
      <w:r w:rsidRPr="00AA5485">
        <w:rPr>
          <w:rFonts w:ascii="Arial" w:hAnsi="Arial" w:cs="Arial"/>
        </w:rPr>
        <w:t xml:space="preserve">The inhibitory activity of </w:t>
      </w:r>
      <w:r w:rsidRPr="00AA5485">
        <w:rPr>
          <w:rFonts w:ascii="Arial" w:hAnsi="Arial" w:cs="Arial"/>
          <w:i/>
          <w:iCs/>
        </w:rPr>
        <w:t>T. viride</w:t>
      </w:r>
      <w:r w:rsidRPr="00AA5485">
        <w:rPr>
          <w:rFonts w:ascii="Arial" w:hAnsi="Arial" w:cs="Arial"/>
        </w:rPr>
        <w:t xml:space="preserve"> culture filtrates was determined following the procedure outlined </w:t>
      </w:r>
      <w:r w:rsidRPr="00AA5485">
        <w:rPr>
          <w:rFonts w:ascii="Arial" w:hAnsi="Arial" w:cs="Arial"/>
          <w:color w:val="000000" w:themeColor="text1"/>
        </w:rPr>
        <w:t xml:space="preserve">by </w:t>
      </w:r>
      <w:r w:rsidR="007C5BBC" w:rsidRPr="00AA5485">
        <w:rPr>
          <w:rFonts w:ascii="Arial" w:hAnsi="Arial" w:cs="Arial"/>
        </w:rPr>
        <w:t>Chandra (2024)</w:t>
      </w:r>
      <w:r w:rsidRPr="00AA5485">
        <w:rPr>
          <w:rFonts w:ascii="Arial" w:hAnsi="Arial" w:cs="Arial"/>
          <w:color w:val="FF0000"/>
        </w:rPr>
        <w:t>.</w:t>
      </w:r>
      <w:r w:rsidRPr="00AA5485">
        <w:rPr>
          <w:rFonts w:ascii="Arial" w:hAnsi="Arial" w:cs="Arial"/>
        </w:rPr>
        <w:t xml:space="preserve"> Requisite volumes of culture filtrate were incorporated into molten PDA to yield final concentration gradients of 10%, 20%, 30%, and 40% (v/v). The amended media were poured into sterile Petri plates and allowed to solidify.</w:t>
      </w:r>
    </w:p>
    <w:p w14:paraId="6F13331B" w14:textId="15502596" w:rsidR="006E6500" w:rsidRDefault="00000000">
      <w:r>
        <w:rPr>
          <w:b/>
          <w:color w:val="FF0000"/>
        </w:rPr>
        <w:t>Please specify the exact volumes of culture filtrate and PDA used to obtain 10%, 20%, 30%, and 40% (v/v) final concentrations.</w:t>
      </w:r>
    </w:p>
    <w:p w14:paraId="4E9C891F" w14:textId="77777777" w:rsidR="00C844CF" w:rsidRPr="00AA5485" w:rsidRDefault="00C844CF" w:rsidP="00C844CF">
      <w:pPr>
        <w:pStyle w:val="Body"/>
        <w:rPr>
          <w:rFonts w:ascii="Arial" w:hAnsi="Arial" w:cs="Arial"/>
        </w:rPr>
      </w:pPr>
      <w:r w:rsidRPr="00AA5485">
        <w:rPr>
          <w:rFonts w:ascii="Arial" w:hAnsi="Arial" w:cs="Arial"/>
        </w:rPr>
        <w:t xml:space="preserve">A 7 mm mycelial plug taken from a 4-day-old active culture of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 xml:space="preserve"> was inoculated into the center of each plate. Unamended PDA plates inoculated with the pathogen served as the control group. All treatment plates were incubated at 28</w:t>
      </w:r>
      <w:r w:rsidR="00145BDF" w:rsidRPr="00AA5485">
        <w:rPr>
          <w:rFonts w:ascii="Ebrima" w:hAnsi="Ebrima" w:cs="Arial"/>
        </w:rPr>
        <w:t>°</w:t>
      </w:r>
      <w:r w:rsidR="00145BDF" w:rsidRPr="00AA5485">
        <w:rPr>
          <w:rFonts w:ascii="Arial" w:hAnsi="Arial" w:cs="Arial"/>
        </w:rPr>
        <w:t>C</w:t>
      </w:r>
      <w:r w:rsidRPr="00AA5485">
        <w:rPr>
          <w:rFonts w:ascii="Arial" w:hAnsi="Arial" w:cs="Arial"/>
        </w:rPr>
        <w:t xml:space="preserve"> until mycelial growth in the control plates completely filled the Petri dish (90 mm). The percentage inhibition of mycelial growth was calculated using the equation:</w:t>
      </w:r>
    </w:p>
    <w:p w14:paraId="66453CE8" w14:textId="77777777" w:rsidR="00145BDF" w:rsidRPr="00AA5485" w:rsidRDefault="00145BDF" w:rsidP="00145BDF">
      <w:pPr>
        <w:pStyle w:val="Body"/>
        <w:jc w:val="center"/>
        <w:rPr>
          <w:rFonts w:ascii="Arial" w:hAnsi="Arial" w:cs="Arial"/>
          <w:lang w:val="en-IN"/>
        </w:rPr>
      </w:pPr>
      <w:r w:rsidRPr="00AA5485">
        <w:rPr>
          <w:rFonts w:ascii="Arial" w:hAnsi="Arial" w:cs="Arial"/>
          <w:lang w:val="en-IN"/>
        </w:rPr>
        <w:t>Antifungal activity % = Dc- Ds /Dc × 100</w:t>
      </w:r>
    </w:p>
    <w:p w14:paraId="093E7789" w14:textId="3EBEA8C9" w:rsidR="006E6500" w:rsidRDefault="00000000">
      <w:r>
        <w:rPr>
          <w:b/>
          <w:color w:val="FF0000"/>
        </w:rPr>
        <w:t>Please correct the equation formatting to: Inhibition (%) = [(Dc − Ds) / Dc] × 100. Define Dc and Ds using complete sentences.</w:t>
      </w:r>
    </w:p>
    <w:p w14:paraId="3C7C81C9" w14:textId="335DF0D3" w:rsidR="00145BDF" w:rsidRPr="00AA5485" w:rsidRDefault="00145BDF" w:rsidP="00145BDF">
      <w:pPr>
        <w:pStyle w:val="Body"/>
        <w:rPr>
          <w:rFonts w:ascii="Arial" w:hAnsi="Arial" w:cs="Arial"/>
          <w:lang w:val="en-IN"/>
        </w:rPr>
      </w:pPr>
      <w:r w:rsidRPr="00AA5485">
        <w:rPr>
          <w:rFonts w:ascii="Arial" w:hAnsi="Arial" w:cs="Arial"/>
          <w:lang w:val="en-IN"/>
        </w:rPr>
        <w:t>Where Dc is the diameter of growth in control plate</w:t>
      </w:r>
    </w:p>
    <w:p w14:paraId="0F8BCCA5" w14:textId="77777777" w:rsidR="00145BDF" w:rsidRPr="00AA5485" w:rsidRDefault="00145BDF" w:rsidP="00145BDF">
      <w:pPr>
        <w:pStyle w:val="Body"/>
        <w:rPr>
          <w:rFonts w:ascii="Arial" w:hAnsi="Arial" w:cs="Arial"/>
          <w:lang w:val="en-IN"/>
        </w:rPr>
      </w:pPr>
      <w:r w:rsidRPr="00AA5485">
        <w:rPr>
          <w:rFonts w:ascii="Arial" w:hAnsi="Arial" w:cs="Arial"/>
          <w:lang w:val="en-IN"/>
        </w:rPr>
        <w:t xml:space="preserve"> Ds is the diameter of growth in the plate containing culture filtrate.</w:t>
      </w:r>
    </w:p>
    <w:p w14:paraId="01369A81" w14:textId="77777777" w:rsidR="00C844CF" w:rsidRPr="00AA5485" w:rsidRDefault="00C844CF" w:rsidP="00C844CF">
      <w:pPr>
        <w:pStyle w:val="Body"/>
        <w:rPr>
          <w:rFonts w:ascii="Arial" w:hAnsi="Arial" w:cs="Arial"/>
          <w:b/>
          <w:bCs/>
        </w:rPr>
      </w:pPr>
      <w:r w:rsidRPr="00AA5485">
        <w:rPr>
          <w:rFonts w:ascii="Arial" w:hAnsi="Arial" w:cs="Arial"/>
          <w:b/>
          <w:bCs/>
        </w:rPr>
        <w:t>2.5 Statistical Analysis</w:t>
      </w:r>
    </w:p>
    <w:p w14:paraId="26D2020F" w14:textId="77777777" w:rsidR="00C844CF" w:rsidRPr="00AA5485" w:rsidRDefault="00C844CF" w:rsidP="00C844CF">
      <w:pPr>
        <w:pStyle w:val="Body"/>
        <w:rPr>
          <w:rFonts w:ascii="Arial" w:hAnsi="Arial" w:cs="Arial"/>
        </w:rPr>
      </w:pPr>
      <w:r w:rsidRPr="00AA5485">
        <w:rPr>
          <w:rFonts w:ascii="Arial" w:hAnsi="Arial" w:cs="Arial"/>
        </w:rPr>
        <w:t xml:space="preserve">The laboratory experiments were laid out in a Completely Randomized Design (CRD) with three replications per treatment. Data were subjected to analysis of variance (ANOVA), and mean </w:t>
      </w:r>
      <w:r w:rsidR="007C5BBC" w:rsidRPr="00AA5485">
        <w:rPr>
          <w:rFonts w:ascii="Arial" w:hAnsi="Arial" w:cs="Arial"/>
        </w:rPr>
        <w:t>Dhar et al. (2025).</w:t>
      </w:r>
    </w:p>
    <w:p w14:paraId="61A5BFF5" w14:textId="131F183D" w:rsidR="006E6500" w:rsidRDefault="00000000">
      <w:r>
        <w:rPr>
          <w:b/>
          <w:color w:val="FF0000"/>
        </w:rPr>
        <w:t>The statistical-analysis section is incomplete. Please state the statistical software, ANOVA model, significance level, and post-hoc test. The phrase “and mean Dhar et al. (2025)” is incomplete/erroneous and should be corrected or removed.</w:t>
      </w:r>
    </w:p>
    <w:p w14:paraId="2EC1FC6C" w14:textId="77777777" w:rsidR="00902823" w:rsidRPr="00AA5485" w:rsidRDefault="00000F8F" w:rsidP="00C844CF">
      <w:pPr>
        <w:pStyle w:val="Head1"/>
        <w:spacing w:after="0"/>
        <w:jc w:val="both"/>
        <w:rPr>
          <w:rFonts w:ascii="Arial" w:hAnsi="Arial" w:cs="Arial"/>
        </w:rPr>
      </w:pPr>
      <w:r w:rsidRPr="00AA5485">
        <w:rPr>
          <w:rFonts w:ascii="Arial" w:hAnsi="Arial" w:cs="Arial"/>
        </w:rPr>
        <w:t>3</w:t>
      </w:r>
      <w:r w:rsidR="00902823" w:rsidRPr="00AA5485">
        <w:rPr>
          <w:rFonts w:ascii="Arial" w:hAnsi="Arial" w:cs="Arial"/>
        </w:rPr>
        <w:t xml:space="preserve">. </w:t>
      </w:r>
      <w:r w:rsidRPr="00AA5485">
        <w:rPr>
          <w:rFonts w:ascii="Arial" w:hAnsi="Arial" w:cs="Arial"/>
        </w:rPr>
        <w:t>results and discussion</w:t>
      </w:r>
    </w:p>
    <w:p w14:paraId="62FD984B" w14:textId="12145B63" w:rsidR="006E6500" w:rsidRDefault="00000000">
      <w:r>
        <w:rPr>
          <w:b/>
          <w:color w:val="FF0000"/>
        </w:rPr>
        <w:t>Please capitalize the section heading consistently as “3. RESULTS AND DISCUSSION”.</w:t>
      </w:r>
    </w:p>
    <w:p w14:paraId="35C86604" w14:textId="77777777" w:rsidR="00790ADA" w:rsidRPr="00AA5485" w:rsidRDefault="00790ADA" w:rsidP="00441B6F">
      <w:pPr>
        <w:pStyle w:val="Head1"/>
        <w:spacing w:after="0"/>
        <w:jc w:val="both"/>
        <w:rPr>
          <w:rFonts w:ascii="Arial" w:hAnsi="Arial" w:cs="Arial"/>
        </w:rPr>
      </w:pPr>
    </w:p>
    <w:p w14:paraId="63FE6917" w14:textId="77777777" w:rsidR="00C844CF" w:rsidRPr="00AA5485" w:rsidRDefault="00C844CF" w:rsidP="00C844CF">
      <w:pPr>
        <w:pStyle w:val="Body"/>
        <w:rPr>
          <w:rFonts w:ascii="Arial" w:hAnsi="Arial" w:cs="Arial"/>
        </w:rPr>
      </w:pPr>
      <w:r w:rsidRPr="00AA5485">
        <w:rPr>
          <w:rFonts w:ascii="Arial" w:hAnsi="Arial" w:cs="Arial"/>
        </w:rPr>
        <w:t xml:space="preserve">The antagonistic potential of cell-free culture filtrates from ten </w:t>
      </w:r>
      <w:r w:rsidRPr="00AA5485">
        <w:rPr>
          <w:rFonts w:ascii="Arial" w:hAnsi="Arial" w:cs="Arial"/>
          <w:i/>
          <w:iCs/>
        </w:rPr>
        <w:t>T. viride</w:t>
      </w:r>
      <w:r w:rsidRPr="00AA5485">
        <w:rPr>
          <w:rFonts w:ascii="Arial" w:hAnsi="Arial" w:cs="Arial"/>
        </w:rPr>
        <w:t xml:space="preserve"> isolates against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 xml:space="preserve"> was evaluated using the poisoned food assay. As detailed in Table 1, all tested culture filtrates exhibited significant growth suppre</w:t>
      </w:r>
      <w:r w:rsidR="00145BDF" w:rsidRPr="00AA5485">
        <w:rPr>
          <w:rFonts w:ascii="Arial" w:hAnsi="Arial" w:cs="Arial"/>
        </w:rPr>
        <w:t>ssion compared to the control (p &lt; 0.05</w:t>
      </w:r>
      <w:r w:rsidRPr="00AA5485">
        <w:rPr>
          <w:rFonts w:ascii="Arial" w:hAnsi="Arial" w:cs="Arial"/>
        </w:rPr>
        <w:t>), with the degree of inhibition demonstrating a clear positive correlation with filtrate concentration.</w:t>
      </w:r>
    </w:p>
    <w:p w14:paraId="321275B1" w14:textId="2AF19CAD" w:rsidR="006E6500" w:rsidRDefault="00000000">
      <w:r>
        <w:rPr>
          <w:b/>
          <w:color w:val="FF0000"/>
        </w:rPr>
        <w:t>Please verify the statement that all treatments showed significant suppression after rechecking the ANOVA and multiple-comparison results. If a correlation with concentration is claimed, provide the correlation coefficient/statistical test or use “inhibition generally increased with concentration.”</w:t>
      </w:r>
    </w:p>
    <w:p w14:paraId="0939D514" w14:textId="77777777" w:rsidR="00C844CF" w:rsidRPr="00AA5485" w:rsidRDefault="00C844CF" w:rsidP="00C844CF">
      <w:pPr>
        <w:pStyle w:val="Body"/>
        <w:rPr>
          <w:rFonts w:ascii="Arial" w:hAnsi="Arial" w:cs="Arial"/>
          <w:b/>
          <w:bCs/>
        </w:rPr>
      </w:pPr>
      <w:r w:rsidRPr="00AA5485">
        <w:rPr>
          <w:rFonts w:ascii="Arial" w:hAnsi="Arial" w:cs="Arial"/>
          <w:b/>
          <w:bCs/>
        </w:rPr>
        <w:t xml:space="preserve">Table 1. Bio-efficacy of </w:t>
      </w:r>
      <w:r w:rsidRPr="00AA5485">
        <w:rPr>
          <w:rFonts w:ascii="Arial" w:hAnsi="Arial" w:cs="Arial"/>
          <w:b/>
          <w:bCs/>
          <w:i/>
          <w:iCs/>
        </w:rPr>
        <w:t>T</w:t>
      </w:r>
      <w:r w:rsidR="00145BDF" w:rsidRPr="00AA5485">
        <w:rPr>
          <w:rFonts w:ascii="Arial" w:hAnsi="Arial" w:cs="Arial"/>
          <w:b/>
          <w:bCs/>
          <w:i/>
          <w:iCs/>
        </w:rPr>
        <w:t>.</w:t>
      </w:r>
      <w:r w:rsidRPr="00AA5485">
        <w:rPr>
          <w:rFonts w:ascii="Arial" w:hAnsi="Arial" w:cs="Arial"/>
          <w:b/>
          <w:bCs/>
          <w:i/>
          <w:iCs/>
        </w:rPr>
        <w:t xml:space="preserve"> viride</w:t>
      </w:r>
      <w:r w:rsidRPr="00AA5485">
        <w:rPr>
          <w:rFonts w:ascii="Arial" w:hAnsi="Arial" w:cs="Arial"/>
          <w:b/>
          <w:bCs/>
        </w:rPr>
        <w:t xml:space="preserve"> culture filtrates against radial mycelial growth of </w:t>
      </w:r>
      <w:r w:rsidRPr="00AA5485">
        <w:rPr>
          <w:rFonts w:ascii="Arial" w:hAnsi="Arial" w:cs="Arial"/>
          <w:b/>
          <w:bCs/>
          <w:i/>
          <w:iCs/>
        </w:rPr>
        <w:t>S</w:t>
      </w:r>
      <w:r w:rsidR="00145BDF" w:rsidRPr="00AA5485">
        <w:rPr>
          <w:rFonts w:ascii="Arial" w:hAnsi="Arial" w:cs="Arial"/>
          <w:b/>
          <w:bCs/>
          <w:i/>
          <w:iCs/>
        </w:rPr>
        <w:t>.</w:t>
      </w:r>
      <w:r w:rsidRPr="00AA5485">
        <w:rPr>
          <w:rFonts w:ascii="Arial" w:hAnsi="Arial" w:cs="Arial"/>
          <w:b/>
          <w:bCs/>
          <w:i/>
          <w:iCs/>
        </w:rPr>
        <w:t xml:space="preserve"> </w:t>
      </w:r>
      <w:proofErr w:type="spellStart"/>
      <w:r w:rsidRPr="00AA5485">
        <w:rPr>
          <w:rFonts w:ascii="Arial" w:hAnsi="Arial" w:cs="Arial"/>
          <w:b/>
          <w:bCs/>
          <w:i/>
          <w:iCs/>
        </w:rPr>
        <w:t>rolfsii</w:t>
      </w:r>
      <w:proofErr w:type="spellEnd"/>
      <w:r w:rsidR="007E3720" w:rsidRPr="00AA5485">
        <w:rPr>
          <w:rFonts w:ascii="Arial" w:hAnsi="Arial" w:cs="Arial"/>
          <w:b/>
          <w:bCs/>
        </w:rPr>
        <w:t xml:space="preserve"> in </w:t>
      </w:r>
      <w:r w:rsidRPr="00AA5485">
        <w:rPr>
          <w:rFonts w:ascii="Arial" w:hAnsi="Arial" w:cs="Arial"/>
          <w:b/>
          <w:bCs/>
        </w:rPr>
        <w:t>vitro.</w:t>
      </w:r>
    </w:p>
    <w:tbl>
      <w:tblPr>
        <w:tblW w:w="10080" w:type="dxa"/>
        <w:tblInd w:w="-27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1372"/>
        <w:gridCol w:w="1088"/>
        <w:gridCol w:w="1089"/>
        <w:gridCol w:w="1088"/>
        <w:gridCol w:w="1089"/>
        <w:gridCol w:w="1088"/>
        <w:gridCol w:w="1089"/>
        <w:gridCol w:w="1088"/>
        <w:gridCol w:w="1089"/>
      </w:tblGrid>
      <w:tr w:rsidR="00145BDF" w:rsidRPr="00AA5485" w14:paraId="590E6BE4" w14:textId="77777777" w:rsidTr="006C2564">
        <w:trPr>
          <w:trHeight w:val="480"/>
        </w:trPr>
        <w:tc>
          <w:tcPr>
            <w:tcW w:w="1371" w:type="dxa"/>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tcPr>
          <w:p w14:paraId="0AB02893"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Isolate ID</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3114DBF"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10%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9E050A8"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20%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8326AE"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30%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B6FBF66"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40% Concentration</w:t>
            </w:r>
          </w:p>
        </w:tc>
      </w:tr>
      <w:tr w:rsidR="00145BDF" w:rsidRPr="00AA5485" w14:paraId="43A7901D" w14:textId="77777777" w:rsidTr="006C2564">
        <w:trPr>
          <w:trHeight w:val="585"/>
        </w:trPr>
        <w:tc>
          <w:tcPr>
            <w:tcW w:w="1578" w:type="dxa"/>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94E00BE" w14:textId="77777777" w:rsidR="00145BDF" w:rsidRPr="00AA5485" w:rsidRDefault="00145BDF" w:rsidP="007E3720">
            <w:pPr>
              <w:pStyle w:val="Body"/>
              <w:spacing w:after="0"/>
              <w:contextualSpacing/>
              <w:jc w:val="center"/>
              <w:rPr>
                <w:rFonts w:ascii="Arial" w:hAnsi="Arial" w:cs="Arial"/>
                <w:b/>
                <w:bCs/>
              </w:rPr>
            </w:pP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07F369D"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B5F0AB7"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82AD49D"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E2B6578"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1E0B603"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4B37007"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2DD7556" w14:textId="77777777" w:rsidR="00145BDF" w:rsidRPr="00AA5485" w:rsidRDefault="00145BDF" w:rsidP="007E3720">
            <w:pPr>
              <w:pStyle w:val="Body"/>
              <w:spacing w:after="0"/>
              <w:contextualSpacing/>
              <w:jc w:val="left"/>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4EB584F"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r>
      <w:tr w:rsidR="00145BDF" w:rsidRPr="00AA5485" w14:paraId="0DF1F14F"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E5071F8"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1</w:t>
            </w:r>
          </w:p>
        </w:tc>
        <w:tc>
          <w:tcPr>
            <w:tcW w:w="1088" w:type="dxa"/>
            <w:tcMar>
              <w:top w:w="120" w:type="dxa"/>
              <w:left w:w="180" w:type="dxa"/>
              <w:bottom w:w="120" w:type="dxa"/>
              <w:right w:w="180" w:type="dxa"/>
            </w:tcMar>
            <w:vAlign w:val="center"/>
          </w:tcPr>
          <w:p w14:paraId="3F30EAD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39.38</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52AF3431" w14:textId="77777777" w:rsidR="00145BDF" w:rsidRPr="00AA5485" w:rsidRDefault="00145BDF" w:rsidP="007E3720">
            <w:pPr>
              <w:contextualSpacing/>
              <w:jc w:val="center"/>
              <w:rPr>
                <w:rFonts w:ascii="Arial" w:hAnsi="Arial" w:cs="Arial"/>
              </w:rPr>
            </w:pPr>
            <w:r w:rsidRPr="00AA5485">
              <w:rPr>
                <w:rFonts w:ascii="Arial" w:hAnsi="Arial" w:cs="Arial"/>
              </w:rPr>
              <w:t>56.24</w:t>
            </w:r>
          </w:p>
        </w:tc>
        <w:tc>
          <w:tcPr>
            <w:tcW w:w="1088" w:type="dxa"/>
            <w:tcMar>
              <w:top w:w="120" w:type="dxa"/>
              <w:left w:w="180" w:type="dxa"/>
              <w:bottom w:w="120" w:type="dxa"/>
              <w:right w:w="180" w:type="dxa"/>
            </w:tcMar>
            <w:vAlign w:val="center"/>
          </w:tcPr>
          <w:p w14:paraId="26722B1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30.87</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04EB2144" w14:textId="77777777" w:rsidR="00145BDF" w:rsidRPr="00AA5485" w:rsidRDefault="00145BDF" w:rsidP="007E3720">
            <w:pPr>
              <w:contextualSpacing/>
              <w:jc w:val="center"/>
              <w:rPr>
                <w:rFonts w:ascii="Arial" w:hAnsi="Arial" w:cs="Arial"/>
              </w:rPr>
            </w:pPr>
            <w:r w:rsidRPr="00AA5485">
              <w:rPr>
                <w:rFonts w:ascii="Arial" w:hAnsi="Arial" w:cs="Arial"/>
              </w:rPr>
              <w:t>65.70</w:t>
            </w:r>
          </w:p>
        </w:tc>
        <w:tc>
          <w:tcPr>
            <w:tcW w:w="1088" w:type="dxa"/>
            <w:tcMar>
              <w:top w:w="120" w:type="dxa"/>
              <w:left w:w="180" w:type="dxa"/>
              <w:bottom w:w="120" w:type="dxa"/>
              <w:right w:w="180" w:type="dxa"/>
            </w:tcMar>
            <w:vAlign w:val="center"/>
          </w:tcPr>
          <w:p w14:paraId="4B67EB5E"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22.86</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6CBD61CB" w14:textId="77777777" w:rsidR="00145BDF" w:rsidRPr="00AA5485" w:rsidRDefault="00145BDF" w:rsidP="007E3720">
            <w:pPr>
              <w:contextualSpacing/>
              <w:jc w:val="center"/>
              <w:rPr>
                <w:rFonts w:ascii="Arial" w:hAnsi="Arial" w:cs="Arial"/>
              </w:rPr>
            </w:pPr>
            <w:r w:rsidRPr="00AA5485">
              <w:rPr>
                <w:rFonts w:ascii="Arial" w:hAnsi="Arial" w:cs="Arial"/>
              </w:rPr>
              <w:t>74.60</w:t>
            </w:r>
          </w:p>
        </w:tc>
        <w:tc>
          <w:tcPr>
            <w:tcW w:w="1088" w:type="dxa"/>
            <w:tcMar>
              <w:top w:w="120" w:type="dxa"/>
              <w:left w:w="180" w:type="dxa"/>
              <w:bottom w:w="120" w:type="dxa"/>
              <w:right w:w="180" w:type="dxa"/>
            </w:tcMar>
            <w:vAlign w:val="center"/>
          </w:tcPr>
          <w:p w14:paraId="385D911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3.98</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78952D26" w14:textId="77777777" w:rsidR="00145BDF" w:rsidRPr="00AA5485" w:rsidRDefault="00145BDF" w:rsidP="007E3720">
            <w:pPr>
              <w:contextualSpacing/>
              <w:jc w:val="center"/>
              <w:rPr>
                <w:rFonts w:ascii="Arial" w:hAnsi="Arial" w:cs="Arial"/>
              </w:rPr>
            </w:pPr>
            <w:r w:rsidRPr="00AA5485">
              <w:rPr>
                <w:rFonts w:ascii="Arial" w:hAnsi="Arial" w:cs="Arial"/>
              </w:rPr>
              <w:t>95.57</w:t>
            </w:r>
          </w:p>
        </w:tc>
      </w:tr>
      <w:tr w:rsidR="00145BDF" w:rsidRPr="00AA5485" w14:paraId="3AE291DC"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5C329C3"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2</w:t>
            </w:r>
          </w:p>
        </w:tc>
        <w:tc>
          <w:tcPr>
            <w:tcW w:w="1088" w:type="dxa"/>
            <w:tcMar>
              <w:top w:w="120" w:type="dxa"/>
              <w:left w:w="180" w:type="dxa"/>
              <w:bottom w:w="120" w:type="dxa"/>
              <w:right w:w="180" w:type="dxa"/>
            </w:tcMar>
            <w:vAlign w:val="center"/>
          </w:tcPr>
          <w:p w14:paraId="7B25CAF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43.32</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73E78D16" w14:textId="77777777" w:rsidR="00145BDF" w:rsidRPr="00AA5485" w:rsidRDefault="00145BDF" w:rsidP="007E3720">
            <w:pPr>
              <w:contextualSpacing/>
              <w:jc w:val="center"/>
              <w:rPr>
                <w:rFonts w:ascii="Arial" w:hAnsi="Arial" w:cs="Arial"/>
              </w:rPr>
            </w:pPr>
            <w:r w:rsidRPr="00AA5485">
              <w:rPr>
                <w:rFonts w:ascii="Arial" w:hAnsi="Arial" w:cs="Arial"/>
              </w:rPr>
              <w:t>51.86</w:t>
            </w:r>
          </w:p>
        </w:tc>
        <w:tc>
          <w:tcPr>
            <w:tcW w:w="1088" w:type="dxa"/>
            <w:tcMar>
              <w:top w:w="120" w:type="dxa"/>
              <w:left w:w="180" w:type="dxa"/>
              <w:bottom w:w="120" w:type="dxa"/>
              <w:right w:w="180" w:type="dxa"/>
            </w:tcMar>
            <w:vAlign w:val="center"/>
          </w:tcPr>
          <w:p w14:paraId="151C89D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37.33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02E0D8E6" w14:textId="77777777" w:rsidR="00145BDF" w:rsidRPr="00AA5485" w:rsidRDefault="00145BDF" w:rsidP="007E3720">
            <w:pPr>
              <w:contextualSpacing/>
              <w:jc w:val="center"/>
              <w:rPr>
                <w:rFonts w:ascii="Arial" w:hAnsi="Arial" w:cs="Arial"/>
              </w:rPr>
            </w:pPr>
            <w:r w:rsidRPr="00AA5485">
              <w:rPr>
                <w:rFonts w:ascii="Arial" w:hAnsi="Arial" w:cs="Arial"/>
              </w:rPr>
              <w:t>58.52</w:t>
            </w:r>
          </w:p>
        </w:tc>
        <w:tc>
          <w:tcPr>
            <w:tcW w:w="1088" w:type="dxa"/>
            <w:tcMar>
              <w:top w:w="120" w:type="dxa"/>
              <w:left w:w="180" w:type="dxa"/>
              <w:bottom w:w="120" w:type="dxa"/>
              <w:right w:w="180" w:type="dxa"/>
            </w:tcMar>
            <w:vAlign w:val="center"/>
          </w:tcPr>
          <w:p w14:paraId="06ED903A"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26.52</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62C2BC0A" w14:textId="77777777" w:rsidR="00145BDF" w:rsidRPr="00AA5485" w:rsidRDefault="00145BDF" w:rsidP="007E3720">
            <w:pPr>
              <w:contextualSpacing/>
              <w:jc w:val="center"/>
              <w:rPr>
                <w:rFonts w:ascii="Arial" w:hAnsi="Arial" w:cs="Arial"/>
              </w:rPr>
            </w:pPr>
            <w:r w:rsidRPr="00AA5485">
              <w:rPr>
                <w:rFonts w:ascii="Arial" w:hAnsi="Arial" w:cs="Arial"/>
              </w:rPr>
              <w:t>70.53</w:t>
            </w:r>
          </w:p>
        </w:tc>
        <w:tc>
          <w:tcPr>
            <w:tcW w:w="1088" w:type="dxa"/>
            <w:tcMar>
              <w:top w:w="120" w:type="dxa"/>
              <w:left w:w="180" w:type="dxa"/>
              <w:bottom w:w="120" w:type="dxa"/>
              <w:right w:w="180" w:type="dxa"/>
            </w:tcMar>
            <w:vAlign w:val="center"/>
          </w:tcPr>
          <w:p w14:paraId="63B4BA9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7.23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27672426" w14:textId="77777777" w:rsidR="00145BDF" w:rsidRPr="00AA5485" w:rsidRDefault="00145BDF" w:rsidP="007E3720">
            <w:pPr>
              <w:contextualSpacing/>
              <w:jc w:val="center"/>
              <w:rPr>
                <w:rFonts w:ascii="Arial" w:hAnsi="Arial" w:cs="Arial"/>
              </w:rPr>
            </w:pPr>
            <w:r w:rsidRPr="00AA5485">
              <w:rPr>
                <w:rFonts w:ascii="Arial" w:hAnsi="Arial" w:cs="Arial"/>
              </w:rPr>
              <w:t>91.96</w:t>
            </w:r>
          </w:p>
        </w:tc>
      </w:tr>
      <w:tr w:rsidR="00145BDF" w:rsidRPr="00AA5485" w14:paraId="7996AE49"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102666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3</w:t>
            </w:r>
          </w:p>
        </w:tc>
        <w:tc>
          <w:tcPr>
            <w:tcW w:w="1088" w:type="dxa"/>
            <w:tcMar>
              <w:top w:w="120" w:type="dxa"/>
              <w:left w:w="180" w:type="dxa"/>
              <w:bottom w:w="120" w:type="dxa"/>
              <w:right w:w="180" w:type="dxa"/>
            </w:tcMar>
            <w:vAlign w:val="center"/>
          </w:tcPr>
          <w:p w14:paraId="741F9A8A"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34.28</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7B789C83" w14:textId="77777777" w:rsidR="00145BDF" w:rsidRPr="00AA5485" w:rsidRDefault="00145BDF" w:rsidP="007E3720">
            <w:pPr>
              <w:contextualSpacing/>
              <w:jc w:val="center"/>
              <w:rPr>
                <w:rFonts w:ascii="Arial" w:hAnsi="Arial" w:cs="Arial"/>
              </w:rPr>
            </w:pPr>
            <w:r w:rsidRPr="00AA5485">
              <w:rPr>
                <w:rFonts w:ascii="Arial" w:hAnsi="Arial" w:cs="Arial"/>
              </w:rPr>
              <w:t>61.91</w:t>
            </w:r>
          </w:p>
        </w:tc>
        <w:tc>
          <w:tcPr>
            <w:tcW w:w="1088" w:type="dxa"/>
            <w:tcMar>
              <w:top w:w="120" w:type="dxa"/>
              <w:left w:w="180" w:type="dxa"/>
              <w:bottom w:w="120" w:type="dxa"/>
              <w:right w:w="180" w:type="dxa"/>
            </w:tcMar>
            <w:vAlign w:val="center"/>
          </w:tcPr>
          <w:p w14:paraId="5D193B8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29.89</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2C0CD60D" w14:textId="77777777" w:rsidR="00145BDF" w:rsidRPr="00AA5485" w:rsidRDefault="00145BDF" w:rsidP="007E3720">
            <w:pPr>
              <w:contextualSpacing/>
              <w:jc w:val="center"/>
              <w:rPr>
                <w:rFonts w:ascii="Arial" w:hAnsi="Arial" w:cs="Arial"/>
              </w:rPr>
            </w:pPr>
            <w:r w:rsidRPr="00AA5485">
              <w:rPr>
                <w:rFonts w:ascii="Arial" w:hAnsi="Arial" w:cs="Arial"/>
              </w:rPr>
              <w:t>66.80</w:t>
            </w:r>
          </w:p>
        </w:tc>
        <w:tc>
          <w:tcPr>
            <w:tcW w:w="1088" w:type="dxa"/>
            <w:tcMar>
              <w:top w:w="120" w:type="dxa"/>
              <w:left w:w="180" w:type="dxa"/>
              <w:bottom w:w="120" w:type="dxa"/>
              <w:right w:w="180" w:type="dxa"/>
            </w:tcMar>
            <w:vAlign w:val="center"/>
          </w:tcPr>
          <w:p w14:paraId="037C72D0"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20.39</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584D50FB" w14:textId="77777777" w:rsidR="00145BDF" w:rsidRPr="00AA5485" w:rsidRDefault="00145BDF" w:rsidP="007E3720">
            <w:pPr>
              <w:contextualSpacing/>
              <w:jc w:val="center"/>
              <w:rPr>
                <w:rFonts w:ascii="Arial" w:hAnsi="Arial" w:cs="Arial"/>
              </w:rPr>
            </w:pPr>
            <w:r w:rsidRPr="00AA5485">
              <w:rPr>
                <w:rFonts w:ascii="Arial" w:hAnsi="Arial" w:cs="Arial"/>
              </w:rPr>
              <w:t>77.34</w:t>
            </w:r>
          </w:p>
        </w:tc>
        <w:tc>
          <w:tcPr>
            <w:tcW w:w="1088" w:type="dxa"/>
            <w:tcMar>
              <w:top w:w="120" w:type="dxa"/>
              <w:left w:w="180" w:type="dxa"/>
              <w:bottom w:w="120" w:type="dxa"/>
              <w:right w:w="180" w:type="dxa"/>
            </w:tcMar>
            <w:vAlign w:val="center"/>
          </w:tcPr>
          <w:p w14:paraId="29288899"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3.56</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130D2024" w14:textId="77777777" w:rsidR="00145BDF" w:rsidRPr="00AA5485" w:rsidRDefault="00145BDF" w:rsidP="007E3720">
            <w:pPr>
              <w:contextualSpacing/>
              <w:jc w:val="center"/>
              <w:rPr>
                <w:rFonts w:ascii="Arial" w:hAnsi="Arial" w:cs="Arial"/>
              </w:rPr>
            </w:pPr>
            <w:r w:rsidRPr="00AA5485">
              <w:rPr>
                <w:rFonts w:ascii="Arial" w:hAnsi="Arial" w:cs="Arial"/>
              </w:rPr>
              <w:t>96.04</w:t>
            </w:r>
          </w:p>
        </w:tc>
      </w:tr>
      <w:tr w:rsidR="00145BDF" w:rsidRPr="00AA5485" w14:paraId="493C4DF1"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4A922FA"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4</w:t>
            </w:r>
          </w:p>
        </w:tc>
        <w:tc>
          <w:tcPr>
            <w:tcW w:w="1088" w:type="dxa"/>
            <w:tcMar>
              <w:top w:w="120" w:type="dxa"/>
              <w:left w:w="180" w:type="dxa"/>
              <w:bottom w:w="120" w:type="dxa"/>
              <w:right w:w="180" w:type="dxa"/>
            </w:tcMar>
            <w:vAlign w:val="center"/>
          </w:tcPr>
          <w:p w14:paraId="07AF9F6D"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27.79</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7783BA76" w14:textId="77777777" w:rsidR="00145BDF" w:rsidRPr="00AA5485" w:rsidRDefault="00145BDF" w:rsidP="007E3720">
            <w:pPr>
              <w:contextualSpacing/>
              <w:jc w:val="center"/>
              <w:rPr>
                <w:rFonts w:ascii="Arial" w:hAnsi="Arial" w:cs="Arial"/>
              </w:rPr>
            </w:pPr>
            <w:r w:rsidRPr="00AA5485">
              <w:rPr>
                <w:rFonts w:ascii="Arial" w:hAnsi="Arial" w:cs="Arial"/>
              </w:rPr>
              <w:t>69.12</w:t>
            </w:r>
          </w:p>
        </w:tc>
        <w:tc>
          <w:tcPr>
            <w:tcW w:w="1088" w:type="dxa"/>
            <w:tcMar>
              <w:top w:w="120" w:type="dxa"/>
              <w:left w:w="180" w:type="dxa"/>
              <w:bottom w:w="120" w:type="dxa"/>
              <w:right w:w="180" w:type="dxa"/>
            </w:tcMar>
            <w:vAlign w:val="center"/>
          </w:tcPr>
          <w:p w14:paraId="139544F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19.56</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60839A8F" w14:textId="77777777" w:rsidR="00145BDF" w:rsidRPr="00AA5485" w:rsidRDefault="00145BDF" w:rsidP="007E3720">
            <w:pPr>
              <w:contextualSpacing/>
              <w:jc w:val="center"/>
              <w:rPr>
                <w:rFonts w:ascii="Arial" w:hAnsi="Arial" w:cs="Arial"/>
              </w:rPr>
            </w:pPr>
            <w:r w:rsidRPr="00AA5485">
              <w:rPr>
                <w:rFonts w:ascii="Arial" w:hAnsi="Arial" w:cs="Arial"/>
              </w:rPr>
              <w:t>78.26</w:t>
            </w:r>
          </w:p>
        </w:tc>
        <w:tc>
          <w:tcPr>
            <w:tcW w:w="1088" w:type="dxa"/>
            <w:tcMar>
              <w:top w:w="120" w:type="dxa"/>
              <w:left w:w="180" w:type="dxa"/>
              <w:bottom w:w="120" w:type="dxa"/>
              <w:right w:w="180" w:type="dxa"/>
            </w:tcMar>
            <w:vAlign w:val="center"/>
          </w:tcPr>
          <w:p w14:paraId="33CD5031"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12.26</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668A4562" w14:textId="77777777" w:rsidR="00145BDF" w:rsidRPr="00AA5485" w:rsidRDefault="00145BDF" w:rsidP="007E3720">
            <w:pPr>
              <w:contextualSpacing/>
              <w:jc w:val="center"/>
              <w:rPr>
                <w:rFonts w:ascii="Arial" w:hAnsi="Arial" w:cs="Arial"/>
              </w:rPr>
            </w:pPr>
            <w:r w:rsidRPr="00AA5485">
              <w:rPr>
                <w:rFonts w:ascii="Arial" w:hAnsi="Arial" w:cs="Arial"/>
              </w:rPr>
              <w:t>86.37</w:t>
            </w:r>
          </w:p>
        </w:tc>
        <w:tc>
          <w:tcPr>
            <w:tcW w:w="1088" w:type="dxa"/>
            <w:tcMar>
              <w:top w:w="120" w:type="dxa"/>
              <w:left w:w="180" w:type="dxa"/>
              <w:bottom w:w="120" w:type="dxa"/>
              <w:right w:w="180" w:type="dxa"/>
            </w:tcMar>
            <w:vAlign w:val="center"/>
          </w:tcPr>
          <w:p w14:paraId="6194BBC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0.00</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21F4D92D" w14:textId="77777777" w:rsidR="00145BDF" w:rsidRPr="00AA5485" w:rsidRDefault="00145BDF" w:rsidP="007E3720">
            <w:pPr>
              <w:contextualSpacing/>
              <w:jc w:val="center"/>
              <w:rPr>
                <w:rFonts w:ascii="Arial" w:hAnsi="Arial" w:cs="Arial"/>
              </w:rPr>
            </w:pPr>
            <w:r w:rsidRPr="00AA5485">
              <w:rPr>
                <w:rFonts w:ascii="Arial" w:hAnsi="Arial" w:cs="Arial"/>
              </w:rPr>
              <w:t>100</w:t>
            </w:r>
          </w:p>
        </w:tc>
      </w:tr>
      <w:tr w:rsidR="00145BDF" w:rsidRPr="00AA5485" w14:paraId="4A5DA465"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986F20A"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5</w:t>
            </w:r>
          </w:p>
        </w:tc>
        <w:tc>
          <w:tcPr>
            <w:tcW w:w="1088" w:type="dxa"/>
            <w:tcMar>
              <w:top w:w="120" w:type="dxa"/>
              <w:left w:w="180" w:type="dxa"/>
              <w:bottom w:w="120" w:type="dxa"/>
              <w:right w:w="180" w:type="dxa"/>
            </w:tcMar>
            <w:vAlign w:val="center"/>
          </w:tcPr>
          <w:p w14:paraId="39003B2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36.86</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58EA38FC" w14:textId="77777777" w:rsidR="00145BDF" w:rsidRPr="00AA5485" w:rsidRDefault="00145BDF" w:rsidP="007E3720">
            <w:pPr>
              <w:contextualSpacing/>
              <w:jc w:val="center"/>
              <w:rPr>
                <w:rFonts w:ascii="Arial" w:hAnsi="Arial" w:cs="Arial"/>
              </w:rPr>
            </w:pPr>
            <w:r w:rsidRPr="00AA5485">
              <w:rPr>
                <w:rFonts w:ascii="Arial" w:hAnsi="Arial" w:cs="Arial"/>
              </w:rPr>
              <w:t>47.93</w:t>
            </w:r>
          </w:p>
        </w:tc>
        <w:tc>
          <w:tcPr>
            <w:tcW w:w="1088" w:type="dxa"/>
            <w:tcMar>
              <w:top w:w="120" w:type="dxa"/>
              <w:left w:w="180" w:type="dxa"/>
              <w:bottom w:w="120" w:type="dxa"/>
              <w:right w:w="180" w:type="dxa"/>
            </w:tcMar>
            <w:vAlign w:val="center"/>
          </w:tcPr>
          <w:p w14:paraId="2C98F204"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39.28</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02894E76" w14:textId="77777777" w:rsidR="00145BDF" w:rsidRPr="00AA5485" w:rsidRDefault="00145BDF" w:rsidP="007E3720">
            <w:pPr>
              <w:contextualSpacing/>
              <w:jc w:val="center"/>
              <w:rPr>
                <w:rFonts w:ascii="Arial" w:hAnsi="Arial" w:cs="Arial"/>
              </w:rPr>
            </w:pPr>
            <w:r w:rsidRPr="00AA5485">
              <w:rPr>
                <w:rFonts w:ascii="Arial" w:hAnsi="Arial" w:cs="Arial"/>
              </w:rPr>
              <w:t>56.35</w:t>
            </w:r>
          </w:p>
        </w:tc>
        <w:tc>
          <w:tcPr>
            <w:tcW w:w="1088" w:type="dxa"/>
            <w:tcMar>
              <w:top w:w="120" w:type="dxa"/>
              <w:left w:w="180" w:type="dxa"/>
              <w:bottom w:w="120" w:type="dxa"/>
              <w:right w:w="180" w:type="dxa"/>
            </w:tcMar>
            <w:vAlign w:val="center"/>
          </w:tcPr>
          <w:p w14:paraId="6893B186"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28.89</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050E456A" w14:textId="77777777" w:rsidR="00145BDF" w:rsidRPr="00AA5485" w:rsidRDefault="00145BDF" w:rsidP="007E3720">
            <w:pPr>
              <w:contextualSpacing/>
              <w:jc w:val="center"/>
              <w:rPr>
                <w:rFonts w:ascii="Arial" w:hAnsi="Arial" w:cs="Arial"/>
              </w:rPr>
            </w:pPr>
            <w:r w:rsidRPr="00AA5485">
              <w:rPr>
                <w:rFonts w:ascii="Arial" w:hAnsi="Arial" w:cs="Arial"/>
              </w:rPr>
              <w:t>67.90</w:t>
            </w:r>
          </w:p>
        </w:tc>
        <w:tc>
          <w:tcPr>
            <w:tcW w:w="1088" w:type="dxa"/>
            <w:tcMar>
              <w:top w:w="120" w:type="dxa"/>
              <w:left w:w="180" w:type="dxa"/>
              <w:bottom w:w="120" w:type="dxa"/>
              <w:right w:w="180" w:type="dxa"/>
            </w:tcMar>
            <w:vAlign w:val="center"/>
          </w:tcPr>
          <w:p w14:paraId="0F89B4E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9.00</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30EE8B2A" w14:textId="77777777" w:rsidR="00145BDF" w:rsidRPr="00AA5485" w:rsidRDefault="00145BDF" w:rsidP="007E3720">
            <w:pPr>
              <w:contextualSpacing/>
              <w:jc w:val="center"/>
              <w:rPr>
                <w:rFonts w:ascii="Arial" w:hAnsi="Arial" w:cs="Arial"/>
              </w:rPr>
            </w:pPr>
            <w:r w:rsidRPr="00AA5485">
              <w:rPr>
                <w:rFonts w:ascii="Arial" w:hAnsi="Arial" w:cs="Arial"/>
              </w:rPr>
              <w:t>90</w:t>
            </w:r>
          </w:p>
        </w:tc>
      </w:tr>
      <w:tr w:rsidR="00145BDF" w:rsidRPr="00AA5485" w14:paraId="4625C977"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578A43E"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lastRenderedPageBreak/>
              <w:t>Tv</w:t>
            </w:r>
            <w:r w:rsidRPr="00AA5485">
              <w:rPr>
                <w:rFonts w:ascii="Arial" w:hAnsi="Arial" w:cs="Arial"/>
                <w:b/>
                <w:bCs/>
                <w:vertAlign w:val="subscript"/>
              </w:rPr>
              <w:t>6</w:t>
            </w:r>
          </w:p>
        </w:tc>
        <w:tc>
          <w:tcPr>
            <w:tcW w:w="1088" w:type="dxa"/>
            <w:tcMar>
              <w:top w:w="120" w:type="dxa"/>
              <w:left w:w="180" w:type="dxa"/>
              <w:bottom w:w="120" w:type="dxa"/>
              <w:right w:w="180" w:type="dxa"/>
            </w:tcMar>
            <w:vAlign w:val="center"/>
          </w:tcPr>
          <w:p w14:paraId="0041811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30.54</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6C0138E6" w14:textId="77777777" w:rsidR="00145BDF" w:rsidRPr="00AA5485" w:rsidRDefault="00145BDF" w:rsidP="007E3720">
            <w:pPr>
              <w:contextualSpacing/>
              <w:jc w:val="center"/>
              <w:rPr>
                <w:rFonts w:ascii="Arial" w:hAnsi="Arial" w:cs="Arial"/>
              </w:rPr>
            </w:pPr>
            <w:r w:rsidRPr="00AA5485">
              <w:rPr>
                <w:rFonts w:ascii="Arial" w:hAnsi="Arial" w:cs="Arial"/>
              </w:rPr>
              <w:t>66.06</w:t>
            </w:r>
          </w:p>
        </w:tc>
        <w:tc>
          <w:tcPr>
            <w:tcW w:w="1088" w:type="dxa"/>
            <w:tcMar>
              <w:top w:w="120" w:type="dxa"/>
              <w:left w:w="180" w:type="dxa"/>
              <w:bottom w:w="120" w:type="dxa"/>
              <w:right w:w="180" w:type="dxa"/>
            </w:tcMar>
            <w:vAlign w:val="center"/>
          </w:tcPr>
          <w:p w14:paraId="05F0B39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21.21</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7E26563C" w14:textId="77777777" w:rsidR="00145BDF" w:rsidRPr="00AA5485" w:rsidRDefault="00145BDF" w:rsidP="007E3720">
            <w:pPr>
              <w:contextualSpacing/>
              <w:jc w:val="center"/>
              <w:rPr>
                <w:rFonts w:ascii="Arial" w:hAnsi="Arial" w:cs="Arial"/>
              </w:rPr>
            </w:pPr>
            <w:r w:rsidRPr="00AA5485">
              <w:rPr>
                <w:rFonts w:ascii="Arial" w:hAnsi="Arial" w:cs="Arial"/>
              </w:rPr>
              <w:t>76.43</w:t>
            </w:r>
          </w:p>
        </w:tc>
        <w:tc>
          <w:tcPr>
            <w:tcW w:w="1088" w:type="dxa"/>
            <w:tcMar>
              <w:top w:w="120" w:type="dxa"/>
              <w:left w:w="180" w:type="dxa"/>
              <w:bottom w:w="120" w:type="dxa"/>
              <w:right w:w="180" w:type="dxa"/>
            </w:tcMar>
            <w:vAlign w:val="center"/>
          </w:tcPr>
          <w:p w14:paraId="1FC72659"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14.25</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3616E333" w14:textId="77777777" w:rsidR="00145BDF" w:rsidRPr="00AA5485" w:rsidRDefault="00145BDF" w:rsidP="007E3720">
            <w:pPr>
              <w:contextualSpacing/>
              <w:jc w:val="center"/>
              <w:rPr>
                <w:rFonts w:ascii="Arial" w:hAnsi="Arial" w:cs="Arial"/>
              </w:rPr>
            </w:pPr>
            <w:r w:rsidRPr="00AA5485">
              <w:rPr>
                <w:rFonts w:ascii="Arial" w:hAnsi="Arial" w:cs="Arial"/>
              </w:rPr>
              <w:t>84.16</w:t>
            </w:r>
          </w:p>
        </w:tc>
        <w:tc>
          <w:tcPr>
            <w:tcW w:w="1088" w:type="dxa"/>
            <w:tcMar>
              <w:top w:w="120" w:type="dxa"/>
              <w:left w:w="180" w:type="dxa"/>
              <w:bottom w:w="120" w:type="dxa"/>
              <w:right w:w="180" w:type="dxa"/>
            </w:tcMar>
            <w:vAlign w:val="center"/>
          </w:tcPr>
          <w:p w14:paraId="2716DE3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1.23</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3357B0C8" w14:textId="77777777" w:rsidR="00145BDF" w:rsidRPr="00AA5485" w:rsidRDefault="00145BDF" w:rsidP="007E3720">
            <w:pPr>
              <w:contextualSpacing/>
              <w:jc w:val="center"/>
              <w:rPr>
                <w:rFonts w:ascii="Arial" w:hAnsi="Arial" w:cs="Arial"/>
              </w:rPr>
            </w:pPr>
            <w:r w:rsidRPr="00AA5485">
              <w:rPr>
                <w:rFonts w:ascii="Arial" w:hAnsi="Arial" w:cs="Arial"/>
              </w:rPr>
              <w:t>98.63</w:t>
            </w:r>
          </w:p>
        </w:tc>
      </w:tr>
      <w:tr w:rsidR="00145BDF" w:rsidRPr="00AA5485" w14:paraId="76E2B3A6"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2AEA7C8"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7</w:t>
            </w:r>
          </w:p>
        </w:tc>
        <w:tc>
          <w:tcPr>
            <w:tcW w:w="1088" w:type="dxa"/>
            <w:tcMar>
              <w:top w:w="120" w:type="dxa"/>
              <w:left w:w="180" w:type="dxa"/>
              <w:bottom w:w="120" w:type="dxa"/>
              <w:right w:w="180" w:type="dxa"/>
            </w:tcMar>
            <w:vAlign w:val="center"/>
          </w:tcPr>
          <w:p w14:paraId="71677D6B"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33.39</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2A4362F1" w14:textId="77777777" w:rsidR="00145BDF" w:rsidRPr="00AA5485" w:rsidRDefault="00145BDF" w:rsidP="007E3720">
            <w:pPr>
              <w:contextualSpacing/>
              <w:jc w:val="center"/>
              <w:rPr>
                <w:rFonts w:ascii="Arial" w:hAnsi="Arial" w:cs="Arial"/>
              </w:rPr>
            </w:pPr>
            <w:r w:rsidRPr="00AA5485">
              <w:rPr>
                <w:rFonts w:ascii="Arial" w:hAnsi="Arial" w:cs="Arial"/>
              </w:rPr>
              <w:t>62.90</w:t>
            </w:r>
          </w:p>
        </w:tc>
        <w:tc>
          <w:tcPr>
            <w:tcW w:w="1088" w:type="dxa"/>
            <w:tcMar>
              <w:top w:w="120" w:type="dxa"/>
              <w:left w:w="180" w:type="dxa"/>
              <w:bottom w:w="120" w:type="dxa"/>
              <w:right w:w="180" w:type="dxa"/>
            </w:tcMar>
            <w:vAlign w:val="center"/>
          </w:tcPr>
          <w:p w14:paraId="76376EC5"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25.86</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47A176C0" w14:textId="77777777" w:rsidR="00145BDF" w:rsidRPr="00AA5485" w:rsidRDefault="00145BDF" w:rsidP="007E3720">
            <w:pPr>
              <w:contextualSpacing/>
              <w:jc w:val="center"/>
              <w:rPr>
                <w:rFonts w:ascii="Arial" w:hAnsi="Arial" w:cs="Arial"/>
              </w:rPr>
            </w:pPr>
            <w:r w:rsidRPr="00AA5485">
              <w:rPr>
                <w:rFonts w:ascii="Arial" w:hAnsi="Arial" w:cs="Arial"/>
              </w:rPr>
              <w:t>71.26</w:t>
            </w:r>
          </w:p>
        </w:tc>
        <w:tc>
          <w:tcPr>
            <w:tcW w:w="1088" w:type="dxa"/>
            <w:tcMar>
              <w:top w:w="120" w:type="dxa"/>
              <w:left w:w="180" w:type="dxa"/>
              <w:bottom w:w="120" w:type="dxa"/>
              <w:right w:w="180" w:type="dxa"/>
            </w:tcMar>
            <w:vAlign w:val="center"/>
          </w:tcPr>
          <w:p w14:paraId="18556EE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19.33</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208C74E1" w14:textId="77777777" w:rsidR="00145BDF" w:rsidRPr="00AA5485" w:rsidRDefault="00145BDF" w:rsidP="007E3720">
            <w:pPr>
              <w:contextualSpacing/>
              <w:jc w:val="center"/>
              <w:rPr>
                <w:rFonts w:ascii="Arial" w:hAnsi="Arial" w:cs="Arial"/>
              </w:rPr>
            </w:pPr>
            <w:r w:rsidRPr="00AA5485">
              <w:rPr>
                <w:rFonts w:ascii="Arial" w:hAnsi="Arial" w:cs="Arial"/>
              </w:rPr>
              <w:t>78.52</w:t>
            </w:r>
          </w:p>
        </w:tc>
        <w:tc>
          <w:tcPr>
            <w:tcW w:w="1088" w:type="dxa"/>
            <w:tcMar>
              <w:top w:w="120" w:type="dxa"/>
              <w:left w:w="180" w:type="dxa"/>
              <w:bottom w:w="120" w:type="dxa"/>
              <w:right w:w="180" w:type="dxa"/>
            </w:tcMar>
            <w:vAlign w:val="center"/>
          </w:tcPr>
          <w:p w14:paraId="476C90DD"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1.78</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2AFE3FCF" w14:textId="77777777" w:rsidR="00145BDF" w:rsidRPr="00AA5485" w:rsidRDefault="00145BDF" w:rsidP="007E3720">
            <w:pPr>
              <w:contextualSpacing/>
              <w:jc w:val="center"/>
              <w:rPr>
                <w:rFonts w:ascii="Arial" w:hAnsi="Arial" w:cs="Arial"/>
              </w:rPr>
            </w:pPr>
            <w:r w:rsidRPr="00AA5485">
              <w:rPr>
                <w:rFonts w:ascii="Arial" w:hAnsi="Arial" w:cs="Arial"/>
              </w:rPr>
              <w:t>98.02</w:t>
            </w:r>
          </w:p>
        </w:tc>
      </w:tr>
      <w:tr w:rsidR="00145BDF" w:rsidRPr="00AA5485" w14:paraId="4F10D605"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212E422"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8</w:t>
            </w:r>
          </w:p>
        </w:tc>
        <w:tc>
          <w:tcPr>
            <w:tcW w:w="1088" w:type="dxa"/>
            <w:tcMar>
              <w:top w:w="120" w:type="dxa"/>
              <w:left w:w="180" w:type="dxa"/>
              <w:bottom w:w="120" w:type="dxa"/>
              <w:right w:w="180" w:type="dxa"/>
            </w:tcMar>
            <w:vAlign w:val="center"/>
          </w:tcPr>
          <w:p w14:paraId="59C6DDDE"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32.25</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3D3A6EAE" w14:textId="77777777" w:rsidR="00145BDF" w:rsidRPr="00AA5485" w:rsidRDefault="00145BDF" w:rsidP="007E3720">
            <w:pPr>
              <w:contextualSpacing/>
              <w:jc w:val="center"/>
              <w:rPr>
                <w:rFonts w:ascii="Arial" w:hAnsi="Arial" w:cs="Arial"/>
              </w:rPr>
            </w:pPr>
            <w:r w:rsidRPr="00AA5485">
              <w:rPr>
                <w:rFonts w:ascii="Arial" w:hAnsi="Arial" w:cs="Arial"/>
              </w:rPr>
              <w:t>64.16</w:t>
            </w:r>
          </w:p>
        </w:tc>
        <w:tc>
          <w:tcPr>
            <w:tcW w:w="1088" w:type="dxa"/>
            <w:tcMar>
              <w:top w:w="120" w:type="dxa"/>
              <w:left w:w="180" w:type="dxa"/>
              <w:bottom w:w="120" w:type="dxa"/>
              <w:right w:w="180" w:type="dxa"/>
            </w:tcMar>
            <w:vAlign w:val="center"/>
          </w:tcPr>
          <w:p w14:paraId="05B4EBA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23.52</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08C1CC87" w14:textId="77777777" w:rsidR="00145BDF" w:rsidRPr="00AA5485" w:rsidRDefault="00145BDF" w:rsidP="007E3720">
            <w:pPr>
              <w:contextualSpacing/>
              <w:jc w:val="center"/>
              <w:rPr>
                <w:rFonts w:ascii="Arial" w:hAnsi="Arial" w:cs="Arial"/>
              </w:rPr>
            </w:pPr>
            <w:r w:rsidRPr="00AA5485">
              <w:rPr>
                <w:rFonts w:ascii="Arial" w:hAnsi="Arial" w:cs="Arial"/>
              </w:rPr>
              <w:t>73.86</w:t>
            </w:r>
          </w:p>
        </w:tc>
        <w:tc>
          <w:tcPr>
            <w:tcW w:w="1088" w:type="dxa"/>
            <w:tcMar>
              <w:top w:w="120" w:type="dxa"/>
              <w:left w:w="180" w:type="dxa"/>
              <w:bottom w:w="120" w:type="dxa"/>
              <w:right w:w="180" w:type="dxa"/>
            </w:tcMar>
            <w:vAlign w:val="center"/>
          </w:tcPr>
          <w:p w14:paraId="0DCFFC83"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17.49</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7F16DA2B" w14:textId="77777777" w:rsidR="00145BDF" w:rsidRPr="00AA5485" w:rsidRDefault="00145BDF" w:rsidP="007E3720">
            <w:pPr>
              <w:contextualSpacing/>
              <w:jc w:val="center"/>
              <w:rPr>
                <w:rFonts w:ascii="Arial" w:hAnsi="Arial" w:cs="Arial"/>
              </w:rPr>
            </w:pPr>
            <w:r w:rsidRPr="00AA5485">
              <w:rPr>
                <w:rFonts w:ascii="Arial" w:hAnsi="Arial" w:cs="Arial"/>
              </w:rPr>
              <w:t>80.56</w:t>
            </w:r>
          </w:p>
        </w:tc>
        <w:tc>
          <w:tcPr>
            <w:tcW w:w="1088" w:type="dxa"/>
            <w:tcMar>
              <w:top w:w="120" w:type="dxa"/>
              <w:left w:w="180" w:type="dxa"/>
              <w:bottom w:w="120" w:type="dxa"/>
              <w:right w:w="180" w:type="dxa"/>
            </w:tcMar>
            <w:vAlign w:val="center"/>
          </w:tcPr>
          <w:p w14:paraId="2ABCA6B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1.60</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2255C26F" w14:textId="77777777" w:rsidR="00145BDF" w:rsidRPr="00AA5485" w:rsidRDefault="00145BDF" w:rsidP="007E3720">
            <w:pPr>
              <w:contextualSpacing/>
              <w:jc w:val="center"/>
              <w:rPr>
                <w:rFonts w:ascii="Arial" w:hAnsi="Arial" w:cs="Arial"/>
              </w:rPr>
            </w:pPr>
            <w:r w:rsidRPr="00AA5485">
              <w:rPr>
                <w:rFonts w:ascii="Arial" w:hAnsi="Arial" w:cs="Arial"/>
              </w:rPr>
              <w:t>98.22</w:t>
            </w:r>
          </w:p>
        </w:tc>
      </w:tr>
      <w:tr w:rsidR="00145BDF" w:rsidRPr="00AA5485" w14:paraId="72F27E3D"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3EF526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9</w:t>
            </w:r>
          </w:p>
        </w:tc>
        <w:tc>
          <w:tcPr>
            <w:tcW w:w="1088" w:type="dxa"/>
            <w:tcMar>
              <w:top w:w="120" w:type="dxa"/>
              <w:left w:w="180" w:type="dxa"/>
              <w:bottom w:w="120" w:type="dxa"/>
              <w:right w:w="180" w:type="dxa"/>
            </w:tcMar>
            <w:vAlign w:val="center"/>
          </w:tcPr>
          <w:p w14:paraId="1F3962C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40.69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778E736E" w14:textId="77777777" w:rsidR="00145BDF" w:rsidRPr="00AA5485" w:rsidRDefault="00145BDF" w:rsidP="007E3720">
            <w:pPr>
              <w:contextualSpacing/>
              <w:jc w:val="center"/>
              <w:rPr>
                <w:rFonts w:ascii="Arial" w:hAnsi="Arial" w:cs="Arial"/>
              </w:rPr>
            </w:pPr>
            <w:r w:rsidRPr="00AA5485">
              <w:rPr>
                <w:rFonts w:ascii="Arial" w:hAnsi="Arial" w:cs="Arial"/>
              </w:rPr>
              <w:t>54.78</w:t>
            </w:r>
          </w:p>
        </w:tc>
        <w:tc>
          <w:tcPr>
            <w:tcW w:w="1088" w:type="dxa"/>
            <w:tcMar>
              <w:top w:w="120" w:type="dxa"/>
              <w:left w:w="180" w:type="dxa"/>
              <w:bottom w:w="120" w:type="dxa"/>
              <w:right w:w="180" w:type="dxa"/>
            </w:tcMar>
            <w:vAlign w:val="center"/>
          </w:tcPr>
          <w:p w14:paraId="2EEF43B0"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32.53</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2C04932D" w14:textId="77777777" w:rsidR="00145BDF" w:rsidRPr="00AA5485" w:rsidRDefault="00145BDF" w:rsidP="007E3720">
            <w:pPr>
              <w:contextualSpacing/>
              <w:jc w:val="center"/>
              <w:rPr>
                <w:rFonts w:ascii="Arial" w:hAnsi="Arial" w:cs="Arial"/>
              </w:rPr>
            </w:pPr>
            <w:r w:rsidRPr="00AA5485">
              <w:rPr>
                <w:rFonts w:ascii="Arial" w:hAnsi="Arial" w:cs="Arial"/>
              </w:rPr>
              <w:t>3.85</w:t>
            </w:r>
          </w:p>
        </w:tc>
        <w:tc>
          <w:tcPr>
            <w:tcW w:w="1088" w:type="dxa"/>
            <w:tcMar>
              <w:top w:w="120" w:type="dxa"/>
              <w:left w:w="180" w:type="dxa"/>
              <w:bottom w:w="120" w:type="dxa"/>
              <w:right w:w="180" w:type="dxa"/>
            </w:tcMar>
            <w:vAlign w:val="center"/>
          </w:tcPr>
          <w:p w14:paraId="468EEFD4"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23.56</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7493609E" w14:textId="77777777" w:rsidR="00145BDF" w:rsidRPr="00AA5485" w:rsidRDefault="00145BDF" w:rsidP="007E3720">
            <w:pPr>
              <w:contextualSpacing/>
              <w:jc w:val="center"/>
              <w:rPr>
                <w:rFonts w:ascii="Arial" w:hAnsi="Arial" w:cs="Arial"/>
              </w:rPr>
            </w:pPr>
            <w:r w:rsidRPr="00AA5485">
              <w:rPr>
                <w:rFonts w:ascii="Arial" w:hAnsi="Arial" w:cs="Arial"/>
              </w:rPr>
              <w:t>73.82</w:t>
            </w:r>
          </w:p>
        </w:tc>
        <w:tc>
          <w:tcPr>
            <w:tcW w:w="1088" w:type="dxa"/>
            <w:tcMar>
              <w:top w:w="120" w:type="dxa"/>
              <w:left w:w="180" w:type="dxa"/>
              <w:bottom w:w="120" w:type="dxa"/>
              <w:right w:w="180" w:type="dxa"/>
            </w:tcMar>
            <w:vAlign w:val="center"/>
          </w:tcPr>
          <w:p w14:paraId="54EE8DF9"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5.26</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5EC97DF8" w14:textId="77777777" w:rsidR="00145BDF" w:rsidRPr="00AA5485" w:rsidRDefault="00145BDF" w:rsidP="007E3720">
            <w:pPr>
              <w:contextualSpacing/>
              <w:jc w:val="center"/>
              <w:rPr>
                <w:rFonts w:ascii="Arial" w:hAnsi="Arial" w:cs="Arial"/>
              </w:rPr>
            </w:pPr>
            <w:r w:rsidRPr="00AA5485">
              <w:rPr>
                <w:rFonts w:ascii="Arial" w:hAnsi="Arial" w:cs="Arial"/>
              </w:rPr>
              <w:t>94.15</w:t>
            </w:r>
          </w:p>
        </w:tc>
      </w:tr>
      <w:tr w:rsidR="00145BDF" w:rsidRPr="00AA5485" w14:paraId="68311B33"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BE1E09F"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10</w:t>
            </w:r>
          </w:p>
        </w:tc>
        <w:tc>
          <w:tcPr>
            <w:tcW w:w="1088" w:type="dxa"/>
            <w:tcMar>
              <w:top w:w="120" w:type="dxa"/>
              <w:left w:w="180" w:type="dxa"/>
              <w:bottom w:w="120" w:type="dxa"/>
              <w:right w:w="180" w:type="dxa"/>
            </w:tcMar>
            <w:vAlign w:val="center"/>
          </w:tcPr>
          <w:p w14:paraId="03731459"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42.23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70E052FA" w14:textId="77777777" w:rsidR="00145BDF" w:rsidRPr="00AA5485" w:rsidRDefault="00145BDF" w:rsidP="007E3720">
            <w:pPr>
              <w:contextualSpacing/>
              <w:jc w:val="center"/>
              <w:rPr>
                <w:rFonts w:ascii="Arial" w:hAnsi="Arial" w:cs="Arial"/>
              </w:rPr>
            </w:pPr>
            <w:r w:rsidRPr="00AA5485">
              <w:rPr>
                <w:rFonts w:ascii="Arial" w:hAnsi="Arial" w:cs="Arial"/>
              </w:rPr>
              <w:t>53.07</w:t>
            </w:r>
          </w:p>
        </w:tc>
        <w:tc>
          <w:tcPr>
            <w:tcW w:w="1088" w:type="dxa"/>
            <w:tcMar>
              <w:top w:w="120" w:type="dxa"/>
              <w:left w:w="180" w:type="dxa"/>
              <w:bottom w:w="120" w:type="dxa"/>
              <w:right w:w="180" w:type="dxa"/>
            </w:tcMar>
            <w:vAlign w:val="center"/>
          </w:tcPr>
          <w:p w14:paraId="68DC26F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34.39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60CF01EE" w14:textId="77777777" w:rsidR="00145BDF" w:rsidRPr="00AA5485" w:rsidRDefault="00145BDF" w:rsidP="007E3720">
            <w:pPr>
              <w:contextualSpacing/>
              <w:jc w:val="center"/>
              <w:rPr>
                <w:rFonts w:ascii="Arial" w:hAnsi="Arial" w:cs="Arial"/>
              </w:rPr>
            </w:pPr>
            <w:r w:rsidRPr="00AA5485">
              <w:rPr>
                <w:rFonts w:ascii="Arial" w:hAnsi="Arial" w:cs="Arial"/>
              </w:rPr>
              <w:t>61.78</w:t>
            </w:r>
          </w:p>
        </w:tc>
        <w:tc>
          <w:tcPr>
            <w:tcW w:w="1088" w:type="dxa"/>
            <w:tcMar>
              <w:top w:w="120" w:type="dxa"/>
              <w:left w:w="180" w:type="dxa"/>
              <w:bottom w:w="120" w:type="dxa"/>
              <w:right w:w="180" w:type="dxa"/>
            </w:tcMar>
            <w:vAlign w:val="center"/>
          </w:tcPr>
          <w:p w14:paraId="0089F68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25.59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47C2940C" w14:textId="77777777" w:rsidR="00145BDF" w:rsidRPr="00AA5485" w:rsidRDefault="00145BDF" w:rsidP="007E3720">
            <w:pPr>
              <w:contextualSpacing/>
              <w:jc w:val="center"/>
              <w:rPr>
                <w:rFonts w:ascii="Arial" w:hAnsi="Arial" w:cs="Arial"/>
              </w:rPr>
            </w:pPr>
            <w:r w:rsidRPr="00AA5485">
              <w:rPr>
                <w:rFonts w:ascii="Arial" w:hAnsi="Arial" w:cs="Arial"/>
              </w:rPr>
              <w:t>71.56</w:t>
            </w:r>
          </w:p>
        </w:tc>
        <w:tc>
          <w:tcPr>
            <w:tcW w:w="1088" w:type="dxa"/>
            <w:tcMar>
              <w:top w:w="120" w:type="dxa"/>
              <w:left w:w="180" w:type="dxa"/>
              <w:bottom w:w="120" w:type="dxa"/>
              <w:right w:w="180" w:type="dxa"/>
            </w:tcMar>
            <w:vAlign w:val="center"/>
          </w:tcPr>
          <w:p w14:paraId="0EB65A65"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6.79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04B67EF4" w14:textId="77777777" w:rsidR="00145BDF" w:rsidRPr="00AA5485" w:rsidRDefault="00145BDF" w:rsidP="007E3720">
            <w:pPr>
              <w:contextualSpacing/>
              <w:jc w:val="center"/>
              <w:rPr>
                <w:rFonts w:ascii="Arial" w:hAnsi="Arial" w:cs="Arial"/>
              </w:rPr>
            </w:pPr>
            <w:r w:rsidRPr="00AA5485">
              <w:rPr>
                <w:rFonts w:ascii="Arial" w:hAnsi="Arial" w:cs="Arial"/>
              </w:rPr>
              <w:t>92.45</w:t>
            </w:r>
          </w:p>
        </w:tc>
      </w:tr>
      <w:tr w:rsidR="00145BDF" w:rsidRPr="00AA5485" w14:paraId="6B46363D"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EED5516"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Control</w:t>
            </w:r>
          </w:p>
          <w:p w14:paraId="31E5F380" w14:textId="3202A3D5" w:rsidR="006E6500" w:rsidRDefault="00000000">
            <w:r>
              <w:rPr>
                <w:b/>
                <w:color w:val="FF0000"/>
                <w:sz w:val="18"/>
              </w:rPr>
              <w:t>Table 1 requires complete numerical verification. Using the stated formula and a 90 mm control, Tv5 at 10% (36.86 mm) corresponds to 59.04% inhibition, not 47.93%; Tv9 at 20% (32.53 mm) corresponds to 63.86%, not 3.85%. Please recalculate all inhibition percentages and recheck the statistical superscripts.</w:t>
            </w:r>
          </w:p>
        </w:tc>
        <w:tc>
          <w:tcPr>
            <w:tcW w:w="1088" w:type="dxa"/>
            <w:tcMar>
              <w:top w:w="120" w:type="dxa"/>
              <w:left w:w="180" w:type="dxa"/>
              <w:bottom w:w="120" w:type="dxa"/>
              <w:right w:w="180" w:type="dxa"/>
            </w:tcMar>
            <w:vAlign w:val="center"/>
          </w:tcPr>
          <w:p w14:paraId="5DBB4C6A"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756F7351"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4FA7F172"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78E6888A"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3F110613"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0B22EF22"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563C91DD"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6CB4B30F" w14:textId="77777777" w:rsidR="00145BDF" w:rsidRPr="00AA5485" w:rsidRDefault="00145BDF" w:rsidP="007E3720">
            <w:pPr>
              <w:contextualSpacing/>
              <w:jc w:val="center"/>
              <w:rPr>
                <w:rFonts w:ascii="Arial" w:hAnsi="Arial" w:cs="Arial"/>
              </w:rPr>
            </w:pPr>
            <w:r w:rsidRPr="00AA5485">
              <w:rPr>
                <w:rFonts w:ascii="Arial" w:hAnsi="Arial" w:cs="Arial"/>
              </w:rPr>
              <w:t>-</w:t>
            </w:r>
          </w:p>
        </w:tc>
      </w:tr>
    </w:tbl>
    <w:p w14:paraId="7F9BC2A9" w14:textId="77777777" w:rsidR="00C844CF" w:rsidRPr="00AA5485" w:rsidRDefault="00C844CF" w:rsidP="00C844CF">
      <w:pPr>
        <w:pStyle w:val="Body"/>
        <w:rPr>
          <w:rFonts w:ascii="Arial" w:hAnsi="Arial" w:cs="Arial"/>
          <w:i/>
          <w:iCs/>
        </w:rPr>
      </w:pPr>
      <w:r w:rsidRPr="00AA5485">
        <w:rPr>
          <w:rFonts w:ascii="Arial" w:hAnsi="Arial" w:cs="Arial"/>
          <w:i/>
          <w:iCs/>
        </w:rPr>
        <w:t>* Values represent the mean of three independent replications.</w:t>
      </w:r>
    </w:p>
    <w:p w14:paraId="1587BB04" w14:textId="77777777" w:rsidR="007E3720" w:rsidRPr="00AA5485" w:rsidRDefault="007E3720" w:rsidP="007E3720">
      <w:pPr>
        <w:pStyle w:val="Body"/>
        <w:rPr>
          <w:rFonts w:ascii="Arial" w:hAnsi="Arial" w:cs="Arial"/>
          <w:i/>
          <w:iCs/>
        </w:rPr>
      </w:pPr>
      <w:r w:rsidRPr="00AA5485">
        <w:rPr>
          <w:rFonts w:ascii="Arial" w:hAnsi="Arial" w:cs="Arial"/>
          <w:i/>
          <w:iCs/>
        </w:rPr>
        <w:t>* Means followed by identical superscript letters within a column do not differ significantly at p ≤ 0.05 according to Duncan's Multiple Range Test (DMRT).</w:t>
      </w:r>
    </w:p>
    <w:p w14:paraId="131E5868" w14:textId="77777777" w:rsidR="00C844CF" w:rsidRPr="00AA5485" w:rsidRDefault="00C844CF" w:rsidP="00C844CF">
      <w:pPr>
        <w:pStyle w:val="Body"/>
        <w:rPr>
          <w:rFonts w:ascii="Arial" w:hAnsi="Arial" w:cs="Arial"/>
        </w:rPr>
      </w:pPr>
      <w:r w:rsidRPr="00AA5485">
        <w:rPr>
          <w:rFonts w:ascii="Arial" w:hAnsi="Arial" w:cs="Arial"/>
        </w:rPr>
        <w:t>Among all evaluated isolates, Tv</w:t>
      </w:r>
      <w:r w:rsidRPr="00AA5485">
        <w:rPr>
          <w:rFonts w:ascii="Arial" w:hAnsi="Arial" w:cs="Arial"/>
          <w:vertAlign w:val="subscript"/>
        </w:rPr>
        <w:t>4</w:t>
      </w:r>
      <w:r w:rsidRPr="00AA5485">
        <w:rPr>
          <w:rFonts w:ascii="Arial" w:hAnsi="Arial" w:cs="Arial"/>
        </w:rPr>
        <w:t xml:space="preserve"> demonstrated the highest antifungal potency across all tested dosages. At a 10% culture filtrate concentration, Tv</w:t>
      </w:r>
      <w:r w:rsidRPr="00AA5485">
        <w:rPr>
          <w:rFonts w:ascii="Arial" w:hAnsi="Arial" w:cs="Arial"/>
          <w:vertAlign w:val="subscript"/>
        </w:rPr>
        <w:t>4</w:t>
      </w:r>
      <w:r w:rsidRPr="00AA5485">
        <w:rPr>
          <w:rFonts w:ascii="Arial" w:hAnsi="Arial" w:cs="Arial"/>
        </w:rPr>
        <w:t xml:space="preserve"> restricted fungal growth to 27.79 mm (69.12% inhibition). Complete growth suppression (0.00 mm growth; 100% inhibition) was achieved when the filtrate concentration was raised to 40%. Isolates Tv</w:t>
      </w:r>
      <w:r w:rsidRPr="00AA5485">
        <w:rPr>
          <w:rFonts w:ascii="Arial" w:hAnsi="Arial" w:cs="Arial"/>
          <w:vertAlign w:val="subscript"/>
        </w:rPr>
        <w:t>6</w:t>
      </w:r>
      <w:r w:rsidRPr="00AA5485">
        <w:rPr>
          <w:rFonts w:ascii="Arial" w:hAnsi="Arial" w:cs="Arial"/>
        </w:rPr>
        <w:t>, Tv</w:t>
      </w:r>
      <w:r w:rsidRPr="00AA5485">
        <w:rPr>
          <w:rFonts w:ascii="Arial" w:hAnsi="Arial" w:cs="Arial"/>
          <w:vertAlign w:val="subscript"/>
        </w:rPr>
        <w:t>8</w:t>
      </w:r>
      <w:r w:rsidRPr="00AA5485">
        <w:rPr>
          <w:rFonts w:ascii="Arial" w:hAnsi="Arial" w:cs="Arial"/>
        </w:rPr>
        <w:t>, and Tv</w:t>
      </w:r>
      <w:r w:rsidRPr="00AA5485">
        <w:rPr>
          <w:rFonts w:ascii="Arial" w:hAnsi="Arial" w:cs="Arial"/>
          <w:vertAlign w:val="subscript"/>
        </w:rPr>
        <w:t>7</w:t>
      </w:r>
      <w:r w:rsidRPr="00AA5485">
        <w:rPr>
          <w:rFonts w:ascii="Arial" w:hAnsi="Arial" w:cs="Arial"/>
        </w:rPr>
        <w:t xml:space="preserve"> also exhibited high inhibitory effectiveness, achieving over 98% mycelial growth suppression at the 40% concentration mark.</w:t>
      </w:r>
    </w:p>
    <w:p w14:paraId="0E3239FE" w14:textId="3DC51CA1" w:rsidR="006E6500" w:rsidRDefault="00000000">
      <w:r>
        <w:rPr>
          <w:b/>
          <w:color w:val="FF0000"/>
        </w:rPr>
        <w:t>Please revise the Results after correcting all inhibition percentages in Table 1. The numerical values in the text must exactly match the corrected table.</w:t>
      </w:r>
    </w:p>
    <w:p w14:paraId="37E77F32" w14:textId="77777777" w:rsidR="00C844CF" w:rsidRPr="00AA5485" w:rsidRDefault="00C844CF" w:rsidP="007E3720">
      <w:pPr>
        <w:pStyle w:val="Body"/>
        <w:rPr>
          <w:rFonts w:ascii="Arial" w:hAnsi="Arial" w:cs="Arial"/>
        </w:rPr>
      </w:pPr>
      <w:r w:rsidRPr="00AA5485">
        <w:rPr>
          <w:rFonts w:ascii="Arial" w:hAnsi="Arial" w:cs="Arial"/>
        </w:rPr>
        <w:t xml:space="preserve">These findings align with previous studies by </w:t>
      </w:r>
      <w:proofErr w:type="spellStart"/>
      <w:r w:rsidR="007C5BBC" w:rsidRPr="00AA5485">
        <w:rPr>
          <w:rFonts w:ascii="Arial" w:hAnsi="Arial" w:cs="Arial"/>
        </w:rPr>
        <w:t>Abdelmoteleb</w:t>
      </w:r>
      <w:proofErr w:type="spellEnd"/>
      <w:r w:rsidR="007C5BBC" w:rsidRPr="00AA5485">
        <w:rPr>
          <w:rFonts w:ascii="Arial" w:hAnsi="Arial" w:cs="Arial"/>
        </w:rPr>
        <w:t xml:space="preserve"> et al. (2023)</w:t>
      </w:r>
      <w:r w:rsidR="007C5BBC" w:rsidRPr="00AA5485">
        <w:rPr>
          <w:rFonts w:ascii="Arial" w:hAnsi="Arial" w:cs="Arial"/>
          <w:color w:val="000000" w:themeColor="text1"/>
        </w:rPr>
        <w:t>,</w:t>
      </w:r>
      <w:r w:rsidR="007C5BBC" w:rsidRPr="00AA5485">
        <w:rPr>
          <w:rFonts w:ascii="Arial" w:hAnsi="Arial" w:cs="Arial"/>
          <w:color w:val="FF0000"/>
        </w:rPr>
        <w:t xml:space="preserve"> </w:t>
      </w:r>
      <w:r w:rsidRPr="00AA5485">
        <w:rPr>
          <w:rFonts w:ascii="Arial" w:hAnsi="Arial" w:cs="Arial"/>
        </w:rPr>
        <w:t xml:space="preserve">who observed substantial pathogen suppression using cell-free filtrates of </w:t>
      </w:r>
      <w:r w:rsidRPr="00AA5485">
        <w:rPr>
          <w:rFonts w:ascii="Arial" w:hAnsi="Arial" w:cs="Arial"/>
          <w:i/>
          <w:iCs/>
        </w:rPr>
        <w:t>Trichoderma</w:t>
      </w:r>
      <w:r w:rsidRPr="00AA5485">
        <w:rPr>
          <w:rFonts w:ascii="Arial" w:hAnsi="Arial" w:cs="Arial"/>
        </w:rPr>
        <w:t xml:space="preserve"> species against soil-borne organisms such as </w:t>
      </w:r>
      <w:r w:rsidRPr="00AA5485">
        <w:rPr>
          <w:rFonts w:ascii="Arial" w:hAnsi="Arial" w:cs="Arial"/>
          <w:i/>
          <w:iCs/>
        </w:rPr>
        <w:t xml:space="preserve">Rhizoctonia </w:t>
      </w:r>
      <w:proofErr w:type="spellStart"/>
      <w:r w:rsidRPr="00AA5485">
        <w:rPr>
          <w:rFonts w:ascii="Arial" w:hAnsi="Arial" w:cs="Arial"/>
          <w:i/>
          <w:iCs/>
        </w:rPr>
        <w:t>solani</w:t>
      </w:r>
      <w:proofErr w:type="spellEnd"/>
      <w:r w:rsidRPr="00AA5485">
        <w:rPr>
          <w:rFonts w:ascii="Arial" w:hAnsi="Arial" w:cs="Arial"/>
        </w:rPr>
        <w:t xml:space="preserve"> and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 xml:space="preserve">. The fungicidal efficacy of Trichoderma culture filtrates is driven by the production of non-volatile antibiotic metabolites (including </w:t>
      </w:r>
      <w:proofErr w:type="spellStart"/>
      <w:r w:rsidRPr="00AA5485">
        <w:rPr>
          <w:rFonts w:ascii="Arial" w:hAnsi="Arial" w:cs="Arial"/>
        </w:rPr>
        <w:t>viridin</w:t>
      </w:r>
      <w:proofErr w:type="spellEnd"/>
      <w:r w:rsidRPr="00AA5485">
        <w:rPr>
          <w:rFonts w:ascii="Arial" w:hAnsi="Arial" w:cs="Arial"/>
        </w:rPr>
        <w:t>, trichodermin, and gliotoxin) as well as extracellular lytic en</w:t>
      </w:r>
      <w:r w:rsidR="007E3720" w:rsidRPr="00AA5485">
        <w:rPr>
          <w:rFonts w:ascii="Arial" w:hAnsi="Arial" w:cs="Arial"/>
        </w:rPr>
        <w:t>zymes (such as chitinases and beta</w:t>
      </w:r>
      <w:r w:rsidRPr="00AA5485">
        <w:rPr>
          <w:rFonts w:ascii="Arial" w:hAnsi="Arial" w:cs="Arial"/>
        </w:rPr>
        <w:t>-1,3-</w:t>
      </w:r>
      <w:r w:rsidRPr="00AA5485">
        <w:rPr>
          <w:rFonts w:ascii="Arial" w:hAnsi="Arial" w:cs="Arial"/>
        </w:rPr>
        <w:lastRenderedPageBreak/>
        <w:t>glucanases) capable of degrading the structural integrity of target fungal cell walls</w:t>
      </w:r>
      <w:r w:rsidR="007C5BBC" w:rsidRPr="00AA5485">
        <w:rPr>
          <w:rFonts w:ascii="Arial" w:hAnsi="Arial" w:cs="Arial"/>
        </w:rPr>
        <w:t xml:space="preserve"> (</w:t>
      </w:r>
      <w:proofErr w:type="spellStart"/>
      <w:r w:rsidR="007C5BBC" w:rsidRPr="00AA5485">
        <w:rPr>
          <w:rFonts w:ascii="Arial" w:hAnsi="Arial" w:cs="Arial"/>
        </w:rPr>
        <w:t>Sarrocco</w:t>
      </w:r>
      <w:proofErr w:type="spellEnd"/>
      <w:r w:rsidR="007C5BBC" w:rsidRPr="00AA5485">
        <w:rPr>
          <w:rFonts w:ascii="Arial" w:hAnsi="Arial" w:cs="Arial"/>
        </w:rPr>
        <w:t xml:space="preserve"> et al. 2022</w:t>
      </w:r>
      <w:r w:rsidR="006C2564" w:rsidRPr="00AA5485">
        <w:rPr>
          <w:rFonts w:ascii="Arial" w:hAnsi="Arial" w:cs="Arial"/>
        </w:rPr>
        <w:t>; Balamurugan et al. 2025a</w:t>
      </w:r>
      <w:r w:rsidR="007C5BBC" w:rsidRPr="00AA5485">
        <w:rPr>
          <w:rFonts w:ascii="Arial" w:hAnsi="Arial" w:cs="Arial"/>
        </w:rPr>
        <w:t>)</w:t>
      </w:r>
      <w:r w:rsidRPr="00AA5485">
        <w:rPr>
          <w:rFonts w:ascii="Arial" w:hAnsi="Arial" w:cs="Arial"/>
        </w:rPr>
        <w:t>.</w:t>
      </w:r>
    </w:p>
    <w:p w14:paraId="4707644D" w14:textId="4DE81A0A" w:rsidR="006E6500" w:rsidRDefault="00000000">
      <w:r>
        <w:rPr>
          <w:b/>
          <w:color w:val="FF0000"/>
        </w:rPr>
        <w:t>Please distinguish mechanisms demonstrated in the present experiment from mechanisms reported in previous studies. Enzymes and secondary metabolites were not measured in this study.</w:t>
      </w:r>
    </w:p>
    <w:p w14:paraId="019FAE3A" w14:textId="77777777" w:rsidR="006E6500" w:rsidRDefault="00000000">
      <w:r>
        <w:rPr>
          <w:b/>
          <w:color w:val="FF0000"/>
        </w:rPr>
        <w:t>REVIEWER CORRECTION: Please use “antifungal” or “growth-inhibitory” rather than “fungicidal” unless loss of pathogen viability has been experimentally demonstrated.</w:t>
      </w:r>
    </w:p>
    <w:p w14:paraId="65EB88C9" w14:textId="77777777" w:rsidR="00790ADA" w:rsidRPr="00AA5485" w:rsidRDefault="00790ADA" w:rsidP="00441B6F">
      <w:pPr>
        <w:pStyle w:val="Body"/>
        <w:spacing w:after="0"/>
        <w:rPr>
          <w:rFonts w:ascii="Arial" w:hAnsi="Arial" w:cs="Arial"/>
        </w:rPr>
      </w:pPr>
    </w:p>
    <w:p w14:paraId="17EB7D2F" w14:textId="77777777" w:rsidR="001F6921" w:rsidRPr="00AA5485" w:rsidRDefault="00000000">
      <w:pPr>
        <w:pStyle w:val="Body"/>
      </w:pPr>
      <w:r w:rsidRPr="00AA5485">
        <w:rPr>
          <w:rFonts w:ascii="Arial" w:hAnsi="Arial"/>
        </w:rPr>
        <w:t xml:space="preserve">The strong separation among Tv4, Tv6, Tv8, and the less inhibitory isolates is consistent with reports that antifungal activity of </w:t>
      </w:r>
      <w:r w:rsidRPr="00AA5485">
        <w:rPr>
          <w:rFonts w:ascii="Arial" w:hAnsi="Arial"/>
          <w:i/>
        </w:rPr>
        <w:t>Trichoderma</w:t>
      </w:r>
      <w:r w:rsidRPr="00AA5485">
        <w:rPr>
          <w:rFonts w:ascii="Arial" w:hAnsi="Arial"/>
        </w:rPr>
        <w:t xml:space="preserve">-derived metabolites can be markedly isolate specific. Culture-filtrate studies have shown variable inhibition of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among </w:t>
      </w:r>
      <w:r w:rsidRPr="00AA5485">
        <w:rPr>
          <w:rFonts w:ascii="Arial" w:hAnsi="Arial"/>
          <w:i/>
        </w:rPr>
        <w:t xml:space="preserve">T. </w:t>
      </w:r>
      <w:proofErr w:type="spellStart"/>
      <w:r w:rsidRPr="00AA5485">
        <w:rPr>
          <w:rFonts w:ascii="Arial" w:hAnsi="Arial"/>
          <w:i/>
        </w:rPr>
        <w:t>afroharzianum</w:t>
      </w:r>
      <w:proofErr w:type="spellEnd"/>
      <w:r w:rsidRPr="00AA5485">
        <w:rPr>
          <w:rFonts w:ascii="Arial" w:hAnsi="Arial"/>
        </w:rPr>
        <w:t xml:space="preserve"> isolates, and screening of multiple </w:t>
      </w:r>
      <w:r w:rsidRPr="00AA5485">
        <w:rPr>
          <w:rFonts w:ascii="Arial" w:hAnsi="Arial"/>
          <w:i/>
        </w:rPr>
        <w:t>Trichoderma</w:t>
      </w:r>
      <w:r w:rsidRPr="00AA5485">
        <w:rPr>
          <w:rFonts w:ascii="Arial" w:hAnsi="Arial"/>
        </w:rPr>
        <w:t xml:space="preserve"> isolates likewise demonstrated that metabolite-mediated suppression of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is not uniformly expressed across strains (Marques et al., 2022; </w:t>
      </w:r>
      <w:proofErr w:type="spellStart"/>
      <w:r w:rsidRPr="00AA5485">
        <w:rPr>
          <w:rFonts w:ascii="Arial" w:hAnsi="Arial"/>
        </w:rPr>
        <w:t>Montalvão</w:t>
      </w:r>
      <w:proofErr w:type="spellEnd"/>
      <w:r w:rsidRPr="00AA5485">
        <w:rPr>
          <w:rFonts w:ascii="Arial" w:hAnsi="Arial"/>
        </w:rPr>
        <w:t xml:space="preserve"> et al., 2023). Accordingly, the superior activity of Tv4 should be interpreted as an isolate-level phenotype under the present assay conditions rather than as a general property of </w:t>
      </w:r>
      <w:r w:rsidRPr="00AA5485">
        <w:rPr>
          <w:rFonts w:ascii="Arial" w:hAnsi="Arial"/>
          <w:i/>
        </w:rPr>
        <w:t>T. viride</w:t>
      </w:r>
      <w:r w:rsidRPr="00AA5485">
        <w:rPr>
          <w:rFonts w:ascii="Arial" w:hAnsi="Arial"/>
        </w:rPr>
        <w:t>.</w:t>
      </w:r>
    </w:p>
    <w:p w14:paraId="402E442C" w14:textId="5C3BCB65" w:rsidR="006E6500" w:rsidRDefault="00000000">
      <w:r>
        <w:rPr>
          <w:b/>
          <w:color w:val="FF0000"/>
        </w:rPr>
        <w:t>Please ensure that claims of statistical separation are supported by the corrected DMRT analysis and superscript letters in Table 1.</w:t>
      </w:r>
    </w:p>
    <w:p w14:paraId="49FA2C7E" w14:textId="77777777" w:rsidR="001F6921" w:rsidRPr="00AA5485" w:rsidRDefault="00000000">
      <w:pPr>
        <w:pStyle w:val="Body"/>
      </w:pPr>
      <w:r w:rsidRPr="00AA5485">
        <w:rPr>
          <w:rFonts w:ascii="Arial" w:hAnsi="Arial"/>
        </w:rPr>
        <w:t xml:space="preserve">The concentration-dependent response also supports a role for diffusible extracellular factors. In </w:t>
      </w:r>
      <w:r w:rsidRPr="00AA5485">
        <w:rPr>
          <w:rFonts w:ascii="Arial" w:hAnsi="Arial"/>
          <w:i/>
        </w:rPr>
        <w:t xml:space="preserve">T. </w:t>
      </w:r>
      <w:proofErr w:type="spellStart"/>
      <w:r w:rsidRPr="00AA5485">
        <w:rPr>
          <w:rFonts w:ascii="Arial" w:hAnsi="Arial"/>
          <w:i/>
        </w:rPr>
        <w:t>harzianum</w:t>
      </w:r>
      <w:proofErr w:type="spellEnd"/>
      <w:r w:rsidRPr="00AA5485">
        <w:rPr>
          <w:rFonts w:ascii="Arial" w:hAnsi="Arial"/>
        </w:rPr>
        <w:t xml:space="preserve">, inhibition of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by culture filtrate has been correlated experimentally with extracellular chitinase and β-1,3-glucanase activity, while work with groundnut-associated </w:t>
      </w:r>
      <w:r w:rsidRPr="00AA5485">
        <w:rPr>
          <w:rFonts w:ascii="Arial" w:hAnsi="Arial"/>
          <w:i/>
        </w:rPr>
        <w:t>Trichoderma</w:t>
      </w:r>
      <w:r w:rsidRPr="00AA5485">
        <w:rPr>
          <w:rFonts w:ascii="Arial" w:hAnsi="Arial"/>
        </w:rPr>
        <w:t xml:space="preserve"> isolates has linked antagonistic performance with secreted antifungal constituents (El-</w:t>
      </w:r>
      <w:proofErr w:type="spellStart"/>
      <w:r w:rsidRPr="00AA5485">
        <w:rPr>
          <w:rFonts w:ascii="Arial" w:hAnsi="Arial"/>
        </w:rPr>
        <w:t>Katatny</w:t>
      </w:r>
      <w:proofErr w:type="spellEnd"/>
      <w:r w:rsidRPr="00AA5485">
        <w:rPr>
          <w:rFonts w:ascii="Arial" w:hAnsi="Arial"/>
        </w:rPr>
        <w:t xml:space="preserve"> et al., 2001; Hirpara et al., 2016). However, because the present study did not quantify hydrolytic enzymes or chemically profile the filtrates, the specific compounds responsible for the observed inhibition cannot be assigned from the growth assay alone.</w:t>
      </w:r>
    </w:p>
    <w:p w14:paraId="1D89B5D1" w14:textId="7CF6D2C1" w:rsidR="006E6500" w:rsidRDefault="00000000">
      <w:r>
        <w:rPr>
          <w:b/>
          <w:color w:val="FF0000"/>
        </w:rPr>
        <w:t>Please state that the concentration-dependent inhibition is consistent with diffusible inhibitory factors rather than claiming a specific mechanism that was not experimentally measured.</w:t>
      </w:r>
    </w:p>
    <w:p w14:paraId="4710D6D0" w14:textId="77777777" w:rsidR="001F6921" w:rsidRPr="00AA5485" w:rsidRDefault="00000000">
      <w:pPr>
        <w:pStyle w:val="Body"/>
      </w:pPr>
      <w:r w:rsidRPr="00AA5485">
        <w:rPr>
          <w:rFonts w:ascii="Arial" w:hAnsi="Arial"/>
        </w:rPr>
        <w:t xml:space="preserve">More broadly, </w:t>
      </w:r>
      <w:r w:rsidRPr="00AA5485">
        <w:rPr>
          <w:rFonts w:ascii="Arial" w:hAnsi="Arial"/>
          <w:i/>
        </w:rPr>
        <w:t>Trichoderma</w:t>
      </w:r>
      <w:r w:rsidRPr="00AA5485">
        <w:rPr>
          <w:rFonts w:ascii="Arial" w:hAnsi="Arial"/>
        </w:rPr>
        <w:t xml:space="preserve"> can deploy soluble secondary metabolites, volatile compounds, and direct </w:t>
      </w:r>
      <w:proofErr w:type="spellStart"/>
      <w:r w:rsidRPr="00AA5485">
        <w:rPr>
          <w:rFonts w:ascii="Arial" w:hAnsi="Arial"/>
        </w:rPr>
        <w:t>mycoparasitic</w:t>
      </w:r>
      <w:proofErr w:type="spellEnd"/>
      <w:r w:rsidRPr="00AA5485">
        <w:rPr>
          <w:rFonts w:ascii="Arial" w:hAnsi="Arial"/>
        </w:rPr>
        <w:t xml:space="preserve"> interactions, and the relative contribution of these mechanisms varies among strains and experimental systems (Chan et al., 2023; Zeilinger et al., 2016). The complete in vitro suppression observed with Tv4 at 40% therefore provides a rational basis for prioritizing this isolate for metabolite profiling and greenhouse validation, but it does not by itself establish field efficacy.</w:t>
      </w:r>
    </w:p>
    <w:p w14:paraId="6C0DB2C4" w14:textId="77777777" w:rsidR="00B01FCD" w:rsidRPr="00AA5485" w:rsidRDefault="00000F8F" w:rsidP="00441B6F">
      <w:pPr>
        <w:pStyle w:val="ConcHead"/>
        <w:spacing w:after="0"/>
        <w:jc w:val="both"/>
        <w:rPr>
          <w:rFonts w:ascii="Arial" w:hAnsi="Arial" w:cs="Arial"/>
        </w:rPr>
      </w:pPr>
      <w:r w:rsidRPr="00AA5485">
        <w:rPr>
          <w:rFonts w:ascii="Arial" w:hAnsi="Arial" w:cs="Arial"/>
        </w:rPr>
        <w:t xml:space="preserve">4. </w:t>
      </w:r>
      <w:r w:rsidR="00B01FCD" w:rsidRPr="00AA5485">
        <w:rPr>
          <w:rFonts w:ascii="Arial" w:hAnsi="Arial" w:cs="Arial"/>
        </w:rPr>
        <w:t>Conclusion</w:t>
      </w:r>
    </w:p>
    <w:p w14:paraId="648FF4CC" w14:textId="77777777" w:rsidR="00790ADA" w:rsidRPr="00AA5485" w:rsidRDefault="00790ADA" w:rsidP="00441B6F">
      <w:pPr>
        <w:pStyle w:val="ConcHead"/>
        <w:spacing w:after="0"/>
        <w:jc w:val="both"/>
        <w:rPr>
          <w:rFonts w:ascii="Arial" w:hAnsi="Arial" w:cs="Arial"/>
        </w:rPr>
      </w:pPr>
    </w:p>
    <w:p w14:paraId="01AF3006" w14:textId="77777777" w:rsidR="00EB11D8" w:rsidRPr="00A5115B" w:rsidRDefault="00EB11D8" w:rsidP="00EB11D8">
      <w:pPr>
        <w:spacing w:before="100" w:beforeAutospacing="1" w:after="100" w:afterAutospacing="1"/>
        <w:rPr>
          <w:rFonts w:ascii="Times New Roman" w:hAnsi="Times New Roman"/>
          <w:sz w:val="24"/>
          <w:szCs w:val="24"/>
        </w:rPr>
      </w:pPr>
      <w:r w:rsidRPr="00A5115B">
        <w:rPr>
          <w:rFonts w:ascii="Times New Roman" w:hAnsi="Times New Roman"/>
          <w:sz w:val="24"/>
          <w:szCs w:val="24"/>
        </w:rPr>
        <w:t xml:space="preserve">The study demonstrated that cell-free culture filtrates of native </w:t>
      </w:r>
      <w:r w:rsidRPr="00A5115B">
        <w:rPr>
          <w:rFonts w:ascii="Times New Roman" w:hAnsi="Times New Roman"/>
          <w:i/>
          <w:iCs/>
          <w:sz w:val="24"/>
          <w:szCs w:val="24"/>
        </w:rPr>
        <w:t>Trichoderma viride</w:t>
      </w:r>
      <w:r w:rsidRPr="00A5115B">
        <w:rPr>
          <w:rFonts w:ascii="Times New Roman" w:hAnsi="Times New Roman"/>
          <w:sz w:val="24"/>
          <w:szCs w:val="24"/>
        </w:rPr>
        <w:t xml:space="preserve"> isolates inhibited the in vitro growth of </w:t>
      </w:r>
      <w:r w:rsidRPr="00A5115B">
        <w:rPr>
          <w:rFonts w:ascii="Times New Roman" w:hAnsi="Times New Roman"/>
          <w:i/>
          <w:iCs/>
          <w:sz w:val="24"/>
          <w:szCs w:val="24"/>
        </w:rPr>
        <w:t xml:space="preserve">Sclerotium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the causal agent of groundnut stem rot. Inhibition increased with filtrate concentration across most isolates. Among the ten isolates evaluated, Tv4 was the most effective, producing complete suppression of pathogen growth at 40% culture filtrate concentration. Tv6, Tv7 and Tv8 also showed strong inhibitory activity at the same concentration. These findings suggest that Tv4 may be considered for further evaluation as a potential biocontrol candidate. However, the present results are limited to an in vitro poisoned food assay, and further studies are required under greenhouse and field conditions before practical recommendations can be made.</w:t>
      </w:r>
    </w:p>
    <w:p w14:paraId="38D1F799" w14:textId="240039FD" w:rsidR="006E6500" w:rsidRDefault="00000000">
      <w:r>
        <w:rPr>
          <w:b/>
          <w:color w:val="FF0000"/>
        </w:rPr>
        <w:t>Please retain the limitation that the study is restricted to an in vitro assay. Avoid implying field-level efficacy until greenhouse and field validation are completed.</w:t>
      </w:r>
    </w:p>
    <w:p w14:paraId="6A1482DF" w14:textId="77777777" w:rsidR="00315186" w:rsidRPr="00AA5485" w:rsidRDefault="00315186" w:rsidP="00441B6F"/>
    <w:p w14:paraId="47E5A350" w14:textId="738972AF" w:rsidR="00860000" w:rsidRDefault="00860000" w:rsidP="00441B6F">
      <w:pPr>
        <w:pStyle w:val="ReferHead"/>
        <w:spacing w:after="0"/>
        <w:jc w:val="both"/>
        <w:rPr>
          <w:rFonts w:ascii="Arial" w:hAnsi="Arial" w:cs="Arial"/>
        </w:rPr>
      </w:pPr>
      <w:r w:rsidRPr="00AA5485">
        <w:rPr>
          <w:rFonts w:ascii="Arial" w:hAnsi="Arial" w:cs="Arial"/>
          <w:bCs/>
        </w:rPr>
        <w:t>Competing interests</w:t>
      </w:r>
    </w:p>
    <w:p w14:paraId="178C66FC" w14:textId="77777777" w:rsidR="0073728E" w:rsidRPr="00AA5485" w:rsidRDefault="0073728E" w:rsidP="00441B6F">
      <w:pPr>
        <w:pStyle w:val="ReferHead"/>
        <w:spacing w:after="0"/>
        <w:jc w:val="both"/>
        <w:rPr>
          <w:rFonts w:ascii="Arial" w:hAnsi="Arial" w:cs="Arial"/>
        </w:rPr>
      </w:pPr>
    </w:p>
    <w:p w14:paraId="4FB7055C" w14:textId="77777777" w:rsidR="00860000" w:rsidRDefault="00E66E10" w:rsidP="00441B6F">
      <w:pPr>
        <w:pStyle w:val="ReferHead"/>
        <w:spacing w:after="0"/>
        <w:jc w:val="both"/>
        <w:rPr>
          <w:rFonts w:ascii="Arial" w:hAnsi="Arial" w:cs="Arial"/>
          <w:b w:val="0"/>
          <w:caps w:val="0"/>
          <w:sz w:val="20"/>
        </w:rPr>
      </w:pPr>
      <w:r w:rsidRPr="00AA5485">
        <w:rPr>
          <w:rFonts w:ascii="Arial" w:hAnsi="Arial" w:cs="Arial"/>
          <w:b w:val="0"/>
          <w:caps w:val="0"/>
          <w:sz w:val="20"/>
        </w:rPr>
        <w:t xml:space="preserve"> “Authors have declared that</w:t>
      </w:r>
      <w:r w:rsidR="007E3720" w:rsidRPr="00AA5485">
        <w:rPr>
          <w:rFonts w:ascii="Arial" w:hAnsi="Arial" w:cs="Arial"/>
          <w:b w:val="0"/>
          <w:caps w:val="0"/>
          <w:sz w:val="20"/>
        </w:rPr>
        <w:t xml:space="preserve"> no competing interests exist.”</w:t>
      </w:r>
    </w:p>
    <w:p w14:paraId="05D89EF1" w14:textId="77777777" w:rsidR="0098506C" w:rsidRDefault="0098506C" w:rsidP="00441B6F">
      <w:pPr>
        <w:pStyle w:val="ReferHead"/>
        <w:spacing w:after="0"/>
        <w:jc w:val="both"/>
        <w:rPr>
          <w:rFonts w:ascii="Arial" w:hAnsi="Arial" w:cs="Arial"/>
          <w:b w:val="0"/>
          <w:caps w:val="0"/>
          <w:sz w:val="20"/>
        </w:rPr>
      </w:pPr>
    </w:p>
    <w:p w14:paraId="212AD1FA" w14:textId="77777777" w:rsidR="0098506C" w:rsidRPr="00AA5485" w:rsidRDefault="0098506C" w:rsidP="00441B6F">
      <w:pPr>
        <w:pStyle w:val="ReferHead"/>
        <w:spacing w:after="0"/>
        <w:jc w:val="both"/>
        <w:rPr>
          <w:rFonts w:ascii="Arial" w:hAnsi="Arial" w:cs="Arial"/>
          <w:b w:val="0"/>
          <w:caps w:val="0"/>
          <w:sz w:val="20"/>
        </w:rPr>
      </w:pPr>
    </w:p>
    <w:p w14:paraId="3B557755" w14:textId="77777777" w:rsidR="00AA5485" w:rsidRPr="00AA5485" w:rsidRDefault="00AA5485" w:rsidP="00441B6F">
      <w:pPr>
        <w:pStyle w:val="ReferHead"/>
        <w:spacing w:after="0"/>
        <w:jc w:val="both"/>
        <w:rPr>
          <w:rFonts w:ascii="Arial" w:hAnsi="Arial" w:cs="Arial"/>
          <w:b w:val="0"/>
          <w:caps w:val="0"/>
          <w:sz w:val="20"/>
        </w:rPr>
      </w:pPr>
    </w:p>
    <w:p w14:paraId="7B064214" w14:textId="77777777" w:rsidR="0073728E" w:rsidRDefault="0073728E" w:rsidP="00AA5485">
      <w:pPr>
        <w:rPr>
          <w:rFonts w:ascii="Times New Roman" w:hAnsi="Times New Roman"/>
          <w:b/>
        </w:rPr>
      </w:pPr>
    </w:p>
    <w:p w14:paraId="37BF728D" w14:textId="77777777" w:rsidR="0073728E" w:rsidRDefault="0073728E" w:rsidP="00AA5485">
      <w:pPr>
        <w:rPr>
          <w:rFonts w:ascii="Times New Roman" w:hAnsi="Times New Roman"/>
          <w:b/>
        </w:rPr>
      </w:pPr>
    </w:p>
    <w:p w14:paraId="2C6613E6" w14:textId="77777777" w:rsidR="0073728E" w:rsidRDefault="0073728E" w:rsidP="00AA5485">
      <w:pPr>
        <w:rPr>
          <w:rFonts w:ascii="Times New Roman" w:hAnsi="Times New Roman"/>
          <w:b/>
        </w:rPr>
      </w:pPr>
    </w:p>
    <w:p w14:paraId="417B2439" w14:textId="77777777" w:rsidR="0073728E" w:rsidRDefault="0073728E" w:rsidP="00AA5485">
      <w:pPr>
        <w:rPr>
          <w:rFonts w:ascii="Times New Roman" w:hAnsi="Times New Roman"/>
          <w:b/>
        </w:rPr>
      </w:pPr>
    </w:p>
    <w:p w14:paraId="4FD12FB6" w14:textId="77777777" w:rsidR="0073728E" w:rsidRDefault="0073728E" w:rsidP="00AA5485">
      <w:pPr>
        <w:rPr>
          <w:rFonts w:ascii="Times New Roman" w:hAnsi="Times New Roman"/>
          <w:b/>
        </w:rPr>
      </w:pPr>
    </w:p>
    <w:p w14:paraId="58CFDAB5" w14:textId="2C29849C" w:rsidR="00AA5485" w:rsidRDefault="00AA5485" w:rsidP="00AA5485">
      <w:pPr>
        <w:rPr>
          <w:rFonts w:ascii="Times New Roman" w:hAnsi="Times New Roman"/>
          <w:b/>
        </w:rPr>
      </w:pPr>
      <w:r w:rsidRPr="00AA5485">
        <w:rPr>
          <w:rFonts w:ascii="Times New Roman" w:hAnsi="Times New Roman"/>
          <w:b/>
        </w:rPr>
        <w:lastRenderedPageBreak/>
        <w:t>Declaration of AI Use</w:t>
      </w:r>
    </w:p>
    <w:p w14:paraId="353BE7F0" w14:textId="77777777" w:rsidR="00CE4258" w:rsidRPr="00AA5485" w:rsidRDefault="00CE4258" w:rsidP="00AA5485">
      <w:pPr>
        <w:rPr>
          <w:rFonts w:ascii="Times New Roman" w:hAnsi="Times New Roman"/>
          <w:b/>
        </w:rPr>
      </w:pPr>
    </w:p>
    <w:p w14:paraId="2DC48233" w14:textId="67002A46" w:rsidR="00AA5485" w:rsidRPr="0073728E" w:rsidRDefault="0073728E" w:rsidP="00441B6F">
      <w:pPr>
        <w:pStyle w:val="ReferHead"/>
        <w:spacing w:after="0"/>
        <w:jc w:val="both"/>
        <w:rPr>
          <w:rFonts w:ascii="Arial" w:hAnsi="Arial" w:cs="Arial"/>
          <w:b w:val="0"/>
          <w:bCs/>
          <w:caps w:val="0"/>
          <w:sz w:val="20"/>
        </w:rPr>
      </w:pPr>
      <w:r w:rsidRPr="0073728E">
        <w:rPr>
          <w:b w:val="0"/>
          <w:bCs/>
          <w:caps w:val="0"/>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6C39932" w14:textId="77777777" w:rsidR="00371FB6" w:rsidRPr="00AA5485" w:rsidRDefault="00371FB6" w:rsidP="00441B6F">
      <w:pPr>
        <w:pStyle w:val="ReferHead"/>
        <w:spacing w:after="0"/>
        <w:jc w:val="both"/>
        <w:rPr>
          <w:rFonts w:ascii="Arial" w:hAnsi="Arial" w:cs="Arial"/>
          <w:b w:val="0"/>
          <w:caps w:val="0"/>
          <w:sz w:val="20"/>
        </w:rPr>
      </w:pPr>
    </w:p>
    <w:p w14:paraId="78D8F59E" w14:textId="77777777" w:rsidR="00790ADA" w:rsidRPr="00AA5485" w:rsidRDefault="00B01FCD" w:rsidP="00441B6F">
      <w:pPr>
        <w:pStyle w:val="ReferHead"/>
        <w:spacing w:after="0"/>
        <w:jc w:val="both"/>
        <w:rPr>
          <w:rFonts w:ascii="Arial" w:hAnsi="Arial" w:cs="Arial"/>
        </w:rPr>
      </w:pPr>
      <w:r w:rsidRPr="00AA5485">
        <w:rPr>
          <w:rFonts w:ascii="Arial" w:hAnsi="Arial" w:cs="Arial"/>
        </w:rPr>
        <w:t>References</w:t>
      </w:r>
    </w:p>
    <w:p w14:paraId="3653A22A" w14:textId="77777777" w:rsidR="007C5BBC" w:rsidRPr="00AA5485" w:rsidRDefault="007C5BBC" w:rsidP="00441B6F">
      <w:pPr>
        <w:pStyle w:val="ReferHead"/>
        <w:spacing w:after="0"/>
        <w:jc w:val="both"/>
        <w:rPr>
          <w:rFonts w:ascii="Arial" w:hAnsi="Arial" w:cs="Arial"/>
        </w:rPr>
      </w:pPr>
    </w:p>
    <w:p w14:paraId="4180F129" w14:textId="77777777" w:rsidR="00C95C72" w:rsidRPr="00AA5485" w:rsidRDefault="007C5BBC" w:rsidP="00C95C72">
      <w:pPr>
        <w:pStyle w:val="Bibliography"/>
        <w:jc w:val="both"/>
        <w:rPr>
          <w:rFonts w:ascii="Arial" w:hAnsi="Arial" w:cs="Arial"/>
        </w:rPr>
      </w:pPr>
      <w:proofErr w:type="spellStart"/>
      <w:r w:rsidRPr="00AA5485">
        <w:rPr>
          <w:rFonts w:ascii="Arial" w:hAnsi="Arial" w:cs="Arial"/>
        </w:rPr>
        <w:t>Abdelmoteleb</w:t>
      </w:r>
      <w:proofErr w:type="spellEnd"/>
      <w:r w:rsidRPr="00AA5485">
        <w:rPr>
          <w:rFonts w:ascii="Arial" w:hAnsi="Arial" w:cs="Arial"/>
        </w:rPr>
        <w:t xml:space="preserve"> A, Gonzalez-Mendoza D, Zayed O (2023) Cell-free culture filtrate of Trichoderma </w:t>
      </w:r>
      <w:proofErr w:type="spellStart"/>
      <w:r w:rsidRPr="00AA5485">
        <w:rPr>
          <w:rFonts w:ascii="Arial" w:hAnsi="Arial" w:cs="Arial"/>
        </w:rPr>
        <w:t>longibrachiatum</w:t>
      </w:r>
      <w:proofErr w:type="spellEnd"/>
      <w:r w:rsidRPr="00AA5485">
        <w:rPr>
          <w:rFonts w:ascii="Arial" w:hAnsi="Arial" w:cs="Arial"/>
        </w:rPr>
        <w:t xml:space="preserve"> AD-1 as alternative approach to control Fusarium </w:t>
      </w:r>
      <w:proofErr w:type="spellStart"/>
      <w:r w:rsidRPr="00AA5485">
        <w:rPr>
          <w:rFonts w:ascii="Arial" w:hAnsi="Arial" w:cs="Arial"/>
        </w:rPr>
        <w:t>solani</w:t>
      </w:r>
      <w:proofErr w:type="spellEnd"/>
      <w:r w:rsidRPr="00AA5485">
        <w:rPr>
          <w:rFonts w:ascii="Arial" w:hAnsi="Arial" w:cs="Arial"/>
        </w:rPr>
        <w:t xml:space="preserve"> and induce defense response Phaseolus vulgaris L. plants. Rhizosphere 25:100648. </w:t>
      </w:r>
      <w:hyperlink r:id="rId14" w:history="1">
        <w:r w:rsidR="00176585" w:rsidRPr="00AA5485">
          <w:rPr>
            <w:rStyle w:val="Hyperlink"/>
            <w:rFonts w:ascii="Arial" w:hAnsi="Arial" w:cs="Arial"/>
          </w:rPr>
          <w:t>https://doi.org/10.1016/j.rhisph.2022.100648</w:t>
        </w:r>
      </w:hyperlink>
    </w:p>
    <w:p w14:paraId="0AB08BD0" w14:textId="77777777" w:rsidR="007C5BBC" w:rsidRPr="00AA5485" w:rsidRDefault="007C5BBC" w:rsidP="007C5BBC">
      <w:pPr>
        <w:pStyle w:val="Bibliography"/>
        <w:jc w:val="both"/>
        <w:rPr>
          <w:rFonts w:ascii="Arial" w:hAnsi="Arial" w:cs="Arial"/>
        </w:rPr>
      </w:pPr>
      <w:r w:rsidRPr="00AA5485">
        <w:rPr>
          <w:rFonts w:ascii="Arial" w:hAnsi="Arial" w:cs="Arial"/>
        </w:rPr>
        <w:t xml:space="preserve">Aseel DG, Soliman SA, Al-Askar AA, </w:t>
      </w:r>
      <w:proofErr w:type="spellStart"/>
      <w:r w:rsidRPr="00AA5485">
        <w:rPr>
          <w:rFonts w:ascii="Arial" w:hAnsi="Arial" w:cs="Arial"/>
        </w:rPr>
        <w:t>Elkelish</w:t>
      </w:r>
      <w:proofErr w:type="spellEnd"/>
      <w:r w:rsidRPr="00AA5485">
        <w:rPr>
          <w:rFonts w:ascii="Arial" w:hAnsi="Arial" w:cs="Arial"/>
        </w:rPr>
        <w:t xml:space="preserve"> A, </w:t>
      </w:r>
      <w:proofErr w:type="spellStart"/>
      <w:r w:rsidRPr="00AA5485">
        <w:rPr>
          <w:rFonts w:ascii="Arial" w:hAnsi="Arial" w:cs="Arial"/>
        </w:rPr>
        <w:t>Elbeaino</w:t>
      </w:r>
      <w:proofErr w:type="spellEnd"/>
      <w:r w:rsidRPr="00AA5485">
        <w:rPr>
          <w:rFonts w:ascii="Arial" w:hAnsi="Arial" w:cs="Arial"/>
        </w:rPr>
        <w:t xml:space="preserve"> T, Abdelkhalek A (2023) Trichoderma viride Isolate Tvd44 Enhances Potato Growth and Stimulates the Defense System against Potato Virus Y. </w:t>
      </w:r>
      <w:proofErr w:type="spellStart"/>
      <w:r w:rsidRPr="00AA5485">
        <w:rPr>
          <w:rFonts w:ascii="Arial" w:hAnsi="Arial" w:cs="Arial"/>
        </w:rPr>
        <w:t>Horticulturae</w:t>
      </w:r>
      <w:proofErr w:type="spellEnd"/>
      <w:r w:rsidRPr="00AA5485">
        <w:rPr>
          <w:rFonts w:ascii="Arial" w:hAnsi="Arial" w:cs="Arial"/>
        </w:rPr>
        <w:t xml:space="preserve"> 9:716. </w:t>
      </w:r>
      <w:hyperlink r:id="rId15" w:history="1">
        <w:r w:rsidR="00C95C72" w:rsidRPr="00AA5485">
          <w:rPr>
            <w:rStyle w:val="Hyperlink"/>
            <w:rFonts w:ascii="Arial" w:hAnsi="Arial" w:cs="Arial"/>
          </w:rPr>
          <w:t>https://doi.org/10.3390/horticulturae9060716</w:t>
        </w:r>
      </w:hyperlink>
    </w:p>
    <w:p w14:paraId="31F05CD7" w14:textId="77777777" w:rsidR="00C95C72" w:rsidRPr="00AA5485" w:rsidRDefault="00C95C72" w:rsidP="00C95C72">
      <w:pPr>
        <w:widowControl w:val="0"/>
        <w:ind w:left="630" w:hanging="630"/>
        <w:jc w:val="both"/>
        <w:rPr>
          <w:rFonts w:ascii="Arial" w:eastAsia="Arial" w:hAnsi="Arial" w:cs="Arial"/>
          <w:lang w:bidi="ta-IN"/>
        </w:rPr>
      </w:pPr>
      <w:proofErr w:type="gramStart"/>
      <w:r w:rsidRPr="00AA5485">
        <w:rPr>
          <w:rFonts w:ascii="Arial" w:eastAsia="Arial" w:hAnsi="Arial" w:cs="Arial"/>
          <w:lang w:bidi="ta-IN"/>
        </w:rPr>
        <w:t>Balamurugan .K</w:t>
      </w:r>
      <w:proofErr w:type="gramEnd"/>
      <w:r w:rsidRPr="00AA5485">
        <w:rPr>
          <w:rFonts w:ascii="Arial" w:eastAsia="Arial" w:hAnsi="Arial" w:cs="Arial"/>
          <w:lang w:bidi="ta-IN"/>
        </w:rPr>
        <w:t xml:space="preserve">, Christopher D, Jaiganesh V (2025a) Molecular characterization and cross-pathogenicity analysis of Colletotrichum </w:t>
      </w:r>
      <w:proofErr w:type="spellStart"/>
      <w:r w:rsidRPr="00AA5485">
        <w:rPr>
          <w:rFonts w:ascii="Arial" w:eastAsia="Arial" w:hAnsi="Arial" w:cs="Arial"/>
          <w:lang w:bidi="ta-IN"/>
        </w:rPr>
        <w:t>gloeosporioides</w:t>
      </w:r>
      <w:proofErr w:type="spellEnd"/>
      <w:r w:rsidRPr="00AA5485">
        <w:rPr>
          <w:rFonts w:ascii="Arial" w:eastAsia="Arial" w:hAnsi="Arial" w:cs="Arial"/>
          <w:lang w:bidi="ta-IN"/>
        </w:rPr>
        <w:t xml:space="preserve"> (Penz.) Penz. &amp; </w:t>
      </w:r>
      <w:proofErr w:type="spellStart"/>
      <w:r w:rsidRPr="00AA5485">
        <w:rPr>
          <w:rFonts w:ascii="Arial" w:eastAsia="Arial" w:hAnsi="Arial" w:cs="Arial"/>
          <w:lang w:bidi="ta-IN"/>
        </w:rPr>
        <w:t>Sacc</w:t>
      </w:r>
      <w:proofErr w:type="spellEnd"/>
      <w:r w:rsidRPr="00AA5485">
        <w:rPr>
          <w:rFonts w:ascii="Arial" w:eastAsia="Arial" w:hAnsi="Arial" w:cs="Arial"/>
          <w:lang w:bidi="ta-IN"/>
        </w:rPr>
        <w:t xml:space="preserve">. associated with Mango anthracnose. Annals of Phytomedicine An International Journal 14. </w:t>
      </w:r>
      <w:hyperlink r:id="rId16" w:history="1">
        <w:r w:rsidRPr="00AA5485">
          <w:rPr>
            <w:rFonts w:ascii="Arial" w:eastAsia="Arial" w:hAnsi="Arial" w:cs="Arial"/>
            <w:color w:val="0000FF"/>
            <w:u w:val="single"/>
            <w:lang w:bidi="ta-IN"/>
          </w:rPr>
          <w:t>https://doi.org/10.54085/ap.2025.14.1.114</w:t>
        </w:r>
      </w:hyperlink>
    </w:p>
    <w:p w14:paraId="6D26795F" w14:textId="7902441C" w:rsidR="006E6500" w:rsidRDefault="00000000">
      <w:r>
        <w:rPr>
          <w:b/>
          <w:color w:val="FF0000"/>
        </w:rPr>
        <w:t>Please correct the author formatting and standardize the reference list according to the journal style.</w:t>
      </w:r>
    </w:p>
    <w:p w14:paraId="780B2679" w14:textId="77777777" w:rsidR="00C95C72" w:rsidRPr="00AA5485" w:rsidRDefault="00C95C72" w:rsidP="00C95C72">
      <w:pPr>
        <w:widowControl w:val="0"/>
        <w:ind w:left="630" w:hanging="630"/>
        <w:jc w:val="both"/>
        <w:rPr>
          <w:rFonts w:ascii="Arial" w:eastAsia="Arial" w:hAnsi="Arial" w:cs="Arial"/>
          <w:lang w:bidi="ta-IN"/>
        </w:rPr>
      </w:pPr>
    </w:p>
    <w:p w14:paraId="5ECFDEA0" w14:textId="77777777" w:rsidR="00C95C72" w:rsidRPr="00AA5485" w:rsidRDefault="00C95C72" w:rsidP="00C95C72">
      <w:pPr>
        <w:widowControl w:val="0"/>
        <w:ind w:left="630" w:hanging="630"/>
        <w:jc w:val="both"/>
        <w:rPr>
          <w:rFonts w:ascii="Arial" w:eastAsia="Arial" w:hAnsi="Arial" w:cs="Arial"/>
          <w:lang w:bidi="ta-IN"/>
        </w:rPr>
      </w:pPr>
      <w:proofErr w:type="gramStart"/>
      <w:r w:rsidRPr="00AA5485">
        <w:rPr>
          <w:rFonts w:ascii="Arial" w:eastAsia="Arial" w:hAnsi="Arial" w:cs="Arial"/>
          <w:lang w:bidi="ta-IN"/>
        </w:rPr>
        <w:t>Balamurugan .K</w:t>
      </w:r>
      <w:proofErr w:type="gramEnd"/>
      <w:r w:rsidRPr="00AA5485">
        <w:rPr>
          <w:rFonts w:ascii="Arial" w:eastAsia="Arial" w:hAnsi="Arial" w:cs="Arial"/>
          <w:lang w:bidi="ta-IN"/>
        </w:rPr>
        <w:t xml:space="preserve">, Christopher D, Jaiganesh V (2025b) Exploring Streptomyces </w:t>
      </w:r>
      <w:proofErr w:type="spellStart"/>
      <w:r w:rsidRPr="00AA5485">
        <w:rPr>
          <w:rFonts w:ascii="Arial" w:eastAsia="Arial" w:hAnsi="Arial" w:cs="Arial"/>
          <w:lang w:bidi="ta-IN"/>
        </w:rPr>
        <w:t>albofaciens</w:t>
      </w:r>
      <w:proofErr w:type="spellEnd"/>
      <w:r w:rsidRPr="00AA5485">
        <w:rPr>
          <w:rFonts w:ascii="Arial" w:eastAsia="Arial" w:hAnsi="Arial" w:cs="Arial"/>
          <w:lang w:bidi="ta-IN"/>
        </w:rPr>
        <w:t xml:space="preserve"> for the Sustainable Management of Mango Anthracnose. Journal of Advances in Biology &amp; Biotechnology 28:636–645. </w:t>
      </w:r>
      <w:hyperlink r:id="rId17" w:history="1">
        <w:r w:rsidRPr="00AA5485">
          <w:rPr>
            <w:rFonts w:ascii="Arial" w:eastAsia="Arial" w:hAnsi="Arial" w:cs="Arial"/>
            <w:color w:val="0000FF"/>
            <w:u w:val="single"/>
            <w:lang w:bidi="ta-IN"/>
          </w:rPr>
          <w:t>https://doi.org/10.9734/jabb/2025/v28i82737</w:t>
        </w:r>
      </w:hyperlink>
    </w:p>
    <w:p w14:paraId="679C84E7" w14:textId="77777777" w:rsidR="00C95C72" w:rsidRPr="00AA5485" w:rsidRDefault="00C95C72" w:rsidP="00C95C72"/>
    <w:p w14:paraId="7AA37784" w14:textId="77777777" w:rsidR="007C5BBC" w:rsidRPr="00AA5485" w:rsidRDefault="007C5BBC" w:rsidP="007C5BBC">
      <w:pPr>
        <w:pStyle w:val="Bibliography"/>
        <w:jc w:val="both"/>
        <w:rPr>
          <w:rFonts w:ascii="Arial" w:hAnsi="Arial" w:cs="Arial"/>
        </w:rPr>
      </w:pPr>
      <w:r w:rsidRPr="00AA5485">
        <w:rPr>
          <w:rFonts w:ascii="Arial" w:hAnsi="Arial" w:cs="Arial"/>
        </w:rPr>
        <w:t xml:space="preserve">Biswas SK, Anik TR, Adhikary S, Kundu M, Sultana F, </w:t>
      </w:r>
      <w:proofErr w:type="spellStart"/>
      <w:r w:rsidRPr="00AA5485">
        <w:rPr>
          <w:rFonts w:ascii="Arial" w:hAnsi="Arial" w:cs="Arial"/>
        </w:rPr>
        <w:t>Mostofa</w:t>
      </w:r>
      <w:proofErr w:type="spellEnd"/>
      <w:r w:rsidRPr="00AA5485">
        <w:rPr>
          <w:rFonts w:ascii="Arial" w:hAnsi="Arial" w:cs="Arial"/>
        </w:rPr>
        <w:t xml:space="preserve"> MG, Hossain </w:t>
      </w:r>
      <w:proofErr w:type="spellStart"/>
      <w:r w:rsidRPr="00AA5485">
        <w:rPr>
          <w:rFonts w:ascii="Arial" w:hAnsi="Arial" w:cs="Arial"/>
        </w:rPr>
        <w:t>MdM</w:t>
      </w:r>
      <w:proofErr w:type="spellEnd"/>
      <w:r w:rsidRPr="00AA5485">
        <w:rPr>
          <w:rFonts w:ascii="Arial" w:hAnsi="Arial" w:cs="Arial"/>
        </w:rPr>
        <w:t xml:space="preserve"> (2026) From Infection to Adaptation: Sclerotium </w:t>
      </w:r>
      <w:proofErr w:type="spellStart"/>
      <w:r w:rsidRPr="00AA5485">
        <w:rPr>
          <w:rFonts w:ascii="Arial" w:hAnsi="Arial" w:cs="Arial"/>
        </w:rPr>
        <w:t>rolfsii</w:t>
      </w:r>
      <w:proofErr w:type="spellEnd"/>
      <w:r w:rsidRPr="00AA5485">
        <w:rPr>
          <w:rFonts w:ascii="Arial" w:hAnsi="Arial" w:cs="Arial"/>
        </w:rPr>
        <w:t xml:space="preserve">-Induced Stress and Defense in Tomato. Stresses 6:35. </w:t>
      </w:r>
      <w:hyperlink r:id="rId18" w:history="1">
        <w:r w:rsidR="00C95C72" w:rsidRPr="00AA5485">
          <w:rPr>
            <w:rStyle w:val="Hyperlink"/>
            <w:rFonts w:ascii="Arial" w:hAnsi="Arial" w:cs="Arial"/>
          </w:rPr>
          <w:t>https://doi.org/10.3390/stresses6020035</w:t>
        </w:r>
      </w:hyperlink>
    </w:p>
    <w:p w14:paraId="6C2D0ED8" w14:textId="77777777" w:rsidR="00C95C72" w:rsidRPr="00AA5485" w:rsidRDefault="007C5BBC" w:rsidP="00C95C72">
      <w:pPr>
        <w:pStyle w:val="Bibliography"/>
        <w:jc w:val="both"/>
        <w:rPr>
          <w:rFonts w:ascii="Arial" w:hAnsi="Arial" w:cs="Arial"/>
        </w:rPr>
      </w:pPr>
      <w:r w:rsidRPr="00AA5485">
        <w:rPr>
          <w:rFonts w:ascii="Arial" w:hAnsi="Arial" w:cs="Arial"/>
        </w:rPr>
        <w:t xml:space="preserve">Chandra S (2024) In vitro screening of Trichoderma species against Sclerotium </w:t>
      </w:r>
      <w:proofErr w:type="spellStart"/>
      <w:r w:rsidRPr="00AA5485">
        <w:rPr>
          <w:rFonts w:ascii="Arial" w:hAnsi="Arial" w:cs="Arial"/>
        </w:rPr>
        <w:t>rolfsii</w:t>
      </w:r>
      <w:proofErr w:type="spellEnd"/>
      <w:r w:rsidRPr="00AA5485">
        <w:rPr>
          <w:rFonts w:ascii="Arial" w:hAnsi="Arial" w:cs="Arial"/>
        </w:rPr>
        <w:t xml:space="preserve"> </w:t>
      </w:r>
      <w:proofErr w:type="spellStart"/>
      <w:r w:rsidRPr="00AA5485">
        <w:rPr>
          <w:rFonts w:ascii="Arial" w:hAnsi="Arial" w:cs="Arial"/>
        </w:rPr>
        <w:t>Sacc</w:t>
      </w:r>
      <w:proofErr w:type="spellEnd"/>
      <w:r w:rsidRPr="00AA5485">
        <w:rPr>
          <w:rFonts w:ascii="Arial" w:hAnsi="Arial" w:cs="Arial"/>
        </w:rPr>
        <w:t xml:space="preserve">. for antagonism. Journal of Progressive Science 15:14–21. </w:t>
      </w:r>
      <w:hyperlink r:id="rId19" w:history="1">
        <w:r w:rsidR="00176585" w:rsidRPr="00AA5485">
          <w:rPr>
            <w:rStyle w:val="Hyperlink"/>
            <w:rFonts w:ascii="Arial" w:hAnsi="Arial" w:cs="Arial"/>
          </w:rPr>
          <w:t>https://doi.org/10.21590/h642vm48</w:t>
        </w:r>
      </w:hyperlink>
    </w:p>
    <w:p w14:paraId="179F531B" w14:textId="77777777" w:rsidR="007C5BBC" w:rsidRPr="00AA5485" w:rsidRDefault="007C5BBC" w:rsidP="007C5BBC">
      <w:pPr>
        <w:pStyle w:val="Bibliography"/>
        <w:jc w:val="both"/>
        <w:rPr>
          <w:rFonts w:ascii="Arial" w:hAnsi="Arial" w:cs="Arial"/>
        </w:rPr>
      </w:pPr>
      <w:r w:rsidRPr="00AA5485">
        <w:rPr>
          <w:rFonts w:ascii="Arial" w:hAnsi="Arial" w:cs="Arial"/>
        </w:rPr>
        <w:t xml:space="preserve">Dhar A, Sengupta K, Dey S, Sarkar S, Garai S, Ghosh A, Kar S, Adak S, Jana S, Majumdar A, Tripathi S, </w:t>
      </w:r>
      <w:proofErr w:type="spellStart"/>
      <w:r w:rsidRPr="00AA5485">
        <w:rPr>
          <w:rFonts w:ascii="Arial" w:hAnsi="Arial" w:cs="Arial"/>
        </w:rPr>
        <w:t>Moulick</w:t>
      </w:r>
      <w:proofErr w:type="spellEnd"/>
      <w:r w:rsidRPr="00AA5485">
        <w:rPr>
          <w:rFonts w:ascii="Arial" w:hAnsi="Arial" w:cs="Arial"/>
        </w:rPr>
        <w:t xml:space="preserve"> D (2025) Efficacy of seed priming and foliar application of seaweed extracts on the performance of summer mung bean [(Vigna radiata (L.) Wilczek]. Sci Rep 15:42524. </w:t>
      </w:r>
      <w:hyperlink r:id="rId20" w:history="1">
        <w:r w:rsidR="00176585" w:rsidRPr="00AA5485">
          <w:rPr>
            <w:rStyle w:val="Hyperlink"/>
            <w:rFonts w:ascii="Arial" w:hAnsi="Arial" w:cs="Arial"/>
          </w:rPr>
          <w:t>https://doi.org/10.1038/s41598-025-26544-6</w:t>
        </w:r>
      </w:hyperlink>
    </w:p>
    <w:p w14:paraId="5643F62B" w14:textId="77777777" w:rsidR="007C5BBC" w:rsidRPr="00AA5485" w:rsidRDefault="007C5BBC" w:rsidP="00A20220">
      <w:pPr>
        <w:pStyle w:val="Bibliography"/>
        <w:jc w:val="both"/>
        <w:rPr>
          <w:rFonts w:ascii="Arial" w:hAnsi="Arial" w:cs="Arial"/>
        </w:rPr>
      </w:pPr>
      <w:r w:rsidRPr="00AA5485">
        <w:rPr>
          <w:rFonts w:ascii="Arial" w:hAnsi="Arial" w:cs="Arial"/>
        </w:rPr>
        <w:t xml:space="preserve">Hossain MM, Sultana F, Mostafa M, </w:t>
      </w:r>
      <w:proofErr w:type="spellStart"/>
      <w:r w:rsidRPr="00AA5485">
        <w:rPr>
          <w:rFonts w:ascii="Arial" w:hAnsi="Arial" w:cs="Arial"/>
        </w:rPr>
        <w:t>Rubayet</w:t>
      </w:r>
      <w:proofErr w:type="spellEnd"/>
      <w:r w:rsidRPr="00AA5485">
        <w:rPr>
          <w:rFonts w:ascii="Arial" w:hAnsi="Arial" w:cs="Arial"/>
        </w:rPr>
        <w:t xml:space="preserve"> MT, Mishu NJ, Khan I, </w:t>
      </w:r>
      <w:proofErr w:type="spellStart"/>
      <w:r w:rsidRPr="00AA5485">
        <w:rPr>
          <w:rFonts w:ascii="Arial" w:hAnsi="Arial" w:cs="Arial"/>
        </w:rPr>
        <w:t>Mostofa</w:t>
      </w:r>
      <w:proofErr w:type="spellEnd"/>
      <w:r w:rsidRPr="00AA5485">
        <w:rPr>
          <w:rFonts w:ascii="Arial" w:hAnsi="Arial" w:cs="Arial"/>
        </w:rPr>
        <w:t xml:space="preserve"> MG (2025) Biological Management of Soil-Borne Pathogens Through Tripartite Rhizosphere Interactions with Plant Growth-Promoting Fungi. Applied Microbiology 5:123. </w:t>
      </w:r>
      <w:hyperlink r:id="rId21" w:history="1">
        <w:r w:rsidR="00176585" w:rsidRPr="00AA5485">
          <w:rPr>
            <w:rStyle w:val="Hyperlink"/>
            <w:rFonts w:ascii="Arial" w:hAnsi="Arial" w:cs="Arial"/>
          </w:rPr>
          <w:t>https://doi.org/10.3390/applmicrobiol5040123</w:t>
        </w:r>
      </w:hyperlink>
    </w:p>
    <w:p w14:paraId="0847B4C7" w14:textId="77777777" w:rsidR="007C5BBC" w:rsidRPr="00AA5485" w:rsidRDefault="007C5BBC" w:rsidP="00A20220">
      <w:pPr>
        <w:pStyle w:val="Bibliography"/>
        <w:jc w:val="both"/>
        <w:rPr>
          <w:rFonts w:ascii="Arial" w:hAnsi="Arial" w:cs="Arial"/>
        </w:rPr>
      </w:pPr>
      <w:r w:rsidRPr="00AA5485">
        <w:rPr>
          <w:rFonts w:ascii="Arial" w:hAnsi="Arial" w:cs="Arial"/>
        </w:rPr>
        <w:t xml:space="preserve">Kadiyala MDM, Nedumaran S, Padmanabhan J, Gumma MK, Gummadi S, </w:t>
      </w:r>
      <w:proofErr w:type="spellStart"/>
      <w:r w:rsidRPr="00AA5485">
        <w:rPr>
          <w:rFonts w:ascii="Arial" w:hAnsi="Arial" w:cs="Arial"/>
        </w:rPr>
        <w:t>Srigiri</w:t>
      </w:r>
      <w:proofErr w:type="spellEnd"/>
      <w:r w:rsidRPr="00AA5485">
        <w:rPr>
          <w:rFonts w:ascii="Arial" w:hAnsi="Arial" w:cs="Arial"/>
        </w:rPr>
        <w:t xml:space="preserve"> SR, Robertson R, Whitbread A (2021) Modeling the potential impacts of climate change and adaptation strategies on groundnut production in India. Science of The Total Environment 776:145996. </w:t>
      </w:r>
      <w:hyperlink r:id="rId22" w:history="1">
        <w:r w:rsidR="00176585" w:rsidRPr="00AA5485">
          <w:rPr>
            <w:rStyle w:val="Hyperlink"/>
            <w:rFonts w:ascii="Arial" w:hAnsi="Arial" w:cs="Arial"/>
          </w:rPr>
          <w:t>https://doi.org/10.1016/j.scitotenv.2021.145996</w:t>
        </w:r>
      </w:hyperlink>
    </w:p>
    <w:p w14:paraId="41EEF203" w14:textId="77777777" w:rsidR="007C5BBC" w:rsidRPr="00AA5485" w:rsidRDefault="007C5BBC" w:rsidP="00A20220">
      <w:pPr>
        <w:pStyle w:val="Bibliography"/>
        <w:jc w:val="both"/>
        <w:rPr>
          <w:rFonts w:ascii="Arial" w:hAnsi="Arial" w:cs="Arial"/>
        </w:rPr>
      </w:pPr>
      <w:proofErr w:type="spellStart"/>
      <w:r w:rsidRPr="00AA5485">
        <w:rPr>
          <w:rFonts w:ascii="Arial" w:hAnsi="Arial" w:cs="Arial"/>
        </w:rPr>
        <w:t>Kharkwal</w:t>
      </w:r>
      <w:proofErr w:type="spellEnd"/>
      <w:r w:rsidRPr="00AA5485">
        <w:rPr>
          <w:rFonts w:ascii="Arial" w:hAnsi="Arial" w:cs="Arial"/>
        </w:rPr>
        <w:t xml:space="preserve"> AC, Joshi H, Shandilya C, Dabral S, Kumar N, Varma A (2024) Isolation and characterization of a newly discovered plant growth-promoting endophytic fungal strain from the genus </w:t>
      </w:r>
      <w:proofErr w:type="spellStart"/>
      <w:r w:rsidRPr="00AA5485">
        <w:rPr>
          <w:rFonts w:ascii="Arial" w:hAnsi="Arial" w:cs="Arial"/>
        </w:rPr>
        <w:t>Talaromyces</w:t>
      </w:r>
      <w:proofErr w:type="spellEnd"/>
      <w:r w:rsidRPr="00AA5485">
        <w:rPr>
          <w:rFonts w:ascii="Arial" w:hAnsi="Arial" w:cs="Arial"/>
        </w:rPr>
        <w:t xml:space="preserve">. Sci Rep 14:6022. </w:t>
      </w:r>
      <w:hyperlink r:id="rId23" w:history="1">
        <w:r w:rsidR="00176585" w:rsidRPr="00AA5485">
          <w:rPr>
            <w:rStyle w:val="Hyperlink"/>
            <w:rFonts w:ascii="Arial" w:hAnsi="Arial" w:cs="Arial"/>
          </w:rPr>
          <w:t>https://doi.org/10.1038/s41598-024-54687-5</w:t>
        </w:r>
      </w:hyperlink>
      <w:r w:rsidR="00176585" w:rsidRPr="00AA5485">
        <w:rPr>
          <w:rFonts w:ascii="Arial" w:hAnsi="Arial" w:cs="Arial"/>
        </w:rPr>
        <w:t xml:space="preserve"> </w:t>
      </w:r>
    </w:p>
    <w:p w14:paraId="06C72E04" w14:textId="77777777" w:rsidR="007C5BBC" w:rsidRPr="00AA5485" w:rsidRDefault="007C5BBC" w:rsidP="00A20220">
      <w:pPr>
        <w:pStyle w:val="Bibliography"/>
        <w:jc w:val="both"/>
        <w:rPr>
          <w:rFonts w:ascii="Arial" w:hAnsi="Arial" w:cs="Arial"/>
        </w:rPr>
      </w:pPr>
      <w:proofErr w:type="spellStart"/>
      <w:r w:rsidRPr="00AA5485">
        <w:rPr>
          <w:rFonts w:ascii="Arial" w:hAnsi="Arial" w:cs="Arial"/>
        </w:rPr>
        <w:t>Manathunga</w:t>
      </w:r>
      <w:proofErr w:type="spellEnd"/>
      <w:r w:rsidRPr="00AA5485">
        <w:rPr>
          <w:rFonts w:ascii="Arial" w:hAnsi="Arial" w:cs="Arial"/>
        </w:rPr>
        <w:t xml:space="preserve"> KK, Gunasekara NW, </w:t>
      </w:r>
      <w:proofErr w:type="spellStart"/>
      <w:r w:rsidRPr="00AA5485">
        <w:rPr>
          <w:rFonts w:ascii="Arial" w:hAnsi="Arial" w:cs="Arial"/>
        </w:rPr>
        <w:t>Meegahakumbura</w:t>
      </w:r>
      <w:proofErr w:type="spellEnd"/>
      <w:r w:rsidRPr="00AA5485">
        <w:rPr>
          <w:rFonts w:ascii="Arial" w:hAnsi="Arial" w:cs="Arial"/>
        </w:rPr>
        <w:t xml:space="preserve"> MK, </w:t>
      </w:r>
      <w:proofErr w:type="spellStart"/>
      <w:r w:rsidRPr="00AA5485">
        <w:rPr>
          <w:rFonts w:ascii="Arial" w:hAnsi="Arial" w:cs="Arial"/>
        </w:rPr>
        <w:t>Ratnaweera</w:t>
      </w:r>
      <w:proofErr w:type="spellEnd"/>
      <w:r w:rsidRPr="00AA5485">
        <w:rPr>
          <w:rFonts w:ascii="Arial" w:hAnsi="Arial" w:cs="Arial"/>
        </w:rPr>
        <w:t xml:space="preserve"> PB, Faraj TK, </w:t>
      </w:r>
      <w:proofErr w:type="spellStart"/>
      <w:r w:rsidRPr="00AA5485">
        <w:rPr>
          <w:rFonts w:ascii="Arial" w:hAnsi="Arial" w:cs="Arial"/>
        </w:rPr>
        <w:t>Wanasinghe</w:t>
      </w:r>
      <w:proofErr w:type="spellEnd"/>
      <w:r w:rsidRPr="00AA5485">
        <w:rPr>
          <w:rFonts w:ascii="Arial" w:hAnsi="Arial" w:cs="Arial"/>
        </w:rPr>
        <w:t xml:space="preserve"> DN (2024) Exploring Endophytic Fungi as Natural Antagonists against Fungal Pathogens of Food Crops. Journal of Fungi 10:606. </w:t>
      </w:r>
      <w:hyperlink r:id="rId24" w:history="1">
        <w:r w:rsidR="00176585" w:rsidRPr="00AA5485">
          <w:rPr>
            <w:rStyle w:val="Hyperlink"/>
            <w:rFonts w:ascii="Arial" w:hAnsi="Arial" w:cs="Arial"/>
          </w:rPr>
          <w:t>https://doi.org/10.3390/jof10090606</w:t>
        </w:r>
      </w:hyperlink>
    </w:p>
    <w:p w14:paraId="223D0986" w14:textId="77777777" w:rsidR="007C5BBC" w:rsidRPr="00AA5485" w:rsidRDefault="007C5BBC" w:rsidP="00A20220">
      <w:pPr>
        <w:pStyle w:val="Bibliography"/>
        <w:jc w:val="both"/>
        <w:rPr>
          <w:rFonts w:ascii="Arial" w:hAnsi="Arial" w:cs="Arial"/>
        </w:rPr>
      </w:pPr>
      <w:r w:rsidRPr="00AA5485">
        <w:rPr>
          <w:rFonts w:ascii="Arial" w:hAnsi="Arial" w:cs="Arial"/>
        </w:rPr>
        <w:t xml:space="preserve">Meena PN, Meena AK, Tiwari RK, Lal MK, Kumar R (2024) Biological Control of Stem Rot of Groundnut Induced by Sclerotium </w:t>
      </w:r>
      <w:proofErr w:type="spellStart"/>
      <w:r w:rsidRPr="00AA5485">
        <w:rPr>
          <w:rFonts w:ascii="Arial" w:hAnsi="Arial" w:cs="Arial"/>
        </w:rPr>
        <w:t>rolfsii</w:t>
      </w:r>
      <w:proofErr w:type="spellEnd"/>
      <w:r w:rsidRPr="00AA5485">
        <w:rPr>
          <w:rFonts w:ascii="Arial" w:hAnsi="Arial" w:cs="Arial"/>
        </w:rPr>
        <w:t xml:space="preserve"> </w:t>
      </w:r>
      <w:proofErr w:type="spellStart"/>
      <w:r w:rsidRPr="00AA5485">
        <w:rPr>
          <w:rFonts w:ascii="Arial" w:hAnsi="Arial" w:cs="Arial"/>
        </w:rPr>
        <w:t>sacc</w:t>
      </w:r>
      <w:proofErr w:type="spellEnd"/>
      <w:r w:rsidRPr="00AA5485">
        <w:rPr>
          <w:rFonts w:ascii="Arial" w:hAnsi="Arial" w:cs="Arial"/>
        </w:rPr>
        <w:t xml:space="preserve">. Pathogens 13:632. </w:t>
      </w:r>
      <w:hyperlink r:id="rId25" w:history="1">
        <w:r w:rsidR="00176585" w:rsidRPr="00AA5485">
          <w:rPr>
            <w:rStyle w:val="Hyperlink"/>
            <w:rFonts w:ascii="Arial" w:hAnsi="Arial" w:cs="Arial"/>
          </w:rPr>
          <w:t>https://doi.org/10.3390/pathogens13080632</w:t>
        </w:r>
      </w:hyperlink>
    </w:p>
    <w:p w14:paraId="1AA32AC1" w14:textId="77777777" w:rsidR="00964E0E" w:rsidRPr="00AA5485" w:rsidRDefault="00964E0E" w:rsidP="00964E0E"/>
    <w:p w14:paraId="00ABF620" w14:textId="77777777" w:rsidR="007C5BBC" w:rsidRPr="00AA5485" w:rsidRDefault="007C5BBC" w:rsidP="00A20220">
      <w:pPr>
        <w:pStyle w:val="Bibliography"/>
        <w:jc w:val="both"/>
        <w:rPr>
          <w:rFonts w:ascii="Arial" w:hAnsi="Arial" w:cs="Arial"/>
        </w:rPr>
      </w:pPr>
      <w:r w:rsidRPr="00AA5485">
        <w:rPr>
          <w:rFonts w:ascii="Arial" w:hAnsi="Arial" w:cs="Arial"/>
        </w:rPr>
        <w:t xml:space="preserve">Parmar S, Sharma V, </w:t>
      </w:r>
      <w:proofErr w:type="spellStart"/>
      <w:r w:rsidRPr="00AA5485">
        <w:rPr>
          <w:rFonts w:ascii="Arial" w:hAnsi="Arial" w:cs="Arial"/>
        </w:rPr>
        <w:t>Bomireddy</w:t>
      </w:r>
      <w:proofErr w:type="spellEnd"/>
      <w:r w:rsidRPr="00AA5485">
        <w:rPr>
          <w:rFonts w:ascii="Arial" w:hAnsi="Arial" w:cs="Arial"/>
        </w:rPr>
        <w:t xml:space="preserve"> D, Soni P, Joshi P, Gangurde SS, Wang J, Bera SK, Bhat RS, </w:t>
      </w:r>
      <w:proofErr w:type="spellStart"/>
      <w:r w:rsidRPr="00AA5485">
        <w:rPr>
          <w:rFonts w:ascii="Arial" w:hAnsi="Arial" w:cs="Arial"/>
        </w:rPr>
        <w:t>Desmae</w:t>
      </w:r>
      <w:proofErr w:type="spellEnd"/>
      <w:r w:rsidRPr="00AA5485">
        <w:rPr>
          <w:rFonts w:ascii="Arial" w:hAnsi="Arial" w:cs="Arial"/>
        </w:rPr>
        <w:t xml:space="preserve"> H, </w:t>
      </w:r>
      <w:proofErr w:type="spellStart"/>
      <w:r w:rsidRPr="00AA5485">
        <w:rPr>
          <w:rFonts w:ascii="Arial" w:hAnsi="Arial" w:cs="Arial"/>
        </w:rPr>
        <w:t>Shirasawa</w:t>
      </w:r>
      <w:proofErr w:type="spellEnd"/>
      <w:r w:rsidRPr="00AA5485">
        <w:rPr>
          <w:rFonts w:ascii="Arial" w:hAnsi="Arial" w:cs="Arial"/>
        </w:rPr>
        <w:t xml:space="preserve"> K, Guo B, Varshney RK, Pandey MK (2022) Recent Advances in Genetics, Genomics, and Breeding for Nutritional </w:t>
      </w:r>
      <w:r w:rsidRPr="00AA5485">
        <w:rPr>
          <w:rFonts w:ascii="Arial" w:hAnsi="Arial" w:cs="Arial"/>
        </w:rPr>
        <w:lastRenderedPageBreak/>
        <w:t>Quality in Groundnut. In: Gosal SS, Wani SH (eds) Accelerated Plant Breeding, Volume 4: Oil Crops. Springer International Publishing, Cham, pp 111–137</w:t>
      </w:r>
    </w:p>
    <w:p w14:paraId="600DCC17" w14:textId="77777777" w:rsidR="007C5BBC" w:rsidRPr="00AA5485" w:rsidRDefault="007C5BBC" w:rsidP="007C5BBC">
      <w:pPr>
        <w:pStyle w:val="Bibliography"/>
        <w:jc w:val="both"/>
        <w:rPr>
          <w:rFonts w:ascii="Arial" w:hAnsi="Arial" w:cs="Arial"/>
        </w:rPr>
      </w:pPr>
      <w:proofErr w:type="spellStart"/>
      <w:r w:rsidRPr="00AA5485">
        <w:rPr>
          <w:rFonts w:ascii="Arial" w:hAnsi="Arial" w:cs="Arial"/>
        </w:rPr>
        <w:t>Sarrocco</w:t>
      </w:r>
      <w:proofErr w:type="spellEnd"/>
      <w:r w:rsidRPr="00AA5485">
        <w:rPr>
          <w:rFonts w:ascii="Arial" w:hAnsi="Arial" w:cs="Arial"/>
        </w:rPr>
        <w:t xml:space="preserve"> S, Vicente I, Staropoli A, </w:t>
      </w:r>
      <w:proofErr w:type="spellStart"/>
      <w:r w:rsidRPr="00AA5485">
        <w:rPr>
          <w:rFonts w:ascii="Arial" w:hAnsi="Arial" w:cs="Arial"/>
        </w:rPr>
        <w:t>Vinale</w:t>
      </w:r>
      <w:proofErr w:type="spellEnd"/>
      <w:r w:rsidRPr="00AA5485">
        <w:rPr>
          <w:rFonts w:ascii="Arial" w:hAnsi="Arial" w:cs="Arial"/>
        </w:rPr>
        <w:t xml:space="preserve"> F (2022) Genes Involved in the Secondary Metabolism of Trichoderma and the Biochemistry of These Compounds. In: </w:t>
      </w:r>
      <w:proofErr w:type="spellStart"/>
      <w:r w:rsidRPr="00AA5485">
        <w:rPr>
          <w:rFonts w:ascii="Arial" w:hAnsi="Arial" w:cs="Arial"/>
        </w:rPr>
        <w:t>Amaresan</w:t>
      </w:r>
      <w:proofErr w:type="spellEnd"/>
      <w:r w:rsidRPr="00AA5485">
        <w:rPr>
          <w:rFonts w:ascii="Arial" w:hAnsi="Arial" w:cs="Arial"/>
        </w:rPr>
        <w:t xml:space="preserve"> N, Sankaranarayanan A, Dwivedi MK, Druzhinina IS (eds) Advances in Trichoderma Biology for Agricultural Applications. Springer International Publishing, Cham, pp 113–135</w:t>
      </w:r>
    </w:p>
    <w:p w14:paraId="0C5B7D7B" w14:textId="77777777" w:rsidR="007C5BBC" w:rsidRPr="00AA5485" w:rsidRDefault="007C5BBC" w:rsidP="00441B6F">
      <w:pPr>
        <w:pStyle w:val="ReferHead"/>
        <w:spacing w:after="0"/>
        <w:jc w:val="both"/>
        <w:rPr>
          <w:rFonts w:ascii="Arial" w:hAnsi="Arial" w:cs="Arial"/>
          <w:sz w:val="20"/>
        </w:rPr>
      </w:pPr>
    </w:p>
    <w:p w14:paraId="2CE97E93" w14:textId="77777777" w:rsidR="001F6921" w:rsidRPr="00AA5485" w:rsidRDefault="00000000">
      <w:pPr>
        <w:pStyle w:val="Bibliography"/>
      </w:pPr>
      <w:r w:rsidRPr="00AA5485">
        <w:rPr>
          <w:rFonts w:ascii="Arial" w:hAnsi="Arial"/>
        </w:rPr>
        <w:t xml:space="preserve">Chan, M. E., Tan, J. Y., Lee, Y. Y., Lee, D., Fong, Y. K., </w:t>
      </w:r>
      <w:proofErr w:type="spellStart"/>
      <w:r w:rsidRPr="00AA5485">
        <w:rPr>
          <w:rFonts w:ascii="Arial" w:hAnsi="Arial"/>
        </w:rPr>
        <w:t>Mutwil</w:t>
      </w:r>
      <w:proofErr w:type="spellEnd"/>
      <w:r w:rsidRPr="00AA5485">
        <w:rPr>
          <w:rFonts w:ascii="Arial" w:hAnsi="Arial"/>
        </w:rPr>
        <w:t xml:space="preserve">, M., Wong, J. Y., &amp; Hong, Y. (2023). Locally isolated </w:t>
      </w:r>
      <w:r w:rsidRPr="00AA5485">
        <w:rPr>
          <w:rFonts w:ascii="Arial" w:hAnsi="Arial"/>
          <w:i/>
        </w:rPr>
        <w:t xml:space="preserve">Trichoderma </w:t>
      </w:r>
      <w:proofErr w:type="spellStart"/>
      <w:r w:rsidRPr="00AA5485">
        <w:rPr>
          <w:rFonts w:ascii="Arial" w:hAnsi="Arial"/>
          <w:i/>
        </w:rPr>
        <w:t>harzianum</w:t>
      </w:r>
      <w:proofErr w:type="spellEnd"/>
      <w:r w:rsidRPr="00AA5485">
        <w:rPr>
          <w:rFonts w:ascii="Arial" w:hAnsi="Arial"/>
        </w:rPr>
        <w:t xml:space="preserve"> species have broad spectrum biocontrol activities against the wood rot fungal species through both volatile inhibition and mycoparasitism. </w:t>
      </w:r>
      <w:r w:rsidRPr="00AA5485">
        <w:rPr>
          <w:rFonts w:ascii="Arial" w:hAnsi="Arial"/>
          <w:i/>
        </w:rPr>
        <w:t>Journal of Fungi, 9</w:t>
      </w:r>
      <w:r w:rsidRPr="00AA5485">
        <w:rPr>
          <w:rFonts w:ascii="Arial" w:hAnsi="Arial"/>
        </w:rPr>
        <w:t xml:space="preserve">(6), 675. </w:t>
      </w:r>
      <w:hyperlink r:id="rId26">
        <w:r w:rsidR="001F6921" w:rsidRPr="00AA5485">
          <w:rPr>
            <w:rFonts w:ascii="Arial" w:hAnsi="Arial"/>
            <w:color w:val="0563C1"/>
            <w:u w:val="single"/>
          </w:rPr>
          <w:t>https://doi.org/10.3390/jof9060675</w:t>
        </w:r>
      </w:hyperlink>
    </w:p>
    <w:p w14:paraId="14A98B4C" w14:textId="66FBED1E" w:rsidR="006E6500" w:rsidRDefault="00000000">
      <w:r>
        <w:rPr>
          <w:b/>
          <w:color w:val="FF0000"/>
        </w:rPr>
        <w:t>Please standardize these references to the same format used throughout the reference list.</w:t>
      </w:r>
    </w:p>
    <w:p w14:paraId="4751976F" w14:textId="77777777" w:rsidR="001F6921" w:rsidRPr="00AA5485" w:rsidRDefault="00000000">
      <w:pPr>
        <w:pStyle w:val="Bibliography"/>
      </w:pPr>
      <w:r w:rsidRPr="00AA5485">
        <w:rPr>
          <w:rFonts w:ascii="Arial" w:hAnsi="Arial"/>
        </w:rPr>
        <w:t>El-</w:t>
      </w:r>
      <w:proofErr w:type="spellStart"/>
      <w:r w:rsidRPr="00AA5485">
        <w:rPr>
          <w:rFonts w:ascii="Arial" w:hAnsi="Arial"/>
        </w:rPr>
        <w:t>Katatny</w:t>
      </w:r>
      <w:proofErr w:type="spellEnd"/>
      <w:r w:rsidRPr="00AA5485">
        <w:rPr>
          <w:rFonts w:ascii="Arial" w:hAnsi="Arial"/>
        </w:rPr>
        <w:t xml:space="preserve">, M. H., Gudelj, M., </w:t>
      </w:r>
      <w:proofErr w:type="spellStart"/>
      <w:r w:rsidRPr="00AA5485">
        <w:rPr>
          <w:rFonts w:ascii="Arial" w:hAnsi="Arial"/>
        </w:rPr>
        <w:t>Robra</w:t>
      </w:r>
      <w:proofErr w:type="spellEnd"/>
      <w:r w:rsidRPr="00AA5485">
        <w:rPr>
          <w:rFonts w:ascii="Arial" w:hAnsi="Arial"/>
        </w:rPr>
        <w:t xml:space="preserve">, K.-H., </w:t>
      </w:r>
      <w:proofErr w:type="spellStart"/>
      <w:r w:rsidRPr="00AA5485">
        <w:rPr>
          <w:rFonts w:ascii="Arial" w:hAnsi="Arial"/>
        </w:rPr>
        <w:t>Elnaghy</w:t>
      </w:r>
      <w:proofErr w:type="spellEnd"/>
      <w:r w:rsidRPr="00AA5485">
        <w:rPr>
          <w:rFonts w:ascii="Arial" w:hAnsi="Arial"/>
        </w:rPr>
        <w:t xml:space="preserve">, M. A., &amp; </w:t>
      </w:r>
      <w:proofErr w:type="spellStart"/>
      <w:r w:rsidRPr="00AA5485">
        <w:rPr>
          <w:rFonts w:ascii="Arial" w:hAnsi="Arial"/>
        </w:rPr>
        <w:t>Gübitz</w:t>
      </w:r>
      <w:proofErr w:type="spellEnd"/>
      <w:r w:rsidRPr="00AA5485">
        <w:rPr>
          <w:rFonts w:ascii="Arial" w:hAnsi="Arial"/>
        </w:rPr>
        <w:t xml:space="preserve">, G. M. (2001). Characterization of a chitinase and an endo-β-1,3-glucanase from </w:t>
      </w:r>
      <w:r w:rsidRPr="00AA5485">
        <w:rPr>
          <w:rFonts w:ascii="Arial" w:hAnsi="Arial"/>
          <w:i/>
        </w:rPr>
        <w:t xml:space="preserve">Trichoderma </w:t>
      </w:r>
      <w:proofErr w:type="spellStart"/>
      <w:r w:rsidRPr="00AA5485">
        <w:rPr>
          <w:rFonts w:ascii="Arial" w:hAnsi="Arial"/>
          <w:i/>
        </w:rPr>
        <w:t>harzianum</w:t>
      </w:r>
      <w:proofErr w:type="spellEnd"/>
      <w:r w:rsidRPr="00AA5485">
        <w:rPr>
          <w:rFonts w:ascii="Arial" w:hAnsi="Arial"/>
        </w:rPr>
        <w:t xml:space="preserve"> Rifai T24 involved in control of the phytopathogen </w:t>
      </w:r>
      <w:r w:rsidRPr="00AA5485">
        <w:rPr>
          <w:rFonts w:ascii="Arial" w:hAnsi="Arial"/>
          <w:i/>
        </w:rPr>
        <w:t xml:space="preserve">Sclerotium </w:t>
      </w:r>
      <w:proofErr w:type="spellStart"/>
      <w:r w:rsidRPr="00AA5485">
        <w:rPr>
          <w:rFonts w:ascii="Arial" w:hAnsi="Arial"/>
          <w:i/>
        </w:rPr>
        <w:t>rolfsii</w:t>
      </w:r>
      <w:proofErr w:type="spellEnd"/>
      <w:r w:rsidRPr="00AA5485">
        <w:rPr>
          <w:rFonts w:ascii="Arial" w:hAnsi="Arial"/>
        </w:rPr>
        <w:t xml:space="preserve">. </w:t>
      </w:r>
      <w:r w:rsidRPr="00AA5485">
        <w:rPr>
          <w:rFonts w:ascii="Arial" w:hAnsi="Arial"/>
          <w:i/>
        </w:rPr>
        <w:t>Applied Microbiology and Biotechnology, 56</w:t>
      </w:r>
      <w:r w:rsidRPr="00AA5485">
        <w:rPr>
          <w:rFonts w:ascii="Arial" w:hAnsi="Arial"/>
        </w:rPr>
        <w:t xml:space="preserve">, 137–143. </w:t>
      </w:r>
      <w:hyperlink r:id="rId27">
        <w:r w:rsidR="001F6921" w:rsidRPr="00AA5485">
          <w:rPr>
            <w:rFonts w:ascii="Arial" w:hAnsi="Arial"/>
            <w:color w:val="0563C1"/>
            <w:u w:val="single"/>
          </w:rPr>
          <w:t>https://doi.org/10.1007/s002530100646</w:t>
        </w:r>
      </w:hyperlink>
    </w:p>
    <w:p w14:paraId="202B5957" w14:textId="77777777" w:rsidR="001F6921" w:rsidRPr="00AC0FF1" w:rsidRDefault="00000000">
      <w:pPr>
        <w:pStyle w:val="Bibliography"/>
        <w:rPr>
          <w:lang w:val="pt-PT"/>
        </w:rPr>
      </w:pPr>
      <w:r w:rsidRPr="00AA5485">
        <w:rPr>
          <w:rFonts w:ascii="Arial" w:hAnsi="Arial"/>
        </w:rPr>
        <w:t xml:space="preserve">Hirpara, D. G., Gajera, H. P., Bhimani, R. D., &amp; </w:t>
      </w:r>
      <w:proofErr w:type="spellStart"/>
      <w:r w:rsidRPr="00AA5485">
        <w:rPr>
          <w:rFonts w:ascii="Arial" w:hAnsi="Arial"/>
        </w:rPr>
        <w:t>Golakiya</w:t>
      </w:r>
      <w:proofErr w:type="spellEnd"/>
      <w:r w:rsidRPr="00AA5485">
        <w:rPr>
          <w:rFonts w:ascii="Arial" w:hAnsi="Arial"/>
        </w:rPr>
        <w:t xml:space="preserve">, B. A. (2016). The SRAP based molecular diversity related to antifungal and antioxidant bioactive constituents for biocontrol potentials of </w:t>
      </w:r>
      <w:r w:rsidRPr="00AA5485">
        <w:rPr>
          <w:rFonts w:ascii="Arial" w:hAnsi="Arial"/>
          <w:i/>
        </w:rPr>
        <w:t>Trichoderma</w:t>
      </w:r>
      <w:r w:rsidRPr="00AA5485">
        <w:rPr>
          <w:rFonts w:ascii="Arial" w:hAnsi="Arial"/>
        </w:rPr>
        <w:t xml:space="preserve"> against </w:t>
      </w:r>
      <w:r w:rsidRPr="00AA5485">
        <w:rPr>
          <w:rFonts w:ascii="Arial" w:hAnsi="Arial"/>
          <w:i/>
        </w:rPr>
        <w:t xml:space="preserve">Sclerotium </w:t>
      </w:r>
      <w:proofErr w:type="spellStart"/>
      <w:r w:rsidRPr="00AA5485">
        <w:rPr>
          <w:rFonts w:ascii="Arial" w:hAnsi="Arial"/>
          <w:i/>
        </w:rPr>
        <w:t>rolfsii</w:t>
      </w:r>
      <w:proofErr w:type="spellEnd"/>
      <w:r w:rsidRPr="00AA5485">
        <w:rPr>
          <w:rFonts w:ascii="Arial" w:hAnsi="Arial"/>
        </w:rPr>
        <w:t xml:space="preserve"> </w:t>
      </w:r>
      <w:proofErr w:type="spellStart"/>
      <w:r w:rsidRPr="00AA5485">
        <w:rPr>
          <w:rFonts w:ascii="Arial" w:hAnsi="Arial"/>
        </w:rPr>
        <w:t>Scc</w:t>
      </w:r>
      <w:proofErr w:type="spellEnd"/>
      <w:r w:rsidRPr="00AA5485">
        <w:rPr>
          <w:rFonts w:ascii="Arial" w:hAnsi="Arial"/>
        </w:rPr>
        <w:t xml:space="preserve">. </w:t>
      </w:r>
      <w:r w:rsidRPr="00AC0FF1">
        <w:rPr>
          <w:rFonts w:ascii="Arial" w:hAnsi="Arial"/>
          <w:i/>
          <w:lang w:val="pt-PT"/>
        </w:rPr>
        <w:t>Current Genetics, 62</w:t>
      </w:r>
      <w:r w:rsidRPr="00AC0FF1">
        <w:rPr>
          <w:rFonts w:ascii="Arial" w:hAnsi="Arial"/>
          <w:lang w:val="pt-PT"/>
        </w:rPr>
        <w:t xml:space="preserve">, 619–641. </w:t>
      </w:r>
      <w:r w:rsidR="001F6921">
        <w:fldChar w:fldCharType="begin"/>
      </w:r>
      <w:r w:rsidR="001F6921">
        <w:instrText>HYPERLINK "https://doi.org/10.1007/s00294-016-0567-5" \h</w:instrText>
      </w:r>
      <w:r w:rsidR="001F6921">
        <w:fldChar w:fldCharType="separate"/>
      </w:r>
      <w:r w:rsidR="001F6921" w:rsidRPr="00AC0FF1">
        <w:rPr>
          <w:rFonts w:ascii="Arial" w:hAnsi="Arial"/>
          <w:color w:val="0563C1"/>
          <w:u w:val="single"/>
          <w:lang w:val="pt-PT"/>
        </w:rPr>
        <w:t>https://doi.org/10.1007/s00294-016-0567-5</w:t>
      </w:r>
      <w:r w:rsidR="001F6921">
        <w:fldChar w:fldCharType="end"/>
      </w:r>
    </w:p>
    <w:p w14:paraId="3A0F142E" w14:textId="77777777" w:rsidR="001F6921" w:rsidRPr="00AC0FF1" w:rsidRDefault="00000000">
      <w:pPr>
        <w:pStyle w:val="Bibliography"/>
        <w:rPr>
          <w:lang w:val="pt-PT"/>
        </w:rPr>
      </w:pPr>
      <w:r w:rsidRPr="00AC0FF1">
        <w:rPr>
          <w:rFonts w:ascii="Arial" w:hAnsi="Arial"/>
          <w:lang w:val="pt-PT"/>
        </w:rPr>
        <w:t xml:space="preserve">Marques, E., Abreu, V. P. de, Silva, M. R., Castro, K. H. M. de, Cenci, C. M. L. da S., Almeida, A. C., &amp; Cunha, M. G. da. </w:t>
      </w:r>
      <w:r w:rsidRPr="00AA5485">
        <w:rPr>
          <w:rFonts w:ascii="Arial" w:hAnsi="Arial"/>
        </w:rPr>
        <w:t xml:space="preserve">(2022). Antifungal potential of </w:t>
      </w:r>
      <w:r w:rsidRPr="00AA5485">
        <w:rPr>
          <w:rFonts w:ascii="Arial" w:hAnsi="Arial"/>
          <w:i/>
        </w:rPr>
        <w:t xml:space="preserve">Trichoderma </w:t>
      </w:r>
      <w:proofErr w:type="spellStart"/>
      <w:r w:rsidRPr="00AA5485">
        <w:rPr>
          <w:rFonts w:ascii="Arial" w:hAnsi="Arial"/>
          <w:i/>
        </w:rPr>
        <w:t>afroharzianum</w:t>
      </w:r>
      <w:proofErr w:type="spellEnd"/>
      <w:r w:rsidRPr="00AA5485">
        <w:rPr>
          <w:rFonts w:ascii="Arial" w:hAnsi="Arial"/>
        </w:rPr>
        <w:t xml:space="preserve"> metabolites. </w:t>
      </w:r>
      <w:r w:rsidRPr="00AA5485">
        <w:rPr>
          <w:rFonts w:ascii="Arial" w:hAnsi="Arial"/>
          <w:i/>
        </w:rPr>
        <w:t>International Journal of Agriculture &amp; Biology, 28</w:t>
      </w:r>
      <w:r w:rsidRPr="00AA5485">
        <w:rPr>
          <w:rFonts w:ascii="Arial" w:hAnsi="Arial"/>
        </w:rPr>
        <w:t xml:space="preserve">(3), 181–186. </w:t>
      </w:r>
      <w:hyperlink r:id="rId28">
        <w:r w:rsidR="001F6921" w:rsidRPr="00AC0FF1">
          <w:rPr>
            <w:rFonts w:ascii="Arial" w:hAnsi="Arial"/>
            <w:color w:val="0563C1"/>
            <w:u w:val="single"/>
            <w:lang w:val="pt-PT"/>
          </w:rPr>
          <w:t>https://doi.org/10.17957/IJAB/15.1968</w:t>
        </w:r>
      </w:hyperlink>
    </w:p>
    <w:p w14:paraId="6F85FDAD" w14:textId="77777777" w:rsidR="001F6921" w:rsidRPr="00AC0FF1" w:rsidRDefault="00000000">
      <w:pPr>
        <w:pStyle w:val="Bibliography"/>
        <w:rPr>
          <w:lang w:val="pt-PT"/>
        </w:rPr>
      </w:pPr>
      <w:r w:rsidRPr="00AC0FF1">
        <w:rPr>
          <w:rFonts w:ascii="Arial" w:hAnsi="Arial"/>
          <w:lang w:val="pt-PT"/>
        </w:rPr>
        <w:t xml:space="preserve">Montalvão, S. C. L., Marques, E., Martins, I., da Silva, J. P., &amp; de Mello, S. C. M. (2023). </w:t>
      </w:r>
      <w:r w:rsidRPr="00AA5485">
        <w:rPr>
          <w:rFonts w:ascii="Arial" w:hAnsi="Arial"/>
        </w:rPr>
        <w:t xml:space="preserve">Suppression of the phytopathogens </w:t>
      </w:r>
      <w:r w:rsidRPr="00AA5485">
        <w:rPr>
          <w:rFonts w:ascii="Arial" w:hAnsi="Arial"/>
          <w:i/>
        </w:rPr>
        <w:t xml:space="preserve">Sclerotinia </w:t>
      </w:r>
      <w:proofErr w:type="spellStart"/>
      <w:r w:rsidRPr="00AA5485">
        <w:rPr>
          <w:rFonts w:ascii="Arial" w:hAnsi="Arial"/>
          <w:i/>
        </w:rPr>
        <w:t>sclerotiorum</w:t>
      </w:r>
      <w:proofErr w:type="spellEnd"/>
      <w:r w:rsidRPr="00AA5485">
        <w:rPr>
          <w:rFonts w:ascii="Arial" w:hAnsi="Arial"/>
        </w:rPr>
        <w:t xml:space="preserve"> and </w:t>
      </w:r>
      <w:r w:rsidRPr="00AA5485">
        <w:rPr>
          <w:rFonts w:ascii="Arial" w:hAnsi="Arial"/>
          <w:i/>
        </w:rPr>
        <w:t xml:space="preserve">Sclerotium </w:t>
      </w:r>
      <w:proofErr w:type="spellStart"/>
      <w:r w:rsidRPr="00AA5485">
        <w:rPr>
          <w:rFonts w:ascii="Arial" w:hAnsi="Arial"/>
          <w:i/>
        </w:rPr>
        <w:t>rolfsii</w:t>
      </w:r>
      <w:proofErr w:type="spellEnd"/>
      <w:r w:rsidRPr="00AA5485">
        <w:rPr>
          <w:rFonts w:ascii="Arial" w:hAnsi="Arial"/>
        </w:rPr>
        <w:t xml:space="preserve"> by </w:t>
      </w:r>
      <w:r w:rsidRPr="00AA5485">
        <w:rPr>
          <w:rFonts w:ascii="Arial" w:hAnsi="Arial"/>
          <w:i/>
        </w:rPr>
        <w:t>Trichoderma</w:t>
      </w:r>
      <w:r w:rsidRPr="00AA5485">
        <w:rPr>
          <w:rFonts w:ascii="Arial" w:hAnsi="Arial"/>
        </w:rPr>
        <w:t xml:space="preserve"> spp. </w:t>
      </w:r>
      <w:r w:rsidRPr="00AC0FF1">
        <w:rPr>
          <w:rFonts w:ascii="Arial" w:hAnsi="Arial"/>
          <w:i/>
          <w:lang w:val="pt-PT"/>
        </w:rPr>
        <w:t>Biologia, 78</w:t>
      </w:r>
      <w:r w:rsidRPr="00AC0FF1">
        <w:rPr>
          <w:rFonts w:ascii="Arial" w:hAnsi="Arial"/>
          <w:lang w:val="pt-PT"/>
        </w:rPr>
        <w:t xml:space="preserve">, 2941–2952. </w:t>
      </w:r>
      <w:hyperlink r:id="rId29">
        <w:r w:rsidR="001F6921" w:rsidRPr="00AC0FF1">
          <w:rPr>
            <w:rFonts w:ascii="Arial" w:hAnsi="Arial"/>
            <w:color w:val="0563C1"/>
            <w:u w:val="single"/>
            <w:lang w:val="pt-PT"/>
          </w:rPr>
          <w:t>https://doi.org/10.1007/s11756-023-01457-9</w:t>
        </w:r>
      </w:hyperlink>
    </w:p>
    <w:p w14:paraId="0261D54E" w14:textId="77777777" w:rsidR="001F6921" w:rsidRDefault="00000000">
      <w:pPr>
        <w:pStyle w:val="Bibliography"/>
      </w:pPr>
      <w:r w:rsidRPr="00AC0FF1">
        <w:rPr>
          <w:rFonts w:ascii="Arial" w:hAnsi="Arial"/>
          <w:lang w:val="pt-PT"/>
        </w:rPr>
        <w:t xml:space="preserve">Zeilinger, S., Gruber, S., Bansal, R., &amp; Mukherjee, P. K. (2016). </w:t>
      </w:r>
      <w:r w:rsidRPr="00AA5485">
        <w:rPr>
          <w:rFonts w:ascii="Arial" w:hAnsi="Arial"/>
        </w:rPr>
        <w:t xml:space="preserve">Secondary metabolism in </w:t>
      </w:r>
      <w:r w:rsidRPr="00AA5485">
        <w:rPr>
          <w:rFonts w:ascii="Arial" w:hAnsi="Arial"/>
          <w:i/>
        </w:rPr>
        <w:t>Trichoderma</w:t>
      </w:r>
      <w:r w:rsidRPr="00AA5485">
        <w:rPr>
          <w:rFonts w:ascii="Arial" w:hAnsi="Arial"/>
        </w:rPr>
        <w:t xml:space="preserve">—Chemistry meets genomics. </w:t>
      </w:r>
      <w:r w:rsidRPr="00AA5485">
        <w:rPr>
          <w:rFonts w:ascii="Arial" w:hAnsi="Arial"/>
          <w:i/>
        </w:rPr>
        <w:t>Fungal Biology Reviews, 30</w:t>
      </w:r>
      <w:r w:rsidRPr="00AA5485">
        <w:rPr>
          <w:rFonts w:ascii="Arial" w:hAnsi="Arial"/>
        </w:rPr>
        <w:t xml:space="preserve">(2), 74–90. </w:t>
      </w:r>
      <w:hyperlink r:id="rId30">
        <w:r w:rsidR="001F6921" w:rsidRPr="00AA5485">
          <w:rPr>
            <w:rFonts w:ascii="Arial" w:hAnsi="Arial"/>
            <w:color w:val="0563C1"/>
            <w:u w:val="single"/>
          </w:rPr>
          <w:t>https://doi.org/10.1016/j.fbr.2016.05.001</w:t>
        </w:r>
      </w:hyperlink>
    </w:p>
    <w:sectPr w:rsidR="001F6921" w:rsidSect="007A6D77">
      <w:headerReference w:type="even" r:id="rId31"/>
      <w:headerReference w:type="default" r:id="rId32"/>
      <w:footerReference w:type="default" r:id="rId33"/>
      <w:headerReference w:type="first" r:id="rId3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B80B3" w14:textId="77777777" w:rsidR="00870D5B" w:rsidRDefault="00870D5B" w:rsidP="00C37E61">
      <w:r>
        <w:separator/>
      </w:r>
    </w:p>
  </w:endnote>
  <w:endnote w:type="continuationSeparator" w:id="0">
    <w:p w14:paraId="7D9BB845" w14:textId="77777777" w:rsidR="00870D5B" w:rsidRDefault="00870D5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6C3F" w14:textId="77777777" w:rsidR="007A6D77" w:rsidRDefault="007A6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6582" w14:textId="77777777" w:rsidR="00C37E61" w:rsidRPr="002F631D" w:rsidRDefault="00C37E61" w:rsidP="002F63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A6BD" w14:textId="77777777" w:rsidR="00754C9A" w:rsidRPr="007A6D77" w:rsidRDefault="00754C9A" w:rsidP="007A6D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2CDB"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693DF" w14:textId="77777777" w:rsidR="00870D5B" w:rsidRDefault="00870D5B" w:rsidP="00C37E61">
      <w:r>
        <w:separator/>
      </w:r>
    </w:p>
  </w:footnote>
  <w:footnote w:type="continuationSeparator" w:id="0">
    <w:p w14:paraId="51B2089D" w14:textId="77777777" w:rsidR="00870D5B" w:rsidRDefault="00870D5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CBE7" w14:textId="77777777" w:rsidR="007A6D77" w:rsidRDefault="00000000">
    <w:pPr>
      <w:pStyle w:val="Header"/>
    </w:pPr>
    <w:r>
      <w:rPr>
        <w:noProof/>
      </w:rPr>
      <w:pict w14:anchorId="2D48A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6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9C566" w14:textId="77777777" w:rsidR="007A6D77" w:rsidRDefault="00000000">
    <w:pPr>
      <w:pStyle w:val="Header"/>
    </w:pPr>
    <w:r>
      <w:rPr>
        <w:noProof/>
      </w:rPr>
      <w:pict w14:anchorId="72E2C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6574" w14:textId="77777777" w:rsidR="00296529" w:rsidRPr="00296529" w:rsidRDefault="00000000" w:rsidP="00296529">
    <w:pPr>
      <w:ind w:left="2160"/>
      <w:jc w:val="center"/>
      <w:rPr>
        <w:rFonts w:ascii="Times New Roman" w:eastAsia="Calibri" w:hAnsi="Times New Roman"/>
        <w:i/>
        <w:sz w:val="18"/>
        <w:szCs w:val="22"/>
      </w:rPr>
    </w:pPr>
    <w:r>
      <w:rPr>
        <w:noProof/>
      </w:rPr>
      <w:pict w14:anchorId="5D7DA0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6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AA3F6DE"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F4299C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9128685"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6BF4F4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450D153"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B7B2D1A"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D595C" w14:textId="77777777" w:rsidR="007A6D77" w:rsidRDefault="00000000">
    <w:pPr>
      <w:pStyle w:val="Header"/>
    </w:pPr>
    <w:r>
      <w:rPr>
        <w:noProof/>
      </w:rPr>
      <w:pict w14:anchorId="5E3CD6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2"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BBC142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B2AA" w14:textId="77777777" w:rsidR="007A6D77" w:rsidRDefault="00000000">
    <w:pPr>
      <w:pStyle w:val="Header"/>
    </w:pPr>
    <w:r>
      <w:rPr>
        <w:noProof/>
      </w:rPr>
      <w:pict w14:anchorId="69155D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3"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6C80A4E">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0E35" w14:textId="77777777" w:rsidR="007A6D77" w:rsidRPr="00296529" w:rsidRDefault="00000000" w:rsidP="00296529">
    <w:pPr>
      <w:ind w:left="2160"/>
      <w:jc w:val="center"/>
      <w:rPr>
        <w:rFonts w:ascii="Times New Roman" w:eastAsia="Calibri" w:hAnsi="Times New Roman"/>
        <w:i/>
        <w:sz w:val="18"/>
        <w:szCs w:val="22"/>
      </w:rPr>
    </w:pPr>
    <w:r>
      <w:rPr>
        <w:noProof/>
      </w:rPr>
      <w:pict w14:anchorId="28A796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1"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F0DFF98">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84BD22E" w14:textId="77777777" w:rsidR="007A6D77" w:rsidRPr="00296529" w:rsidRDefault="007A6D7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FCB2120" w14:textId="77777777" w:rsidR="007A6D77" w:rsidRPr="00296529" w:rsidRDefault="007A6D7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EC2B079" w14:textId="77777777" w:rsidR="007A6D77" w:rsidRPr="00296529" w:rsidRDefault="007A6D7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DF908B8" w14:textId="77777777" w:rsidR="007A6D77" w:rsidRDefault="007A6D7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5D050F0" w14:textId="77777777" w:rsidR="007A6D77" w:rsidRDefault="007A6D7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3BDD5B6" w14:textId="77777777" w:rsidR="007A6D77" w:rsidRDefault="007A6D77">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443149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33000798">
    <w:abstractNumId w:val="15"/>
  </w:num>
  <w:num w:numId="3" w16cid:durableId="900869556">
    <w:abstractNumId w:val="23"/>
  </w:num>
  <w:num w:numId="4" w16cid:durableId="146881282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60878777">
    <w:abstractNumId w:val="7"/>
  </w:num>
  <w:num w:numId="6" w16cid:durableId="781611740">
    <w:abstractNumId w:val="6"/>
  </w:num>
  <w:num w:numId="7" w16cid:durableId="1629970772">
    <w:abstractNumId w:val="1"/>
  </w:num>
  <w:num w:numId="8" w16cid:durableId="786703568">
    <w:abstractNumId w:val="12"/>
  </w:num>
  <w:num w:numId="9" w16cid:durableId="1973515132">
    <w:abstractNumId w:val="25"/>
  </w:num>
  <w:num w:numId="10" w16cid:durableId="1321929319">
    <w:abstractNumId w:val="2"/>
  </w:num>
  <w:num w:numId="11" w16cid:durableId="971789927">
    <w:abstractNumId w:val="18"/>
  </w:num>
  <w:num w:numId="12" w16cid:durableId="2104111352">
    <w:abstractNumId w:val="3"/>
  </w:num>
  <w:num w:numId="13" w16cid:durableId="1234006021">
    <w:abstractNumId w:val="17"/>
  </w:num>
  <w:num w:numId="14" w16cid:durableId="1670522701">
    <w:abstractNumId w:val="8"/>
  </w:num>
  <w:num w:numId="15" w16cid:durableId="1153791176">
    <w:abstractNumId w:val="21"/>
  </w:num>
  <w:num w:numId="16" w16cid:durableId="1330979892">
    <w:abstractNumId w:val="5"/>
  </w:num>
  <w:num w:numId="17" w16cid:durableId="122576835">
    <w:abstractNumId w:val="22"/>
  </w:num>
  <w:num w:numId="18" w16cid:durableId="398748304">
    <w:abstractNumId w:val="14"/>
  </w:num>
  <w:num w:numId="19" w16cid:durableId="1805000632">
    <w:abstractNumId w:val="28"/>
  </w:num>
  <w:num w:numId="20" w16cid:durableId="432627328">
    <w:abstractNumId w:val="11"/>
  </w:num>
  <w:num w:numId="21" w16cid:durableId="311372697">
    <w:abstractNumId w:val="9"/>
  </w:num>
  <w:num w:numId="22" w16cid:durableId="1548639244">
    <w:abstractNumId w:val="13"/>
  </w:num>
  <w:num w:numId="23" w16cid:durableId="202517872">
    <w:abstractNumId w:val="19"/>
  </w:num>
  <w:num w:numId="24" w16cid:durableId="310523561">
    <w:abstractNumId w:val="26"/>
  </w:num>
  <w:num w:numId="25" w16cid:durableId="1187981253">
    <w:abstractNumId w:val="4"/>
  </w:num>
  <w:num w:numId="26" w16cid:durableId="769786594">
    <w:abstractNumId w:val="16"/>
  </w:num>
  <w:num w:numId="27" w16cid:durableId="137573585">
    <w:abstractNumId w:val="20"/>
  </w:num>
  <w:num w:numId="28" w16cid:durableId="391586757">
    <w:abstractNumId w:val="27"/>
  </w:num>
  <w:num w:numId="29" w16cid:durableId="1656685201">
    <w:abstractNumId w:val="24"/>
  </w:num>
  <w:num w:numId="30" w16cid:durableId="5295374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7198C"/>
    <w:rsid w:val="000A47FA"/>
    <w:rsid w:val="000A65D3"/>
    <w:rsid w:val="000B1E33"/>
    <w:rsid w:val="000D689F"/>
    <w:rsid w:val="000E7B7B"/>
    <w:rsid w:val="000E7D62"/>
    <w:rsid w:val="00103357"/>
    <w:rsid w:val="00121700"/>
    <w:rsid w:val="00123C9F"/>
    <w:rsid w:val="00126190"/>
    <w:rsid w:val="00130F17"/>
    <w:rsid w:val="001320BF"/>
    <w:rsid w:val="00145BDF"/>
    <w:rsid w:val="00163BC4"/>
    <w:rsid w:val="00176585"/>
    <w:rsid w:val="00191062"/>
    <w:rsid w:val="00192B72"/>
    <w:rsid w:val="001A29D8"/>
    <w:rsid w:val="001A5CAA"/>
    <w:rsid w:val="001B0427"/>
    <w:rsid w:val="001D3A51"/>
    <w:rsid w:val="001E10D2"/>
    <w:rsid w:val="001E25B4"/>
    <w:rsid w:val="001E44FE"/>
    <w:rsid w:val="001F6921"/>
    <w:rsid w:val="00200595"/>
    <w:rsid w:val="00204835"/>
    <w:rsid w:val="00231920"/>
    <w:rsid w:val="0023195C"/>
    <w:rsid w:val="0024282C"/>
    <w:rsid w:val="002460DC"/>
    <w:rsid w:val="002508ED"/>
    <w:rsid w:val="00250985"/>
    <w:rsid w:val="002556F6"/>
    <w:rsid w:val="00283105"/>
    <w:rsid w:val="00284C4C"/>
    <w:rsid w:val="00287B98"/>
    <w:rsid w:val="00287E68"/>
    <w:rsid w:val="00296529"/>
    <w:rsid w:val="002B27FB"/>
    <w:rsid w:val="002B685A"/>
    <w:rsid w:val="002C57D2"/>
    <w:rsid w:val="002E0D56"/>
    <w:rsid w:val="002E5953"/>
    <w:rsid w:val="002F631D"/>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23789"/>
    <w:rsid w:val="004306F1"/>
    <w:rsid w:val="00440F43"/>
    <w:rsid w:val="00441B6F"/>
    <w:rsid w:val="00446221"/>
    <w:rsid w:val="00450E62"/>
    <w:rsid w:val="004539DB"/>
    <w:rsid w:val="00471A80"/>
    <w:rsid w:val="004752AB"/>
    <w:rsid w:val="00475EEE"/>
    <w:rsid w:val="004D305E"/>
    <w:rsid w:val="004D4277"/>
    <w:rsid w:val="004E5536"/>
    <w:rsid w:val="00502516"/>
    <w:rsid w:val="00505F06"/>
    <w:rsid w:val="00506828"/>
    <w:rsid w:val="0053056E"/>
    <w:rsid w:val="005421D6"/>
    <w:rsid w:val="00553980"/>
    <w:rsid w:val="00554FDA"/>
    <w:rsid w:val="005C784C"/>
    <w:rsid w:val="005D17F6"/>
    <w:rsid w:val="005E5539"/>
    <w:rsid w:val="005F35E4"/>
    <w:rsid w:val="00602BF5"/>
    <w:rsid w:val="00617FDD"/>
    <w:rsid w:val="00633614"/>
    <w:rsid w:val="00633F68"/>
    <w:rsid w:val="00636EB2"/>
    <w:rsid w:val="006375B8"/>
    <w:rsid w:val="00641590"/>
    <w:rsid w:val="0066510A"/>
    <w:rsid w:val="00673F9F"/>
    <w:rsid w:val="00686953"/>
    <w:rsid w:val="00687DEA"/>
    <w:rsid w:val="00687E67"/>
    <w:rsid w:val="006967F7"/>
    <w:rsid w:val="006A250C"/>
    <w:rsid w:val="006B21D3"/>
    <w:rsid w:val="006B35FF"/>
    <w:rsid w:val="006B57D0"/>
    <w:rsid w:val="006C2564"/>
    <w:rsid w:val="006D30FF"/>
    <w:rsid w:val="006D6940"/>
    <w:rsid w:val="006E6500"/>
    <w:rsid w:val="006F11EC"/>
    <w:rsid w:val="0070082C"/>
    <w:rsid w:val="00701427"/>
    <w:rsid w:val="007369E6"/>
    <w:rsid w:val="0073728E"/>
    <w:rsid w:val="00746E59"/>
    <w:rsid w:val="007542DA"/>
    <w:rsid w:val="00754C9A"/>
    <w:rsid w:val="0075599A"/>
    <w:rsid w:val="00761D52"/>
    <w:rsid w:val="0077215A"/>
    <w:rsid w:val="0077749E"/>
    <w:rsid w:val="00790ADA"/>
    <w:rsid w:val="007A6D77"/>
    <w:rsid w:val="007C4A6A"/>
    <w:rsid w:val="007C5BBC"/>
    <w:rsid w:val="007D2288"/>
    <w:rsid w:val="007E088F"/>
    <w:rsid w:val="007E3720"/>
    <w:rsid w:val="007F7B32"/>
    <w:rsid w:val="00804BC2"/>
    <w:rsid w:val="0081431A"/>
    <w:rsid w:val="0083216F"/>
    <w:rsid w:val="00850938"/>
    <w:rsid w:val="00860000"/>
    <w:rsid w:val="00863BD3"/>
    <w:rsid w:val="008641ED"/>
    <w:rsid w:val="00866D66"/>
    <w:rsid w:val="008671C6"/>
    <w:rsid w:val="00870D5B"/>
    <w:rsid w:val="00875803"/>
    <w:rsid w:val="008B459E"/>
    <w:rsid w:val="008E13AE"/>
    <w:rsid w:val="008E1506"/>
    <w:rsid w:val="008E710C"/>
    <w:rsid w:val="008F69D6"/>
    <w:rsid w:val="00902823"/>
    <w:rsid w:val="00915CA6"/>
    <w:rsid w:val="00927834"/>
    <w:rsid w:val="009500A6"/>
    <w:rsid w:val="00957C18"/>
    <w:rsid w:val="00964E0E"/>
    <w:rsid w:val="009659BA"/>
    <w:rsid w:val="00983040"/>
    <w:rsid w:val="0098506C"/>
    <w:rsid w:val="009B3FB9"/>
    <w:rsid w:val="009C2465"/>
    <w:rsid w:val="009D35A0"/>
    <w:rsid w:val="009D7EB7"/>
    <w:rsid w:val="009E048A"/>
    <w:rsid w:val="009E08E9"/>
    <w:rsid w:val="009E3DB9"/>
    <w:rsid w:val="009E6E35"/>
    <w:rsid w:val="009F0EDA"/>
    <w:rsid w:val="00A03B96"/>
    <w:rsid w:val="00A05B19"/>
    <w:rsid w:val="00A1134E"/>
    <w:rsid w:val="00A20220"/>
    <w:rsid w:val="00A24E7E"/>
    <w:rsid w:val="00A258C3"/>
    <w:rsid w:val="00A347C0"/>
    <w:rsid w:val="00A51431"/>
    <w:rsid w:val="00A539AD"/>
    <w:rsid w:val="00A94063"/>
    <w:rsid w:val="00AA5485"/>
    <w:rsid w:val="00AA6219"/>
    <w:rsid w:val="00AA74E0"/>
    <w:rsid w:val="00AB703F"/>
    <w:rsid w:val="00AC0FF1"/>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44CF"/>
    <w:rsid w:val="00C84921"/>
    <w:rsid w:val="00C85588"/>
    <w:rsid w:val="00C95C72"/>
    <w:rsid w:val="00CD6755"/>
    <w:rsid w:val="00CD6856"/>
    <w:rsid w:val="00CE0089"/>
    <w:rsid w:val="00CE4258"/>
    <w:rsid w:val="00CE793C"/>
    <w:rsid w:val="00CF193C"/>
    <w:rsid w:val="00D173F1"/>
    <w:rsid w:val="00D74CB0"/>
    <w:rsid w:val="00D8295D"/>
    <w:rsid w:val="00D84FD6"/>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B11D8"/>
    <w:rsid w:val="00EC6A55"/>
    <w:rsid w:val="00ED0288"/>
    <w:rsid w:val="00EE52CB"/>
    <w:rsid w:val="00EF581D"/>
    <w:rsid w:val="00EF7FD8"/>
    <w:rsid w:val="00F06F59"/>
    <w:rsid w:val="00F17988"/>
    <w:rsid w:val="00F3312B"/>
    <w:rsid w:val="00F469F0"/>
    <w:rsid w:val="00F53273"/>
    <w:rsid w:val="00F642E1"/>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55AA3795"/>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C844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C844C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C844C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C844CF"/>
    <w:rPr>
      <w:rFonts w:asciiTheme="majorHAnsi" w:eastAsiaTheme="majorEastAsia" w:hAnsiTheme="majorHAnsi" w:cstheme="majorBidi"/>
      <w:i/>
      <w:iCs/>
      <w:color w:val="365F91" w:themeColor="accent1" w:themeShade="BF"/>
    </w:rPr>
  </w:style>
  <w:style w:type="paragraph" w:styleId="Bibliography">
    <w:name w:val="Bibliography"/>
    <w:basedOn w:val="Normal"/>
    <w:next w:val="Normal"/>
    <w:uiPriority w:val="37"/>
    <w:unhideWhenUsed/>
    <w:rsid w:val="007C5BBC"/>
    <w:pPr>
      <w:spacing w:after="240"/>
      <w:ind w:left="720" w:hanging="720"/>
    </w:pPr>
  </w:style>
  <w:style w:type="character" w:styleId="UnresolvedMention">
    <w:name w:val="Unresolved Mention"/>
    <w:basedOn w:val="DefaultParagraphFont"/>
    <w:uiPriority w:val="99"/>
    <w:semiHidden/>
    <w:unhideWhenUsed/>
    <w:rsid w:val="002F6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4937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3390/stresses6020035" TargetMode="External"/><Relationship Id="rId26" Type="http://schemas.openxmlformats.org/officeDocument/2006/relationships/hyperlink" Target="https://doi.org/10.3390/jof9060675" TargetMode="External"/><Relationship Id="rId3" Type="http://schemas.openxmlformats.org/officeDocument/2006/relationships/styles" Target="styles.xml"/><Relationship Id="rId21" Type="http://schemas.openxmlformats.org/officeDocument/2006/relationships/hyperlink" Target="https://doi.org/10.3390/applmicrobiol5040123"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9734/jabb/2025/v28i82737" TargetMode="External"/><Relationship Id="rId25" Type="http://schemas.openxmlformats.org/officeDocument/2006/relationships/hyperlink" Target="https://doi.org/10.3390/pathogens13080632"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doi.org/10.54085/ap.2025.14.1.114" TargetMode="External"/><Relationship Id="rId20" Type="http://schemas.openxmlformats.org/officeDocument/2006/relationships/hyperlink" Target="https://doi.org/10.1038/s41598-025-26544-6" TargetMode="External"/><Relationship Id="rId29" Type="http://schemas.openxmlformats.org/officeDocument/2006/relationships/hyperlink" Target="https://doi.org/10.1007/s11756-023-0145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90/jof1009060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doi.org/10.3390/horticulturae9060716" TargetMode="External"/><Relationship Id="rId23" Type="http://schemas.openxmlformats.org/officeDocument/2006/relationships/hyperlink" Target="https://doi.org/10.1038/s41598-024-54687-5" TargetMode="External"/><Relationship Id="rId28" Type="http://schemas.openxmlformats.org/officeDocument/2006/relationships/hyperlink" Target="https://doi.org/10.17957/IJAB/15.1968"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oi.org/10.21590/h642vm48"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rhisph.2022.100648" TargetMode="External"/><Relationship Id="rId22" Type="http://schemas.openxmlformats.org/officeDocument/2006/relationships/hyperlink" Target="https://doi.org/10.1016/j.scitotenv.2021.145996" TargetMode="External"/><Relationship Id="rId27" Type="http://schemas.openxmlformats.org/officeDocument/2006/relationships/hyperlink" Target="https://doi.org/10.1007/s002530100646" TargetMode="External"/><Relationship Id="rId30" Type="http://schemas.openxmlformats.org/officeDocument/2006/relationships/hyperlink" Target="https://doi.org/10.1016/j.fbr.2016.05.001" TargetMode="External"/><Relationship Id="rId35" Type="http://schemas.openxmlformats.org/officeDocument/2006/relationships/fontTable" Target="fontTable.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8B2B7-CB4A-4DAC-B221-2FC3228DB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143</TotalTime>
  <Pages>7</Pages>
  <Words>3485</Words>
  <Characters>19871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23310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1159</cp:lastModifiedBy>
  <cp:revision>29</cp:revision>
  <cp:lastPrinted>1999-07-06T11:00:00Z</cp:lastPrinted>
  <dcterms:created xsi:type="dcterms:W3CDTF">2014-10-25T14:34:00Z</dcterms:created>
  <dcterms:modified xsi:type="dcterms:W3CDTF">2026-08-19T07:26:00Z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id="bPeYbNty"/&gt;&lt;style id="http://www.zotero.org/styles/plant-molecular-biology" hasBibliography="1" bibliographyStyleHasBeenSet="1"/&gt;&lt;prefs&gt;&lt;pref name="fieldType" value="Field"/&gt;&lt;/prefs&gt;&lt;/data&gt;</vt:lpwstr>
  </property>
  <property fmtid="{D5CDD505-2E9C-101B-9397-08002B2CF9AE}" pid="3" name="GrammarlyDocumentId">
    <vt:lpwstr>379f991e-3dfc-4a93-be28-6f745120b425</vt:lpwstr>
  </property>
</Properties>
</file>