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01A1" w14:textId="77777777" w:rsidR="00955569" w:rsidRPr="00955569" w:rsidRDefault="00955569" w:rsidP="00955569">
      <w:pPr>
        <w:spacing w:before="100" w:beforeAutospacing="1" w:after="100" w:afterAutospacing="1"/>
        <w:jc w:val="center"/>
        <w:rPr>
          <w:b/>
          <w:bCs/>
          <w:i/>
          <w:iCs/>
          <w:sz w:val="32"/>
          <w:szCs w:val="32"/>
          <w:u w:val="single"/>
          <w:lang w:val="en-US"/>
        </w:rPr>
      </w:pPr>
      <w:r w:rsidRPr="00955569">
        <w:rPr>
          <w:b/>
          <w:bCs/>
          <w:i/>
          <w:iCs/>
          <w:sz w:val="32"/>
          <w:szCs w:val="32"/>
          <w:u w:val="single"/>
          <w:lang w:val="en-US"/>
        </w:rPr>
        <w:t>Review Article</w:t>
      </w:r>
    </w:p>
    <w:p w14:paraId="616A7888" w14:textId="77777777" w:rsidR="00C27D3D" w:rsidRDefault="00000000" w:rsidP="0026265B">
      <w:pPr>
        <w:spacing w:before="100" w:beforeAutospacing="1" w:after="100" w:afterAutospacing="1"/>
        <w:jc w:val="center"/>
      </w:pPr>
      <w:r>
        <w:rPr>
          <w:b/>
          <w:bCs/>
          <w:sz w:val="32"/>
          <w:szCs w:val="32"/>
        </w:rPr>
        <w:t>Butterfly Pea Flower (</w:t>
      </w:r>
      <w:r>
        <w:rPr>
          <w:b/>
          <w:bCs/>
          <w:i/>
          <w:iCs/>
          <w:sz w:val="32"/>
          <w:szCs w:val="32"/>
        </w:rPr>
        <w:t>Clitoria ternatea</w:t>
      </w:r>
      <w:r>
        <w:rPr>
          <w:b/>
          <w:bCs/>
          <w:sz w:val="32"/>
          <w:szCs w:val="32"/>
        </w:rPr>
        <w:t xml:space="preserve"> L.) as a Natural Colourant and Functional Ingredient in Food Products: A Critical Narrative Review</w:t>
      </w:r>
    </w:p>
    <w:p w14:paraId="4C9ED964" w14:textId="77777777" w:rsidR="00C27D3D" w:rsidRDefault="00000000" w:rsidP="0026265B">
      <w:pPr>
        <w:pStyle w:val="Heading1"/>
        <w:spacing w:before="100" w:beforeAutospacing="1" w:after="100" w:afterAutospacing="1"/>
      </w:pPr>
      <w:r>
        <w:t>Abstract</w:t>
      </w:r>
    </w:p>
    <w:p w14:paraId="05069EF5" w14:textId="77777777" w:rsidR="00C27D3D" w:rsidRDefault="00000000" w:rsidP="0026265B">
      <w:pPr>
        <w:spacing w:before="100" w:beforeAutospacing="1" w:after="100" w:afterAutospacing="1"/>
        <w:jc w:val="both"/>
      </w:pPr>
      <w:r>
        <w:t>Butterfly pea (</w:t>
      </w:r>
      <w:r>
        <w:rPr>
          <w:i/>
          <w:iCs/>
        </w:rPr>
        <w:t>Clitoria ternatea</w:t>
      </w:r>
      <w:r>
        <w:t xml:space="preserve"> L.) flower has moved from a regional culinary and traditional-medicine ingredient to an internationally traded source of blue-to-purple colouration, driven by regulatory approval in several jurisdictions and by consumer demand for clean-label alternatives to synthetic dyes. Its principal pigments, a family of polyacylated delphinidin glycosides known as ternatins, combine an intense, pH-responsive hue with structural stability exceeding that of most non-acylated anthocyanins, while the same extract is repeatedly described as a source of antioxidant, antidiabetic and other bioactive effects. Existing reviews have tended to address the species' phytochemistry, colourant behaviour or pharmacology as separate literatures, and several recent syntheses extend into cosmetic, packaging and broader medicinal territory without sustaining a food-product-specific focus. This critical narrative review addresses that fragmentation by jointly evaluating the technological performance of </w:t>
      </w:r>
      <w:r>
        <w:rPr>
          <w:i/>
          <w:iCs/>
        </w:rPr>
        <w:t>C. ternatea</w:t>
      </w:r>
      <w:r>
        <w:t xml:space="preserve"> extracts as food colourants and their behaviour as functional ingredients once incorporated into real food matrices, rather than as isolated solutions. It synthesises evidence on ternatin structure and biosynthesis, extraction and stabilisation strategies, colour behaviour under processing- and storage-relevant conditions, applications in beverages, bakery, dairy and other products, and the strength of evidence for claimed antioxidant, antidiabetic, anti-inflammatory and other physiological effects, explicitly distinguishing in vitro, animal and the still-limited human evidence. It also examines an unresolved regulatory divergence in which the extract has been approved and progressively expanded as a colour additive in the United States while the dried flower has met safety objections as a traditional food in the European Union. The available evidence supports the extract's technological viability as a colourant, particularly in acidic to neutral, encapsulated or low-light systems, and provides consistent preclinical support for antioxidant and carbohydrate-digestive-enzyme-inhibitory activity, but clinical substantiation remains confined to a small number of acute human trials, extraction and reporting practices are heterogeneous, and long-term safety and efficacy data in real food matrices are limited. The review identifies standardisation of extract characterisation, matrix-specific stability and bioaccessibility testing, and adequately powered human trials as the most consequential priorities for translating this ingredient from a demonstrated laboratory candidate into a substantiated functional food component.</w:t>
      </w:r>
    </w:p>
    <w:p w14:paraId="6A0CD75F" w14:textId="77777777" w:rsidR="00C27D3D" w:rsidRDefault="00000000" w:rsidP="0026265B">
      <w:pPr>
        <w:spacing w:before="100" w:beforeAutospacing="1" w:after="100" w:afterAutospacing="1"/>
        <w:jc w:val="both"/>
      </w:pPr>
      <w:r>
        <w:t xml:space="preserve">Keywords: </w:t>
      </w:r>
      <w:r>
        <w:rPr>
          <w:i/>
          <w:iCs/>
        </w:rPr>
        <w:t>Clitoria ternatea</w:t>
      </w:r>
      <w:r>
        <w:t>; ternatin anthocyanins; natural food colourant; functional ingredient; colour stability; food-grade encapsulation</w:t>
      </w:r>
    </w:p>
    <w:p w14:paraId="09AF4476" w14:textId="77777777" w:rsidR="00C27D3D" w:rsidRDefault="00000000" w:rsidP="0026265B">
      <w:pPr>
        <w:pStyle w:val="Heading1"/>
        <w:spacing w:before="100" w:beforeAutospacing="1" w:after="100" w:afterAutospacing="1"/>
      </w:pPr>
      <w:r>
        <w:t>1. Introduction</w:t>
      </w:r>
    </w:p>
    <w:p w14:paraId="23E21A64" w14:textId="77777777" w:rsidR="00C27D3D" w:rsidRDefault="00000000" w:rsidP="0026265B">
      <w:pPr>
        <w:spacing w:before="100" w:beforeAutospacing="1" w:after="100" w:afterAutospacing="1"/>
        <w:jc w:val="both"/>
      </w:pPr>
      <w:r>
        <w:t xml:space="preserve">Colour exerts a disproportionate influence on how food and beverage products are perceived, anticipated and ultimately accepted, and it has therefore never been a neutral or purely cosmetic attribute of formulation. For much of the twentieth century, this influence was satisfied </w:t>
      </w:r>
      <w:r>
        <w:lastRenderedPageBreak/>
        <w:t>predominantly by synthetic azo and triarylmethane dyes, valued for their low cost, tinctorial strength and stability across a wide range of processing conditions. Public and regulatory unease about several of these compounds, expressed through restrictions in some jurisdictions and through consumer-driven demand for shorter, more recognisable ingredient lists in others, has since redirected considerable formulation effort toward pigments of plant, fungal or microbial origin. Anthocyanins, betalains, carotenoids and chlorophylls each address part of this demand, yet a specific and long-standing gap has persisted at the blue end of the visible spectrum, where genuinely stable, food-compatible natural options remain scarce.</w:t>
      </w:r>
    </w:p>
    <w:p w14:paraId="341B38A8" w14:textId="77777777" w:rsidR="00C27D3D" w:rsidRDefault="00000000" w:rsidP="0026265B">
      <w:pPr>
        <w:spacing w:before="100" w:beforeAutospacing="1" w:after="100" w:afterAutospacing="1"/>
        <w:jc w:val="both"/>
      </w:pPr>
      <w:r>
        <w:rPr>
          <w:i/>
          <w:iCs/>
        </w:rPr>
        <w:t>Clitoria ternatea</w:t>
      </w:r>
      <w:r>
        <w:t xml:space="preserve"> L. (Fabaceae), commonly known as butterfly pea or blue pea, has emerged as one of the more commercially credible responses to this gap. The flower's petals accumulate an unusually abundant and structurally distinctive set of polyacylated anthocyanins, collectively named ternatins, whose repeated acylation confers a combination of intense colouration and comparative resistance to degradation that most unmodified anthocyanins do not share (Terahara et al., 1996, 1998; Vidana Gamage et al., 2021). The same petals, together with the plant's leaves, seeds and roots, have a long history of use in South and Southeast Asian traditional medicine and cuisine, and the aqueous flower infusion has become familiar internationally as a colour-changing herbal tea. This dual identity, as a colourant with clear technological utility and as a source of phenolic compounds with reported antioxidant and other physiological activity, has made </w:t>
      </w:r>
      <w:r>
        <w:rPr>
          <w:i/>
          <w:iCs/>
        </w:rPr>
        <w:t>C. ternatea</w:t>
      </w:r>
      <w:r>
        <w:t xml:space="preserve"> an increasingly frequent subject of food-science investigation over the past decade, and it is this dual identity, rather than either property in isolation, that occupies the present review.</w:t>
      </w:r>
    </w:p>
    <w:p w14:paraId="13596611" w14:textId="77777777" w:rsidR="00C27D3D" w:rsidRDefault="00000000" w:rsidP="0026265B">
      <w:pPr>
        <w:spacing w:before="100" w:beforeAutospacing="1" w:after="100" w:afterAutospacing="1"/>
        <w:jc w:val="both"/>
      </w:pPr>
      <w:r>
        <w:t>The regulatory record illustrates why the topic is timely rather than settled. In the United States, an aqueous butterfly pea flower extract was approved as a colour additive exempt from certification in 2021, with permitted uses subsequently broadened in 2025 to include a wider range of snack and cereal-based products (U.S. Food and Drug Administration, 2021, 2025). In the European Union, by contrast, a 2022 scientific evaluation of the dried flower as a traditional food from a third country concluded that available data were insufficient to exclude safety concerns related to cyclotides present in the plant, and safety objections were raised to its marketing under that specific route, even though the same evaluation acknowledged a long history of use as a food colourant in Asian countries without apparent adverse effects (European Food Safety Authority, 2022). These divergent conclusions were reached for different regulatory questions, applied to different plant preparations, and they do not straightforwardly contradict one another, yet their coexistence signals that the evidentiary basis for the ingredient's safety and functional performance has not yet reached the point of international consensus, which is itself a reason for a critical rather than a descriptive synthesis.</w:t>
      </w:r>
    </w:p>
    <w:p w14:paraId="67AD5644" w14:textId="77777777" w:rsidR="00C27D3D" w:rsidRDefault="00000000" w:rsidP="0026265B">
      <w:pPr>
        <w:spacing w:before="100" w:beforeAutospacing="1" w:after="100" w:afterAutospacing="1"/>
        <w:jc w:val="both"/>
      </w:pPr>
      <w:r>
        <w:t xml:space="preserve">The scientific literature on </w:t>
      </w:r>
      <w:r>
        <w:rPr>
          <w:i/>
          <w:iCs/>
        </w:rPr>
        <w:t>C. ternatea</w:t>
      </w:r>
      <w:r>
        <w:t xml:space="preserve"> has grown accordingly, but unevenly. Structural and biosynthetic characterisation of ternatins dates to the 1980s and 1990s (Saito et al., 1985; Terahara et al., 1989, 1990, 1996, 1998) and remains foundational to later applied work. More recent narrative and systematic reviews have addressed the plant's phytochemistry and general biological activity (Oguis et al., 2019), its extraction, stability and antioxidant behaviour specifically (Vidana Gamage et al., 2021), its microencapsulation for functional-food use (Multisona et al., 2023), and its performance as a colourant within intelligent packaging systems (Hasanah et al., 2023). A wide-ranging synthesis published shortly before the present review extends the coverage further, into anti-obesity, hepatoprotective, anticancer, nutraceutical and cosmetic applications, while explicitly </w:t>
      </w:r>
      <w:r>
        <w:lastRenderedPageBreak/>
        <w:t>noting that this breadth has been achieved at the expense of a food-product-specific critical appraisal and that clinical validation remains scarce relative to the preclinical literature (Maia et al., 2025a). None of these syntheses sustains a joint, critically evaluative focus on the two properties for which the ingredient is actually purchased and formulated in food manufacture, namely its behaviour as a colourant under real processing and storage conditions and its behaviour as a functional ingredient once consumed as part of a food matrix rather than as an isolated extract. The present review is intended to occupy that specific space.</w:t>
      </w:r>
    </w:p>
    <w:p w14:paraId="7FD36277" w14:textId="77777777" w:rsidR="00C27D3D" w:rsidRDefault="00000000" w:rsidP="0026265B">
      <w:pPr>
        <w:pStyle w:val="Heading2"/>
        <w:spacing w:before="100" w:beforeAutospacing="1" w:after="100" w:afterAutospacing="1"/>
      </w:pPr>
      <w:r>
        <w:t>1.1 Scope, Research Gap and Objectives</w:t>
      </w:r>
    </w:p>
    <w:p w14:paraId="6B75616B" w14:textId="77777777" w:rsidR="00C27D3D" w:rsidRDefault="00000000" w:rsidP="0026265B">
      <w:pPr>
        <w:spacing w:before="100" w:beforeAutospacing="1" w:after="100" w:afterAutospacing="1"/>
        <w:jc w:val="both"/>
      </w:pPr>
      <w:r>
        <w:t xml:space="preserve">This review is confined to </w:t>
      </w:r>
      <w:r>
        <w:rPr>
          <w:i/>
          <w:iCs/>
        </w:rPr>
        <w:t>C. ternatea</w:t>
      </w:r>
      <w:r>
        <w:t xml:space="preserve"> flower-derived material as it is used or proposed for use in food and beverage products, encompassing aqueous and solvent extracts, powders, encapsulated forms and whole dried flowers where these are directly food-relevant. Phytochemical and pharmacological literature concerning the leaves, seeds, roots or whole-plant preparations is drawn upon only where it is necessary to establish safety context or mechanistic background, and applications in cosmetics, textiles, agriculture or non-food packaging are noted only in passing. The specific and, on the basis of the reviews identified above, insufficiently addressed gap is an integrated critical appraisal that treats colourant performance and functional bioactivity as interacting properties of the same food ingredient, evaluated against the standard of what has actually been demonstrated in food-relevant matrices and in human subjects, rather than inferred from isolated extracts or non-oral routes of administration.</w:t>
      </w:r>
    </w:p>
    <w:p w14:paraId="11273F2F" w14:textId="77777777" w:rsidR="00C27D3D" w:rsidRDefault="00000000" w:rsidP="0026265B">
      <w:pPr>
        <w:spacing w:before="100" w:beforeAutospacing="1" w:after="100" w:afterAutospacing="1"/>
        <w:jc w:val="both"/>
      </w:pPr>
      <w:r>
        <w:t>The principal objectives are, first, to synthesise the structural and phytochemical basis for the extract's colour and stability behaviour; second, to critically evaluate extraction, stabilisation and encapsulation strategies against the processing and storage conditions typical of food manufacture; third, to appraise the extract's performance across representative food and beverage categories; fourth, to evaluate the strength, consistency and translational status of evidence for antioxidant, antidiabetic and other physiological effects, explicitly distinguishing in vitro, animal and human evidence; and fifth, to examine safety and regulatory status as a lens on unresolved evidence gaps. The intended contribution is a synthesis that a food scientist, product developer or regulatory reviewer can use to judge what is well supported, what remains provisional, and where further evidence is most urgently required, rather than a further descriptive catalogue of individual studies.</w:t>
      </w:r>
    </w:p>
    <w:p w14:paraId="29AFA48C" w14:textId="77777777" w:rsidR="00C27D3D" w:rsidRDefault="00000000" w:rsidP="0026265B">
      <w:pPr>
        <w:pStyle w:val="Heading1"/>
        <w:spacing w:before="100" w:beforeAutospacing="1" w:after="100" w:afterAutospacing="1"/>
      </w:pPr>
      <w:r>
        <w:t>2. Methods for Literature Selection</w:t>
      </w:r>
    </w:p>
    <w:p w14:paraId="52486AB8" w14:textId="77777777" w:rsidR="00C27D3D" w:rsidRDefault="00000000" w:rsidP="0026265B">
      <w:pPr>
        <w:pStyle w:val="Heading2"/>
        <w:spacing w:before="100" w:beforeAutospacing="1" w:after="100" w:afterAutospacing="1"/>
      </w:pPr>
      <w:r>
        <w:t>2.1 Review Design and Rationale</w:t>
      </w:r>
    </w:p>
    <w:p w14:paraId="3F330935" w14:textId="77777777" w:rsidR="00C27D3D" w:rsidRDefault="00000000" w:rsidP="0026265B">
      <w:pPr>
        <w:spacing w:before="100" w:beforeAutospacing="1" w:after="100" w:afterAutospacing="1"/>
        <w:jc w:val="both"/>
      </w:pPr>
      <w:r>
        <w:t xml:space="preserve">A critical narrative review design was adopted in preference to a systematic review or meta-analysis because the underlying evidence base is heterogeneous in study design, plant material, extraction protocol and outcome measure to a degree that precludes meaningful quantitative pooling, and because the review's purpose is explicitly interpretive and integrative, requiring judgement about the relative weight of mechanistic, preclinical and clinical evidence rather than a bounded answer to a single, narrowly specified question. Narrative reviews carry a recognised risk of selection and interpretive bias relative to systematic approaches, and this risk was mitigated, though not eliminated, through the explicit search and eligibility procedures described below and through deliberate inclusion of conflicting and negative findings rather than reliance on studies </w:t>
      </w:r>
      <w:r>
        <w:lastRenderedPageBreak/>
        <w:t>supporting a single interpretation. The general conduct of the review followed recognised guidance on transparent and critical narrative synthesis in health and food science (Ferrari, 2015; Gasparyan et al., 2011), which recommends explicit reporting of information sources, search terms, eligibility criteria and appraisal approach even where a formal systematic methodology is not applied.</w:t>
      </w:r>
    </w:p>
    <w:p w14:paraId="23F51377" w14:textId="77777777" w:rsidR="00C27D3D" w:rsidRDefault="00000000" w:rsidP="0026265B">
      <w:pPr>
        <w:pStyle w:val="Heading2"/>
        <w:spacing w:before="100" w:beforeAutospacing="1" w:after="100" w:afterAutospacing="1"/>
      </w:pPr>
      <w:r>
        <w:t>2.2 Information Sources</w:t>
      </w:r>
    </w:p>
    <w:p w14:paraId="0BF89493" w14:textId="77777777" w:rsidR="00C27D3D" w:rsidRDefault="00000000" w:rsidP="0026265B">
      <w:pPr>
        <w:spacing w:before="100" w:beforeAutospacing="1" w:after="100" w:afterAutospacing="1"/>
        <w:jc w:val="both"/>
      </w:pPr>
      <w:r>
        <w:t>Literature retrieval was conducted through structured web-based scholarly searching, drawing on PubMed/MEDLINE, Google Scholar-indexed sources, Semantic Scholar and journal-hosted repositories (including PubMed Central), supplemented by direct verification of bibliographic details, dates and identifiers against publisher platforms, Crossref-resolved digital object identifiers and, for regulatory sources, the official publications of the European Food Safety Authority and the United States Federal Register. Backward citation checking of recent reviews and forward citation checking of foundational phytochemical studies were used to identify additional primary research not surfaced by keyword searching alone. Subscription bibliographic databases such as Web of Science, Scopus and Embase were not directly interrogated in the preparation of this manuscript, and no claim of coverage of those platforms is made; this is stated as a methodological limitation rather than concealed.</w:t>
      </w:r>
    </w:p>
    <w:p w14:paraId="5A6884CC" w14:textId="77777777" w:rsidR="00C27D3D" w:rsidRDefault="00000000" w:rsidP="0026265B">
      <w:pPr>
        <w:pStyle w:val="Heading2"/>
        <w:spacing w:before="100" w:beforeAutospacing="1" w:after="100" w:afterAutospacing="1"/>
      </w:pPr>
      <w:r>
        <w:t>2.3 Search Strategy and Search Period</w:t>
      </w:r>
    </w:p>
    <w:p w14:paraId="76BB6531" w14:textId="77777777" w:rsidR="00C27D3D" w:rsidRDefault="00000000" w:rsidP="0026265B">
      <w:pPr>
        <w:spacing w:before="100" w:beforeAutospacing="1" w:after="100" w:afterAutospacing="1"/>
        <w:jc w:val="both"/>
      </w:pPr>
      <w:r>
        <w:t>Search concepts were built around four coordinated blocks: the organism and its principal pigments (for example, "</w:t>
      </w:r>
      <w:r>
        <w:rPr>
          <w:i/>
          <w:iCs/>
        </w:rPr>
        <w:t>Clitoria ternatea</w:t>
      </w:r>
      <w:r>
        <w:t>", "butterfly pea", "blue pea", "ternatin", "anthocyanin"); technological and processing terms ("extraction", "encapsulation", "microencapsulation", "colour stability", "thermal degradation", "pH", "natural colourant", "food colorant"); food-application terms ("beverage", "bakery", "bread", "cake", "dairy", "yogurt", "functional food", "nutraceutical"); and physiological or safety terms ("antioxidant", "antidiabetic", "alpha-amylase", "alpha-glucosidase", "anti-inflammatory", "toxicity", "safety", "bioavailability", "clinical trial", "regulatory", "colour additive", "novel food"). These blocks were combined with Boolean operators in representative strings such as ("</w:t>
      </w:r>
      <w:r>
        <w:rPr>
          <w:i/>
          <w:iCs/>
        </w:rPr>
        <w:t>Clitoria ternatea</w:t>
      </w:r>
      <w:r>
        <w:t>" OR "butterfly pea") AND (extract</w:t>
      </w:r>
      <w:r>
        <w:rPr>
          <w:i/>
          <w:iCs/>
        </w:rPr>
        <w:t xml:space="preserve"> OR anthocyanin</w:t>
      </w:r>
      <w:r>
        <w:t xml:space="preserve"> OR ternatin</w:t>
      </w:r>
      <w:r>
        <w:rPr>
          <w:i/>
          <w:iCs/>
        </w:rPr>
        <w:t>) AND (colo?rant OR pigment OR stability); ("</w:t>
      </w:r>
      <w:r>
        <w:t>Clitoria ternatea</w:t>
      </w:r>
      <w:r>
        <w:rPr>
          <w:i/>
          <w:iCs/>
        </w:rPr>
        <w:t>") AND (beverage OR bakery OR dairy OR yogurt OR "functional food"); and ("</w:t>
      </w:r>
      <w:r>
        <w:t>Clitoria ternatea*") AND (antidiabetic OR "alpha-amylase" OR "alpha-glucosidase" OR "clinical trial" OR toxicity OR regulatory). Reference searching for the historical characterisation of ternatins was conducted without date restriction, given the necessity of foundational structural chemistry papers from the 1980s and 1990s to explain the compound class. For all other themes, the search considered material published from January 2008 onward, a starting point consistent with the period from which food-application-oriented investigation of this species becomes substantial rather than incidental, through to 22 May 2026, which represents the final search date for this review.</w:t>
      </w:r>
    </w:p>
    <w:p w14:paraId="0E25F5E6" w14:textId="77777777" w:rsidR="00C27D3D" w:rsidRDefault="00000000" w:rsidP="0026265B">
      <w:pPr>
        <w:pStyle w:val="Heading2"/>
        <w:spacing w:before="100" w:beforeAutospacing="1" w:after="100" w:afterAutospacing="1"/>
      </w:pPr>
      <w:r>
        <w:t>2.4 Eligibility Criteria</w:t>
      </w:r>
    </w:p>
    <w:p w14:paraId="61573E03" w14:textId="77777777" w:rsidR="00C27D3D" w:rsidRDefault="00000000" w:rsidP="0026265B">
      <w:pPr>
        <w:spacing w:before="100" w:beforeAutospacing="1" w:after="100" w:afterAutospacing="1"/>
        <w:jc w:val="both"/>
      </w:pPr>
      <w:r>
        <w:t xml:space="preserve">Eligible sources comprised peer-reviewed original research articles, peer-reviewed narrative or systematic reviews, and authoritative regulatory or intergovernmental publications directly concerning </w:t>
      </w:r>
      <w:r>
        <w:rPr>
          <w:i/>
          <w:iCs/>
        </w:rPr>
        <w:t>C. ternatea</w:t>
      </w:r>
      <w:r>
        <w:t xml:space="preserve"> flower material in a food-, beverage- or directly food-safety-relevant context, published in English, with verifiable bibliographic details. Studies concerning non-flower </w:t>
      </w:r>
      <w:r>
        <w:lastRenderedPageBreak/>
        <w:t>plant parts were retained only where necessary for safety or mechanistic context and are identified as such in the text. Excluded from citation, though in several cases reviewed for context, were preprints, non-peer-reviewed theses and dissertations cited only through secondary sources, conference abstracts lacking a verifiable peer-reviewed record, patents, promotional or trade material, and any source whose full bibliographic identity, including authorship, journal and a resolvable identifier, could not be independently confirmed.</w:t>
      </w:r>
    </w:p>
    <w:p w14:paraId="6AF2E18A" w14:textId="77777777" w:rsidR="00C27D3D" w:rsidRDefault="00000000" w:rsidP="0026265B">
      <w:pPr>
        <w:pStyle w:val="Heading2"/>
        <w:spacing w:before="100" w:beforeAutospacing="1" w:after="100" w:afterAutospacing="1"/>
      </w:pPr>
      <w:r>
        <w:t>2.5 Screening, Duplicate Handling and Study Selection</w:t>
      </w:r>
    </w:p>
    <w:p w14:paraId="02C34CEB" w14:textId="77777777" w:rsidR="00C27D3D" w:rsidRDefault="00000000" w:rsidP="0026265B">
      <w:pPr>
        <w:spacing w:before="100" w:beforeAutospacing="1" w:after="100" w:afterAutospacing="1"/>
        <w:jc w:val="both"/>
      </w:pPr>
      <w:r>
        <w:t xml:space="preserve">Candidate records identified through the search strategy were screened at the title and abstract level for relevance to </w:t>
      </w:r>
      <w:r>
        <w:rPr>
          <w:i/>
          <w:iCs/>
        </w:rPr>
        <w:t>C. ternatea</w:t>
      </w:r>
      <w:r>
        <w:t xml:space="preserve"> flower material in a food or directly safety-relevant context, with full-text or extended-abstract review used to confirm eligibility and to extract the specific findings cited in this manuscript. Duplicate records arising from indexing across multiple platforms (for example, a PubMed Central record and its corresponding publisher page) were identified by matching digital object identifiers and titles and were treated as a single source. Sources for which independent verification of authorship, year, journal and identifier could not be obtained were excluded rather than cited on the basis of a single, unverified secondary mention. Language was restricted to English; this restriction, together with the reliance on openly accessible or abstract-level content for some paywalled sources, is acknowledged in the Limitations section as a constraint on completeness rather than a claim of exhaustive coverage.</w:t>
      </w:r>
    </w:p>
    <w:p w14:paraId="196A887F" w14:textId="77777777" w:rsidR="00C27D3D" w:rsidRDefault="00000000" w:rsidP="0026265B">
      <w:pPr>
        <w:pStyle w:val="Heading2"/>
        <w:spacing w:before="100" w:beforeAutospacing="1" w:after="100" w:afterAutospacing="1"/>
      </w:pPr>
      <w:r>
        <w:t>2.6 Critical Appraisal and Evidence Synthesis</w:t>
      </w:r>
    </w:p>
    <w:p w14:paraId="270341AA" w14:textId="77777777" w:rsidR="00C27D3D" w:rsidRDefault="00000000" w:rsidP="0026265B">
      <w:pPr>
        <w:spacing w:before="100" w:beforeAutospacing="1" w:after="100" w:afterAutospacing="1"/>
        <w:jc w:val="both"/>
      </w:pPr>
      <w:r>
        <w:t>Methodological quality was appraised qualitatively against criteria appropriate to each study type: for extraction and stability studies, adequacy of experimental design, reporting of quantitative outcomes and storage conditions, and use of validated analytical methods; for bioactivity studies, the model system used (chemical assay, cell line, animal model or human subject), sample size, and the presence or absence of appropriate controls; and for clinical studies specifically, randomisation, crossover or parallel design, and the population studied. No formal risk-of-bias scoring instrument was applied, since no single validated tool spans the chemical, preclinical and clinical study types included, and applying one selectively would have implied a precision the appraisal does not possess. Thematic synthesis proceeded by grouping studies around the conceptual sections described in the following parts of this manuscript, comparing quantitative outcomes where comparable extraction or assay conditions permitted direct comparison, and treating outcomes obtained under materially different conditions, such as different solvents, pH values or plant material sources, as contextual rather than directly comparable. Disagreements between studies were resolved by describing the disagreement and its likely technical origin rather than by selecting the result judged more plausible.</w:t>
      </w:r>
    </w:p>
    <w:p w14:paraId="42FAD2DA" w14:textId="77777777" w:rsidR="00C27D3D" w:rsidRDefault="00000000" w:rsidP="0026265B">
      <w:pPr>
        <w:pStyle w:val="Heading1"/>
        <w:spacing w:before="100" w:beforeAutospacing="1" w:after="100" w:afterAutospacing="1"/>
      </w:pPr>
      <w:r>
        <w:t xml:space="preserve">3. Phytochemistry and Structural Characterisation of </w:t>
      </w:r>
      <w:r>
        <w:rPr>
          <w:i/>
          <w:iCs/>
        </w:rPr>
        <w:t>Clitoria ternatea</w:t>
      </w:r>
      <w:r>
        <w:t xml:space="preserve"> Anthocyanins</w:t>
      </w:r>
    </w:p>
    <w:p w14:paraId="2B77C299" w14:textId="77777777" w:rsidR="00C27D3D" w:rsidRDefault="00000000" w:rsidP="0026265B">
      <w:pPr>
        <w:spacing w:before="100" w:beforeAutospacing="1" w:after="100" w:afterAutospacing="1"/>
        <w:jc w:val="both"/>
      </w:pPr>
      <w:r>
        <w:t xml:space="preserve">The blue-to-violet colouration of </w:t>
      </w:r>
      <w:r>
        <w:rPr>
          <w:i/>
          <w:iCs/>
        </w:rPr>
        <w:t>C. ternatea</w:t>
      </w:r>
      <w:r>
        <w:t xml:space="preserve"> petals is attributable overwhelmingly to ternatins, a family of polyacylated derivatives of delphinidin 3,3′,5′-triglucoside first isolated and structurally characterised between the mid-1980s and late 1990s (Saito et al., 1985; Terahara et al., 1989, 1990, 1996, 1998). The defining structural feature of this class is the alternating glucosylation and p-</w:t>
      </w:r>
      <w:r>
        <w:lastRenderedPageBreak/>
        <w:t xml:space="preserve">coumaroylation of the 3′ and 5′ side chains attached to the delphinidin core, producing a series of at least fifteen distinct ternatins, conventionally grouped as the A1–A3, B1–B4, C1–C5 and D1–D3 series, which differ from one another in the number and arrangement of glucosyl and p-coumaroyl units (Terahara et al., 1996, 1998; Vidana Gamage et al., 2021). This repeated acylation is not a minor structural detail; it enables an intramolecular stacking interaction between the aromatic acyl groups and the anthocyanidin chromophore, a phenomenon generally described as intramolecular co-pigmentation, which stabilises the coloured flavylium and quinonoidal forms of the pigment against the hydration and ring-opening reactions that rapidly decolourise most non-acylated anthocyanins in near-neutral aqueous solution (Terahara et al., 1996; Vidana Gamage et al., 2021). It is this mechanism, more than any single compositional feature, that underlies the recurrent characterisation of </w:t>
      </w:r>
      <w:r>
        <w:rPr>
          <w:i/>
          <w:iCs/>
        </w:rPr>
        <w:t>C. ternatea</w:t>
      </w:r>
      <w:r>
        <w:t xml:space="preserve"> anthocyanins as unusually well suited to food colourant use relative to anthocyanins from more commonly exploited sources such as grape, black carrot or red cabbage.</w:t>
      </w:r>
    </w:p>
    <w:p w14:paraId="2C713369" w14:textId="77777777" w:rsidR="00C27D3D" w:rsidRDefault="00000000" w:rsidP="0026265B">
      <w:pPr>
        <w:spacing w:before="100" w:beforeAutospacing="1" w:after="100" w:afterAutospacing="1"/>
        <w:jc w:val="both"/>
      </w:pPr>
      <w:r>
        <w:t xml:space="preserve">Beyond the ternatins themselves, aqueous and hydroalcoholic extracts of the flower contain a secondary but non-trivial complement of flavonol glycosides, principally kaempferol, quercetin and myricetin glycosides, together with smaller quantities of other phenolic acids (Nair et al., 2015; Jeyaraj et al., 2021b). This co-occurring flavonol fraction is analytically and functionally distinct from the anthocyanin fraction: it does not contribute materially to the extract's blue-purple colouration, but it has been separately implicated in some of the extract's reported bioactivity, a distinction that is addressed further in Section 6. Chromatographic separation of </w:t>
      </w:r>
      <w:r>
        <w:rPr>
          <w:i/>
          <w:iCs/>
        </w:rPr>
        <w:t>C. ternatea</w:t>
      </w:r>
      <w:r>
        <w:t xml:space="preserve"> extracts by liquid chromatography–mass spectrometry has repeatedly confirmed that ternatins dominate the pigment fraction quantitatively, with contemporary analyses identifying on the order of a dozen or more resolvable ternatin species alongside a smaller number of non-anthocyanin phenolics in a single extract (Escher et al., 2020b; Jeyaraj et al., 2022).</w:t>
      </w:r>
    </w:p>
    <w:p w14:paraId="0DCE1618" w14:textId="77777777" w:rsidR="00C27D3D" w:rsidRDefault="00000000" w:rsidP="0026265B">
      <w:pPr>
        <w:spacing w:before="100" w:beforeAutospacing="1" w:after="100" w:afterAutospacing="1"/>
        <w:jc w:val="both"/>
      </w:pPr>
      <w:r>
        <w:t xml:space="preserve">Reported total anthocyanin and total phenolic contents vary considerably across studies, a variability that reflects genuine differences in plant material, cultivation conditions and, especially, analytical and extraction methodology rather than a single, fixed compositional value for the species. For example, extraction with 50% ethanol from dried petals has been reported to yield a total anthocyanin content in the region of 5 mg cyanidin-3-glucoside equivalents per gram of dry extract and a total phenolic content in the region of 59 mg gallic acid equivalents per gram (Jeyaraj et al., 2021a), whereas high-power ultrasound-assisted extraction optimised for total phenolic recovery has been reported to yield total anthocyanin and total phenolic contents an order of magnitude higher, at approximately 487 mg per gram and 2242 mg gallic acid equivalents per gram respectively (Santos &amp; Martins, 2023). This apparent discrepancy is best interpreted as a consequence of differing extraction efficiency, solvent selectivity and the units in which content is expressed, rather than as conflicting evidence about the underlying plant material, and it illustrates a recurring methodological caution that applies throughout this review: absolute compositional values reported for </w:t>
      </w:r>
      <w:r>
        <w:rPr>
          <w:i/>
          <w:iCs/>
        </w:rPr>
        <w:t>C. ternatea</w:t>
      </w:r>
      <w:r>
        <w:t xml:space="preserve"> extracts are only meaningfully comparable when extraction conditions, plant material and analytical standards are matched, a condition that is met only occasionally across the published literature.</w:t>
      </w:r>
    </w:p>
    <w:p w14:paraId="36324D1E" w14:textId="77777777" w:rsidR="00C27D3D" w:rsidRDefault="00000000" w:rsidP="0026265B">
      <w:pPr>
        <w:spacing w:before="100" w:beforeAutospacing="1" w:after="100" w:afterAutospacing="1"/>
        <w:jc w:val="both"/>
      </w:pPr>
      <w:r>
        <w:t xml:space="preserve">The stability advantage conferred by acylation should not be read as unconditional. Acylated anthocyanins remain susceptible to degradation under sufficiently forcing conditions of heat, light, extreme pH and oxygen exposure, and the practical question for food application is not whether </w:t>
      </w:r>
      <w:r>
        <w:lastRenderedPageBreak/>
        <w:t>ternatins are stable in an absolute sense but under which combinations of processing and storage conditions their stability is adequate for a given product's intended shelf life. Table 1 summarises the principal constituent classes described above, together with their structural basis and functional significance, as a reference point for the extraction, stability and application evidence discussed in the sections that follow.</w:t>
      </w:r>
    </w:p>
    <w:p w14:paraId="42C54CCB" w14:textId="77777777" w:rsidR="00C27D3D" w:rsidRDefault="00000000" w:rsidP="0026265B">
      <w:pPr>
        <w:spacing w:before="100" w:beforeAutospacing="1" w:after="100" w:afterAutospacing="1"/>
      </w:pPr>
      <w:r>
        <w:rPr>
          <w:b/>
          <w:bCs/>
          <w:sz w:val="22"/>
          <w:szCs w:val="22"/>
        </w:rPr>
        <w:t>Table 1. Key phytochemical constituents of Clitoria ternatea flowers relevant to colour and functional properties.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600"/>
        <w:gridCol w:w="2900"/>
        <w:gridCol w:w="2200"/>
      </w:tblGrid>
      <w:tr w:rsidR="00C27D3D" w14:paraId="77282D26" w14:textId="77777777">
        <w:trPr>
          <w:tblHeader/>
        </w:trPr>
        <w:tc>
          <w:tcPr>
            <w:tcW w:w="1900" w:type="dxa"/>
            <w:shd w:val="clear" w:color="auto" w:fill="D9E2F3"/>
            <w:tcMar>
              <w:top w:w="100" w:type="dxa"/>
              <w:left w:w="100" w:type="dxa"/>
              <w:bottom w:w="100" w:type="dxa"/>
              <w:right w:w="100" w:type="dxa"/>
            </w:tcMar>
          </w:tcPr>
          <w:p w14:paraId="261FD9DF" w14:textId="77777777" w:rsidR="00C27D3D" w:rsidRDefault="00000000" w:rsidP="0026265B">
            <w:pPr>
              <w:spacing w:before="100" w:beforeAutospacing="1" w:after="100" w:afterAutospacing="1"/>
            </w:pPr>
            <w:r>
              <w:rPr>
                <w:b/>
                <w:bCs/>
                <w:sz w:val="20"/>
                <w:szCs w:val="20"/>
              </w:rPr>
              <w:t>Constituent class</w:t>
            </w:r>
          </w:p>
        </w:tc>
        <w:tc>
          <w:tcPr>
            <w:tcW w:w="2600" w:type="dxa"/>
            <w:shd w:val="clear" w:color="auto" w:fill="D9E2F3"/>
            <w:tcMar>
              <w:top w:w="100" w:type="dxa"/>
              <w:left w:w="100" w:type="dxa"/>
              <w:bottom w:w="100" w:type="dxa"/>
              <w:right w:w="100" w:type="dxa"/>
            </w:tcMar>
          </w:tcPr>
          <w:p w14:paraId="2EF5F67C" w14:textId="77777777" w:rsidR="00C27D3D" w:rsidRDefault="00000000" w:rsidP="0026265B">
            <w:pPr>
              <w:spacing w:before="100" w:beforeAutospacing="1" w:after="100" w:afterAutospacing="1"/>
            </w:pPr>
            <w:r>
              <w:rPr>
                <w:b/>
                <w:bCs/>
                <w:sz w:val="20"/>
                <w:szCs w:val="20"/>
              </w:rPr>
              <w:t>Structural / compositional feature</w:t>
            </w:r>
          </w:p>
        </w:tc>
        <w:tc>
          <w:tcPr>
            <w:tcW w:w="2900" w:type="dxa"/>
            <w:shd w:val="clear" w:color="auto" w:fill="D9E2F3"/>
            <w:tcMar>
              <w:top w:w="100" w:type="dxa"/>
              <w:left w:w="100" w:type="dxa"/>
              <w:bottom w:w="100" w:type="dxa"/>
              <w:right w:w="100" w:type="dxa"/>
            </w:tcMar>
          </w:tcPr>
          <w:p w14:paraId="2CFDCEE9" w14:textId="77777777" w:rsidR="00C27D3D" w:rsidRDefault="00000000" w:rsidP="0026265B">
            <w:pPr>
              <w:spacing w:before="100" w:beforeAutospacing="1" w:after="100" w:afterAutospacing="1"/>
            </w:pPr>
            <w:r>
              <w:rPr>
                <w:b/>
                <w:bCs/>
                <w:sz w:val="20"/>
                <w:szCs w:val="20"/>
              </w:rPr>
              <w:t>Relevance to colour or function</w:t>
            </w:r>
          </w:p>
        </w:tc>
        <w:tc>
          <w:tcPr>
            <w:tcW w:w="2200" w:type="dxa"/>
            <w:shd w:val="clear" w:color="auto" w:fill="D9E2F3"/>
            <w:tcMar>
              <w:top w:w="100" w:type="dxa"/>
              <w:left w:w="100" w:type="dxa"/>
              <w:bottom w:w="100" w:type="dxa"/>
              <w:right w:w="100" w:type="dxa"/>
            </w:tcMar>
          </w:tcPr>
          <w:p w14:paraId="1FF78EA6" w14:textId="77777777" w:rsidR="00C27D3D" w:rsidRDefault="00000000" w:rsidP="0026265B">
            <w:pPr>
              <w:spacing w:before="100" w:beforeAutospacing="1" w:after="100" w:afterAutospacing="1"/>
            </w:pPr>
            <w:r>
              <w:rPr>
                <w:b/>
                <w:bCs/>
                <w:sz w:val="20"/>
                <w:szCs w:val="20"/>
              </w:rPr>
              <w:t>Supporting references</w:t>
            </w:r>
          </w:p>
        </w:tc>
      </w:tr>
      <w:tr w:rsidR="00C27D3D" w14:paraId="176FAD29" w14:textId="77777777">
        <w:tc>
          <w:tcPr>
            <w:tcW w:w="1900" w:type="dxa"/>
            <w:tcMar>
              <w:top w:w="100" w:type="dxa"/>
              <w:left w:w="100" w:type="dxa"/>
              <w:bottom w:w="100" w:type="dxa"/>
              <w:right w:w="100" w:type="dxa"/>
            </w:tcMar>
          </w:tcPr>
          <w:p w14:paraId="5B590982" w14:textId="77777777" w:rsidR="00C27D3D" w:rsidRDefault="00000000" w:rsidP="0026265B">
            <w:pPr>
              <w:spacing w:before="100" w:beforeAutospacing="1" w:after="100" w:afterAutospacing="1"/>
            </w:pPr>
            <w:r>
              <w:rPr>
                <w:sz w:val="20"/>
                <w:szCs w:val="20"/>
              </w:rPr>
              <w:t>Delphinidin 3,3′,5′-triglucoside</w:t>
            </w:r>
          </w:p>
        </w:tc>
        <w:tc>
          <w:tcPr>
            <w:tcW w:w="2600" w:type="dxa"/>
            <w:tcMar>
              <w:top w:w="100" w:type="dxa"/>
              <w:left w:w="100" w:type="dxa"/>
              <w:bottom w:w="100" w:type="dxa"/>
              <w:right w:w="100" w:type="dxa"/>
            </w:tcMar>
          </w:tcPr>
          <w:p w14:paraId="01CEA010" w14:textId="77777777" w:rsidR="00C27D3D" w:rsidRDefault="00000000" w:rsidP="0026265B">
            <w:pPr>
              <w:spacing w:before="100" w:beforeAutospacing="1" w:after="100" w:afterAutospacing="1"/>
            </w:pPr>
            <w:r>
              <w:rPr>
                <w:sz w:val="20"/>
                <w:szCs w:val="20"/>
              </w:rPr>
              <w:t>Core anthocyanidin triglucoside skeleton</w:t>
            </w:r>
          </w:p>
        </w:tc>
        <w:tc>
          <w:tcPr>
            <w:tcW w:w="2900" w:type="dxa"/>
            <w:tcMar>
              <w:top w:w="100" w:type="dxa"/>
              <w:left w:w="100" w:type="dxa"/>
              <w:bottom w:w="100" w:type="dxa"/>
              <w:right w:w="100" w:type="dxa"/>
            </w:tcMar>
          </w:tcPr>
          <w:p w14:paraId="6EDF4580" w14:textId="77777777" w:rsidR="00C27D3D" w:rsidRDefault="00000000" w:rsidP="0026265B">
            <w:pPr>
              <w:spacing w:before="100" w:beforeAutospacing="1" w:after="100" w:afterAutospacing="1"/>
            </w:pPr>
            <w:r>
              <w:rPr>
                <w:sz w:val="20"/>
                <w:szCs w:val="20"/>
              </w:rPr>
              <w:t>Base chromophore common to all ternatins</w:t>
            </w:r>
          </w:p>
        </w:tc>
        <w:tc>
          <w:tcPr>
            <w:tcW w:w="2200" w:type="dxa"/>
            <w:tcMar>
              <w:top w:w="100" w:type="dxa"/>
              <w:left w:w="100" w:type="dxa"/>
              <w:bottom w:w="100" w:type="dxa"/>
              <w:right w:w="100" w:type="dxa"/>
            </w:tcMar>
          </w:tcPr>
          <w:p w14:paraId="067A287B" w14:textId="77777777" w:rsidR="00C27D3D" w:rsidRDefault="00000000" w:rsidP="0026265B">
            <w:pPr>
              <w:spacing w:before="100" w:beforeAutospacing="1" w:after="100" w:afterAutospacing="1"/>
            </w:pPr>
            <w:r>
              <w:rPr>
                <w:sz w:val="20"/>
                <w:szCs w:val="20"/>
              </w:rPr>
              <w:t>Terahara et al. (1996, 1998); Vidana Gamage et al. (2021)</w:t>
            </w:r>
          </w:p>
        </w:tc>
      </w:tr>
      <w:tr w:rsidR="00C27D3D" w14:paraId="718B0D37" w14:textId="77777777">
        <w:tc>
          <w:tcPr>
            <w:tcW w:w="1900" w:type="dxa"/>
            <w:tcMar>
              <w:top w:w="100" w:type="dxa"/>
              <w:left w:w="100" w:type="dxa"/>
              <w:bottom w:w="100" w:type="dxa"/>
              <w:right w:w="100" w:type="dxa"/>
            </w:tcMar>
          </w:tcPr>
          <w:p w14:paraId="3252B365" w14:textId="77777777" w:rsidR="00C27D3D" w:rsidRDefault="00000000" w:rsidP="0026265B">
            <w:pPr>
              <w:spacing w:before="100" w:beforeAutospacing="1" w:after="100" w:afterAutospacing="1"/>
            </w:pPr>
            <w:r>
              <w:rPr>
                <w:sz w:val="20"/>
                <w:szCs w:val="20"/>
              </w:rPr>
              <w:t>Ternatins (series A1–A3, B1–B4, C1–C5, D1–D3; ≥15 identified)</w:t>
            </w:r>
          </w:p>
        </w:tc>
        <w:tc>
          <w:tcPr>
            <w:tcW w:w="2600" w:type="dxa"/>
            <w:tcMar>
              <w:top w:w="100" w:type="dxa"/>
              <w:left w:w="100" w:type="dxa"/>
              <w:bottom w:w="100" w:type="dxa"/>
              <w:right w:w="100" w:type="dxa"/>
            </w:tcMar>
          </w:tcPr>
          <w:p w14:paraId="29B8F7B2" w14:textId="77777777" w:rsidR="00C27D3D" w:rsidRDefault="00000000" w:rsidP="0026265B">
            <w:pPr>
              <w:spacing w:before="100" w:beforeAutospacing="1" w:after="100" w:afterAutospacing="1"/>
            </w:pPr>
            <w:r>
              <w:rPr>
                <w:sz w:val="20"/>
                <w:szCs w:val="20"/>
              </w:rPr>
              <w:t>Polyacylated, with alternating glucosyl and p-coumaroyl units on the 3′ and 5′ side chains</w:t>
            </w:r>
          </w:p>
        </w:tc>
        <w:tc>
          <w:tcPr>
            <w:tcW w:w="2900" w:type="dxa"/>
            <w:tcMar>
              <w:top w:w="100" w:type="dxa"/>
              <w:left w:w="100" w:type="dxa"/>
              <w:bottom w:w="100" w:type="dxa"/>
              <w:right w:w="100" w:type="dxa"/>
            </w:tcMar>
          </w:tcPr>
          <w:p w14:paraId="38031E83" w14:textId="77777777" w:rsidR="00C27D3D" w:rsidRDefault="00000000" w:rsidP="0026265B">
            <w:pPr>
              <w:spacing w:before="100" w:beforeAutospacing="1" w:after="100" w:afterAutospacing="1"/>
            </w:pPr>
            <w:r>
              <w:rPr>
                <w:sz w:val="20"/>
                <w:szCs w:val="20"/>
              </w:rPr>
              <w:t>Intramolecular co-pigmentation stabilises the coloured flavylium/quinonoidal forms; principal source of the blue-purple hue</w:t>
            </w:r>
          </w:p>
        </w:tc>
        <w:tc>
          <w:tcPr>
            <w:tcW w:w="2200" w:type="dxa"/>
            <w:tcMar>
              <w:top w:w="100" w:type="dxa"/>
              <w:left w:w="100" w:type="dxa"/>
              <w:bottom w:w="100" w:type="dxa"/>
              <w:right w:w="100" w:type="dxa"/>
            </w:tcMar>
          </w:tcPr>
          <w:p w14:paraId="6AB65FEE" w14:textId="77777777" w:rsidR="00C27D3D" w:rsidRDefault="00000000" w:rsidP="0026265B">
            <w:pPr>
              <w:spacing w:before="100" w:beforeAutospacing="1" w:after="100" w:afterAutospacing="1"/>
            </w:pPr>
            <w:r>
              <w:rPr>
                <w:sz w:val="20"/>
                <w:szCs w:val="20"/>
              </w:rPr>
              <w:t>Saito et al. (1985); Terahara et al. (1989, 1990, 1996, 1998); Vidana Gamage et al. (2021)</w:t>
            </w:r>
          </w:p>
        </w:tc>
      </w:tr>
      <w:tr w:rsidR="00C27D3D" w14:paraId="60E5A2FE" w14:textId="77777777">
        <w:tc>
          <w:tcPr>
            <w:tcW w:w="1900" w:type="dxa"/>
            <w:tcMar>
              <w:top w:w="100" w:type="dxa"/>
              <w:left w:w="100" w:type="dxa"/>
              <w:bottom w:w="100" w:type="dxa"/>
              <w:right w:w="100" w:type="dxa"/>
            </w:tcMar>
          </w:tcPr>
          <w:p w14:paraId="7E86FC6D" w14:textId="77777777" w:rsidR="00C27D3D" w:rsidRDefault="00000000" w:rsidP="0026265B">
            <w:pPr>
              <w:spacing w:before="100" w:beforeAutospacing="1" w:after="100" w:afterAutospacing="1"/>
            </w:pPr>
            <w:r>
              <w:rPr>
                <w:sz w:val="20"/>
                <w:szCs w:val="20"/>
              </w:rPr>
              <w:t>Preternatins (e.g., preternatin A3)</w:t>
            </w:r>
          </w:p>
        </w:tc>
        <w:tc>
          <w:tcPr>
            <w:tcW w:w="2600" w:type="dxa"/>
            <w:tcMar>
              <w:top w:w="100" w:type="dxa"/>
              <w:left w:w="100" w:type="dxa"/>
              <w:bottom w:w="100" w:type="dxa"/>
              <w:right w:w="100" w:type="dxa"/>
            </w:tcMar>
          </w:tcPr>
          <w:p w14:paraId="1B8ECEC5" w14:textId="77777777" w:rsidR="00C27D3D" w:rsidRDefault="00000000" w:rsidP="0026265B">
            <w:pPr>
              <w:spacing w:before="100" w:beforeAutospacing="1" w:after="100" w:afterAutospacing="1"/>
            </w:pPr>
            <w:r>
              <w:rPr>
                <w:sz w:val="20"/>
                <w:szCs w:val="20"/>
              </w:rPr>
              <w:t>Less extensively acylated biosynthetic intermediates</w:t>
            </w:r>
          </w:p>
        </w:tc>
        <w:tc>
          <w:tcPr>
            <w:tcW w:w="2900" w:type="dxa"/>
            <w:tcMar>
              <w:top w:w="100" w:type="dxa"/>
              <w:left w:w="100" w:type="dxa"/>
              <w:bottom w:w="100" w:type="dxa"/>
              <w:right w:w="100" w:type="dxa"/>
            </w:tcMar>
          </w:tcPr>
          <w:p w14:paraId="509F2811" w14:textId="77777777" w:rsidR="00C27D3D" w:rsidRDefault="00000000" w:rsidP="0026265B">
            <w:pPr>
              <w:spacing w:before="100" w:beforeAutospacing="1" w:after="100" w:afterAutospacing="1"/>
            </w:pPr>
            <w:r>
              <w:rPr>
                <w:sz w:val="20"/>
                <w:szCs w:val="20"/>
              </w:rPr>
              <w:t>Detected intact in plasma after oral dosing; marker of absorption in the original acylated form</w:t>
            </w:r>
          </w:p>
        </w:tc>
        <w:tc>
          <w:tcPr>
            <w:tcW w:w="2200" w:type="dxa"/>
            <w:tcMar>
              <w:top w:w="100" w:type="dxa"/>
              <w:left w:w="100" w:type="dxa"/>
              <w:bottom w:w="100" w:type="dxa"/>
              <w:right w:w="100" w:type="dxa"/>
            </w:tcMar>
          </w:tcPr>
          <w:p w14:paraId="04D0FF7A" w14:textId="77777777" w:rsidR="00C27D3D" w:rsidRDefault="00000000" w:rsidP="0026265B">
            <w:pPr>
              <w:spacing w:before="100" w:beforeAutospacing="1" w:after="100" w:afterAutospacing="1"/>
            </w:pPr>
            <w:r>
              <w:rPr>
                <w:sz w:val="20"/>
                <w:szCs w:val="20"/>
              </w:rPr>
              <w:t>Terahara et al. (1998); Ichiyanagi et al. (2021)</w:t>
            </w:r>
          </w:p>
        </w:tc>
      </w:tr>
      <w:tr w:rsidR="00C27D3D" w14:paraId="43946AA0" w14:textId="77777777">
        <w:tc>
          <w:tcPr>
            <w:tcW w:w="1900" w:type="dxa"/>
            <w:tcMar>
              <w:top w:w="100" w:type="dxa"/>
              <w:left w:w="100" w:type="dxa"/>
              <w:bottom w:w="100" w:type="dxa"/>
              <w:right w:w="100" w:type="dxa"/>
            </w:tcMar>
          </w:tcPr>
          <w:p w14:paraId="64AAC289" w14:textId="77777777" w:rsidR="00C27D3D" w:rsidRDefault="00000000" w:rsidP="0026265B">
            <w:pPr>
              <w:spacing w:before="100" w:beforeAutospacing="1" w:after="100" w:afterAutospacing="1"/>
            </w:pPr>
            <w:r>
              <w:rPr>
                <w:sz w:val="20"/>
                <w:szCs w:val="20"/>
              </w:rPr>
              <w:t>Flavonol glycosides (kaempferol, quercetin, myricetin derivatives)</w:t>
            </w:r>
          </w:p>
        </w:tc>
        <w:tc>
          <w:tcPr>
            <w:tcW w:w="2600" w:type="dxa"/>
            <w:tcMar>
              <w:top w:w="100" w:type="dxa"/>
              <w:left w:w="100" w:type="dxa"/>
              <w:bottom w:w="100" w:type="dxa"/>
              <w:right w:w="100" w:type="dxa"/>
            </w:tcMar>
          </w:tcPr>
          <w:p w14:paraId="05F600ED" w14:textId="77777777" w:rsidR="00C27D3D" w:rsidRDefault="00000000" w:rsidP="0026265B">
            <w:pPr>
              <w:spacing w:before="100" w:beforeAutospacing="1" w:after="100" w:afterAutospacing="1"/>
            </w:pPr>
            <w:r>
              <w:rPr>
                <w:sz w:val="20"/>
                <w:szCs w:val="20"/>
              </w:rPr>
              <w:t>Co-occurring non-anthocyanin phenolics</w:t>
            </w:r>
          </w:p>
        </w:tc>
        <w:tc>
          <w:tcPr>
            <w:tcW w:w="2900" w:type="dxa"/>
            <w:tcMar>
              <w:top w:w="100" w:type="dxa"/>
              <w:left w:w="100" w:type="dxa"/>
              <w:bottom w:w="100" w:type="dxa"/>
              <w:right w:w="100" w:type="dxa"/>
            </w:tcMar>
          </w:tcPr>
          <w:p w14:paraId="498E40F0" w14:textId="77777777" w:rsidR="00C27D3D" w:rsidRDefault="00000000" w:rsidP="0026265B">
            <w:pPr>
              <w:spacing w:before="100" w:beforeAutospacing="1" w:after="100" w:afterAutospacing="1"/>
            </w:pPr>
            <w:r>
              <w:rPr>
                <w:sz w:val="20"/>
                <w:szCs w:val="20"/>
              </w:rPr>
              <w:t>Do not contribute to blue-purple colour; implicated in COX-2-mediated anti-inflammatory activity distinct from the anthocyanin mechanism</w:t>
            </w:r>
          </w:p>
        </w:tc>
        <w:tc>
          <w:tcPr>
            <w:tcW w:w="2200" w:type="dxa"/>
            <w:tcMar>
              <w:top w:w="100" w:type="dxa"/>
              <w:left w:w="100" w:type="dxa"/>
              <w:bottom w:w="100" w:type="dxa"/>
              <w:right w:w="100" w:type="dxa"/>
            </w:tcMar>
          </w:tcPr>
          <w:p w14:paraId="715E23E8" w14:textId="77777777" w:rsidR="00C27D3D" w:rsidRDefault="00000000" w:rsidP="0026265B">
            <w:pPr>
              <w:spacing w:before="100" w:beforeAutospacing="1" w:after="100" w:afterAutospacing="1"/>
            </w:pPr>
            <w:r>
              <w:rPr>
                <w:sz w:val="20"/>
                <w:szCs w:val="20"/>
              </w:rPr>
              <w:t>Nair et al. (2015); Jeyaraj et al. (2021b)</w:t>
            </w:r>
          </w:p>
        </w:tc>
      </w:tr>
      <w:tr w:rsidR="00C27D3D" w14:paraId="4E2A3797" w14:textId="77777777">
        <w:tc>
          <w:tcPr>
            <w:tcW w:w="1900" w:type="dxa"/>
            <w:tcMar>
              <w:top w:w="100" w:type="dxa"/>
              <w:left w:w="100" w:type="dxa"/>
              <w:bottom w:w="100" w:type="dxa"/>
              <w:right w:w="100" w:type="dxa"/>
            </w:tcMar>
          </w:tcPr>
          <w:p w14:paraId="2FCB52F8" w14:textId="77777777" w:rsidR="00C27D3D" w:rsidRDefault="00000000" w:rsidP="0026265B">
            <w:pPr>
              <w:spacing w:before="100" w:beforeAutospacing="1" w:after="100" w:afterAutospacing="1"/>
            </w:pPr>
            <w:r>
              <w:rPr>
                <w:sz w:val="20"/>
                <w:szCs w:val="20"/>
              </w:rPr>
              <w:t>Cyclotides</w:t>
            </w:r>
          </w:p>
        </w:tc>
        <w:tc>
          <w:tcPr>
            <w:tcW w:w="2600" w:type="dxa"/>
            <w:tcMar>
              <w:top w:w="100" w:type="dxa"/>
              <w:left w:w="100" w:type="dxa"/>
              <w:bottom w:w="100" w:type="dxa"/>
              <w:right w:w="100" w:type="dxa"/>
            </w:tcMar>
          </w:tcPr>
          <w:p w14:paraId="263ABB94" w14:textId="77777777" w:rsidR="00C27D3D" w:rsidRDefault="00000000" w:rsidP="0026265B">
            <w:pPr>
              <w:spacing w:before="100" w:beforeAutospacing="1" w:after="100" w:afterAutospacing="1"/>
            </w:pPr>
            <w:r>
              <w:rPr>
                <w:sz w:val="20"/>
                <w:szCs w:val="20"/>
              </w:rPr>
              <w:t>Ultra-stable macrocyclic peptides, structurally unrelated to anthocyanins</w:t>
            </w:r>
          </w:p>
        </w:tc>
        <w:tc>
          <w:tcPr>
            <w:tcW w:w="2900" w:type="dxa"/>
            <w:tcMar>
              <w:top w:w="100" w:type="dxa"/>
              <w:left w:w="100" w:type="dxa"/>
              <w:bottom w:w="100" w:type="dxa"/>
              <w:right w:w="100" w:type="dxa"/>
            </w:tcMar>
          </w:tcPr>
          <w:p w14:paraId="363ADB2F" w14:textId="77777777" w:rsidR="00C27D3D" w:rsidRDefault="00000000" w:rsidP="0026265B">
            <w:pPr>
              <w:spacing w:before="100" w:beforeAutospacing="1" w:after="100" w:afterAutospacing="1"/>
            </w:pPr>
            <w:r>
              <w:rPr>
                <w:sz w:val="20"/>
                <w:szCs w:val="20"/>
              </w:rPr>
              <w:t>Present in the whole flower; subject of EU regulatory safety evaluation of the dried flower as a traditional food</w:t>
            </w:r>
          </w:p>
        </w:tc>
        <w:tc>
          <w:tcPr>
            <w:tcW w:w="2200" w:type="dxa"/>
            <w:tcMar>
              <w:top w:w="100" w:type="dxa"/>
              <w:left w:w="100" w:type="dxa"/>
              <w:bottom w:w="100" w:type="dxa"/>
              <w:right w:w="100" w:type="dxa"/>
            </w:tcMar>
          </w:tcPr>
          <w:p w14:paraId="0AF75951" w14:textId="77777777" w:rsidR="00C27D3D" w:rsidRDefault="00000000" w:rsidP="0026265B">
            <w:pPr>
              <w:spacing w:before="100" w:beforeAutospacing="1" w:after="100" w:afterAutospacing="1"/>
            </w:pPr>
            <w:r>
              <w:rPr>
                <w:sz w:val="20"/>
                <w:szCs w:val="20"/>
              </w:rPr>
              <w:t>Oguis et al. (2019); European Food Safety Authority (2022)</w:t>
            </w:r>
          </w:p>
        </w:tc>
      </w:tr>
    </w:tbl>
    <w:p w14:paraId="44A37A6A" w14:textId="77777777" w:rsidR="00C27D3D" w:rsidRDefault="00000000" w:rsidP="0026265B">
      <w:pPr>
        <w:spacing w:before="100" w:beforeAutospacing="1" w:after="100" w:afterAutospacing="1"/>
      </w:pPr>
      <w:r>
        <w:rPr>
          <w:i/>
          <w:iCs/>
          <w:sz w:val="18"/>
          <w:szCs w:val="18"/>
        </w:rPr>
        <w:t>Note. COX-2 = cyclo-oxygenase-2.</w:t>
      </w:r>
    </w:p>
    <w:p w14:paraId="4E9C1730" w14:textId="77777777" w:rsidR="00C27D3D" w:rsidRDefault="00000000" w:rsidP="0026265B">
      <w:pPr>
        <w:pStyle w:val="Heading1"/>
        <w:spacing w:before="100" w:beforeAutospacing="1" w:after="100" w:afterAutospacing="1"/>
      </w:pPr>
      <w:r>
        <w:t>4. Extraction, Processing and Colour Stability in Food-Relevant Systems</w:t>
      </w:r>
    </w:p>
    <w:p w14:paraId="55326EBE" w14:textId="77777777" w:rsidR="00C27D3D" w:rsidRDefault="00000000" w:rsidP="0026265B">
      <w:pPr>
        <w:spacing w:before="100" w:beforeAutospacing="1" w:after="100" w:afterAutospacing="1"/>
        <w:jc w:val="both"/>
      </w:pPr>
      <w:r>
        <w:t xml:space="preserve">Extraction technique exerts a first-order influence on both the yield and the subsequent stability of </w:t>
      </w:r>
      <w:r>
        <w:rPr>
          <w:i/>
          <w:iCs/>
        </w:rPr>
        <w:t>C. ternatea</w:t>
      </w:r>
      <w:r>
        <w:t xml:space="preserve"> pigments, and the literature on this question has diversified considerably beyond simple hot-water infusion, which remains the technique most consistent with the ingredient's traditional culinary use (Vidana Gamage et al., 2021) but is not necessarily the most efficient for industrial-scale recovery. Conventional solvent extraction using aqueous ethanol or methanol continues to be widely reported, with a 50% ethanol concentration repeatedly identified as a favourable compromise between polyphenol recovery and practicality, yielding results broadly comparable to water extraction conducted with mild heating (Jeyaraj et al., 2021a; Mehmood et al., 2019). Ultrasound-assisted extraction has been investigated as a means of improving yield while reducing solvent and energy use, with reported improvements in anthocyanin recovery that </w:t>
      </w:r>
      <w:r>
        <w:lastRenderedPageBreak/>
        <w:t>depend strongly on the specific power, duration and temperature applied; one comparative systematic assessment reported a substantially higher anthocyanin yield using probe ultrasonication relative to a conventional baseline (Hasanah et al., 2023), while a separate optimisation study identified thirteen distinguishable anthocyanins and nine non-anthocyanin phenolics recoverable under high-power ultrasound conditions optimised at a comparatively low temperature and short duration (Santos &amp; Martins, 2023). Mehmood et al. (2019) similarly reported that ultrasound-assisted extraction altered both the yield and the biological activity profile of blue butterfly pea flower extracts relative to conventional solvent extraction, reinforcing that extraction technique is not a neutral upstream step but a determinant of the functional properties subsequently measured.</w:t>
      </w:r>
    </w:p>
    <w:p w14:paraId="0ACF54DB" w14:textId="77777777" w:rsidR="00C27D3D" w:rsidRDefault="00000000" w:rsidP="0026265B">
      <w:pPr>
        <w:spacing w:before="100" w:beforeAutospacing="1" w:after="100" w:afterAutospacing="1"/>
        <w:jc w:val="both"/>
      </w:pPr>
      <w:r>
        <w:t>A more recent development, and one still represented by a comparatively small number of studies, is the use of natural deep eutectic solvents as a green alternative to volatile organic solvents. Combined with ultrasound assistance, a choline chloride–glycerol eutectic solvent has been reported to extract substantially higher levels of anthocyanins than water under matched conditions, with the greatest recovery obtained at the highest temperature and longest duration tested within the experimental design, and with correspondingly better retention of both pigment content and antioxidant capacity over three weeks of storage than the equivalent aqueous extract (Maia et al., 2025b). This storage advantage, in which a natural deep eutectic solvent extract lost markedly less of its anthocyanin content under refrigeration than a matched aqueous extract over the same period, illustrates a broader and food-relevant point: the choice of extraction medium can itself function as a stabilisation strategy, independent of any subsequent encapsulation step, through mechanisms proposed to involve hydrogen bonding and reduced water activity within the eutectic system (Maia et al., 2025b).</w:t>
      </w:r>
    </w:p>
    <w:p w14:paraId="4EF70344" w14:textId="77777777" w:rsidR="00C27D3D" w:rsidRDefault="00000000" w:rsidP="0026265B">
      <w:pPr>
        <w:spacing w:before="100" w:beforeAutospacing="1" w:after="100" w:afterAutospacing="1"/>
        <w:jc w:val="both"/>
      </w:pPr>
      <w:r>
        <w:t>Colour and chemical stability once an extract has been obtained depend jointly on pH, temperature, light exposure and the presence of oxygen or co-solutes, and the literature is reasonably consistent in its qualitative description of these dependencies even where quantitative estimates of degradation rate differ. Ternatin-based extracts display their most saturated blue hues under mildly acidic to near-neutral conditions and undergo the same general flavylium-to-quinonoidal-to-chalcone structural transitions as other anthocyanins across the pH range, moving toward magenta or red tones under strongly acidic conditions and toward green or yellow tones under alkaline conditions, with thermal stability at neutral pH reported to exceed that observed at either strongly acidic or strongly alkaline extremes in at least one detailed spectral and storage study (Fu et al., 2021). Industrially oriented characterisation of the extract has similarly described a colour transition from a blue shade at pH values above approximately 3.8 toward deep purple tones at lower pH, a description consistent with the mechanistic literature and directly relevant to formulators selecting the extract for products of a particular target pH (U.S. Food and Drug Administration, 2021). Refrigerated storage in the dark consistently outperforms storage at ambient temperature or under light exposure across the studies that have compared these conditions directly, with pigment retention over several weeks reported to be substantially higher under refrigeration than at room temperature in more than one independent investigation (Fu et al., 2021; Maia et al., 2025b), and light exposure specifically identified as a more aggressive degradation driver than moderate heat in some formulations (Vidana Gamage et al., 2021).</w:t>
      </w:r>
    </w:p>
    <w:p w14:paraId="754519E6" w14:textId="77777777" w:rsidR="00C27D3D" w:rsidRDefault="00000000" w:rsidP="0026265B">
      <w:pPr>
        <w:spacing w:before="100" w:beforeAutospacing="1" w:after="100" w:afterAutospacing="1"/>
        <w:jc w:val="both"/>
      </w:pPr>
      <w:r>
        <w:lastRenderedPageBreak/>
        <w:t xml:space="preserve">Encapsulation has emerged as the principal engineering response to the residual instability that persists even under otherwise favourable conditions, and several carrier systems and techniques have been evaluated specifically for </w:t>
      </w:r>
      <w:r>
        <w:rPr>
          <w:i/>
          <w:iCs/>
        </w:rPr>
        <w:t>C. ternatea</w:t>
      </w:r>
      <w:r>
        <w:t xml:space="preserve"> extract. Alginate-based encapsulation by extrusion, using calcium chloride as the cross-linking agent, has been reported to achieve encapsulation efficiencies in the region of 74–85% depending on the concentrations of extract, alginate and calcium chloride used, with an optimised formulation reported to combine an encapsulation efficiency of approximately 85% with improved thermal stability, extending stability to temperatures well above those relevant to most food processing, and with the encapsulated form additionally showing enhanced retention of antioxidant capacity and improved digestive enzyme inhibitory activity after simulated gastrointestinal digestion relative to the unencapsulated extract (Pasukamonset et al., 2016). Microwave-assisted encapsulation using maltodextrin as the carrier has been separately optimised, with a reported encapsulation efficiency in the region of 73% under a defined combination of maltodextrin concentration, microwave power and processing time (Marsin et al., 2020). Across these and related techniques, the general pattern described in the microencapsulation-specific literature is that appropriately optimised carrier systems, most commonly polysaccharide- or maltodextrin-based, can materially improve the extract's photostability and thermal stability relative to the unencapsulated form, while the specific efficiency and stability gains achieved remain highly sensitive to the carrier type, concentration and processing parameters selected, such that no single reported efficiency value should be treated as representative of encapsulated </w:t>
      </w:r>
      <w:r>
        <w:rPr>
          <w:i/>
          <w:iCs/>
        </w:rPr>
        <w:t>C. ternatea</w:t>
      </w:r>
      <w:r>
        <w:t xml:space="preserve"> extract in general (Multisona et al., 2023).</w:t>
      </w:r>
    </w:p>
    <w:p w14:paraId="76FF705B" w14:textId="77777777" w:rsidR="00C27D3D" w:rsidRDefault="00000000" w:rsidP="0026265B">
      <w:pPr>
        <w:spacing w:before="100" w:beforeAutospacing="1" w:after="100" w:afterAutospacing="1"/>
        <w:jc w:val="both"/>
      </w:pPr>
      <w:r>
        <w:t xml:space="preserve">Taken together, the extraction and stability literature supports a reasonably confident conclusion that </w:t>
      </w:r>
      <w:r>
        <w:rPr>
          <w:i/>
          <w:iCs/>
        </w:rPr>
        <w:t>C. ternatea</w:t>
      </w:r>
      <w:r>
        <w:t xml:space="preserve"> anthocyanins can be rendered adequately stable for many food applications through some combination of pH control, refrigerated and dark storage, and encapsulation, but it does not yet support a confident, generalisable prediction of shelf-stable colour performance across the full diversity of real food matrices, given that the great majority of stability data has been generated on model extracts or simple solutions rather than on the extract embedded within a complex food matrix containing proteins, lipids, other pigments and variable water activity. Table 2 summarises the principal extraction, encapsulation and storage-based stabilisation approaches evaluated to date, together with their representative reported outcomes. This gap between model-system stability and in-product stability is addressed further in Section 5 and again as a research priority in the Future Directions section.</w:t>
      </w:r>
    </w:p>
    <w:p w14:paraId="4086512A" w14:textId="77777777" w:rsidR="00C27D3D" w:rsidRDefault="00000000" w:rsidP="0026265B">
      <w:pPr>
        <w:spacing w:before="100" w:beforeAutospacing="1" w:after="100" w:afterAutospacing="1"/>
      </w:pPr>
      <w:r>
        <w:rPr>
          <w:b/>
          <w:bCs/>
          <w:sz w:val="22"/>
          <w:szCs w:val="22"/>
        </w:rPr>
        <w:t>Table 2. Extraction, encapsulation and stabilisation approaches evaluated for Clitoria ternatea anthocyanins in food-relevant contexts.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2700"/>
        <w:gridCol w:w="3300"/>
        <w:gridCol w:w="1500"/>
      </w:tblGrid>
      <w:tr w:rsidR="00C27D3D" w14:paraId="516497CD" w14:textId="77777777">
        <w:trPr>
          <w:tblHeader/>
        </w:trPr>
        <w:tc>
          <w:tcPr>
            <w:tcW w:w="2100" w:type="dxa"/>
            <w:shd w:val="clear" w:color="auto" w:fill="D9E2F3"/>
            <w:tcMar>
              <w:top w:w="100" w:type="dxa"/>
              <w:left w:w="100" w:type="dxa"/>
              <w:bottom w:w="100" w:type="dxa"/>
              <w:right w:w="100" w:type="dxa"/>
            </w:tcMar>
          </w:tcPr>
          <w:p w14:paraId="7BE486B4" w14:textId="77777777" w:rsidR="00C27D3D" w:rsidRDefault="00000000" w:rsidP="0026265B">
            <w:pPr>
              <w:spacing w:before="100" w:beforeAutospacing="1" w:after="100" w:afterAutospacing="1"/>
            </w:pPr>
            <w:r>
              <w:rPr>
                <w:b/>
                <w:bCs/>
                <w:sz w:val="20"/>
                <w:szCs w:val="20"/>
              </w:rPr>
              <w:t>Approach</w:t>
            </w:r>
          </w:p>
        </w:tc>
        <w:tc>
          <w:tcPr>
            <w:tcW w:w="2700" w:type="dxa"/>
            <w:shd w:val="clear" w:color="auto" w:fill="D9E2F3"/>
            <w:tcMar>
              <w:top w:w="100" w:type="dxa"/>
              <w:left w:w="100" w:type="dxa"/>
              <w:bottom w:w="100" w:type="dxa"/>
              <w:right w:w="100" w:type="dxa"/>
            </w:tcMar>
          </w:tcPr>
          <w:p w14:paraId="0910AE6A" w14:textId="77777777" w:rsidR="00C27D3D" w:rsidRDefault="00000000" w:rsidP="0026265B">
            <w:pPr>
              <w:spacing w:before="100" w:beforeAutospacing="1" w:after="100" w:afterAutospacing="1"/>
            </w:pPr>
            <w:r>
              <w:rPr>
                <w:b/>
                <w:bCs/>
                <w:sz w:val="20"/>
                <w:szCs w:val="20"/>
              </w:rPr>
              <w:t>Representative conditions</w:t>
            </w:r>
          </w:p>
        </w:tc>
        <w:tc>
          <w:tcPr>
            <w:tcW w:w="3300" w:type="dxa"/>
            <w:shd w:val="clear" w:color="auto" w:fill="D9E2F3"/>
            <w:tcMar>
              <w:top w:w="100" w:type="dxa"/>
              <w:left w:w="100" w:type="dxa"/>
              <w:bottom w:w="100" w:type="dxa"/>
              <w:right w:w="100" w:type="dxa"/>
            </w:tcMar>
          </w:tcPr>
          <w:p w14:paraId="5FFFD845" w14:textId="77777777" w:rsidR="00C27D3D" w:rsidRDefault="00000000" w:rsidP="0026265B">
            <w:pPr>
              <w:spacing w:before="100" w:beforeAutospacing="1" w:after="100" w:afterAutospacing="1"/>
            </w:pPr>
            <w:r>
              <w:rPr>
                <w:b/>
                <w:bCs/>
                <w:sz w:val="20"/>
                <w:szCs w:val="20"/>
              </w:rPr>
              <w:t>Key reported outcome</w:t>
            </w:r>
          </w:p>
        </w:tc>
        <w:tc>
          <w:tcPr>
            <w:tcW w:w="1500" w:type="dxa"/>
            <w:shd w:val="clear" w:color="auto" w:fill="D9E2F3"/>
            <w:tcMar>
              <w:top w:w="100" w:type="dxa"/>
              <w:left w:w="100" w:type="dxa"/>
              <w:bottom w:w="100" w:type="dxa"/>
              <w:right w:w="100" w:type="dxa"/>
            </w:tcMar>
          </w:tcPr>
          <w:p w14:paraId="7518BF02" w14:textId="77777777" w:rsidR="00C27D3D" w:rsidRDefault="00000000" w:rsidP="0026265B">
            <w:pPr>
              <w:spacing w:before="100" w:beforeAutospacing="1" w:after="100" w:afterAutospacing="1"/>
            </w:pPr>
            <w:r>
              <w:rPr>
                <w:b/>
                <w:bCs/>
                <w:sz w:val="20"/>
                <w:szCs w:val="20"/>
              </w:rPr>
              <w:t>Supporting references</w:t>
            </w:r>
          </w:p>
        </w:tc>
      </w:tr>
      <w:tr w:rsidR="00C27D3D" w14:paraId="208A4BD7" w14:textId="77777777">
        <w:tc>
          <w:tcPr>
            <w:tcW w:w="2100" w:type="dxa"/>
            <w:tcMar>
              <w:top w:w="100" w:type="dxa"/>
              <w:left w:w="100" w:type="dxa"/>
              <w:bottom w:w="100" w:type="dxa"/>
              <w:right w:w="100" w:type="dxa"/>
            </w:tcMar>
          </w:tcPr>
          <w:p w14:paraId="1B2078DA" w14:textId="77777777" w:rsidR="00C27D3D" w:rsidRDefault="00000000" w:rsidP="0026265B">
            <w:pPr>
              <w:spacing w:before="100" w:beforeAutospacing="1" w:after="100" w:afterAutospacing="1"/>
            </w:pPr>
            <w:r>
              <w:rPr>
                <w:sz w:val="20"/>
                <w:szCs w:val="20"/>
              </w:rPr>
              <w:t>Conventional hydroalcoholic / aqueous extraction</w:t>
            </w:r>
          </w:p>
        </w:tc>
        <w:tc>
          <w:tcPr>
            <w:tcW w:w="2700" w:type="dxa"/>
            <w:tcMar>
              <w:top w:w="100" w:type="dxa"/>
              <w:left w:w="100" w:type="dxa"/>
              <w:bottom w:w="100" w:type="dxa"/>
              <w:right w:w="100" w:type="dxa"/>
            </w:tcMar>
          </w:tcPr>
          <w:p w14:paraId="47C913D1" w14:textId="77777777" w:rsidR="00C27D3D" w:rsidRDefault="00000000" w:rsidP="0026265B">
            <w:pPr>
              <w:spacing w:before="100" w:beforeAutospacing="1" w:after="100" w:afterAutospacing="1"/>
            </w:pPr>
            <w:r>
              <w:rPr>
                <w:sz w:val="20"/>
                <w:szCs w:val="20"/>
              </w:rPr>
              <w:t>50% ethanol or water, approx. 50 °C</w:t>
            </w:r>
          </w:p>
        </w:tc>
        <w:tc>
          <w:tcPr>
            <w:tcW w:w="3300" w:type="dxa"/>
            <w:tcMar>
              <w:top w:w="100" w:type="dxa"/>
              <w:left w:w="100" w:type="dxa"/>
              <w:bottom w:w="100" w:type="dxa"/>
              <w:right w:w="100" w:type="dxa"/>
            </w:tcMar>
          </w:tcPr>
          <w:p w14:paraId="080A23DA" w14:textId="77777777" w:rsidR="00C27D3D" w:rsidRDefault="00000000" w:rsidP="0026265B">
            <w:pPr>
              <w:spacing w:before="100" w:beforeAutospacing="1" w:after="100" w:afterAutospacing="1"/>
            </w:pPr>
            <w:r>
              <w:rPr>
                <w:sz w:val="20"/>
                <w:szCs w:val="20"/>
              </w:rPr>
              <w:t>Extract yield ≈57%; total anthocyanin content ≈5.1 mg cyanidin-3-glucoside equivalents/g; total phenolic content ≈59.4 mg gallic acid equivalents/g dry extract</w:t>
            </w:r>
          </w:p>
        </w:tc>
        <w:tc>
          <w:tcPr>
            <w:tcW w:w="1500" w:type="dxa"/>
            <w:tcMar>
              <w:top w:w="100" w:type="dxa"/>
              <w:left w:w="100" w:type="dxa"/>
              <w:bottom w:w="100" w:type="dxa"/>
              <w:right w:w="100" w:type="dxa"/>
            </w:tcMar>
          </w:tcPr>
          <w:p w14:paraId="080E1D64" w14:textId="77777777" w:rsidR="00C27D3D" w:rsidRDefault="00000000" w:rsidP="0026265B">
            <w:pPr>
              <w:spacing w:before="100" w:beforeAutospacing="1" w:after="100" w:afterAutospacing="1"/>
            </w:pPr>
            <w:r>
              <w:rPr>
                <w:sz w:val="20"/>
                <w:szCs w:val="20"/>
              </w:rPr>
              <w:t>Jeyaraj et al. (2021a)</w:t>
            </w:r>
          </w:p>
        </w:tc>
      </w:tr>
      <w:tr w:rsidR="00C27D3D" w14:paraId="2CCA9FD8" w14:textId="77777777">
        <w:tc>
          <w:tcPr>
            <w:tcW w:w="2100" w:type="dxa"/>
            <w:tcMar>
              <w:top w:w="100" w:type="dxa"/>
              <w:left w:w="100" w:type="dxa"/>
              <w:bottom w:w="100" w:type="dxa"/>
              <w:right w:w="100" w:type="dxa"/>
            </w:tcMar>
          </w:tcPr>
          <w:p w14:paraId="748C27A8" w14:textId="77777777" w:rsidR="00C27D3D" w:rsidRDefault="00000000" w:rsidP="0026265B">
            <w:pPr>
              <w:spacing w:before="100" w:beforeAutospacing="1" w:after="100" w:afterAutospacing="1"/>
            </w:pPr>
            <w:r>
              <w:rPr>
                <w:sz w:val="20"/>
                <w:szCs w:val="20"/>
              </w:rPr>
              <w:t>High-power ultrasound-assisted extraction</w:t>
            </w:r>
          </w:p>
        </w:tc>
        <w:tc>
          <w:tcPr>
            <w:tcW w:w="2700" w:type="dxa"/>
            <w:tcMar>
              <w:top w:w="100" w:type="dxa"/>
              <w:left w:w="100" w:type="dxa"/>
              <w:bottom w:w="100" w:type="dxa"/>
              <w:right w:w="100" w:type="dxa"/>
            </w:tcMar>
          </w:tcPr>
          <w:p w14:paraId="3FDA4CD8" w14:textId="77777777" w:rsidR="00C27D3D" w:rsidRDefault="00000000" w:rsidP="0026265B">
            <w:pPr>
              <w:spacing w:before="100" w:beforeAutospacing="1" w:after="100" w:afterAutospacing="1"/>
            </w:pPr>
            <w:r>
              <w:rPr>
                <w:sz w:val="20"/>
                <w:szCs w:val="20"/>
              </w:rPr>
              <w:t>Optimised at ≈45 °C for ≈16 min</w:t>
            </w:r>
          </w:p>
        </w:tc>
        <w:tc>
          <w:tcPr>
            <w:tcW w:w="3300" w:type="dxa"/>
            <w:tcMar>
              <w:top w:w="100" w:type="dxa"/>
              <w:left w:w="100" w:type="dxa"/>
              <w:bottom w:w="100" w:type="dxa"/>
              <w:right w:w="100" w:type="dxa"/>
            </w:tcMar>
          </w:tcPr>
          <w:p w14:paraId="34C2DB34" w14:textId="77777777" w:rsidR="00C27D3D" w:rsidRDefault="00000000" w:rsidP="0026265B">
            <w:pPr>
              <w:spacing w:before="100" w:beforeAutospacing="1" w:after="100" w:afterAutospacing="1"/>
            </w:pPr>
            <w:r>
              <w:rPr>
                <w:sz w:val="20"/>
                <w:szCs w:val="20"/>
              </w:rPr>
              <w:t xml:space="preserve">Total anthocyanin content ≈487 mg/g; total phenolic content ≈2242 mg gallic acid equivalents/g; 13 anthocyanins </w:t>
            </w:r>
            <w:r>
              <w:rPr>
                <w:sz w:val="20"/>
                <w:szCs w:val="20"/>
              </w:rPr>
              <w:lastRenderedPageBreak/>
              <w:t>and 9 non-anthocyanin phenolics quantified</w:t>
            </w:r>
          </w:p>
        </w:tc>
        <w:tc>
          <w:tcPr>
            <w:tcW w:w="1500" w:type="dxa"/>
            <w:tcMar>
              <w:top w:w="100" w:type="dxa"/>
              <w:left w:w="100" w:type="dxa"/>
              <w:bottom w:w="100" w:type="dxa"/>
              <w:right w:w="100" w:type="dxa"/>
            </w:tcMar>
          </w:tcPr>
          <w:p w14:paraId="32602079" w14:textId="77777777" w:rsidR="00C27D3D" w:rsidRDefault="00000000" w:rsidP="0026265B">
            <w:pPr>
              <w:spacing w:before="100" w:beforeAutospacing="1" w:after="100" w:afterAutospacing="1"/>
            </w:pPr>
            <w:r>
              <w:rPr>
                <w:sz w:val="20"/>
                <w:szCs w:val="20"/>
              </w:rPr>
              <w:lastRenderedPageBreak/>
              <w:t>Santos &amp; Martins (2023)</w:t>
            </w:r>
          </w:p>
        </w:tc>
      </w:tr>
      <w:tr w:rsidR="00C27D3D" w14:paraId="03D887B5" w14:textId="77777777">
        <w:tc>
          <w:tcPr>
            <w:tcW w:w="2100" w:type="dxa"/>
            <w:tcMar>
              <w:top w:w="100" w:type="dxa"/>
              <w:left w:w="100" w:type="dxa"/>
              <w:bottom w:w="100" w:type="dxa"/>
              <w:right w:w="100" w:type="dxa"/>
            </w:tcMar>
          </w:tcPr>
          <w:p w14:paraId="7462EBCB" w14:textId="77777777" w:rsidR="00C27D3D" w:rsidRDefault="00000000" w:rsidP="0026265B">
            <w:pPr>
              <w:spacing w:before="100" w:beforeAutospacing="1" w:after="100" w:afterAutospacing="1"/>
            </w:pPr>
            <w:r>
              <w:rPr>
                <w:sz w:val="20"/>
                <w:szCs w:val="20"/>
              </w:rPr>
              <w:t>Probe ultrasonication (cross-study comparison)</w:t>
            </w:r>
          </w:p>
        </w:tc>
        <w:tc>
          <w:tcPr>
            <w:tcW w:w="2700" w:type="dxa"/>
            <w:tcMar>
              <w:top w:w="100" w:type="dxa"/>
              <w:left w:w="100" w:type="dxa"/>
              <w:bottom w:w="100" w:type="dxa"/>
              <w:right w:w="100" w:type="dxa"/>
            </w:tcMar>
          </w:tcPr>
          <w:p w14:paraId="11FCD225" w14:textId="77777777" w:rsidR="00C27D3D" w:rsidRDefault="00000000" w:rsidP="0026265B">
            <w:pPr>
              <w:spacing w:before="100" w:beforeAutospacing="1" w:after="100" w:afterAutospacing="1"/>
            </w:pPr>
            <w:r>
              <w:rPr>
                <w:sz w:val="20"/>
                <w:szCs w:val="20"/>
              </w:rPr>
              <w:t>Variable probe/bath parameters</w:t>
            </w:r>
          </w:p>
        </w:tc>
        <w:tc>
          <w:tcPr>
            <w:tcW w:w="3300" w:type="dxa"/>
            <w:tcMar>
              <w:top w:w="100" w:type="dxa"/>
              <w:left w:w="100" w:type="dxa"/>
              <w:bottom w:w="100" w:type="dxa"/>
              <w:right w:w="100" w:type="dxa"/>
            </w:tcMar>
          </w:tcPr>
          <w:p w14:paraId="2B16919C" w14:textId="77777777" w:rsidR="00C27D3D" w:rsidRDefault="00000000" w:rsidP="0026265B">
            <w:pPr>
              <w:spacing w:before="100" w:beforeAutospacing="1" w:after="100" w:afterAutospacing="1"/>
            </w:pPr>
            <w:r>
              <w:rPr>
                <w:sz w:val="20"/>
                <w:szCs w:val="20"/>
              </w:rPr>
              <w:t>Yield improvement of up to approximately 246% relative to a conventional baseline reported across the surveyed literature</w:t>
            </w:r>
          </w:p>
        </w:tc>
        <w:tc>
          <w:tcPr>
            <w:tcW w:w="1500" w:type="dxa"/>
            <w:tcMar>
              <w:top w:w="100" w:type="dxa"/>
              <w:left w:w="100" w:type="dxa"/>
              <w:bottom w:w="100" w:type="dxa"/>
              <w:right w:w="100" w:type="dxa"/>
            </w:tcMar>
          </w:tcPr>
          <w:p w14:paraId="1BDCE20B" w14:textId="77777777" w:rsidR="00C27D3D" w:rsidRDefault="00000000" w:rsidP="0026265B">
            <w:pPr>
              <w:spacing w:before="100" w:beforeAutospacing="1" w:after="100" w:afterAutospacing="1"/>
            </w:pPr>
            <w:r>
              <w:rPr>
                <w:sz w:val="20"/>
                <w:szCs w:val="20"/>
              </w:rPr>
              <w:t>Hasanah et al. (2023)</w:t>
            </w:r>
          </w:p>
        </w:tc>
      </w:tr>
      <w:tr w:rsidR="00C27D3D" w14:paraId="72AA0880" w14:textId="77777777">
        <w:tc>
          <w:tcPr>
            <w:tcW w:w="2100" w:type="dxa"/>
            <w:tcMar>
              <w:top w:w="100" w:type="dxa"/>
              <w:left w:w="100" w:type="dxa"/>
              <w:bottom w:w="100" w:type="dxa"/>
              <w:right w:w="100" w:type="dxa"/>
            </w:tcMar>
          </w:tcPr>
          <w:p w14:paraId="24DAD7B6" w14:textId="77777777" w:rsidR="00C27D3D" w:rsidRDefault="00000000" w:rsidP="0026265B">
            <w:pPr>
              <w:spacing w:before="100" w:beforeAutospacing="1" w:after="100" w:afterAutospacing="1"/>
            </w:pPr>
            <w:r>
              <w:rPr>
                <w:sz w:val="20"/>
                <w:szCs w:val="20"/>
              </w:rPr>
              <w:t>Natural deep eutectic solvent (NADES) extraction</w:t>
            </w:r>
          </w:p>
        </w:tc>
        <w:tc>
          <w:tcPr>
            <w:tcW w:w="2700" w:type="dxa"/>
            <w:tcMar>
              <w:top w:w="100" w:type="dxa"/>
              <w:left w:w="100" w:type="dxa"/>
              <w:bottom w:w="100" w:type="dxa"/>
              <w:right w:w="100" w:type="dxa"/>
            </w:tcMar>
          </w:tcPr>
          <w:p w14:paraId="7A923A5B" w14:textId="77777777" w:rsidR="00C27D3D" w:rsidRDefault="00000000" w:rsidP="0026265B">
            <w:pPr>
              <w:spacing w:before="100" w:beforeAutospacing="1" w:after="100" w:afterAutospacing="1"/>
            </w:pPr>
            <w:r>
              <w:rPr>
                <w:sz w:val="20"/>
                <w:szCs w:val="20"/>
              </w:rPr>
              <w:t>Choline chloride:glycerol, ultrasound-assisted; 80 °C / 50 min / 7% petal-to-solvent ratio</w:t>
            </w:r>
          </w:p>
        </w:tc>
        <w:tc>
          <w:tcPr>
            <w:tcW w:w="3300" w:type="dxa"/>
            <w:tcMar>
              <w:top w:w="100" w:type="dxa"/>
              <w:left w:w="100" w:type="dxa"/>
              <w:bottom w:w="100" w:type="dxa"/>
              <w:right w:w="100" w:type="dxa"/>
            </w:tcMar>
          </w:tcPr>
          <w:p w14:paraId="56D59BB6" w14:textId="77777777" w:rsidR="00C27D3D" w:rsidRDefault="00000000" w:rsidP="0026265B">
            <w:pPr>
              <w:spacing w:before="100" w:beforeAutospacing="1" w:after="100" w:afterAutospacing="1"/>
            </w:pPr>
            <w:r>
              <w:rPr>
                <w:sz w:val="20"/>
                <w:szCs w:val="20"/>
              </w:rPr>
              <w:t>Higher anthocyanin yield (374.65 vs 211.63 mg delphinidin-3-glucoside equivalents/L) and antioxidant capacity than water; markedly better 21-day refrigerated storage retention (16% vs 38% anthocyanin loss)</w:t>
            </w:r>
          </w:p>
        </w:tc>
        <w:tc>
          <w:tcPr>
            <w:tcW w:w="1500" w:type="dxa"/>
            <w:tcMar>
              <w:top w:w="100" w:type="dxa"/>
              <w:left w:w="100" w:type="dxa"/>
              <w:bottom w:w="100" w:type="dxa"/>
              <w:right w:w="100" w:type="dxa"/>
            </w:tcMar>
          </w:tcPr>
          <w:p w14:paraId="5BC36943" w14:textId="77777777" w:rsidR="00C27D3D" w:rsidRDefault="00000000" w:rsidP="0026265B">
            <w:pPr>
              <w:spacing w:before="100" w:beforeAutospacing="1" w:after="100" w:afterAutospacing="1"/>
            </w:pPr>
            <w:r>
              <w:rPr>
                <w:sz w:val="20"/>
                <w:szCs w:val="20"/>
              </w:rPr>
              <w:t>Maia et al. (2025b)</w:t>
            </w:r>
          </w:p>
        </w:tc>
      </w:tr>
      <w:tr w:rsidR="00C27D3D" w14:paraId="48875B19" w14:textId="77777777">
        <w:tc>
          <w:tcPr>
            <w:tcW w:w="2100" w:type="dxa"/>
            <w:tcMar>
              <w:top w:w="100" w:type="dxa"/>
              <w:left w:w="100" w:type="dxa"/>
              <w:bottom w:w="100" w:type="dxa"/>
              <w:right w:w="100" w:type="dxa"/>
            </w:tcMar>
          </w:tcPr>
          <w:p w14:paraId="00151C8D" w14:textId="77777777" w:rsidR="00C27D3D" w:rsidRDefault="00000000" w:rsidP="0026265B">
            <w:pPr>
              <w:spacing w:before="100" w:beforeAutospacing="1" w:after="100" w:afterAutospacing="1"/>
            </w:pPr>
            <w:r>
              <w:rPr>
                <w:sz w:val="20"/>
                <w:szCs w:val="20"/>
              </w:rPr>
              <w:t>Alginate microencapsulation (extrusion / ionic gelation)</w:t>
            </w:r>
          </w:p>
        </w:tc>
        <w:tc>
          <w:tcPr>
            <w:tcW w:w="2700" w:type="dxa"/>
            <w:tcMar>
              <w:top w:w="100" w:type="dxa"/>
              <w:left w:w="100" w:type="dxa"/>
              <w:bottom w:w="100" w:type="dxa"/>
              <w:right w:w="100" w:type="dxa"/>
            </w:tcMar>
          </w:tcPr>
          <w:p w14:paraId="44F4FF0D" w14:textId="77777777" w:rsidR="00C27D3D" w:rsidRDefault="00000000" w:rsidP="0026265B">
            <w:pPr>
              <w:spacing w:before="100" w:beforeAutospacing="1" w:after="100" w:afterAutospacing="1"/>
            </w:pPr>
            <w:r>
              <w:rPr>
                <w:sz w:val="20"/>
                <w:szCs w:val="20"/>
              </w:rPr>
              <w:t>10% extract, 1.5% alginate, 3% CaCl2</w:t>
            </w:r>
          </w:p>
        </w:tc>
        <w:tc>
          <w:tcPr>
            <w:tcW w:w="3300" w:type="dxa"/>
            <w:tcMar>
              <w:top w:w="100" w:type="dxa"/>
              <w:left w:w="100" w:type="dxa"/>
              <w:bottom w:w="100" w:type="dxa"/>
              <w:right w:w="100" w:type="dxa"/>
            </w:tcMar>
          </w:tcPr>
          <w:p w14:paraId="05E9678D" w14:textId="77777777" w:rsidR="00C27D3D" w:rsidRDefault="00000000" w:rsidP="0026265B">
            <w:pPr>
              <w:spacing w:before="100" w:beforeAutospacing="1" w:after="100" w:afterAutospacing="1"/>
            </w:pPr>
            <w:r>
              <w:rPr>
                <w:sz w:val="20"/>
                <w:szCs w:val="20"/>
              </w:rPr>
              <w:t>Encapsulation efficiency ≈85%; thermal stability extended to ≈188 °C; enhanced antioxidant and α-amylase-inhibitory retention after simulated digestion</w:t>
            </w:r>
          </w:p>
        </w:tc>
        <w:tc>
          <w:tcPr>
            <w:tcW w:w="1500" w:type="dxa"/>
            <w:tcMar>
              <w:top w:w="100" w:type="dxa"/>
              <w:left w:w="100" w:type="dxa"/>
              <w:bottom w:w="100" w:type="dxa"/>
              <w:right w:w="100" w:type="dxa"/>
            </w:tcMar>
          </w:tcPr>
          <w:p w14:paraId="66363475" w14:textId="77777777" w:rsidR="00C27D3D" w:rsidRDefault="00000000" w:rsidP="0026265B">
            <w:pPr>
              <w:spacing w:before="100" w:beforeAutospacing="1" w:after="100" w:afterAutospacing="1"/>
            </w:pPr>
            <w:r>
              <w:rPr>
                <w:sz w:val="20"/>
                <w:szCs w:val="20"/>
              </w:rPr>
              <w:t>Pasukamonset et al. (2016)</w:t>
            </w:r>
          </w:p>
        </w:tc>
      </w:tr>
      <w:tr w:rsidR="00C27D3D" w14:paraId="58B7198E" w14:textId="77777777">
        <w:tc>
          <w:tcPr>
            <w:tcW w:w="2100" w:type="dxa"/>
            <w:tcMar>
              <w:top w:w="100" w:type="dxa"/>
              <w:left w:w="100" w:type="dxa"/>
              <w:bottom w:w="100" w:type="dxa"/>
              <w:right w:w="100" w:type="dxa"/>
            </w:tcMar>
          </w:tcPr>
          <w:p w14:paraId="0BBEABD2" w14:textId="77777777" w:rsidR="00C27D3D" w:rsidRDefault="00000000" w:rsidP="0026265B">
            <w:pPr>
              <w:spacing w:before="100" w:beforeAutospacing="1" w:after="100" w:afterAutospacing="1"/>
            </w:pPr>
            <w:r>
              <w:rPr>
                <w:sz w:val="20"/>
                <w:szCs w:val="20"/>
              </w:rPr>
              <w:t>Microwave-assisted microencapsulation</w:t>
            </w:r>
          </w:p>
        </w:tc>
        <w:tc>
          <w:tcPr>
            <w:tcW w:w="2700" w:type="dxa"/>
            <w:tcMar>
              <w:top w:w="100" w:type="dxa"/>
              <w:left w:w="100" w:type="dxa"/>
              <w:bottom w:w="100" w:type="dxa"/>
              <w:right w:w="100" w:type="dxa"/>
            </w:tcMar>
          </w:tcPr>
          <w:p w14:paraId="2CD253AF" w14:textId="77777777" w:rsidR="00C27D3D" w:rsidRDefault="00000000" w:rsidP="0026265B">
            <w:pPr>
              <w:spacing w:before="100" w:beforeAutospacing="1" w:after="100" w:afterAutospacing="1"/>
            </w:pPr>
            <w:r>
              <w:rPr>
                <w:sz w:val="20"/>
                <w:szCs w:val="20"/>
              </w:rPr>
              <w:t>40% w/w maltodextrin carrier, 770 W, 7 min</w:t>
            </w:r>
          </w:p>
        </w:tc>
        <w:tc>
          <w:tcPr>
            <w:tcW w:w="3300" w:type="dxa"/>
            <w:tcMar>
              <w:top w:w="100" w:type="dxa"/>
              <w:left w:w="100" w:type="dxa"/>
              <w:bottom w:w="100" w:type="dxa"/>
              <w:right w:w="100" w:type="dxa"/>
            </w:tcMar>
          </w:tcPr>
          <w:p w14:paraId="1BE1237D" w14:textId="77777777" w:rsidR="00C27D3D" w:rsidRDefault="00000000" w:rsidP="0026265B">
            <w:pPr>
              <w:spacing w:before="100" w:beforeAutospacing="1" w:after="100" w:afterAutospacing="1"/>
            </w:pPr>
            <w:r>
              <w:rPr>
                <w:sz w:val="20"/>
                <w:szCs w:val="20"/>
              </w:rPr>
              <w:t>Encapsulation efficiency ≈73%</w:t>
            </w:r>
          </w:p>
        </w:tc>
        <w:tc>
          <w:tcPr>
            <w:tcW w:w="1500" w:type="dxa"/>
            <w:tcMar>
              <w:top w:w="100" w:type="dxa"/>
              <w:left w:w="100" w:type="dxa"/>
              <w:bottom w:w="100" w:type="dxa"/>
              <w:right w:w="100" w:type="dxa"/>
            </w:tcMar>
          </w:tcPr>
          <w:p w14:paraId="271B2DC1" w14:textId="77777777" w:rsidR="00C27D3D" w:rsidRDefault="00000000" w:rsidP="0026265B">
            <w:pPr>
              <w:spacing w:before="100" w:beforeAutospacing="1" w:after="100" w:afterAutospacing="1"/>
            </w:pPr>
            <w:r>
              <w:rPr>
                <w:sz w:val="20"/>
                <w:szCs w:val="20"/>
              </w:rPr>
              <w:t>Marsin et al. (2020)</w:t>
            </w:r>
          </w:p>
        </w:tc>
      </w:tr>
      <w:tr w:rsidR="00C27D3D" w14:paraId="1AB3FBA2" w14:textId="77777777">
        <w:tc>
          <w:tcPr>
            <w:tcW w:w="2100" w:type="dxa"/>
            <w:tcMar>
              <w:top w:w="100" w:type="dxa"/>
              <w:left w:w="100" w:type="dxa"/>
              <w:bottom w:w="100" w:type="dxa"/>
              <w:right w:w="100" w:type="dxa"/>
            </w:tcMar>
          </w:tcPr>
          <w:p w14:paraId="035C51A1" w14:textId="77777777" w:rsidR="00C27D3D" w:rsidRDefault="00000000" w:rsidP="0026265B">
            <w:pPr>
              <w:spacing w:before="100" w:beforeAutospacing="1" w:after="100" w:afterAutospacing="1"/>
            </w:pPr>
            <w:r>
              <w:rPr>
                <w:sz w:val="20"/>
                <w:szCs w:val="20"/>
              </w:rPr>
              <w:t>Refrigerated, dark storage as a stabilisation strategy</w:t>
            </w:r>
          </w:p>
        </w:tc>
        <w:tc>
          <w:tcPr>
            <w:tcW w:w="2700" w:type="dxa"/>
            <w:tcMar>
              <w:top w:w="100" w:type="dxa"/>
              <w:left w:w="100" w:type="dxa"/>
              <w:bottom w:w="100" w:type="dxa"/>
              <w:right w:w="100" w:type="dxa"/>
            </w:tcMar>
          </w:tcPr>
          <w:p w14:paraId="07B43654" w14:textId="77777777" w:rsidR="00C27D3D" w:rsidRDefault="00000000" w:rsidP="0026265B">
            <w:pPr>
              <w:spacing w:before="100" w:beforeAutospacing="1" w:after="100" w:afterAutospacing="1"/>
            </w:pPr>
            <w:r>
              <w:rPr>
                <w:sz w:val="20"/>
                <w:szCs w:val="20"/>
              </w:rPr>
              <w:t>4–5 °C, light-protected</w:t>
            </w:r>
          </w:p>
        </w:tc>
        <w:tc>
          <w:tcPr>
            <w:tcW w:w="3300" w:type="dxa"/>
            <w:tcMar>
              <w:top w:w="100" w:type="dxa"/>
              <w:left w:w="100" w:type="dxa"/>
              <w:bottom w:w="100" w:type="dxa"/>
              <w:right w:w="100" w:type="dxa"/>
            </w:tcMar>
          </w:tcPr>
          <w:p w14:paraId="2794E7C5" w14:textId="77777777" w:rsidR="00C27D3D" w:rsidRDefault="00000000" w:rsidP="0026265B">
            <w:pPr>
              <w:spacing w:before="100" w:beforeAutospacing="1" w:after="100" w:afterAutospacing="1"/>
            </w:pPr>
            <w:r>
              <w:rPr>
                <w:sz w:val="20"/>
                <w:szCs w:val="20"/>
              </w:rPr>
              <w:t>Substantially greater pigment and antioxidant retention over several weeks relative to ambient or light-exposed storage</w:t>
            </w:r>
          </w:p>
        </w:tc>
        <w:tc>
          <w:tcPr>
            <w:tcW w:w="1500" w:type="dxa"/>
            <w:tcMar>
              <w:top w:w="100" w:type="dxa"/>
              <w:left w:w="100" w:type="dxa"/>
              <w:bottom w:w="100" w:type="dxa"/>
              <w:right w:w="100" w:type="dxa"/>
            </w:tcMar>
          </w:tcPr>
          <w:p w14:paraId="168C2D56" w14:textId="77777777" w:rsidR="00C27D3D" w:rsidRDefault="00000000" w:rsidP="0026265B">
            <w:pPr>
              <w:spacing w:before="100" w:beforeAutospacing="1" w:after="100" w:afterAutospacing="1"/>
            </w:pPr>
            <w:r>
              <w:rPr>
                <w:sz w:val="20"/>
                <w:szCs w:val="20"/>
              </w:rPr>
              <w:t>Fu et al. (2021); Maia et al. (2025b)</w:t>
            </w:r>
          </w:p>
        </w:tc>
      </w:tr>
    </w:tbl>
    <w:p w14:paraId="05C942F5" w14:textId="77777777" w:rsidR="00C27D3D" w:rsidRDefault="00000000" w:rsidP="0026265B">
      <w:pPr>
        <w:spacing w:before="100" w:beforeAutospacing="1" w:after="100" w:afterAutospacing="1"/>
      </w:pPr>
      <w:r>
        <w:rPr>
          <w:i/>
          <w:iCs/>
          <w:sz w:val="18"/>
          <w:szCs w:val="18"/>
        </w:rPr>
        <w:t>Note. NADES = natural deep eutectic solvent. Values are as reported in the cited primary sources and are not directly comparable across rows owing to differing plant material, analytical standards and units.</w:t>
      </w:r>
    </w:p>
    <w:p w14:paraId="151A60F6" w14:textId="77777777" w:rsidR="00C27D3D" w:rsidRDefault="00000000" w:rsidP="0026265B">
      <w:pPr>
        <w:pStyle w:val="Heading1"/>
        <w:spacing w:before="100" w:beforeAutospacing="1" w:after="100" w:afterAutospacing="1"/>
      </w:pPr>
      <w:r>
        <w:t>5. Applications as a Natural Colourant in Food and Beverage Formulations</w:t>
      </w:r>
    </w:p>
    <w:p w14:paraId="30067A6F" w14:textId="77777777" w:rsidR="00C27D3D" w:rsidRDefault="00000000" w:rsidP="0026265B">
      <w:pPr>
        <w:spacing w:before="100" w:beforeAutospacing="1" w:after="100" w:afterAutospacing="1"/>
        <w:jc w:val="both"/>
      </w:pPr>
      <w:r>
        <w:t xml:space="preserve">The technological promise established in laboratory-scale extraction and stability studies has been tested, to varying degrees of rigour, in a range of actual food and beverage matrices, and this applied literature is where the colourant and functional-ingredient identities of </w:t>
      </w:r>
      <w:r>
        <w:rPr>
          <w:i/>
          <w:iCs/>
        </w:rPr>
        <w:t>C. ternatea</w:t>
      </w:r>
      <w:r>
        <w:t xml:space="preserve"> most directly converge, since incorporation into a real product simultaneously tests colour performance, sensory acceptability and, where relevant, retained bioactivity. Beverage applications have received the most sustained attention, consistent with the extract's traditional use as an infusion and with the comparative ease of achieving a homogeneous, low-viscosity system in which colour behaviour can be controlled largely through pH adjustment. Co-crystallisation with sucrose has been used to convert the flower extract into a stable powdered drink base, addressing the practical need for a shelf-stable, reconstitutable format rather than a perishable liquid concentrate (Marpaung et al., 2020), while the extract's pH-responsive colour change has itself been exploited as a functional feature in beverage formulation, most visibly in commercial and traditional preparations that shift from blue to purple or pink on the addition of an acidic component such as lemon or lime juice, a property explicitly identified by regulatory assessors as a distinguishing </w:t>
      </w:r>
      <w:r>
        <w:lastRenderedPageBreak/>
        <w:t>technological feature of the ingredient relative to other natural blue sources (U.S. Food and Drug Administration, 2021).</w:t>
      </w:r>
    </w:p>
    <w:p w14:paraId="0393CF97" w14:textId="77777777" w:rsidR="00C27D3D" w:rsidRDefault="00000000" w:rsidP="0026265B">
      <w:pPr>
        <w:spacing w:before="100" w:beforeAutospacing="1" w:after="100" w:afterAutospacing="1"/>
        <w:jc w:val="both"/>
      </w:pPr>
      <w:r>
        <w:t xml:space="preserve">Bakery applications illustrate both the opportunities and the constraints of incorporating the extract into a more complex, thermally processed matrix. Addition of </w:t>
      </w:r>
      <w:r>
        <w:rPr>
          <w:i/>
          <w:iCs/>
        </w:rPr>
        <w:t>C. ternatea</w:t>
      </w:r>
      <w:r>
        <w:t xml:space="preserve"> flower extract to wheat-flour-based bread has been shown to inhibit pancreatic α-amylase activity and to reduce the rate of starch hydrolysis and the predicted glycaemic index of the resulting product in a concentration-dependent manner across several flour types, indicating that a starch-digestion-modulating effect demonstrated in isolated enzyme assays can, at least partially, be retained when the extract is incorporated into an actual baked product rather than tested only in solution (Chusak et al., 2018b). In sponge cake, fortification with the extract at a low inclusion level has been reported to reduce lipid oxidation during storage and to increase antioxidant and polyphenol content in a concentration-dependent manner, without producing significant adverse changes to protein, lipid or ash content, and with sensory evaluation identifying a moderate inclusion level as optimal for overall acceptability (Pasukamonset et al., 2018). These findings are consistent with the extract functioning simultaneously as a colourant, an antioxidant and, in the specific case of starch-containing products, a modulator of carbohydrate digestibility, though the magnitude and consistency of these effects across different formulations, baking temperatures and storage durations remain established only for the specific products tested rather than for bakery applications in general.</w:t>
      </w:r>
    </w:p>
    <w:p w14:paraId="588F9079" w14:textId="77777777" w:rsidR="00C27D3D" w:rsidRDefault="00000000" w:rsidP="0026265B">
      <w:pPr>
        <w:spacing w:before="100" w:beforeAutospacing="1" w:after="100" w:afterAutospacing="1"/>
        <w:jc w:val="both"/>
      </w:pPr>
      <w:r>
        <w:t>Dairy and meat-based applications extend the evidence base into matrices where protein-pigment interactions become a relevant consideration rather than a secondary detail. The specific interaction between ternatin-class anthocyanins and milk proteins has been characterised directly in a model dairy system, where delphinidin derivatives from the flower extract were shown to bind whey proteins through a fluorescence-quenching interaction whose strength varied with sugar and calcium chloride concentration, indicating that the extract's colour and functional performance in dairy systems is modulated by protein binding rather than behaving as an inert additive once combined with a protein-rich matrix (Vuong et al., 2021). This finding is functionally significant for formulators because it implies that colour intensity, and potentially antioxidant availability, in a dairy product cannot be predicted directly from the extract's behaviour in simple aqueous solution. In a non-dairy protein matrix, incorporation of the extract into cooked pork patties has been shown to improve oxidative stability during refrigerated storage relative to an unfortified control, supporting a preservative as well as a colouring function in a lipid-rich, processed meat system (Pasukamonset et al., 2017). Beyond these categories, the extract has been evaluated as a natural blue colourant in traditional rice cookery, where it has been reported to impart colour effectively while raising practical questions about optimal application method and colour uniformity in a starch-rich, thermally processed staple food (Maneechot et al., 2023), and its antifungal activity against a common food-spoilage mould has been proposed as a basis for its use as a biopreservative component rather than solely a colourant, a use case that, if substantiated further, would represent a functional application distinct from both its pigmenting and its antioxidant properties (Leong et al., 2017). Direct evidence on retained antioxidant or anthocyanin activity specifically within a finished dairy product, as opposed to a model whey-protein solution, remains sparse in the literature identified for this review, and this specific gap, between protein-interaction mechanisms demonstrated in simplified systems and outcomes in an actual manufactured dairy product, is noted again in the Future Directions section.</w:t>
      </w:r>
    </w:p>
    <w:p w14:paraId="16A649C7" w14:textId="77777777" w:rsidR="00C27D3D" w:rsidRDefault="00000000" w:rsidP="0026265B">
      <w:pPr>
        <w:spacing w:before="100" w:beforeAutospacing="1" w:after="100" w:afterAutospacing="1"/>
        <w:jc w:val="both"/>
      </w:pPr>
      <w:r>
        <w:lastRenderedPageBreak/>
        <w:t>Across these applications, a consistent methodological limitation is the near-absence of studies that track colour and bioactive retention across an entire realistic shelf life under commercial packaging and distribution conditions, as opposed to the shorter, controlled storage intervals, typically measured in days to a few weeks, used in most of the studies cited above. Sensory evaluation, where reported, has generally been favourable at the specific inclusion levels tested, but sample sizes for consumer panels in the food-application literature reviewed here are typically modest, and comparative sensory data across product categories and against synthetic-dye or alternative natural-colourant benchmarks remain sparse. The applied literature therefore supports the extract's technological feasibility as a colourant and, in several specific product categories, its retained functional activity, considerably more strongly than it supports generalised claims about consumer acceptance or long-term product stability across the full range of foods to which the ingredient might plausibly be added. Table 3 summarises the representative product categories and outcomes discussed above.</w:t>
      </w:r>
    </w:p>
    <w:p w14:paraId="04690647" w14:textId="77777777" w:rsidR="00C27D3D" w:rsidRDefault="00000000" w:rsidP="0026265B">
      <w:pPr>
        <w:spacing w:before="100" w:beforeAutospacing="1" w:after="100" w:afterAutospacing="1"/>
      </w:pPr>
      <w:r>
        <w:rPr>
          <w:b/>
          <w:bCs/>
          <w:sz w:val="22"/>
          <w:szCs w:val="22"/>
        </w:rPr>
        <w:t>Table 3. Representative applications of Clitoria ternatea extract in food and beverage products.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700"/>
        <w:gridCol w:w="3200"/>
        <w:gridCol w:w="1800"/>
      </w:tblGrid>
      <w:tr w:rsidR="00C27D3D" w14:paraId="7571EAFF" w14:textId="77777777">
        <w:trPr>
          <w:tblHeader/>
        </w:trPr>
        <w:tc>
          <w:tcPr>
            <w:tcW w:w="1900" w:type="dxa"/>
            <w:shd w:val="clear" w:color="auto" w:fill="D9E2F3"/>
            <w:tcMar>
              <w:top w:w="100" w:type="dxa"/>
              <w:left w:w="100" w:type="dxa"/>
              <w:bottom w:w="100" w:type="dxa"/>
              <w:right w:w="100" w:type="dxa"/>
            </w:tcMar>
          </w:tcPr>
          <w:p w14:paraId="4C2280FF" w14:textId="77777777" w:rsidR="00C27D3D" w:rsidRDefault="00000000" w:rsidP="0026265B">
            <w:pPr>
              <w:spacing w:before="100" w:beforeAutospacing="1" w:after="100" w:afterAutospacing="1"/>
            </w:pPr>
            <w:r>
              <w:rPr>
                <w:b/>
                <w:bCs/>
                <w:sz w:val="20"/>
                <w:szCs w:val="20"/>
              </w:rPr>
              <w:t>Product category</w:t>
            </w:r>
          </w:p>
        </w:tc>
        <w:tc>
          <w:tcPr>
            <w:tcW w:w="2700" w:type="dxa"/>
            <w:shd w:val="clear" w:color="auto" w:fill="D9E2F3"/>
            <w:tcMar>
              <w:top w:w="100" w:type="dxa"/>
              <w:left w:w="100" w:type="dxa"/>
              <w:bottom w:w="100" w:type="dxa"/>
              <w:right w:w="100" w:type="dxa"/>
            </w:tcMar>
          </w:tcPr>
          <w:p w14:paraId="62BBA11C" w14:textId="77777777" w:rsidR="00C27D3D" w:rsidRDefault="00000000" w:rsidP="0026265B">
            <w:pPr>
              <w:spacing w:before="100" w:beforeAutospacing="1" w:after="100" w:afterAutospacing="1"/>
            </w:pPr>
            <w:r>
              <w:rPr>
                <w:b/>
                <w:bCs/>
                <w:sz w:val="20"/>
                <w:szCs w:val="20"/>
              </w:rPr>
              <w:t>Application / inclusion approach</w:t>
            </w:r>
          </w:p>
        </w:tc>
        <w:tc>
          <w:tcPr>
            <w:tcW w:w="3200" w:type="dxa"/>
            <w:shd w:val="clear" w:color="auto" w:fill="D9E2F3"/>
            <w:tcMar>
              <w:top w:w="100" w:type="dxa"/>
              <w:left w:w="100" w:type="dxa"/>
              <w:bottom w:w="100" w:type="dxa"/>
              <w:right w:w="100" w:type="dxa"/>
            </w:tcMar>
          </w:tcPr>
          <w:p w14:paraId="53208D48" w14:textId="77777777" w:rsidR="00C27D3D" w:rsidRDefault="00000000" w:rsidP="0026265B">
            <w:pPr>
              <w:spacing w:before="100" w:beforeAutospacing="1" w:after="100" w:afterAutospacing="1"/>
            </w:pPr>
            <w:r>
              <w:rPr>
                <w:b/>
                <w:bCs/>
                <w:sz w:val="20"/>
                <w:szCs w:val="20"/>
              </w:rPr>
              <w:t>Key reported outcome</w:t>
            </w:r>
          </w:p>
        </w:tc>
        <w:tc>
          <w:tcPr>
            <w:tcW w:w="1800" w:type="dxa"/>
            <w:shd w:val="clear" w:color="auto" w:fill="D9E2F3"/>
            <w:tcMar>
              <w:top w:w="100" w:type="dxa"/>
              <w:left w:w="100" w:type="dxa"/>
              <w:bottom w:w="100" w:type="dxa"/>
              <w:right w:w="100" w:type="dxa"/>
            </w:tcMar>
          </w:tcPr>
          <w:p w14:paraId="22D8E264" w14:textId="77777777" w:rsidR="00C27D3D" w:rsidRDefault="00000000" w:rsidP="0026265B">
            <w:pPr>
              <w:spacing w:before="100" w:beforeAutospacing="1" w:after="100" w:afterAutospacing="1"/>
            </w:pPr>
            <w:r>
              <w:rPr>
                <w:b/>
                <w:bCs/>
                <w:sz w:val="20"/>
                <w:szCs w:val="20"/>
              </w:rPr>
              <w:t>Supporting references</w:t>
            </w:r>
          </w:p>
        </w:tc>
      </w:tr>
      <w:tr w:rsidR="00C27D3D" w14:paraId="6C2D2878" w14:textId="77777777">
        <w:tc>
          <w:tcPr>
            <w:tcW w:w="1900" w:type="dxa"/>
            <w:tcMar>
              <w:top w:w="100" w:type="dxa"/>
              <w:left w:w="100" w:type="dxa"/>
              <w:bottom w:w="100" w:type="dxa"/>
              <w:right w:w="100" w:type="dxa"/>
            </w:tcMar>
          </w:tcPr>
          <w:p w14:paraId="2E511C38" w14:textId="77777777" w:rsidR="00C27D3D" w:rsidRDefault="00000000" w:rsidP="0026265B">
            <w:pPr>
              <w:spacing w:before="100" w:beforeAutospacing="1" w:after="100" w:afterAutospacing="1"/>
            </w:pPr>
            <w:r>
              <w:rPr>
                <w:sz w:val="20"/>
                <w:szCs w:val="20"/>
              </w:rPr>
              <w:t>Powdered beverage base</w:t>
            </w:r>
          </w:p>
        </w:tc>
        <w:tc>
          <w:tcPr>
            <w:tcW w:w="2700" w:type="dxa"/>
            <w:tcMar>
              <w:top w:w="100" w:type="dxa"/>
              <w:left w:w="100" w:type="dxa"/>
              <w:bottom w:w="100" w:type="dxa"/>
              <w:right w:w="100" w:type="dxa"/>
            </w:tcMar>
          </w:tcPr>
          <w:p w14:paraId="78B45340" w14:textId="77777777" w:rsidR="00C27D3D" w:rsidRDefault="00000000" w:rsidP="0026265B">
            <w:pPr>
              <w:spacing w:before="100" w:beforeAutospacing="1" w:after="100" w:afterAutospacing="1"/>
            </w:pPr>
            <w:r>
              <w:rPr>
                <w:sz w:val="20"/>
                <w:szCs w:val="20"/>
              </w:rPr>
              <w:t>Co-crystallisation with sucrose</w:t>
            </w:r>
          </w:p>
        </w:tc>
        <w:tc>
          <w:tcPr>
            <w:tcW w:w="3200" w:type="dxa"/>
            <w:tcMar>
              <w:top w:w="100" w:type="dxa"/>
              <w:left w:w="100" w:type="dxa"/>
              <w:bottom w:w="100" w:type="dxa"/>
              <w:right w:w="100" w:type="dxa"/>
            </w:tcMar>
          </w:tcPr>
          <w:p w14:paraId="38EAC652" w14:textId="77777777" w:rsidR="00C27D3D" w:rsidRDefault="00000000" w:rsidP="0026265B">
            <w:pPr>
              <w:spacing w:before="100" w:beforeAutospacing="1" w:after="100" w:afterAutospacing="1"/>
            </w:pPr>
            <w:r>
              <w:rPr>
                <w:sz w:val="20"/>
                <w:szCs w:val="20"/>
              </w:rPr>
              <w:t>Conversion of the liquid extract into a stable, reconstitutable powder format</w:t>
            </w:r>
          </w:p>
        </w:tc>
        <w:tc>
          <w:tcPr>
            <w:tcW w:w="1800" w:type="dxa"/>
            <w:tcMar>
              <w:top w:w="100" w:type="dxa"/>
              <w:left w:w="100" w:type="dxa"/>
              <w:bottom w:w="100" w:type="dxa"/>
              <w:right w:w="100" w:type="dxa"/>
            </w:tcMar>
          </w:tcPr>
          <w:p w14:paraId="21C70C3C" w14:textId="77777777" w:rsidR="00C27D3D" w:rsidRDefault="00000000" w:rsidP="0026265B">
            <w:pPr>
              <w:spacing w:before="100" w:beforeAutospacing="1" w:after="100" w:afterAutospacing="1"/>
            </w:pPr>
            <w:r>
              <w:rPr>
                <w:sz w:val="20"/>
                <w:szCs w:val="20"/>
              </w:rPr>
              <w:t>Marpaung et al. (2020)</w:t>
            </w:r>
          </w:p>
        </w:tc>
      </w:tr>
      <w:tr w:rsidR="00C27D3D" w14:paraId="10B1D60E" w14:textId="77777777">
        <w:tc>
          <w:tcPr>
            <w:tcW w:w="1900" w:type="dxa"/>
            <w:tcMar>
              <w:top w:w="100" w:type="dxa"/>
              <w:left w:w="100" w:type="dxa"/>
              <w:bottom w:w="100" w:type="dxa"/>
              <w:right w:w="100" w:type="dxa"/>
            </w:tcMar>
          </w:tcPr>
          <w:p w14:paraId="1B767929" w14:textId="77777777" w:rsidR="00C27D3D" w:rsidRDefault="00000000" w:rsidP="0026265B">
            <w:pPr>
              <w:spacing w:before="100" w:beforeAutospacing="1" w:after="100" w:afterAutospacing="1"/>
            </w:pPr>
            <w:r>
              <w:rPr>
                <w:sz w:val="20"/>
                <w:szCs w:val="20"/>
              </w:rPr>
              <w:t>pH-responsive beverages</w:t>
            </w:r>
          </w:p>
        </w:tc>
        <w:tc>
          <w:tcPr>
            <w:tcW w:w="2700" w:type="dxa"/>
            <w:tcMar>
              <w:top w:w="100" w:type="dxa"/>
              <w:left w:w="100" w:type="dxa"/>
              <w:bottom w:w="100" w:type="dxa"/>
              <w:right w:w="100" w:type="dxa"/>
            </w:tcMar>
          </w:tcPr>
          <w:p w14:paraId="2B12CD39" w14:textId="77777777" w:rsidR="00C27D3D" w:rsidRDefault="00000000" w:rsidP="0026265B">
            <w:pPr>
              <w:spacing w:before="100" w:beforeAutospacing="1" w:after="100" w:afterAutospacing="1"/>
            </w:pPr>
            <w:r>
              <w:rPr>
                <w:sz w:val="20"/>
                <w:szCs w:val="20"/>
              </w:rPr>
              <w:t>Colour shift exploited on acidification (e.g., citrus juice addition)</w:t>
            </w:r>
          </w:p>
        </w:tc>
        <w:tc>
          <w:tcPr>
            <w:tcW w:w="3200" w:type="dxa"/>
            <w:tcMar>
              <w:top w:w="100" w:type="dxa"/>
              <w:left w:w="100" w:type="dxa"/>
              <w:bottom w:w="100" w:type="dxa"/>
              <w:right w:w="100" w:type="dxa"/>
            </w:tcMar>
          </w:tcPr>
          <w:p w14:paraId="0B57C772" w14:textId="77777777" w:rsidR="00C27D3D" w:rsidRDefault="00000000" w:rsidP="0026265B">
            <w:pPr>
              <w:spacing w:before="100" w:beforeAutospacing="1" w:after="100" w:afterAutospacing="1"/>
            </w:pPr>
            <w:r>
              <w:rPr>
                <w:sz w:val="20"/>
                <w:szCs w:val="20"/>
              </w:rPr>
              <w:t>Blue-to-purple/pink transition identified as a distinguishing technological feature; basis for a wide range of approved US beverage uses</w:t>
            </w:r>
          </w:p>
        </w:tc>
        <w:tc>
          <w:tcPr>
            <w:tcW w:w="1800" w:type="dxa"/>
            <w:tcMar>
              <w:top w:w="100" w:type="dxa"/>
              <w:left w:w="100" w:type="dxa"/>
              <w:bottom w:w="100" w:type="dxa"/>
              <w:right w:w="100" w:type="dxa"/>
            </w:tcMar>
          </w:tcPr>
          <w:p w14:paraId="418B1BAF" w14:textId="77777777" w:rsidR="00C27D3D" w:rsidRDefault="00000000" w:rsidP="0026265B">
            <w:pPr>
              <w:spacing w:before="100" w:beforeAutospacing="1" w:after="100" w:afterAutospacing="1"/>
            </w:pPr>
            <w:r>
              <w:rPr>
                <w:sz w:val="20"/>
                <w:szCs w:val="20"/>
              </w:rPr>
              <w:t>U.S. Food and Drug Administration (2021)</w:t>
            </w:r>
          </w:p>
        </w:tc>
      </w:tr>
      <w:tr w:rsidR="00C27D3D" w14:paraId="18734994" w14:textId="77777777">
        <w:tc>
          <w:tcPr>
            <w:tcW w:w="1900" w:type="dxa"/>
            <w:tcMar>
              <w:top w:w="100" w:type="dxa"/>
              <w:left w:w="100" w:type="dxa"/>
              <w:bottom w:w="100" w:type="dxa"/>
              <w:right w:w="100" w:type="dxa"/>
            </w:tcMar>
          </w:tcPr>
          <w:p w14:paraId="116D8386" w14:textId="77777777" w:rsidR="00C27D3D" w:rsidRDefault="00000000" w:rsidP="0026265B">
            <w:pPr>
              <w:spacing w:before="100" w:beforeAutospacing="1" w:after="100" w:afterAutospacing="1"/>
            </w:pPr>
            <w:r>
              <w:rPr>
                <w:sz w:val="20"/>
                <w:szCs w:val="20"/>
              </w:rPr>
              <w:t>Bread (wheat-flour-based)</w:t>
            </w:r>
          </w:p>
        </w:tc>
        <w:tc>
          <w:tcPr>
            <w:tcW w:w="2700" w:type="dxa"/>
            <w:tcMar>
              <w:top w:w="100" w:type="dxa"/>
              <w:left w:w="100" w:type="dxa"/>
              <w:bottom w:w="100" w:type="dxa"/>
              <w:right w:w="100" w:type="dxa"/>
            </w:tcMar>
          </w:tcPr>
          <w:p w14:paraId="315B5424" w14:textId="77777777" w:rsidR="00C27D3D" w:rsidRDefault="00000000" w:rsidP="0026265B">
            <w:pPr>
              <w:spacing w:before="100" w:beforeAutospacing="1" w:after="100" w:afterAutospacing="1"/>
            </w:pPr>
            <w:r>
              <w:rPr>
                <w:sz w:val="20"/>
                <w:szCs w:val="20"/>
              </w:rPr>
              <w:t>Extract added at 0.5–2% w/v</w:t>
            </w:r>
          </w:p>
        </w:tc>
        <w:tc>
          <w:tcPr>
            <w:tcW w:w="3200" w:type="dxa"/>
            <w:tcMar>
              <w:top w:w="100" w:type="dxa"/>
              <w:left w:w="100" w:type="dxa"/>
              <w:bottom w:w="100" w:type="dxa"/>
              <w:right w:w="100" w:type="dxa"/>
            </w:tcMar>
          </w:tcPr>
          <w:p w14:paraId="17B7C637" w14:textId="77777777" w:rsidR="00C27D3D" w:rsidRDefault="00000000" w:rsidP="0026265B">
            <w:pPr>
              <w:spacing w:before="100" w:beforeAutospacing="1" w:after="100" w:afterAutospacing="1"/>
            </w:pPr>
            <w:r>
              <w:rPr>
                <w:sz w:val="20"/>
                <w:szCs w:val="20"/>
              </w:rPr>
              <w:t>Concentration-dependent reduction in glucose release, hydrolysis index and predicted glycaemic index; α-amylase-inhibitory effect partially retained in the finished product</w:t>
            </w:r>
          </w:p>
        </w:tc>
        <w:tc>
          <w:tcPr>
            <w:tcW w:w="1800" w:type="dxa"/>
            <w:tcMar>
              <w:top w:w="100" w:type="dxa"/>
              <w:left w:w="100" w:type="dxa"/>
              <w:bottom w:w="100" w:type="dxa"/>
              <w:right w:w="100" w:type="dxa"/>
            </w:tcMar>
          </w:tcPr>
          <w:p w14:paraId="003BFD5B" w14:textId="77777777" w:rsidR="00C27D3D" w:rsidRDefault="00000000" w:rsidP="0026265B">
            <w:pPr>
              <w:spacing w:before="100" w:beforeAutospacing="1" w:after="100" w:afterAutospacing="1"/>
            </w:pPr>
            <w:r>
              <w:rPr>
                <w:sz w:val="20"/>
                <w:szCs w:val="20"/>
              </w:rPr>
              <w:t>Chusak et al. (2018b)</w:t>
            </w:r>
          </w:p>
        </w:tc>
      </w:tr>
      <w:tr w:rsidR="00C27D3D" w14:paraId="58C53326" w14:textId="77777777">
        <w:tc>
          <w:tcPr>
            <w:tcW w:w="1900" w:type="dxa"/>
            <w:tcMar>
              <w:top w:w="100" w:type="dxa"/>
              <w:left w:w="100" w:type="dxa"/>
              <w:bottom w:w="100" w:type="dxa"/>
              <w:right w:w="100" w:type="dxa"/>
            </w:tcMar>
          </w:tcPr>
          <w:p w14:paraId="19DA6B1E" w14:textId="77777777" w:rsidR="00C27D3D" w:rsidRDefault="00000000" w:rsidP="0026265B">
            <w:pPr>
              <w:spacing w:before="100" w:beforeAutospacing="1" w:after="100" w:afterAutospacing="1"/>
            </w:pPr>
            <w:r>
              <w:rPr>
                <w:sz w:val="20"/>
                <w:szCs w:val="20"/>
              </w:rPr>
              <w:t>Sponge cake</w:t>
            </w:r>
          </w:p>
        </w:tc>
        <w:tc>
          <w:tcPr>
            <w:tcW w:w="2700" w:type="dxa"/>
            <w:tcMar>
              <w:top w:w="100" w:type="dxa"/>
              <w:left w:w="100" w:type="dxa"/>
              <w:bottom w:w="100" w:type="dxa"/>
              <w:right w:w="100" w:type="dxa"/>
            </w:tcMar>
          </w:tcPr>
          <w:p w14:paraId="6B4C1027" w14:textId="77777777" w:rsidR="00C27D3D" w:rsidRDefault="00000000" w:rsidP="0026265B">
            <w:pPr>
              <w:spacing w:before="100" w:beforeAutospacing="1" w:after="100" w:afterAutospacing="1"/>
            </w:pPr>
            <w:r>
              <w:rPr>
                <w:sz w:val="20"/>
                <w:szCs w:val="20"/>
              </w:rPr>
              <w:t>Extract fortification at low-to-moderate inclusion levels</w:t>
            </w:r>
          </w:p>
        </w:tc>
        <w:tc>
          <w:tcPr>
            <w:tcW w:w="3200" w:type="dxa"/>
            <w:tcMar>
              <w:top w:w="100" w:type="dxa"/>
              <w:left w:w="100" w:type="dxa"/>
              <w:bottom w:w="100" w:type="dxa"/>
              <w:right w:w="100" w:type="dxa"/>
            </w:tcMar>
          </w:tcPr>
          <w:p w14:paraId="6014ABA6" w14:textId="77777777" w:rsidR="00C27D3D" w:rsidRDefault="00000000" w:rsidP="0026265B">
            <w:pPr>
              <w:spacing w:before="100" w:beforeAutospacing="1" w:after="100" w:afterAutospacing="1"/>
            </w:pPr>
            <w:r>
              <w:rPr>
                <w:sz w:val="20"/>
                <w:szCs w:val="20"/>
              </w:rPr>
              <w:t>Reduced lipid oxidation during storage; increased antioxidant and polyphenol content; sensory acceptability maintained at a moderate inclusion level</w:t>
            </w:r>
          </w:p>
        </w:tc>
        <w:tc>
          <w:tcPr>
            <w:tcW w:w="1800" w:type="dxa"/>
            <w:tcMar>
              <w:top w:w="100" w:type="dxa"/>
              <w:left w:w="100" w:type="dxa"/>
              <w:bottom w:w="100" w:type="dxa"/>
              <w:right w:w="100" w:type="dxa"/>
            </w:tcMar>
          </w:tcPr>
          <w:p w14:paraId="1409D88C" w14:textId="77777777" w:rsidR="00C27D3D" w:rsidRDefault="00000000" w:rsidP="0026265B">
            <w:pPr>
              <w:spacing w:before="100" w:beforeAutospacing="1" w:after="100" w:afterAutospacing="1"/>
            </w:pPr>
            <w:r>
              <w:rPr>
                <w:sz w:val="20"/>
                <w:szCs w:val="20"/>
              </w:rPr>
              <w:t>Pasukamonset et al. (2018)</w:t>
            </w:r>
          </w:p>
        </w:tc>
      </w:tr>
      <w:tr w:rsidR="00C27D3D" w14:paraId="14CA4BC7" w14:textId="77777777">
        <w:tc>
          <w:tcPr>
            <w:tcW w:w="1900" w:type="dxa"/>
            <w:tcMar>
              <w:top w:w="100" w:type="dxa"/>
              <w:left w:w="100" w:type="dxa"/>
              <w:bottom w:w="100" w:type="dxa"/>
              <w:right w:w="100" w:type="dxa"/>
            </w:tcMar>
          </w:tcPr>
          <w:p w14:paraId="20480CCD" w14:textId="77777777" w:rsidR="00C27D3D" w:rsidRDefault="00000000" w:rsidP="0026265B">
            <w:pPr>
              <w:spacing w:before="100" w:beforeAutospacing="1" w:after="100" w:afterAutospacing="1"/>
            </w:pPr>
            <w:r>
              <w:rPr>
                <w:sz w:val="20"/>
                <w:szCs w:val="20"/>
              </w:rPr>
              <w:t>Cooked pork patties</w:t>
            </w:r>
          </w:p>
        </w:tc>
        <w:tc>
          <w:tcPr>
            <w:tcW w:w="2700" w:type="dxa"/>
            <w:tcMar>
              <w:top w:w="100" w:type="dxa"/>
              <w:left w:w="100" w:type="dxa"/>
              <w:bottom w:w="100" w:type="dxa"/>
              <w:right w:w="100" w:type="dxa"/>
            </w:tcMar>
          </w:tcPr>
          <w:p w14:paraId="071FDFB4" w14:textId="77777777" w:rsidR="00C27D3D" w:rsidRDefault="00000000" w:rsidP="0026265B">
            <w:pPr>
              <w:spacing w:before="100" w:beforeAutospacing="1" w:after="100" w:afterAutospacing="1"/>
            </w:pPr>
            <w:r>
              <w:rPr>
                <w:sz w:val="20"/>
                <w:szCs w:val="20"/>
              </w:rPr>
              <w:t>Extract incorporated into the meat matrix</w:t>
            </w:r>
          </w:p>
        </w:tc>
        <w:tc>
          <w:tcPr>
            <w:tcW w:w="3200" w:type="dxa"/>
            <w:tcMar>
              <w:top w:w="100" w:type="dxa"/>
              <w:left w:w="100" w:type="dxa"/>
              <w:bottom w:w="100" w:type="dxa"/>
              <w:right w:w="100" w:type="dxa"/>
            </w:tcMar>
          </w:tcPr>
          <w:p w14:paraId="6CD5BDF3" w14:textId="77777777" w:rsidR="00C27D3D" w:rsidRDefault="00000000" w:rsidP="0026265B">
            <w:pPr>
              <w:spacing w:before="100" w:beforeAutospacing="1" w:after="100" w:afterAutospacing="1"/>
            </w:pPr>
            <w:r>
              <w:rPr>
                <w:sz w:val="20"/>
                <w:szCs w:val="20"/>
              </w:rPr>
              <w:t>Improved oxidative stability during refrigerated storage relative to an unfortified control</w:t>
            </w:r>
          </w:p>
        </w:tc>
        <w:tc>
          <w:tcPr>
            <w:tcW w:w="1800" w:type="dxa"/>
            <w:tcMar>
              <w:top w:w="100" w:type="dxa"/>
              <w:left w:w="100" w:type="dxa"/>
              <w:bottom w:w="100" w:type="dxa"/>
              <w:right w:w="100" w:type="dxa"/>
            </w:tcMar>
          </w:tcPr>
          <w:p w14:paraId="5EE51101" w14:textId="77777777" w:rsidR="00C27D3D" w:rsidRDefault="00000000" w:rsidP="0026265B">
            <w:pPr>
              <w:spacing w:before="100" w:beforeAutospacing="1" w:after="100" w:afterAutospacing="1"/>
            </w:pPr>
            <w:r>
              <w:rPr>
                <w:sz w:val="20"/>
                <w:szCs w:val="20"/>
              </w:rPr>
              <w:t>Pasukamonset et al. (2017)</w:t>
            </w:r>
          </w:p>
        </w:tc>
      </w:tr>
      <w:tr w:rsidR="00C27D3D" w14:paraId="660C9FF9" w14:textId="77777777">
        <w:tc>
          <w:tcPr>
            <w:tcW w:w="1900" w:type="dxa"/>
            <w:tcMar>
              <w:top w:w="100" w:type="dxa"/>
              <w:left w:w="100" w:type="dxa"/>
              <w:bottom w:w="100" w:type="dxa"/>
              <w:right w:w="100" w:type="dxa"/>
            </w:tcMar>
          </w:tcPr>
          <w:p w14:paraId="2FC9C0CC" w14:textId="77777777" w:rsidR="00C27D3D" w:rsidRDefault="00000000" w:rsidP="0026265B">
            <w:pPr>
              <w:spacing w:before="100" w:beforeAutospacing="1" w:after="100" w:afterAutospacing="1"/>
            </w:pPr>
            <w:r>
              <w:rPr>
                <w:sz w:val="20"/>
                <w:szCs w:val="20"/>
              </w:rPr>
              <w:t>Traditional cooked rice</w:t>
            </w:r>
          </w:p>
        </w:tc>
        <w:tc>
          <w:tcPr>
            <w:tcW w:w="2700" w:type="dxa"/>
            <w:tcMar>
              <w:top w:w="100" w:type="dxa"/>
              <w:left w:w="100" w:type="dxa"/>
              <w:bottom w:w="100" w:type="dxa"/>
              <w:right w:w="100" w:type="dxa"/>
            </w:tcMar>
          </w:tcPr>
          <w:p w14:paraId="69F63217" w14:textId="77777777" w:rsidR="00C27D3D" w:rsidRDefault="00000000" w:rsidP="0026265B">
            <w:pPr>
              <w:spacing w:before="100" w:beforeAutospacing="1" w:after="100" w:afterAutospacing="1"/>
            </w:pPr>
            <w:r>
              <w:rPr>
                <w:sz w:val="20"/>
                <w:szCs w:val="20"/>
              </w:rPr>
              <w:t>Aqueous petal extract applied before/during cooking</w:t>
            </w:r>
          </w:p>
        </w:tc>
        <w:tc>
          <w:tcPr>
            <w:tcW w:w="3200" w:type="dxa"/>
            <w:tcMar>
              <w:top w:w="100" w:type="dxa"/>
              <w:left w:w="100" w:type="dxa"/>
              <w:bottom w:w="100" w:type="dxa"/>
              <w:right w:w="100" w:type="dxa"/>
            </w:tcMar>
          </w:tcPr>
          <w:p w14:paraId="24EC9059" w14:textId="77777777" w:rsidR="00C27D3D" w:rsidRDefault="00000000" w:rsidP="0026265B">
            <w:pPr>
              <w:spacing w:before="100" w:beforeAutospacing="1" w:after="100" w:afterAutospacing="1"/>
            </w:pPr>
            <w:r>
              <w:rPr>
                <w:sz w:val="20"/>
                <w:szCs w:val="20"/>
              </w:rPr>
              <w:t>Effective blue colouration; colour intensity and uniformity dependent on application method and extract concentration</w:t>
            </w:r>
          </w:p>
        </w:tc>
        <w:tc>
          <w:tcPr>
            <w:tcW w:w="1800" w:type="dxa"/>
            <w:tcMar>
              <w:top w:w="100" w:type="dxa"/>
              <w:left w:w="100" w:type="dxa"/>
              <w:bottom w:w="100" w:type="dxa"/>
              <w:right w:w="100" w:type="dxa"/>
            </w:tcMar>
          </w:tcPr>
          <w:p w14:paraId="226A60B4" w14:textId="77777777" w:rsidR="00C27D3D" w:rsidRDefault="00000000" w:rsidP="0026265B">
            <w:pPr>
              <w:spacing w:before="100" w:beforeAutospacing="1" w:after="100" w:afterAutospacing="1"/>
            </w:pPr>
            <w:r>
              <w:rPr>
                <w:sz w:val="20"/>
                <w:szCs w:val="20"/>
              </w:rPr>
              <w:t>Maneechot et al. (2023)</w:t>
            </w:r>
          </w:p>
        </w:tc>
      </w:tr>
      <w:tr w:rsidR="00C27D3D" w14:paraId="492E1736" w14:textId="77777777">
        <w:tc>
          <w:tcPr>
            <w:tcW w:w="1900" w:type="dxa"/>
            <w:tcMar>
              <w:top w:w="100" w:type="dxa"/>
              <w:left w:w="100" w:type="dxa"/>
              <w:bottom w:w="100" w:type="dxa"/>
              <w:right w:w="100" w:type="dxa"/>
            </w:tcMar>
          </w:tcPr>
          <w:p w14:paraId="0D61F158" w14:textId="77777777" w:rsidR="00C27D3D" w:rsidRDefault="00000000" w:rsidP="0026265B">
            <w:pPr>
              <w:spacing w:before="100" w:beforeAutospacing="1" w:after="100" w:afterAutospacing="1"/>
            </w:pPr>
            <w:r>
              <w:rPr>
                <w:sz w:val="20"/>
                <w:szCs w:val="20"/>
              </w:rPr>
              <w:lastRenderedPageBreak/>
              <w:t>Whey-protein / dairy model systems</w:t>
            </w:r>
          </w:p>
        </w:tc>
        <w:tc>
          <w:tcPr>
            <w:tcW w:w="2700" w:type="dxa"/>
            <w:tcMar>
              <w:top w:w="100" w:type="dxa"/>
              <w:left w:w="100" w:type="dxa"/>
              <w:bottom w:w="100" w:type="dxa"/>
              <w:right w:w="100" w:type="dxa"/>
            </w:tcMar>
          </w:tcPr>
          <w:p w14:paraId="0174874D" w14:textId="77777777" w:rsidR="00C27D3D" w:rsidRDefault="00000000" w:rsidP="0026265B">
            <w:pPr>
              <w:spacing w:before="100" w:beforeAutospacing="1" w:after="100" w:afterAutospacing="1"/>
            </w:pPr>
            <w:r>
              <w:rPr>
                <w:sz w:val="20"/>
                <w:szCs w:val="20"/>
              </w:rPr>
              <w:t>Delphinidin derivatives combined with whey protein isolate</w:t>
            </w:r>
          </w:p>
        </w:tc>
        <w:tc>
          <w:tcPr>
            <w:tcW w:w="3200" w:type="dxa"/>
            <w:tcMar>
              <w:top w:w="100" w:type="dxa"/>
              <w:left w:w="100" w:type="dxa"/>
              <w:bottom w:w="100" w:type="dxa"/>
              <w:right w:w="100" w:type="dxa"/>
            </w:tcMar>
          </w:tcPr>
          <w:p w14:paraId="6E774FA4" w14:textId="77777777" w:rsidR="00C27D3D" w:rsidRDefault="00000000" w:rsidP="0026265B">
            <w:pPr>
              <w:spacing w:before="100" w:beforeAutospacing="1" w:after="100" w:afterAutospacing="1"/>
            </w:pPr>
            <w:r>
              <w:rPr>
                <w:sz w:val="20"/>
                <w:szCs w:val="20"/>
              </w:rPr>
              <w:t>Colour and functional performance modulated by protein binding (fluorescence-quenching interaction) rather than behaving as an inert additive</w:t>
            </w:r>
          </w:p>
        </w:tc>
        <w:tc>
          <w:tcPr>
            <w:tcW w:w="1800" w:type="dxa"/>
            <w:tcMar>
              <w:top w:w="100" w:type="dxa"/>
              <w:left w:w="100" w:type="dxa"/>
              <w:bottom w:w="100" w:type="dxa"/>
              <w:right w:w="100" w:type="dxa"/>
            </w:tcMar>
          </w:tcPr>
          <w:p w14:paraId="72372908" w14:textId="77777777" w:rsidR="00C27D3D" w:rsidRDefault="00000000" w:rsidP="0026265B">
            <w:pPr>
              <w:spacing w:before="100" w:beforeAutospacing="1" w:after="100" w:afterAutospacing="1"/>
            </w:pPr>
            <w:r>
              <w:rPr>
                <w:sz w:val="20"/>
                <w:szCs w:val="20"/>
              </w:rPr>
              <w:t>Vuong et al. (2021)</w:t>
            </w:r>
          </w:p>
        </w:tc>
      </w:tr>
    </w:tbl>
    <w:p w14:paraId="083D3D79" w14:textId="77777777" w:rsidR="00C27D3D" w:rsidRDefault="00000000" w:rsidP="0026265B">
      <w:pPr>
        <w:spacing w:before="100" w:beforeAutospacing="1" w:after="100" w:afterAutospacing="1"/>
      </w:pPr>
      <w:r>
        <w:rPr>
          <w:i/>
          <w:iCs/>
          <w:sz w:val="18"/>
          <w:szCs w:val="18"/>
        </w:rPr>
        <w:t>Note. AUC = area under the curve. Table entries reflect the specific products and conditions tested in the cited studies and should not be generalised to other formulations without direct testing.</w:t>
      </w:r>
    </w:p>
    <w:p w14:paraId="306C100B" w14:textId="77777777" w:rsidR="00C27D3D" w:rsidRDefault="00000000" w:rsidP="0026265B">
      <w:pPr>
        <w:pStyle w:val="Heading1"/>
        <w:spacing w:before="100" w:beforeAutospacing="1" w:after="100" w:afterAutospacing="1"/>
      </w:pPr>
      <w:r>
        <w:t>6. Functional and Bioactive Properties Relevant to Human Health</w:t>
      </w:r>
    </w:p>
    <w:p w14:paraId="3CB03B9B" w14:textId="77777777" w:rsidR="00C27D3D" w:rsidRDefault="00000000" w:rsidP="0026265B">
      <w:pPr>
        <w:spacing w:before="100" w:beforeAutospacing="1" w:after="100" w:afterAutospacing="1"/>
        <w:jc w:val="both"/>
      </w:pPr>
      <w:r>
        <w:t xml:space="preserve">The physiological activity attributed to </w:t>
      </w:r>
      <w:r>
        <w:rPr>
          <w:i/>
          <w:iCs/>
        </w:rPr>
        <w:t>C. ternatea</w:t>
      </w:r>
      <w:r>
        <w:t xml:space="preserve"> flower extract spans antioxidant, antidiabetic, anti-inflammatory, hepatoprotective and several other domains, and the strength of evidence supporting these claims varies sharply according to the experimental model used, a distinction that this review treats as central rather than incidental. Antioxidant activity, assessed principally through radical-scavenging assays such as DPPH and through cell-based models using macrophage or other cultured cell lines, is the most consistently and repeatedly demonstrated property of the extract across the reviewed literature, with reported half-maximal inhibitory concentrations varying according to extraction method and the specific fraction assayed, for example in the sub-milligram-per-millilitre range for an anthocyanin-enriched fraction obtained by column chromatography (Jeyaraj et al., 2022) and in a broadly comparable range for solvent- and water-extracted whole flower material (Jeyaraj et al., 2021a). This consistency across studies using different extraction protocols and assay conditions provides reasonable confidence that antioxidant activity is a genuine and reproducible property of the extract, even though the precise potency reported cannot be compared directly across studies that differ in extraction method, solvent and units of expression.</w:t>
      </w:r>
    </w:p>
    <w:p w14:paraId="4FEB7955" w14:textId="77777777" w:rsidR="00C27D3D" w:rsidRDefault="00000000" w:rsidP="0026265B">
      <w:pPr>
        <w:spacing w:before="100" w:beforeAutospacing="1" w:after="100" w:afterAutospacing="1"/>
        <w:jc w:val="both"/>
      </w:pPr>
      <w:r>
        <w:t xml:space="preserve">Antidiabetic-relevant activity, operationalised principally as inhibition of the carbohydrate-digestive enzymes pancreatic α-amylase and intestinal α-glucosidase, is similarly well represented in the in vitro literature, with the aqueous flower extract shown to act as a competitive inhibitor of α-amylase in simulated starch digestion (Escher et al., 2020a), and with this enzyme-inhibitory activity subsequently shown to translate, at least partially, into reduced starch hydrolysis and lower predicted glycaemic index when the extract is incorporated into an actual bread formulation rather than tested in isolated enzyme solution (Chusak et al., 2018b). Encapsulation has been reported to enhance rather than diminish this activity after simulated gastrointestinal digestion, with the encapsulated extract retaining greater α-amylase inhibitory capacity and bile acid binding than the unencapsulated extract under the same digestive conditions (Pasukamonset et al., 2016). Importantly, this mechanistic and in vitro evidence has begun, though only begun, to be corroborated in human subjects: in a randomised crossover trial in healthy men, co-administration of the flower extract with a sucrose load suppressed the postprandial rise in plasma glucose and insulin at doses of one and two grams of extract, alongside improvements in plasma antioxidant capacity (Chusak et al., 2018a). A separate randomised trial in overweight and obese participants found that a two-gram dose of the extract, taken with a high-fat meal, attenuated postprandial lipaemia, evidenced by a reduced area under the triglyceride curve and lower circulating free fatty </w:t>
      </w:r>
      <w:r>
        <w:lastRenderedPageBreak/>
        <w:t>acids over several hours, and improved plasma antioxidant status, but the same trial found no significant effect on postprandial glycaemia or on circulating pro-inflammatory cytokines in this specific population (Thilavech et al., 2021). These two trials, taken together, indicate that acute metabolic effects of the extract are measurable in humans and are broadly consistent with the mechanistic and preclinical literature, but they also demonstrate that the effect is not uniform across outcomes or populations, and that the human evidence base remains limited to a small number of acute, single-dose or single-meal studies rather than the longer-term or repeated-dose trials that would be required to establish sustained metabolic benefit.</w:t>
      </w:r>
    </w:p>
    <w:p w14:paraId="179A8B6C" w14:textId="77777777" w:rsidR="00C27D3D" w:rsidRDefault="00000000" w:rsidP="0026265B">
      <w:pPr>
        <w:spacing w:before="100" w:beforeAutospacing="1" w:after="100" w:afterAutospacing="1"/>
        <w:jc w:val="both"/>
      </w:pPr>
      <w:r>
        <w:t>Anti-inflammatory activity has been investigated predominantly in cultured macrophage models exposed to lipopolysaccharide, where the extract's anthocyanin-rich and flavonol-rich fractions have been shown to act through distinguishable mechanisms, with the flavonol fraction inhibiting cyclo-oxygenase-2 activity and partially suppressing reactive oxygen species, and the anthocyanin fraction instead suppressing nuclear factor-κB translocation, inducible nitric oxide synthase expression and nitric oxide production through a mechanism reported to be largely independent of reactive-oxygen-species suppression (Nair et al., 2015). This mechanistic dissociation between the flavonol and anthocyanin fractions is a useful corrective to any assumption that the extract's biological activity can be attributed to a single active principle, since it indicates that different co-occurring phenolic classes within the same flower extract act through at least partially distinct pathways. Extension of this anti-inflammatory and antioxidant activity to whole-organism models has been reported in a diet-induced obesity mouse model, in which a blue petal extract administered alongside a high-fat, high-fructose diet was reported to protect against the development of obesity, oxidative stress and inflammation relative to untreated controls on the same diet (Wang et al., 2022), and hepatoprotective activity has been reported in a chemically induced liver damage model using a methanolic flower extract (Nithianantham et al., 2013). These animal-model findings extend the plausibility of the extract's anti-inflammatory and organ-protective potential beyond isolated cells, but, as with the antidiabetic literature, they have not yet been matched by human trials of comparable duration or by dietary-relevant, food-matrix-incorporated dosing regimens.</w:t>
      </w:r>
    </w:p>
    <w:p w14:paraId="1EE36409" w14:textId="77777777" w:rsidR="00C27D3D" w:rsidRDefault="00000000" w:rsidP="0026265B">
      <w:pPr>
        <w:spacing w:before="100" w:beforeAutospacing="1" w:after="100" w:afterAutospacing="1"/>
        <w:jc w:val="both"/>
      </w:pPr>
      <w:r>
        <w:t>A further consideration, addressed only partially in the literature reviewed, is the bioavailability of ternatins once ingested, since demonstrated activity in a cell-free or cell-based assay carries limited functional significance if the responsible compounds are not absorbed intact. Direct evidence on this point remains scarce, but a study using oral administration of butterfly pea petal extract to rats demonstrated that at least nine distinct ternatins, together with a related preternatin, were detectable in blood plasma within fifteen minutes of dosing, and that these compounds were absorbed in their original, polyacylated form rather than being hydrolysed to simpler anthocyanidins prior to absorption (Ichiyanagi et al., 2021). This finding is functionally important because it indicates that the structural feature responsible for the extract's colour stability, namely acylation, does not preclude gastrointestinal absorption, and it lends biological plausibility to the acute human effects observed by Chusak et al. (2018a) and Thilavech et al. (2021). It does not, however, establish the extent of absorption in humans, the pharmacokinetic profile of ternatins at doses achievable through normal food consumption, or whether repeated dietary exposure produces cumulative or only acute effects, and these remain substantive gaps rather than settled questions.</w:t>
      </w:r>
    </w:p>
    <w:p w14:paraId="148170C8" w14:textId="77777777" w:rsidR="00C27D3D" w:rsidRDefault="00000000" w:rsidP="0026265B">
      <w:pPr>
        <w:spacing w:before="100" w:beforeAutospacing="1" w:after="100" w:afterAutospacing="1"/>
        <w:jc w:val="both"/>
      </w:pPr>
      <w:r>
        <w:lastRenderedPageBreak/>
        <w:t xml:space="preserve">Considered as a whole, the functional and bioactive evidence for </w:t>
      </w:r>
      <w:r>
        <w:rPr>
          <w:i/>
          <w:iCs/>
        </w:rPr>
        <w:t>C. ternatea</w:t>
      </w:r>
      <w:r>
        <w:t xml:space="preserve"> flower extract is strongest and most consistent for antioxidant activity and for in vitro carbohydrate-digestive-enzyme inhibition, is corroborated by a small but methodologically credible body of acute human trials for postprandial glycaemic and lipaemic outcomes, and is considerably more provisional for anti-inflammatory, hepatoprotective and other effects, which rest at present almost entirely on cell-based and animal-model evidence. Table 4 organises this evidence explicitly by study type, to make the distinction between in vitro, animal and human findings visible at a glance. The consistent pattern across domains is one of preclinical evidence outpacing clinical substantiation, a pattern explicitly acknowledged in the most recent broad synthesis of the species' health-related literature (Maia et al., 2025a) and one that this review's own appraisal, focused specifically on food-relevant preparations and outcomes, confirms rather than qualifies.</w:t>
      </w:r>
    </w:p>
    <w:p w14:paraId="44D07562" w14:textId="77777777" w:rsidR="00C27D3D" w:rsidRDefault="00000000" w:rsidP="0026265B">
      <w:pPr>
        <w:spacing w:before="100" w:beforeAutospacing="1" w:after="100" w:afterAutospacing="1"/>
      </w:pPr>
      <w:r>
        <w:rPr>
          <w:b/>
          <w:bCs/>
          <w:sz w:val="22"/>
          <w:szCs w:val="22"/>
        </w:rPr>
        <w:t>Table 4. Evidence for functional and bioactive properties of Clitoria ternatea flower extract, organised by study type.</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2167"/>
        <w:gridCol w:w="3278"/>
        <w:gridCol w:w="2055"/>
      </w:tblGrid>
      <w:tr w:rsidR="00C27D3D" w14:paraId="25A44BF4" w14:textId="77777777">
        <w:trPr>
          <w:tblHeader/>
        </w:trPr>
        <w:tc>
          <w:tcPr>
            <w:tcW w:w="1900" w:type="dxa"/>
            <w:shd w:val="clear" w:color="auto" w:fill="D9E2F3"/>
            <w:tcMar>
              <w:top w:w="100" w:type="dxa"/>
              <w:left w:w="100" w:type="dxa"/>
              <w:bottom w:w="100" w:type="dxa"/>
              <w:right w:w="100" w:type="dxa"/>
            </w:tcMar>
          </w:tcPr>
          <w:p w14:paraId="0C340A72" w14:textId="77777777" w:rsidR="00C27D3D" w:rsidRDefault="00000000" w:rsidP="0026265B">
            <w:pPr>
              <w:spacing w:before="100" w:beforeAutospacing="1" w:after="100" w:afterAutospacing="1"/>
            </w:pPr>
            <w:r>
              <w:rPr>
                <w:b/>
                <w:bCs/>
                <w:sz w:val="20"/>
                <w:szCs w:val="20"/>
              </w:rPr>
              <w:t>Bioactivity domain</w:t>
            </w:r>
          </w:p>
        </w:tc>
        <w:tc>
          <w:tcPr>
            <w:tcW w:w="2200" w:type="dxa"/>
            <w:shd w:val="clear" w:color="auto" w:fill="D9E2F3"/>
            <w:tcMar>
              <w:top w:w="100" w:type="dxa"/>
              <w:left w:w="100" w:type="dxa"/>
              <w:bottom w:w="100" w:type="dxa"/>
              <w:right w:w="100" w:type="dxa"/>
            </w:tcMar>
          </w:tcPr>
          <w:p w14:paraId="438162B9" w14:textId="77777777" w:rsidR="00C27D3D" w:rsidRDefault="00000000" w:rsidP="0026265B">
            <w:pPr>
              <w:spacing w:before="100" w:beforeAutospacing="1" w:after="100" w:afterAutospacing="1"/>
            </w:pPr>
            <w:r>
              <w:rPr>
                <w:b/>
                <w:bCs/>
                <w:sz w:val="20"/>
                <w:szCs w:val="20"/>
              </w:rPr>
              <w:t>Model / study type</w:t>
            </w:r>
          </w:p>
        </w:tc>
        <w:tc>
          <w:tcPr>
            <w:tcW w:w="3400" w:type="dxa"/>
            <w:shd w:val="clear" w:color="auto" w:fill="D9E2F3"/>
            <w:tcMar>
              <w:top w:w="100" w:type="dxa"/>
              <w:left w:w="100" w:type="dxa"/>
              <w:bottom w:w="100" w:type="dxa"/>
              <w:right w:w="100" w:type="dxa"/>
            </w:tcMar>
          </w:tcPr>
          <w:p w14:paraId="55B52C98" w14:textId="77777777" w:rsidR="00C27D3D" w:rsidRDefault="00000000" w:rsidP="0026265B">
            <w:pPr>
              <w:spacing w:before="100" w:beforeAutospacing="1" w:after="100" w:afterAutospacing="1"/>
            </w:pPr>
            <w:r>
              <w:rPr>
                <w:b/>
                <w:bCs/>
                <w:sz w:val="20"/>
                <w:szCs w:val="20"/>
              </w:rPr>
              <w:t>Key finding</w:t>
            </w:r>
          </w:p>
        </w:tc>
        <w:tc>
          <w:tcPr>
            <w:tcW w:w="2100" w:type="dxa"/>
            <w:shd w:val="clear" w:color="auto" w:fill="D9E2F3"/>
            <w:tcMar>
              <w:top w:w="100" w:type="dxa"/>
              <w:left w:w="100" w:type="dxa"/>
              <w:bottom w:w="100" w:type="dxa"/>
              <w:right w:w="100" w:type="dxa"/>
            </w:tcMar>
          </w:tcPr>
          <w:p w14:paraId="227CB7CF" w14:textId="77777777" w:rsidR="00C27D3D" w:rsidRDefault="00000000" w:rsidP="0026265B">
            <w:pPr>
              <w:spacing w:before="100" w:beforeAutospacing="1" w:after="100" w:afterAutospacing="1"/>
            </w:pPr>
            <w:r>
              <w:rPr>
                <w:b/>
                <w:bCs/>
                <w:sz w:val="20"/>
                <w:szCs w:val="20"/>
              </w:rPr>
              <w:t>Supporting references</w:t>
            </w:r>
          </w:p>
        </w:tc>
      </w:tr>
      <w:tr w:rsidR="00C27D3D" w14:paraId="7A5585D9" w14:textId="77777777">
        <w:tc>
          <w:tcPr>
            <w:tcW w:w="1900" w:type="dxa"/>
            <w:tcMar>
              <w:top w:w="100" w:type="dxa"/>
              <w:left w:w="100" w:type="dxa"/>
              <w:bottom w:w="100" w:type="dxa"/>
              <w:right w:w="100" w:type="dxa"/>
            </w:tcMar>
          </w:tcPr>
          <w:p w14:paraId="2B029B9F" w14:textId="77777777" w:rsidR="00C27D3D" w:rsidRDefault="00000000" w:rsidP="0026265B">
            <w:pPr>
              <w:spacing w:before="100" w:beforeAutospacing="1" w:after="100" w:afterAutospacing="1"/>
            </w:pPr>
            <w:r>
              <w:rPr>
                <w:sz w:val="20"/>
                <w:szCs w:val="20"/>
              </w:rPr>
              <w:t>Antioxidant activity</w:t>
            </w:r>
          </w:p>
        </w:tc>
        <w:tc>
          <w:tcPr>
            <w:tcW w:w="2200" w:type="dxa"/>
            <w:tcMar>
              <w:top w:w="100" w:type="dxa"/>
              <w:left w:w="100" w:type="dxa"/>
              <w:bottom w:w="100" w:type="dxa"/>
              <w:right w:w="100" w:type="dxa"/>
            </w:tcMar>
          </w:tcPr>
          <w:p w14:paraId="1E18DD48" w14:textId="77777777" w:rsidR="00C27D3D" w:rsidRDefault="00000000" w:rsidP="0026265B">
            <w:pPr>
              <w:spacing w:before="100" w:beforeAutospacing="1" w:after="100" w:afterAutospacing="1"/>
            </w:pPr>
            <w:r>
              <w:rPr>
                <w:sz w:val="20"/>
                <w:szCs w:val="20"/>
              </w:rPr>
              <w:t>In vitro chemical assay (DPPH) and cell-based assay</w:t>
            </w:r>
          </w:p>
        </w:tc>
        <w:tc>
          <w:tcPr>
            <w:tcW w:w="3400" w:type="dxa"/>
            <w:tcMar>
              <w:top w:w="100" w:type="dxa"/>
              <w:left w:w="100" w:type="dxa"/>
              <w:bottom w:w="100" w:type="dxa"/>
              <w:right w:w="100" w:type="dxa"/>
            </w:tcMar>
          </w:tcPr>
          <w:p w14:paraId="3AEDE7AD" w14:textId="77777777" w:rsidR="00C27D3D" w:rsidRDefault="00000000" w:rsidP="0026265B">
            <w:pPr>
              <w:spacing w:before="100" w:beforeAutospacing="1" w:after="100" w:afterAutospacing="1"/>
            </w:pPr>
            <w:r>
              <w:rPr>
                <w:sz w:val="20"/>
                <w:szCs w:val="20"/>
              </w:rPr>
              <w:t>Consistently demonstrated across extraction methods and fractions; IC50 values in the sub-milligram-to-low-milligram-per-millilitre range depending on preparation</w:t>
            </w:r>
          </w:p>
        </w:tc>
        <w:tc>
          <w:tcPr>
            <w:tcW w:w="2100" w:type="dxa"/>
            <w:tcMar>
              <w:top w:w="100" w:type="dxa"/>
              <w:left w:w="100" w:type="dxa"/>
              <w:bottom w:w="100" w:type="dxa"/>
              <w:right w:w="100" w:type="dxa"/>
            </w:tcMar>
          </w:tcPr>
          <w:p w14:paraId="53DDAD7D" w14:textId="77777777" w:rsidR="00C27D3D" w:rsidRDefault="00000000" w:rsidP="0026265B">
            <w:pPr>
              <w:spacing w:before="100" w:beforeAutospacing="1" w:after="100" w:afterAutospacing="1"/>
            </w:pPr>
            <w:r>
              <w:rPr>
                <w:sz w:val="20"/>
                <w:szCs w:val="20"/>
              </w:rPr>
              <w:t>Jeyaraj et al. (2021a, 2022)</w:t>
            </w:r>
          </w:p>
        </w:tc>
      </w:tr>
      <w:tr w:rsidR="00C27D3D" w14:paraId="240AA9FD" w14:textId="77777777">
        <w:tc>
          <w:tcPr>
            <w:tcW w:w="1900" w:type="dxa"/>
            <w:tcMar>
              <w:top w:w="100" w:type="dxa"/>
              <w:left w:w="100" w:type="dxa"/>
              <w:bottom w:w="100" w:type="dxa"/>
              <w:right w:w="100" w:type="dxa"/>
            </w:tcMar>
          </w:tcPr>
          <w:p w14:paraId="3DFCD62F" w14:textId="77777777" w:rsidR="00C27D3D" w:rsidRDefault="00000000" w:rsidP="0026265B">
            <w:pPr>
              <w:spacing w:before="100" w:beforeAutospacing="1" w:after="100" w:afterAutospacing="1"/>
            </w:pPr>
            <w:r>
              <w:rPr>
                <w:sz w:val="20"/>
                <w:szCs w:val="20"/>
              </w:rPr>
              <w:t>Carbohydrate-digestive-enzyme inhibition</w:t>
            </w:r>
          </w:p>
        </w:tc>
        <w:tc>
          <w:tcPr>
            <w:tcW w:w="2200" w:type="dxa"/>
            <w:tcMar>
              <w:top w:w="100" w:type="dxa"/>
              <w:left w:w="100" w:type="dxa"/>
              <w:bottom w:w="100" w:type="dxa"/>
              <w:right w:w="100" w:type="dxa"/>
            </w:tcMar>
          </w:tcPr>
          <w:p w14:paraId="27B1A8C2" w14:textId="77777777" w:rsidR="00C27D3D" w:rsidRDefault="00000000" w:rsidP="0026265B">
            <w:pPr>
              <w:spacing w:before="100" w:beforeAutospacing="1" w:after="100" w:afterAutospacing="1"/>
            </w:pPr>
            <w:r>
              <w:rPr>
                <w:sz w:val="20"/>
                <w:szCs w:val="20"/>
              </w:rPr>
              <w:t>In vitro enzyme assay; incorporated bread product</w:t>
            </w:r>
          </w:p>
        </w:tc>
        <w:tc>
          <w:tcPr>
            <w:tcW w:w="3400" w:type="dxa"/>
            <w:tcMar>
              <w:top w:w="100" w:type="dxa"/>
              <w:left w:w="100" w:type="dxa"/>
              <w:bottom w:w="100" w:type="dxa"/>
              <w:right w:w="100" w:type="dxa"/>
            </w:tcMar>
          </w:tcPr>
          <w:p w14:paraId="65A3F297" w14:textId="77777777" w:rsidR="00C27D3D" w:rsidRDefault="00000000" w:rsidP="0026265B">
            <w:pPr>
              <w:spacing w:before="100" w:beforeAutospacing="1" w:after="100" w:afterAutospacing="1"/>
            </w:pPr>
            <w:r>
              <w:rPr>
                <w:sz w:val="20"/>
                <w:szCs w:val="20"/>
              </w:rPr>
              <w:t>Competitive inhibition of pancreatic α-amylase and α-glucosidase; effect partially retained in a starch-based finished product</w:t>
            </w:r>
          </w:p>
        </w:tc>
        <w:tc>
          <w:tcPr>
            <w:tcW w:w="2100" w:type="dxa"/>
            <w:tcMar>
              <w:top w:w="100" w:type="dxa"/>
              <w:left w:w="100" w:type="dxa"/>
              <w:bottom w:w="100" w:type="dxa"/>
              <w:right w:w="100" w:type="dxa"/>
            </w:tcMar>
          </w:tcPr>
          <w:p w14:paraId="5D9E7C12" w14:textId="77777777" w:rsidR="00C27D3D" w:rsidRDefault="00000000" w:rsidP="0026265B">
            <w:pPr>
              <w:spacing w:before="100" w:beforeAutospacing="1" w:after="100" w:afterAutospacing="1"/>
            </w:pPr>
            <w:r>
              <w:rPr>
                <w:sz w:val="20"/>
                <w:szCs w:val="20"/>
              </w:rPr>
              <w:t>Escher et al. (2020a); Chusak et al. (2018b)</w:t>
            </w:r>
          </w:p>
        </w:tc>
      </w:tr>
      <w:tr w:rsidR="00C27D3D" w14:paraId="2BDFADF8" w14:textId="77777777">
        <w:tc>
          <w:tcPr>
            <w:tcW w:w="1900" w:type="dxa"/>
            <w:tcMar>
              <w:top w:w="100" w:type="dxa"/>
              <w:left w:w="100" w:type="dxa"/>
              <w:bottom w:w="100" w:type="dxa"/>
              <w:right w:w="100" w:type="dxa"/>
            </w:tcMar>
          </w:tcPr>
          <w:p w14:paraId="48281485" w14:textId="77777777" w:rsidR="00C27D3D" w:rsidRDefault="00000000" w:rsidP="0026265B">
            <w:pPr>
              <w:spacing w:before="100" w:beforeAutospacing="1" w:after="100" w:afterAutospacing="1"/>
            </w:pPr>
            <w:r>
              <w:rPr>
                <w:sz w:val="20"/>
                <w:szCs w:val="20"/>
              </w:rPr>
              <w:t>Postprandial glycaemic/insulinaemic response</w:t>
            </w:r>
          </w:p>
        </w:tc>
        <w:tc>
          <w:tcPr>
            <w:tcW w:w="2200" w:type="dxa"/>
            <w:tcMar>
              <w:top w:w="100" w:type="dxa"/>
              <w:left w:w="100" w:type="dxa"/>
              <w:bottom w:w="100" w:type="dxa"/>
              <w:right w:w="100" w:type="dxa"/>
            </w:tcMar>
          </w:tcPr>
          <w:p w14:paraId="44A80257" w14:textId="77777777" w:rsidR="00C27D3D" w:rsidRDefault="00000000" w:rsidP="0026265B">
            <w:pPr>
              <w:spacing w:before="100" w:beforeAutospacing="1" w:after="100" w:afterAutospacing="1"/>
            </w:pPr>
            <w:r>
              <w:rPr>
                <w:sz w:val="20"/>
                <w:szCs w:val="20"/>
              </w:rPr>
              <w:t>Randomised crossover human trial (healthy men, n = 15)</w:t>
            </w:r>
          </w:p>
        </w:tc>
        <w:tc>
          <w:tcPr>
            <w:tcW w:w="3400" w:type="dxa"/>
            <w:tcMar>
              <w:top w:w="100" w:type="dxa"/>
              <w:left w:w="100" w:type="dxa"/>
              <w:bottom w:w="100" w:type="dxa"/>
              <w:right w:w="100" w:type="dxa"/>
            </w:tcMar>
          </w:tcPr>
          <w:p w14:paraId="7C6E9D24" w14:textId="77777777" w:rsidR="00C27D3D" w:rsidRDefault="00000000" w:rsidP="0026265B">
            <w:pPr>
              <w:spacing w:before="100" w:beforeAutospacing="1" w:after="100" w:afterAutospacing="1"/>
            </w:pPr>
            <w:r>
              <w:rPr>
                <w:sz w:val="20"/>
                <w:szCs w:val="20"/>
              </w:rPr>
              <w:t>1–2 g extract with sucrose suppressed the postprandial glucose and insulin rise; improved antioxidant capacity</w:t>
            </w:r>
          </w:p>
        </w:tc>
        <w:tc>
          <w:tcPr>
            <w:tcW w:w="2100" w:type="dxa"/>
            <w:tcMar>
              <w:top w:w="100" w:type="dxa"/>
              <w:left w:w="100" w:type="dxa"/>
              <w:bottom w:w="100" w:type="dxa"/>
              <w:right w:w="100" w:type="dxa"/>
            </w:tcMar>
          </w:tcPr>
          <w:p w14:paraId="3A8F709B" w14:textId="77777777" w:rsidR="00C27D3D" w:rsidRDefault="00000000" w:rsidP="0026265B">
            <w:pPr>
              <w:spacing w:before="100" w:beforeAutospacing="1" w:after="100" w:afterAutospacing="1"/>
            </w:pPr>
            <w:r>
              <w:rPr>
                <w:sz w:val="20"/>
                <w:szCs w:val="20"/>
              </w:rPr>
              <w:t>Chusak et al. (2018a)</w:t>
            </w:r>
          </w:p>
        </w:tc>
      </w:tr>
      <w:tr w:rsidR="00C27D3D" w14:paraId="112717E2" w14:textId="77777777">
        <w:tc>
          <w:tcPr>
            <w:tcW w:w="1900" w:type="dxa"/>
            <w:tcMar>
              <w:top w:w="100" w:type="dxa"/>
              <w:left w:w="100" w:type="dxa"/>
              <w:bottom w:w="100" w:type="dxa"/>
              <w:right w:w="100" w:type="dxa"/>
            </w:tcMar>
          </w:tcPr>
          <w:p w14:paraId="3F21DDC2" w14:textId="77777777" w:rsidR="00C27D3D" w:rsidRDefault="00000000" w:rsidP="0026265B">
            <w:pPr>
              <w:spacing w:before="100" w:beforeAutospacing="1" w:after="100" w:afterAutospacing="1"/>
            </w:pPr>
            <w:r>
              <w:rPr>
                <w:sz w:val="20"/>
                <w:szCs w:val="20"/>
              </w:rPr>
              <w:t>Postprandial lipaemia and antioxidant status</w:t>
            </w:r>
          </w:p>
        </w:tc>
        <w:tc>
          <w:tcPr>
            <w:tcW w:w="2200" w:type="dxa"/>
            <w:tcMar>
              <w:top w:w="100" w:type="dxa"/>
              <w:left w:w="100" w:type="dxa"/>
              <w:bottom w:w="100" w:type="dxa"/>
              <w:right w:w="100" w:type="dxa"/>
            </w:tcMar>
          </w:tcPr>
          <w:p w14:paraId="11452D14" w14:textId="77777777" w:rsidR="00C27D3D" w:rsidRDefault="00000000" w:rsidP="0026265B">
            <w:pPr>
              <w:spacing w:before="100" w:beforeAutospacing="1" w:after="100" w:afterAutospacing="1"/>
            </w:pPr>
            <w:r>
              <w:rPr>
                <w:sz w:val="20"/>
                <w:szCs w:val="20"/>
              </w:rPr>
              <w:t>Randomised human trial (overweight/obese participants)</w:t>
            </w:r>
          </w:p>
        </w:tc>
        <w:tc>
          <w:tcPr>
            <w:tcW w:w="3400" w:type="dxa"/>
            <w:tcMar>
              <w:top w:w="100" w:type="dxa"/>
              <w:left w:w="100" w:type="dxa"/>
              <w:bottom w:w="100" w:type="dxa"/>
              <w:right w:w="100" w:type="dxa"/>
            </w:tcMar>
          </w:tcPr>
          <w:p w14:paraId="25DF0453" w14:textId="77777777" w:rsidR="00C27D3D" w:rsidRDefault="00000000" w:rsidP="0026265B">
            <w:pPr>
              <w:spacing w:before="100" w:beforeAutospacing="1" w:after="100" w:afterAutospacing="1"/>
            </w:pPr>
            <w:r>
              <w:rPr>
                <w:sz w:val="20"/>
                <w:szCs w:val="20"/>
              </w:rPr>
              <w:t>2 g extract with a high-fat meal reduced the triglyceride AUC and free fatty acids and improved antioxidant status; no effect on glycaemia or pro-inflammatory cytokines in this population</w:t>
            </w:r>
          </w:p>
        </w:tc>
        <w:tc>
          <w:tcPr>
            <w:tcW w:w="2100" w:type="dxa"/>
            <w:tcMar>
              <w:top w:w="100" w:type="dxa"/>
              <w:left w:w="100" w:type="dxa"/>
              <w:bottom w:w="100" w:type="dxa"/>
              <w:right w:w="100" w:type="dxa"/>
            </w:tcMar>
          </w:tcPr>
          <w:p w14:paraId="77B5B67F" w14:textId="77777777" w:rsidR="00C27D3D" w:rsidRDefault="00000000" w:rsidP="0026265B">
            <w:pPr>
              <w:spacing w:before="100" w:beforeAutospacing="1" w:after="100" w:afterAutospacing="1"/>
            </w:pPr>
            <w:r>
              <w:rPr>
                <w:sz w:val="20"/>
                <w:szCs w:val="20"/>
              </w:rPr>
              <w:t>Thilavech et al. (2021)</w:t>
            </w:r>
          </w:p>
        </w:tc>
      </w:tr>
      <w:tr w:rsidR="00C27D3D" w14:paraId="1D0D9558" w14:textId="77777777">
        <w:tc>
          <w:tcPr>
            <w:tcW w:w="1900" w:type="dxa"/>
            <w:tcMar>
              <w:top w:w="100" w:type="dxa"/>
              <w:left w:w="100" w:type="dxa"/>
              <w:bottom w:w="100" w:type="dxa"/>
              <w:right w:w="100" w:type="dxa"/>
            </w:tcMar>
          </w:tcPr>
          <w:p w14:paraId="23CBE264" w14:textId="77777777" w:rsidR="00C27D3D" w:rsidRDefault="00000000" w:rsidP="0026265B">
            <w:pPr>
              <w:spacing w:before="100" w:beforeAutospacing="1" w:after="100" w:afterAutospacing="1"/>
            </w:pPr>
            <w:r>
              <w:rPr>
                <w:sz w:val="20"/>
                <w:szCs w:val="20"/>
              </w:rPr>
              <w:t>Anti-inflammatory activity</w:t>
            </w:r>
          </w:p>
        </w:tc>
        <w:tc>
          <w:tcPr>
            <w:tcW w:w="2200" w:type="dxa"/>
            <w:tcMar>
              <w:top w:w="100" w:type="dxa"/>
              <w:left w:w="100" w:type="dxa"/>
              <w:bottom w:w="100" w:type="dxa"/>
              <w:right w:w="100" w:type="dxa"/>
            </w:tcMar>
          </w:tcPr>
          <w:p w14:paraId="5FB8CD06" w14:textId="77777777" w:rsidR="00C27D3D" w:rsidRDefault="00000000" w:rsidP="0026265B">
            <w:pPr>
              <w:spacing w:before="100" w:beforeAutospacing="1" w:after="100" w:afterAutospacing="1"/>
            </w:pPr>
            <w:r>
              <w:rPr>
                <w:sz w:val="20"/>
                <w:szCs w:val="20"/>
              </w:rPr>
              <w:t>In vitro LPS-stimulated macrophage model</w:t>
            </w:r>
          </w:p>
        </w:tc>
        <w:tc>
          <w:tcPr>
            <w:tcW w:w="3400" w:type="dxa"/>
            <w:tcMar>
              <w:top w:w="100" w:type="dxa"/>
              <w:left w:w="100" w:type="dxa"/>
              <w:bottom w:w="100" w:type="dxa"/>
              <w:right w:w="100" w:type="dxa"/>
            </w:tcMar>
          </w:tcPr>
          <w:p w14:paraId="4F9E4FF2" w14:textId="77777777" w:rsidR="00C27D3D" w:rsidRDefault="00000000" w:rsidP="0026265B">
            <w:pPr>
              <w:spacing w:before="100" w:beforeAutospacing="1" w:after="100" w:afterAutospacing="1"/>
            </w:pPr>
            <w:r>
              <w:rPr>
                <w:sz w:val="20"/>
                <w:szCs w:val="20"/>
              </w:rPr>
              <w:t>Anthocyanin fraction suppressed NF-κB translocation, iNOS expression and NO production; flavonol fraction inhibited COX-2 via a distinct mechanism</w:t>
            </w:r>
          </w:p>
        </w:tc>
        <w:tc>
          <w:tcPr>
            <w:tcW w:w="2100" w:type="dxa"/>
            <w:tcMar>
              <w:top w:w="100" w:type="dxa"/>
              <w:left w:w="100" w:type="dxa"/>
              <w:bottom w:w="100" w:type="dxa"/>
              <w:right w:w="100" w:type="dxa"/>
            </w:tcMar>
          </w:tcPr>
          <w:p w14:paraId="076DDEEB" w14:textId="77777777" w:rsidR="00C27D3D" w:rsidRDefault="00000000" w:rsidP="0026265B">
            <w:pPr>
              <w:spacing w:before="100" w:beforeAutospacing="1" w:after="100" w:afterAutospacing="1"/>
            </w:pPr>
            <w:r>
              <w:rPr>
                <w:sz w:val="20"/>
                <w:szCs w:val="20"/>
              </w:rPr>
              <w:t>Nair et al. (2015)</w:t>
            </w:r>
          </w:p>
        </w:tc>
      </w:tr>
      <w:tr w:rsidR="00C27D3D" w14:paraId="3DC01849" w14:textId="77777777">
        <w:tc>
          <w:tcPr>
            <w:tcW w:w="1900" w:type="dxa"/>
            <w:tcMar>
              <w:top w:w="100" w:type="dxa"/>
              <w:left w:w="100" w:type="dxa"/>
              <w:bottom w:w="100" w:type="dxa"/>
              <w:right w:w="100" w:type="dxa"/>
            </w:tcMar>
          </w:tcPr>
          <w:p w14:paraId="2D271EBF" w14:textId="77777777" w:rsidR="00C27D3D" w:rsidRDefault="00000000" w:rsidP="0026265B">
            <w:pPr>
              <w:spacing w:before="100" w:beforeAutospacing="1" w:after="100" w:afterAutospacing="1"/>
            </w:pPr>
            <w:r>
              <w:rPr>
                <w:sz w:val="20"/>
                <w:szCs w:val="20"/>
              </w:rPr>
              <w:t>Anti-obesity / metabolic-inflammatory protection</w:t>
            </w:r>
          </w:p>
        </w:tc>
        <w:tc>
          <w:tcPr>
            <w:tcW w:w="2200" w:type="dxa"/>
            <w:tcMar>
              <w:top w:w="100" w:type="dxa"/>
              <w:left w:w="100" w:type="dxa"/>
              <w:bottom w:w="100" w:type="dxa"/>
              <w:right w:w="100" w:type="dxa"/>
            </w:tcMar>
          </w:tcPr>
          <w:p w14:paraId="50D34DB1" w14:textId="77777777" w:rsidR="00C27D3D" w:rsidRDefault="00000000" w:rsidP="0026265B">
            <w:pPr>
              <w:spacing w:before="100" w:beforeAutospacing="1" w:after="100" w:afterAutospacing="1"/>
            </w:pPr>
            <w:r>
              <w:rPr>
                <w:sz w:val="20"/>
                <w:szCs w:val="20"/>
              </w:rPr>
              <w:t>Diet-induced obesity mouse model</w:t>
            </w:r>
          </w:p>
        </w:tc>
        <w:tc>
          <w:tcPr>
            <w:tcW w:w="3400" w:type="dxa"/>
            <w:tcMar>
              <w:top w:w="100" w:type="dxa"/>
              <w:left w:w="100" w:type="dxa"/>
              <w:bottom w:w="100" w:type="dxa"/>
              <w:right w:w="100" w:type="dxa"/>
            </w:tcMar>
          </w:tcPr>
          <w:p w14:paraId="55586401" w14:textId="77777777" w:rsidR="00C27D3D" w:rsidRDefault="00000000" w:rsidP="0026265B">
            <w:pPr>
              <w:spacing w:before="100" w:beforeAutospacing="1" w:after="100" w:afterAutospacing="1"/>
            </w:pPr>
            <w:r>
              <w:rPr>
                <w:sz w:val="20"/>
                <w:szCs w:val="20"/>
              </w:rPr>
              <w:t>Blue petal extract protected against obesity, oxidative stress and inflammation on a high-fat, high-fructose diet</w:t>
            </w:r>
          </w:p>
        </w:tc>
        <w:tc>
          <w:tcPr>
            <w:tcW w:w="2100" w:type="dxa"/>
            <w:tcMar>
              <w:top w:w="100" w:type="dxa"/>
              <w:left w:w="100" w:type="dxa"/>
              <w:bottom w:w="100" w:type="dxa"/>
              <w:right w:w="100" w:type="dxa"/>
            </w:tcMar>
          </w:tcPr>
          <w:p w14:paraId="3B015900" w14:textId="77777777" w:rsidR="00C27D3D" w:rsidRDefault="00000000" w:rsidP="0026265B">
            <w:pPr>
              <w:spacing w:before="100" w:beforeAutospacing="1" w:after="100" w:afterAutospacing="1"/>
            </w:pPr>
            <w:r>
              <w:rPr>
                <w:sz w:val="20"/>
                <w:szCs w:val="20"/>
              </w:rPr>
              <w:t>Wang et al. (2022)</w:t>
            </w:r>
          </w:p>
        </w:tc>
      </w:tr>
      <w:tr w:rsidR="00C27D3D" w14:paraId="77928B5B" w14:textId="77777777">
        <w:tc>
          <w:tcPr>
            <w:tcW w:w="1900" w:type="dxa"/>
            <w:tcMar>
              <w:top w:w="100" w:type="dxa"/>
              <w:left w:w="100" w:type="dxa"/>
              <w:bottom w:w="100" w:type="dxa"/>
              <w:right w:w="100" w:type="dxa"/>
            </w:tcMar>
          </w:tcPr>
          <w:p w14:paraId="0D7086B5" w14:textId="77777777" w:rsidR="00C27D3D" w:rsidRDefault="00000000" w:rsidP="0026265B">
            <w:pPr>
              <w:spacing w:before="100" w:beforeAutospacing="1" w:after="100" w:afterAutospacing="1"/>
            </w:pPr>
            <w:r>
              <w:rPr>
                <w:sz w:val="20"/>
                <w:szCs w:val="20"/>
              </w:rPr>
              <w:lastRenderedPageBreak/>
              <w:t>Hepatoprotection</w:t>
            </w:r>
          </w:p>
        </w:tc>
        <w:tc>
          <w:tcPr>
            <w:tcW w:w="2200" w:type="dxa"/>
            <w:tcMar>
              <w:top w:w="100" w:type="dxa"/>
              <w:left w:w="100" w:type="dxa"/>
              <w:bottom w:w="100" w:type="dxa"/>
              <w:right w:w="100" w:type="dxa"/>
            </w:tcMar>
          </w:tcPr>
          <w:p w14:paraId="30EC8D98" w14:textId="77777777" w:rsidR="00C27D3D" w:rsidRDefault="00000000" w:rsidP="0026265B">
            <w:pPr>
              <w:spacing w:before="100" w:beforeAutospacing="1" w:after="100" w:afterAutospacing="1"/>
            </w:pPr>
            <w:r>
              <w:rPr>
                <w:sz w:val="20"/>
                <w:szCs w:val="20"/>
              </w:rPr>
              <w:t>Chemically induced liver-damage rodent model</w:t>
            </w:r>
          </w:p>
        </w:tc>
        <w:tc>
          <w:tcPr>
            <w:tcW w:w="3400" w:type="dxa"/>
            <w:tcMar>
              <w:top w:w="100" w:type="dxa"/>
              <w:left w:w="100" w:type="dxa"/>
              <w:bottom w:w="100" w:type="dxa"/>
              <w:right w:w="100" w:type="dxa"/>
            </w:tcMar>
          </w:tcPr>
          <w:p w14:paraId="7E00D0C3" w14:textId="77777777" w:rsidR="00C27D3D" w:rsidRDefault="00000000" w:rsidP="0026265B">
            <w:pPr>
              <w:spacing w:before="100" w:beforeAutospacing="1" w:after="100" w:afterAutospacing="1"/>
            </w:pPr>
            <w:r>
              <w:rPr>
                <w:sz w:val="20"/>
                <w:szCs w:val="20"/>
              </w:rPr>
              <w:t>Methanolic extract reduced markers of acetaminophen-induced hepatic damage</w:t>
            </w:r>
          </w:p>
        </w:tc>
        <w:tc>
          <w:tcPr>
            <w:tcW w:w="2100" w:type="dxa"/>
            <w:tcMar>
              <w:top w:w="100" w:type="dxa"/>
              <w:left w:w="100" w:type="dxa"/>
              <w:bottom w:w="100" w:type="dxa"/>
              <w:right w:w="100" w:type="dxa"/>
            </w:tcMar>
          </w:tcPr>
          <w:p w14:paraId="0055D329" w14:textId="77777777" w:rsidR="00C27D3D" w:rsidRDefault="00000000" w:rsidP="0026265B">
            <w:pPr>
              <w:spacing w:before="100" w:beforeAutospacing="1" w:after="100" w:afterAutospacing="1"/>
            </w:pPr>
            <w:r>
              <w:rPr>
                <w:sz w:val="20"/>
                <w:szCs w:val="20"/>
              </w:rPr>
              <w:t>Nithianantham et al. (2013)</w:t>
            </w:r>
          </w:p>
        </w:tc>
      </w:tr>
      <w:tr w:rsidR="00C27D3D" w14:paraId="103D9BEB" w14:textId="77777777">
        <w:tc>
          <w:tcPr>
            <w:tcW w:w="1900" w:type="dxa"/>
            <w:tcMar>
              <w:top w:w="100" w:type="dxa"/>
              <w:left w:w="100" w:type="dxa"/>
              <w:bottom w:w="100" w:type="dxa"/>
              <w:right w:w="100" w:type="dxa"/>
            </w:tcMar>
          </w:tcPr>
          <w:p w14:paraId="4BF91C7E" w14:textId="77777777" w:rsidR="00C27D3D" w:rsidRDefault="00000000" w:rsidP="0026265B">
            <w:pPr>
              <w:spacing w:before="100" w:beforeAutospacing="1" w:after="100" w:afterAutospacing="1"/>
            </w:pPr>
            <w:r>
              <w:rPr>
                <w:sz w:val="20"/>
                <w:szCs w:val="20"/>
              </w:rPr>
              <w:t>Gastrointestinal absorption / bioavailability</w:t>
            </w:r>
          </w:p>
        </w:tc>
        <w:tc>
          <w:tcPr>
            <w:tcW w:w="2200" w:type="dxa"/>
            <w:tcMar>
              <w:top w:w="100" w:type="dxa"/>
              <w:left w:w="100" w:type="dxa"/>
              <w:bottom w:w="100" w:type="dxa"/>
              <w:right w:w="100" w:type="dxa"/>
            </w:tcMar>
          </w:tcPr>
          <w:p w14:paraId="2EC6EE5B" w14:textId="77777777" w:rsidR="00C27D3D" w:rsidRDefault="00000000" w:rsidP="0026265B">
            <w:pPr>
              <w:spacing w:before="100" w:beforeAutospacing="1" w:after="100" w:afterAutospacing="1"/>
            </w:pPr>
            <w:r>
              <w:rPr>
                <w:sz w:val="20"/>
                <w:szCs w:val="20"/>
              </w:rPr>
              <w:t>Oral gavage, rat plasma sampling</w:t>
            </w:r>
          </w:p>
        </w:tc>
        <w:tc>
          <w:tcPr>
            <w:tcW w:w="3400" w:type="dxa"/>
            <w:tcMar>
              <w:top w:w="100" w:type="dxa"/>
              <w:left w:w="100" w:type="dxa"/>
              <w:bottom w:w="100" w:type="dxa"/>
              <w:right w:w="100" w:type="dxa"/>
            </w:tcMar>
          </w:tcPr>
          <w:p w14:paraId="20B2F812" w14:textId="77777777" w:rsidR="00C27D3D" w:rsidRDefault="00000000" w:rsidP="0026265B">
            <w:pPr>
              <w:spacing w:before="100" w:beforeAutospacing="1" w:after="100" w:afterAutospacing="1"/>
            </w:pPr>
            <w:r>
              <w:rPr>
                <w:sz w:val="20"/>
                <w:szCs w:val="20"/>
              </w:rPr>
              <w:t>Nine ternatins plus preternatin A3 detected intact (polyacylated) in plasma within 15 minutes of dosing</w:t>
            </w:r>
          </w:p>
        </w:tc>
        <w:tc>
          <w:tcPr>
            <w:tcW w:w="2100" w:type="dxa"/>
            <w:tcMar>
              <w:top w:w="100" w:type="dxa"/>
              <w:left w:w="100" w:type="dxa"/>
              <w:bottom w:w="100" w:type="dxa"/>
              <w:right w:w="100" w:type="dxa"/>
            </w:tcMar>
          </w:tcPr>
          <w:p w14:paraId="0CE38A4E" w14:textId="77777777" w:rsidR="00C27D3D" w:rsidRDefault="00000000" w:rsidP="0026265B">
            <w:pPr>
              <w:spacing w:before="100" w:beforeAutospacing="1" w:after="100" w:afterAutospacing="1"/>
            </w:pPr>
            <w:r>
              <w:rPr>
                <w:sz w:val="20"/>
                <w:szCs w:val="20"/>
              </w:rPr>
              <w:t>Ichiyanagi et al. (2021)</w:t>
            </w:r>
          </w:p>
        </w:tc>
      </w:tr>
      <w:tr w:rsidR="00C27D3D" w14:paraId="45CF8FD6" w14:textId="77777777">
        <w:tc>
          <w:tcPr>
            <w:tcW w:w="1900" w:type="dxa"/>
            <w:tcMar>
              <w:top w:w="100" w:type="dxa"/>
              <w:left w:w="100" w:type="dxa"/>
              <w:bottom w:w="100" w:type="dxa"/>
              <w:right w:w="100" w:type="dxa"/>
            </w:tcMar>
          </w:tcPr>
          <w:p w14:paraId="26934816" w14:textId="77777777" w:rsidR="00C27D3D" w:rsidRDefault="00000000" w:rsidP="0026265B">
            <w:pPr>
              <w:spacing w:before="100" w:beforeAutospacing="1" w:after="100" w:afterAutospacing="1"/>
            </w:pPr>
            <w:r>
              <w:rPr>
                <w:sz w:val="20"/>
                <w:szCs w:val="20"/>
              </w:rPr>
              <w:t>Antimicrobial / biopreservative potential</w:t>
            </w:r>
          </w:p>
        </w:tc>
        <w:tc>
          <w:tcPr>
            <w:tcW w:w="2200" w:type="dxa"/>
            <w:tcMar>
              <w:top w:w="100" w:type="dxa"/>
              <w:left w:w="100" w:type="dxa"/>
              <w:bottom w:w="100" w:type="dxa"/>
              <w:right w:w="100" w:type="dxa"/>
            </w:tcMar>
          </w:tcPr>
          <w:p w14:paraId="7B4132EE" w14:textId="77777777" w:rsidR="00C27D3D" w:rsidRDefault="00000000" w:rsidP="0026265B">
            <w:pPr>
              <w:spacing w:before="100" w:beforeAutospacing="1" w:after="100" w:afterAutospacing="1"/>
            </w:pPr>
            <w:r>
              <w:rPr>
                <w:sz w:val="20"/>
                <w:szCs w:val="20"/>
              </w:rPr>
              <w:t>In vitro antifungal assay</w:t>
            </w:r>
          </w:p>
        </w:tc>
        <w:tc>
          <w:tcPr>
            <w:tcW w:w="3400" w:type="dxa"/>
            <w:tcMar>
              <w:top w:w="100" w:type="dxa"/>
              <w:left w:w="100" w:type="dxa"/>
              <w:bottom w:w="100" w:type="dxa"/>
              <w:right w:w="100" w:type="dxa"/>
            </w:tcMar>
          </w:tcPr>
          <w:p w14:paraId="0F4BC47B" w14:textId="77777777" w:rsidR="00C27D3D" w:rsidRDefault="00000000" w:rsidP="0026265B">
            <w:pPr>
              <w:spacing w:before="100" w:beforeAutospacing="1" w:after="100" w:afterAutospacing="1"/>
            </w:pPr>
            <w:r>
              <w:rPr>
                <w:sz w:val="20"/>
                <w:szCs w:val="20"/>
              </w:rPr>
              <w:t>Anthocyanin fraction inhibited a food-spoilage mould (Penicillium expansum)</w:t>
            </w:r>
          </w:p>
        </w:tc>
        <w:tc>
          <w:tcPr>
            <w:tcW w:w="2100" w:type="dxa"/>
            <w:tcMar>
              <w:top w:w="100" w:type="dxa"/>
              <w:left w:w="100" w:type="dxa"/>
              <w:bottom w:w="100" w:type="dxa"/>
              <w:right w:w="100" w:type="dxa"/>
            </w:tcMar>
          </w:tcPr>
          <w:p w14:paraId="68BD6B70" w14:textId="77777777" w:rsidR="00C27D3D" w:rsidRDefault="00000000" w:rsidP="0026265B">
            <w:pPr>
              <w:spacing w:before="100" w:beforeAutospacing="1" w:after="100" w:afterAutospacing="1"/>
            </w:pPr>
            <w:r>
              <w:rPr>
                <w:sz w:val="20"/>
                <w:szCs w:val="20"/>
              </w:rPr>
              <w:t>Leong et al. (2017)</w:t>
            </w:r>
          </w:p>
        </w:tc>
      </w:tr>
      <w:tr w:rsidR="00C27D3D" w14:paraId="36A3EE1E" w14:textId="77777777">
        <w:tc>
          <w:tcPr>
            <w:tcW w:w="1900" w:type="dxa"/>
            <w:tcMar>
              <w:top w:w="100" w:type="dxa"/>
              <w:left w:w="100" w:type="dxa"/>
              <w:bottom w:w="100" w:type="dxa"/>
              <w:right w:w="100" w:type="dxa"/>
            </w:tcMar>
          </w:tcPr>
          <w:p w14:paraId="46CDF103" w14:textId="77777777" w:rsidR="00C27D3D" w:rsidRDefault="00000000" w:rsidP="0026265B">
            <w:pPr>
              <w:spacing w:before="100" w:beforeAutospacing="1" w:after="100" w:afterAutospacing="1"/>
            </w:pPr>
            <w:r>
              <w:rPr>
                <w:sz w:val="20"/>
                <w:szCs w:val="20"/>
              </w:rPr>
              <w:t>Acute oral toxicity</w:t>
            </w:r>
          </w:p>
        </w:tc>
        <w:tc>
          <w:tcPr>
            <w:tcW w:w="2200" w:type="dxa"/>
            <w:tcMar>
              <w:top w:w="100" w:type="dxa"/>
              <w:left w:w="100" w:type="dxa"/>
              <w:bottom w:w="100" w:type="dxa"/>
              <w:right w:w="100" w:type="dxa"/>
            </w:tcMar>
          </w:tcPr>
          <w:p w14:paraId="65A3EBFC" w14:textId="77777777" w:rsidR="00C27D3D" w:rsidRDefault="00000000" w:rsidP="0026265B">
            <w:pPr>
              <w:spacing w:before="100" w:beforeAutospacing="1" w:after="100" w:afterAutospacing="1"/>
            </w:pPr>
            <w:r>
              <w:rPr>
                <w:sz w:val="20"/>
                <w:szCs w:val="20"/>
              </w:rPr>
              <w:t>Rodent model</w:t>
            </w:r>
          </w:p>
        </w:tc>
        <w:tc>
          <w:tcPr>
            <w:tcW w:w="3400" w:type="dxa"/>
            <w:tcMar>
              <w:top w:w="100" w:type="dxa"/>
              <w:left w:w="100" w:type="dxa"/>
              <w:bottom w:w="100" w:type="dxa"/>
              <w:right w:w="100" w:type="dxa"/>
            </w:tcMar>
          </w:tcPr>
          <w:p w14:paraId="5CA111F7" w14:textId="77777777" w:rsidR="00C27D3D" w:rsidRDefault="00000000" w:rsidP="0026265B">
            <w:pPr>
              <w:spacing w:before="100" w:beforeAutospacing="1" w:after="100" w:afterAutospacing="1"/>
            </w:pPr>
            <w:r>
              <w:rPr>
                <w:sz w:val="20"/>
                <w:szCs w:val="20"/>
              </w:rPr>
              <w:t>No mortality or haematological abnormality at doses up to 2 g/kg body weight (ethanolic flower extract)</w:t>
            </w:r>
          </w:p>
        </w:tc>
        <w:tc>
          <w:tcPr>
            <w:tcW w:w="2100" w:type="dxa"/>
            <w:tcMar>
              <w:top w:w="100" w:type="dxa"/>
              <w:left w:w="100" w:type="dxa"/>
              <w:bottom w:w="100" w:type="dxa"/>
              <w:right w:w="100" w:type="dxa"/>
            </w:tcMar>
          </w:tcPr>
          <w:p w14:paraId="2A3B0E64" w14:textId="77777777" w:rsidR="00C27D3D" w:rsidRDefault="00000000" w:rsidP="0026265B">
            <w:pPr>
              <w:spacing w:before="100" w:beforeAutospacing="1" w:after="100" w:afterAutospacing="1"/>
            </w:pPr>
            <w:r>
              <w:rPr>
                <w:sz w:val="20"/>
                <w:szCs w:val="20"/>
              </w:rPr>
              <w:t>Jeyaraj et al. (2022)</w:t>
            </w:r>
          </w:p>
        </w:tc>
      </w:tr>
    </w:tbl>
    <w:p w14:paraId="49F2BBEE" w14:textId="77777777" w:rsidR="00C27D3D" w:rsidRPr="009F22B4" w:rsidRDefault="00000000" w:rsidP="0026265B">
      <w:pPr>
        <w:spacing w:before="100" w:beforeAutospacing="1" w:after="100" w:afterAutospacing="1"/>
        <w:rPr>
          <w:color w:val="EE0000"/>
        </w:rPr>
      </w:pPr>
      <w:commentRangeStart w:id="0"/>
      <w:r w:rsidRPr="009F22B4">
        <w:rPr>
          <w:i/>
          <w:iCs/>
          <w:color w:val="EE0000"/>
          <w:sz w:val="18"/>
          <w:szCs w:val="18"/>
        </w:rPr>
        <w:t>Note. LPS = lipopolysaccharide; NF-κB = nuclear factor kappa-light-chain-enhancer of activated B cells; iNOS = inducible nitric oxide synthase; NO = nitric oxide; IC50 = half-maximal inhibitory concentration; AUC = area under the curve. Rows are ordered from the most to the least directly translatable evidence (in vitro to human).</w:t>
      </w:r>
      <w:commentRangeEnd w:id="0"/>
      <w:r w:rsidR="009F22B4" w:rsidRPr="009F22B4">
        <w:rPr>
          <w:rStyle w:val="CommentReference"/>
          <w:color w:val="EE0000"/>
          <w:sz w:val="24"/>
          <w:szCs w:val="24"/>
        </w:rPr>
        <w:commentReference w:id="0"/>
      </w:r>
    </w:p>
    <w:p w14:paraId="00207ACC" w14:textId="77777777" w:rsidR="00C27D3D" w:rsidRDefault="00000000" w:rsidP="0026265B">
      <w:pPr>
        <w:pStyle w:val="Heading1"/>
        <w:spacing w:before="100" w:beforeAutospacing="1" w:after="100" w:afterAutospacing="1"/>
      </w:pPr>
      <w:r>
        <w:t>7. Safety, Regulatory Status and Translational Considerations</w:t>
      </w:r>
    </w:p>
    <w:p w14:paraId="791395B5" w14:textId="77777777" w:rsidR="00C27D3D" w:rsidRDefault="00000000" w:rsidP="0026265B">
      <w:pPr>
        <w:spacing w:before="100" w:beforeAutospacing="1" w:after="100" w:afterAutospacing="1"/>
        <w:jc w:val="both"/>
      </w:pPr>
      <w:r>
        <w:t xml:space="preserve">Safety evidence for </w:t>
      </w:r>
      <w:r>
        <w:rPr>
          <w:i/>
          <w:iCs/>
        </w:rPr>
        <w:t>C. ternatea</w:t>
      </w:r>
      <w:r>
        <w:t xml:space="preserve"> flower material is reassuring within the bounds of what has actually been tested, but those bounds are narrower than the extract's expanding commercial use might suggest. Acute oral toxicity testing of an ethanolic flower extract in rats found no mortality, no overt signs of toxicity and no significant haematological abnormality at doses up to two grams per kilogram of body weight over a fourteen-day observation period, a finding reported alongside cytotoxicity toward a human cell line only at concentrations well above those relevant to dietary exposure (Jeyaraj et al., 2022). This pattern, of an apparently favourable margin between doses producing measurable cellular effects in vitro and doses producing overt toxicity in vivo, is broadly consistent with the extract's long history of dietary use as a herbal infusion and food colourant in South and Southeast Asia without documented adverse events at customary levels of consumption, a history explicitly acknowledged even by the regulatory evaluation that raised broader safety questions about the plant (European Food Safety Authority, 2022). It is important, however, to distinguish safety data generated on flower-derived material from data generated on other plant parts: acute toxicity studies of </w:t>
      </w:r>
      <w:r>
        <w:rPr>
          <w:i/>
          <w:iCs/>
        </w:rPr>
        <w:t>C. ternatea</w:t>
      </w:r>
      <w:r>
        <w:t xml:space="preserve"> root and leaf extracts have reported considerably higher median lethal doses in rodent models, but at least one such study also reported histopathological evidence of hepatic and renal changes at high doses, and these findings, concerning non-flower plant parts not used in food colourant applications, should not be conflated with the safety profile of the flower-derived extract that is the subject of this review.</w:t>
      </w:r>
    </w:p>
    <w:p w14:paraId="7F634A65" w14:textId="77777777" w:rsidR="00C27D3D" w:rsidRDefault="00000000" w:rsidP="0026265B">
      <w:pPr>
        <w:spacing w:before="100" w:beforeAutospacing="1" w:after="100" w:afterAutospacing="1"/>
        <w:jc w:val="both"/>
      </w:pPr>
      <w:r>
        <w:t xml:space="preserve">The clearest illustration of unresolved evidence gaps is regulatory rather than toxicological in the narrow sense. In September 2021, the United States Food and Drug Administration approved an aqueous butterfly pea flower extract as a colour additive exempt from certification, permitting its use across a substantial range of beverage, dairy, confectionery and frozen dessert categories on the basis of a petition-supported safety evaluation, and in May 2025 the same agency extended the </w:t>
      </w:r>
      <w:r>
        <w:lastRenderedPageBreak/>
        <w:t xml:space="preserve">approved uses to include additional categories of ready-to-eat cereals, crackers, snack mixes and several types of chips, following the petitioner's review of newly published literature and a determination that this literature did not alter the substance of the earlier safety conclusions (U.S. Food and Drug Administration, 2021, 2025). Over a similar period, the European Food Safety Authority, evaluating a notification to market dried </w:t>
      </w:r>
      <w:r>
        <w:rPr>
          <w:i/>
          <w:iCs/>
        </w:rPr>
        <w:t>C. ternatea</w:t>
      </w:r>
      <w:r>
        <w:t xml:space="preserve"> flowers as a traditional food from a third country rather than evaluating the manufactured colour-additive extract specifically, concluded that available data on cyclotides present in the plant, small and unusually stable cyclic peptides with reported in vitro haemolytic and cytotoxic effects for some members of this compound class, were insufficient to exclude a safety concern, and it raised safety objections to marketing the dried flower under that specific regulatory route, while simultaneously noting that no adverse health effects had been reported from the plant's traditional use as a food colourant in Asian countries and that traditional use specifically as an herbal infusion could not be independently verified (European Food Safety Authority, 2022). These two determinations are not directly comparable, since they concern different plant preparations, different regulatory questions and different evidentiary submissions, and this review does not treat them as a simple contradiction to be resolved in favour of one authority. Their coexistence does, however, demonstrate that the cyclotide component of </w:t>
      </w:r>
      <w:r>
        <w:rPr>
          <w:i/>
          <w:iCs/>
        </w:rPr>
        <w:t>C. ternatea</w:t>
      </w:r>
      <w:r>
        <w:t>, present in the whole flower but substantially reduced or removed during the ultrafiltration step used in at least one approved commercial extraction process (U.S. Food and Drug Administration, 2021), has not been characterised toxicologically to a standard that satisfies every regulator evaluating every form of the plant, and this remains an open evidentiary question rather than a resolved one.</w:t>
      </w:r>
    </w:p>
    <w:p w14:paraId="1F2A06D8" w14:textId="77777777" w:rsidR="00C27D3D" w:rsidRDefault="00000000" w:rsidP="0026265B">
      <w:pPr>
        <w:spacing w:before="100" w:beforeAutospacing="1" w:after="100" w:afterAutospacing="1"/>
        <w:jc w:val="both"/>
      </w:pPr>
      <w:r>
        <w:t>Beyond cyclotides, the translational gap identified throughout this review, between demonstrated in vitro and animal-model activity and the still-limited human evidence base, has direct safety and regulatory implications, since the same limited clinical evidence base that constrains confident efficacy claims also constrains confident long-term safety claims at the doses and frequencies of consumption that an approved, widely available colour additive is likely to reach. The absence of standardised extract characterisation compounds this issue: because total anthocyanin content, total phenolic content and the relative proportions of ternatins to flavonol glycosides vary severalfold across the extraction methods surveyed in Sections 3 and 4, a safety or efficacy finding obtained with one extract preparation cannot be assumed to generalise to a differently prepared commercial extract without direct comparative testing, a form of testing that is essentially absent from the literature reviewed here. Table 5 consolidates the principal research gaps identified across this review into a set of proposed priorities, developed further in the section that follows.</w:t>
      </w:r>
    </w:p>
    <w:p w14:paraId="2A555394" w14:textId="77777777" w:rsidR="00C27D3D" w:rsidRDefault="00000000" w:rsidP="0026265B">
      <w:pPr>
        <w:spacing w:before="100" w:beforeAutospacing="1" w:after="100" w:afterAutospacing="1"/>
      </w:pPr>
      <w:r>
        <w:rPr>
          <w:b/>
          <w:bCs/>
          <w:sz w:val="22"/>
          <w:szCs w:val="22"/>
        </w:rPr>
        <w:t>Table 5. Principal research gaps and proposed priorities for Clitoria ternatea as a food colourant and functional ingredient.</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44"/>
        <w:gridCol w:w="2891"/>
        <w:gridCol w:w="2400"/>
        <w:gridCol w:w="1565"/>
      </w:tblGrid>
      <w:tr w:rsidR="00C27D3D" w14:paraId="2A625988" w14:textId="77777777">
        <w:trPr>
          <w:tblHeader/>
        </w:trPr>
        <w:tc>
          <w:tcPr>
            <w:tcW w:w="2300" w:type="dxa"/>
            <w:shd w:val="clear" w:color="auto" w:fill="D9E2F3"/>
            <w:tcMar>
              <w:top w:w="100" w:type="dxa"/>
              <w:left w:w="100" w:type="dxa"/>
              <w:bottom w:w="100" w:type="dxa"/>
              <w:right w:w="100" w:type="dxa"/>
            </w:tcMar>
          </w:tcPr>
          <w:p w14:paraId="267416B4" w14:textId="77777777" w:rsidR="00C27D3D" w:rsidRDefault="00000000" w:rsidP="0026265B">
            <w:pPr>
              <w:spacing w:before="100" w:beforeAutospacing="1" w:after="100" w:afterAutospacing="1"/>
            </w:pPr>
            <w:r>
              <w:rPr>
                <w:b/>
                <w:bCs/>
                <w:sz w:val="20"/>
                <w:szCs w:val="20"/>
              </w:rPr>
              <w:t>Research gap</w:t>
            </w:r>
          </w:p>
        </w:tc>
        <w:tc>
          <w:tcPr>
            <w:tcW w:w="3100" w:type="dxa"/>
            <w:shd w:val="clear" w:color="auto" w:fill="D9E2F3"/>
            <w:tcMar>
              <w:top w:w="100" w:type="dxa"/>
              <w:left w:w="100" w:type="dxa"/>
              <w:bottom w:w="100" w:type="dxa"/>
              <w:right w:w="100" w:type="dxa"/>
            </w:tcMar>
          </w:tcPr>
          <w:p w14:paraId="4E97CB3C" w14:textId="77777777" w:rsidR="00C27D3D" w:rsidRDefault="00000000" w:rsidP="0026265B">
            <w:pPr>
              <w:spacing w:before="100" w:beforeAutospacing="1" w:after="100" w:afterAutospacing="1"/>
            </w:pPr>
            <w:r>
              <w:rPr>
                <w:b/>
                <w:bCs/>
                <w:sz w:val="20"/>
                <w:szCs w:val="20"/>
              </w:rPr>
              <w:t>Why current evidence is inadequate</w:t>
            </w:r>
          </w:p>
        </w:tc>
        <w:tc>
          <w:tcPr>
            <w:tcW w:w="2600" w:type="dxa"/>
            <w:shd w:val="clear" w:color="auto" w:fill="D9E2F3"/>
            <w:tcMar>
              <w:top w:w="100" w:type="dxa"/>
              <w:left w:w="100" w:type="dxa"/>
              <w:bottom w:w="100" w:type="dxa"/>
              <w:right w:w="100" w:type="dxa"/>
            </w:tcMar>
          </w:tcPr>
          <w:p w14:paraId="305CA074" w14:textId="77777777" w:rsidR="00C27D3D" w:rsidRDefault="00000000" w:rsidP="0026265B">
            <w:pPr>
              <w:spacing w:before="100" w:beforeAutospacing="1" w:after="100" w:afterAutospacing="1"/>
            </w:pPr>
            <w:r>
              <w:rPr>
                <w:b/>
                <w:bCs/>
                <w:sz w:val="20"/>
                <w:szCs w:val="20"/>
              </w:rPr>
              <w:t>Proposed approach</w:t>
            </w:r>
          </w:p>
        </w:tc>
        <w:tc>
          <w:tcPr>
            <w:tcW w:w="1600" w:type="dxa"/>
            <w:shd w:val="clear" w:color="auto" w:fill="D9E2F3"/>
            <w:tcMar>
              <w:top w:w="100" w:type="dxa"/>
              <w:left w:w="100" w:type="dxa"/>
              <w:bottom w:w="100" w:type="dxa"/>
              <w:right w:w="100" w:type="dxa"/>
            </w:tcMar>
          </w:tcPr>
          <w:p w14:paraId="6C844BF1" w14:textId="77777777" w:rsidR="00C27D3D" w:rsidRDefault="00000000" w:rsidP="0026265B">
            <w:pPr>
              <w:spacing w:before="100" w:beforeAutospacing="1" w:after="100" w:afterAutospacing="1"/>
            </w:pPr>
            <w:r>
              <w:rPr>
                <w:b/>
                <w:bCs/>
                <w:sz w:val="20"/>
                <w:szCs w:val="20"/>
              </w:rPr>
              <w:t>Supporting references</w:t>
            </w:r>
          </w:p>
        </w:tc>
      </w:tr>
      <w:tr w:rsidR="00C27D3D" w14:paraId="398A52B4" w14:textId="77777777">
        <w:tc>
          <w:tcPr>
            <w:tcW w:w="2300" w:type="dxa"/>
            <w:tcMar>
              <w:top w:w="100" w:type="dxa"/>
              <w:left w:w="100" w:type="dxa"/>
              <w:bottom w:w="100" w:type="dxa"/>
              <w:right w:w="100" w:type="dxa"/>
            </w:tcMar>
          </w:tcPr>
          <w:p w14:paraId="1A118F59" w14:textId="77777777" w:rsidR="00C27D3D" w:rsidRDefault="00000000" w:rsidP="0026265B">
            <w:pPr>
              <w:spacing w:before="100" w:beforeAutospacing="1" w:after="100" w:afterAutospacing="1"/>
            </w:pPr>
            <w:r>
              <w:rPr>
                <w:sz w:val="20"/>
                <w:szCs w:val="20"/>
              </w:rPr>
              <w:t>Lack of standardised extract characterisation</w:t>
            </w:r>
          </w:p>
        </w:tc>
        <w:tc>
          <w:tcPr>
            <w:tcW w:w="3100" w:type="dxa"/>
            <w:tcMar>
              <w:top w:w="100" w:type="dxa"/>
              <w:left w:w="100" w:type="dxa"/>
              <w:bottom w:w="100" w:type="dxa"/>
              <w:right w:w="100" w:type="dxa"/>
            </w:tcMar>
          </w:tcPr>
          <w:p w14:paraId="2EB5141D" w14:textId="77777777" w:rsidR="00C27D3D" w:rsidRDefault="00000000" w:rsidP="0026265B">
            <w:pPr>
              <w:spacing w:before="100" w:beforeAutospacing="1" w:after="100" w:afterAutospacing="1"/>
            </w:pPr>
            <w:r>
              <w:rPr>
                <w:sz w:val="20"/>
                <w:szCs w:val="20"/>
              </w:rPr>
              <w:t>Total anthocyanin/phenolic content and ternatin-to-flavonol ratio vary severalfold across extraction protocols, precluding cross-study comparison</w:t>
            </w:r>
          </w:p>
        </w:tc>
        <w:tc>
          <w:tcPr>
            <w:tcW w:w="2600" w:type="dxa"/>
            <w:tcMar>
              <w:top w:w="100" w:type="dxa"/>
              <w:left w:w="100" w:type="dxa"/>
              <w:bottom w:w="100" w:type="dxa"/>
              <w:right w:w="100" w:type="dxa"/>
            </w:tcMar>
          </w:tcPr>
          <w:p w14:paraId="73D15AA6" w14:textId="77777777" w:rsidR="00C27D3D" w:rsidRDefault="00000000" w:rsidP="0026265B">
            <w:pPr>
              <w:spacing w:before="100" w:beforeAutospacing="1" w:after="100" w:afterAutospacing="1"/>
            </w:pPr>
            <w:r>
              <w:rPr>
                <w:sz w:val="20"/>
                <w:szCs w:val="20"/>
              </w:rPr>
              <w:t>Adoption of a small number of reference extraction protocols with standardised compositional reporting</w:t>
            </w:r>
          </w:p>
        </w:tc>
        <w:tc>
          <w:tcPr>
            <w:tcW w:w="1600" w:type="dxa"/>
            <w:tcMar>
              <w:top w:w="100" w:type="dxa"/>
              <w:left w:w="100" w:type="dxa"/>
              <w:bottom w:w="100" w:type="dxa"/>
              <w:right w:w="100" w:type="dxa"/>
            </w:tcMar>
          </w:tcPr>
          <w:p w14:paraId="418F8266" w14:textId="77777777" w:rsidR="00C27D3D" w:rsidRDefault="00000000" w:rsidP="0026265B">
            <w:pPr>
              <w:spacing w:before="100" w:beforeAutospacing="1" w:after="100" w:afterAutospacing="1"/>
            </w:pPr>
            <w:r>
              <w:rPr>
                <w:sz w:val="20"/>
                <w:szCs w:val="20"/>
              </w:rPr>
              <w:t>Jeyaraj et al. (2021a); Santos &amp; Martins (2023); Maia et al. (2025b)</w:t>
            </w:r>
          </w:p>
        </w:tc>
      </w:tr>
      <w:tr w:rsidR="00C27D3D" w14:paraId="10FE95BC" w14:textId="77777777">
        <w:tc>
          <w:tcPr>
            <w:tcW w:w="2300" w:type="dxa"/>
            <w:tcMar>
              <w:top w:w="100" w:type="dxa"/>
              <w:left w:w="100" w:type="dxa"/>
              <w:bottom w:w="100" w:type="dxa"/>
              <w:right w:w="100" w:type="dxa"/>
            </w:tcMar>
          </w:tcPr>
          <w:p w14:paraId="0A93A075" w14:textId="77777777" w:rsidR="00C27D3D" w:rsidRDefault="00000000" w:rsidP="0026265B">
            <w:pPr>
              <w:spacing w:before="100" w:beforeAutospacing="1" w:after="100" w:afterAutospacing="1"/>
            </w:pPr>
            <w:r>
              <w:rPr>
                <w:sz w:val="20"/>
                <w:szCs w:val="20"/>
              </w:rPr>
              <w:lastRenderedPageBreak/>
              <w:t>Model-extract stability vs. real food-matrix stability</w:t>
            </w:r>
          </w:p>
        </w:tc>
        <w:tc>
          <w:tcPr>
            <w:tcW w:w="3100" w:type="dxa"/>
            <w:tcMar>
              <w:top w:w="100" w:type="dxa"/>
              <w:left w:w="100" w:type="dxa"/>
              <w:bottom w:w="100" w:type="dxa"/>
              <w:right w:w="100" w:type="dxa"/>
            </w:tcMar>
          </w:tcPr>
          <w:p w14:paraId="5C7F4C8B" w14:textId="77777777" w:rsidR="00C27D3D" w:rsidRDefault="00000000" w:rsidP="0026265B">
            <w:pPr>
              <w:spacing w:before="100" w:beforeAutospacing="1" w:after="100" w:afterAutospacing="1"/>
            </w:pPr>
            <w:r>
              <w:rPr>
                <w:sz w:val="20"/>
                <w:szCs w:val="20"/>
              </w:rPr>
              <w:t>Most stability data derive from simple solutions or powders over days to weeks, not finished products over a commercial shelf life</w:t>
            </w:r>
          </w:p>
        </w:tc>
        <w:tc>
          <w:tcPr>
            <w:tcW w:w="2600" w:type="dxa"/>
            <w:tcMar>
              <w:top w:w="100" w:type="dxa"/>
              <w:left w:w="100" w:type="dxa"/>
              <w:bottom w:w="100" w:type="dxa"/>
              <w:right w:w="100" w:type="dxa"/>
            </w:tcMar>
          </w:tcPr>
          <w:p w14:paraId="1AA85880" w14:textId="77777777" w:rsidR="00C27D3D" w:rsidRDefault="00000000" w:rsidP="0026265B">
            <w:pPr>
              <w:spacing w:before="100" w:beforeAutospacing="1" w:after="100" w:afterAutospacing="1"/>
            </w:pPr>
            <w:r>
              <w:rPr>
                <w:sz w:val="20"/>
                <w:szCs w:val="20"/>
              </w:rPr>
              <w:t>Multi-month stability and bioaccessibility testing within representative finished products, including protein- and lipid-rich matrices</w:t>
            </w:r>
          </w:p>
        </w:tc>
        <w:tc>
          <w:tcPr>
            <w:tcW w:w="1600" w:type="dxa"/>
            <w:tcMar>
              <w:top w:w="100" w:type="dxa"/>
              <w:left w:w="100" w:type="dxa"/>
              <w:bottom w:w="100" w:type="dxa"/>
              <w:right w:w="100" w:type="dxa"/>
            </w:tcMar>
          </w:tcPr>
          <w:p w14:paraId="4757DE79" w14:textId="77777777" w:rsidR="00C27D3D" w:rsidRDefault="00000000" w:rsidP="0026265B">
            <w:pPr>
              <w:spacing w:before="100" w:beforeAutospacing="1" w:after="100" w:afterAutospacing="1"/>
            </w:pPr>
            <w:r>
              <w:rPr>
                <w:sz w:val="20"/>
                <w:szCs w:val="20"/>
              </w:rPr>
              <w:t>Fu et al. (2021); Vuong et al. (2021); Pasukamonset et al. (2016)</w:t>
            </w:r>
          </w:p>
        </w:tc>
      </w:tr>
      <w:tr w:rsidR="00C27D3D" w14:paraId="54417B13" w14:textId="77777777">
        <w:tc>
          <w:tcPr>
            <w:tcW w:w="2300" w:type="dxa"/>
            <w:tcMar>
              <w:top w:w="100" w:type="dxa"/>
              <w:left w:w="100" w:type="dxa"/>
              <w:bottom w:w="100" w:type="dxa"/>
              <w:right w:w="100" w:type="dxa"/>
            </w:tcMar>
          </w:tcPr>
          <w:p w14:paraId="11C3159B" w14:textId="77777777" w:rsidR="00C27D3D" w:rsidRDefault="00000000" w:rsidP="0026265B">
            <w:pPr>
              <w:spacing w:before="100" w:beforeAutospacing="1" w:after="100" w:afterAutospacing="1"/>
            </w:pPr>
            <w:r>
              <w:rPr>
                <w:sz w:val="20"/>
                <w:szCs w:val="20"/>
              </w:rPr>
              <w:t>Limited human bioavailability/pharmacokinetic data</w:t>
            </w:r>
          </w:p>
        </w:tc>
        <w:tc>
          <w:tcPr>
            <w:tcW w:w="3100" w:type="dxa"/>
            <w:tcMar>
              <w:top w:w="100" w:type="dxa"/>
              <w:left w:w="100" w:type="dxa"/>
              <w:bottom w:w="100" w:type="dxa"/>
              <w:right w:w="100" w:type="dxa"/>
            </w:tcMar>
          </w:tcPr>
          <w:p w14:paraId="042099A7" w14:textId="77777777" w:rsidR="00C27D3D" w:rsidRDefault="00000000" w:rsidP="0026265B">
            <w:pPr>
              <w:spacing w:before="100" w:beforeAutospacing="1" w:after="100" w:afterAutospacing="1"/>
            </w:pPr>
            <w:r>
              <w:rPr>
                <w:sz w:val="20"/>
                <w:szCs w:val="20"/>
              </w:rPr>
              <w:t>Absorption of intact ternatins demonstrated only in rats; human dose-response and time-course unknown</w:t>
            </w:r>
          </w:p>
        </w:tc>
        <w:tc>
          <w:tcPr>
            <w:tcW w:w="2600" w:type="dxa"/>
            <w:tcMar>
              <w:top w:w="100" w:type="dxa"/>
              <w:left w:w="100" w:type="dxa"/>
              <w:bottom w:w="100" w:type="dxa"/>
              <w:right w:w="100" w:type="dxa"/>
            </w:tcMar>
          </w:tcPr>
          <w:p w14:paraId="71B353F0" w14:textId="77777777" w:rsidR="00C27D3D" w:rsidRDefault="00000000" w:rsidP="0026265B">
            <w:pPr>
              <w:spacing w:before="100" w:beforeAutospacing="1" w:after="100" w:afterAutospacing="1"/>
            </w:pPr>
            <w:r>
              <w:rPr>
                <w:sz w:val="20"/>
                <w:szCs w:val="20"/>
              </w:rPr>
              <w:t>Human pharmacokinetic studies using ternatin-specific analytical methods across realistic dietary doses</w:t>
            </w:r>
          </w:p>
        </w:tc>
        <w:tc>
          <w:tcPr>
            <w:tcW w:w="1600" w:type="dxa"/>
            <w:tcMar>
              <w:top w:w="100" w:type="dxa"/>
              <w:left w:w="100" w:type="dxa"/>
              <w:bottom w:w="100" w:type="dxa"/>
              <w:right w:w="100" w:type="dxa"/>
            </w:tcMar>
          </w:tcPr>
          <w:p w14:paraId="07A807D7" w14:textId="77777777" w:rsidR="00C27D3D" w:rsidRDefault="00000000" w:rsidP="0026265B">
            <w:pPr>
              <w:spacing w:before="100" w:beforeAutospacing="1" w:after="100" w:afterAutospacing="1"/>
            </w:pPr>
            <w:r>
              <w:rPr>
                <w:sz w:val="20"/>
                <w:szCs w:val="20"/>
              </w:rPr>
              <w:t>Ichiyanagi et al. (2021)</w:t>
            </w:r>
          </w:p>
        </w:tc>
      </w:tr>
      <w:tr w:rsidR="00C27D3D" w14:paraId="45904139" w14:textId="77777777">
        <w:tc>
          <w:tcPr>
            <w:tcW w:w="2300" w:type="dxa"/>
            <w:tcMar>
              <w:top w:w="100" w:type="dxa"/>
              <w:left w:w="100" w:type="dxa"/>
              <w:bottom w:w="100" w:type="dxa"/>
              <w:right w:w="100" w:type="dxa"/>
            </w:tcMar>
          </w:tcPr>
          <w:p w14:paraId="6F1B7C0A" w14:textId="77777777" w:rsidR="00C27D3D" w:rsidRDefault="00000000" w:rsidP="0026265B">
            <w:pPr>
              <w:spacing w:before="100" w:beforeAutospacing="1" w:after="100" w:afterAutospacing="1"/>
            </w:pPr>
            <w:r>
              <w:rPr>
                <w:sz w:val="20"/>
                <w:szCs w:val="20"/>
              </w:rPr>
              <w:t>Small, acute-only human clinical evidence base</w:t>
            </w:r>
          </w:p>
        </w:tc>
        <w:tc>
          <w:tcPr>
            <w:tcW w:w="3100" w:type="dxa"/>
            <w:tcMar>
              <w:top w:w="100" w:type="dxa"/>
              <w:left w:w="100" w:type="dxa"/>
              <w:bottom w:w="100" w:type="dxa"/>
              <w:right w:w="100" w:type="dxa"/>
            </w:tcMar>
          </w:tcPr>
          <w:p w14:paraId="0C727A4E" w14:textId="77777777" w:rsidR="00C27D3D" w:rsidRDefault="00000000" w:rsidP="0026265B">
            <w:pPr>
              <w:spacing w:before="100" w:beforeAutospacing="1" w:after="100" w:afterAutospacing="1"/>
            </w:pPr>
            <w:r>
              <w:rPr>
                <w:sz w:val="20"/>
                <w:szCs w:val="20"/>
              </w:rPr>
              <w:t>Only single-dose/single-meal randomised trials identified; no repeated-exposure or long-duration trials</w:t>
            </w:r>
          </w:p>
        </w:tc>
        <w:tc>
          <w:tcPr>
            <w:tcW w:w="2600" w:type="dxa"/>
            <w:tcMar>
              <w:top w:w="100" w:type="dxa"/>
              <w:left w:w="100" w:type="dxa"/>
              <w:bottom w:w="100" w:type="dxa"/>
              <w:right w:w="100" w:type="dxa"/>
            </w:tcMar>
          </w:tcPr>
          <w:p w14:paraId="1ECAC0C1" w14:textId="77777777" w:rsidR="00C27D3D" w:rsidRDefault="00000000" w:rsidP="0026265B">
            <w:pPr>
              <w:spacing w:before="100" w:beforeAutospacing="1" w:after="100" w:afterAutospacing="1"/>
            </w:pPr>
            <w:r>
              <w:rPr>
                <w:sz w:val="20"/>
                <w:szCs w:val="20"/>
              </w:rPr>
              <w:t>Adequately powered, longer-duration trials using food-incorporated (not isolated-extract) dosing</w:t>
            </w:r>
          </w:p>
        </w:tc>
        <w:tc>
          <w:tcPr>
            <w:tcW w:w="1600" w:type="dxa"/>
            <w:tcMar>
              <w:top w:w="100" w:type="dxa"/>
              <w:left w:w="100" w:type="dxa"/>
              <w:bottom w:w="100" w:type="dxa"/>
              <w:right w:w="100" w:type="dxa"/>
            </w:tcMar>
          </w:tcPr>
          <w:p w14:paraId="63516B5A" w14:textId="77777777" w:rsidR="00C27D3D" w:rsidRDefault="00000000" w:rsidP="0026265B">
            <w:pPr>
              <w:spacing w:before="100" w:beforeAutospacing="1" w:after="100" w:afterAutospacing="1"/>
            </w:pPr>
            <w:r>
              <w:rPr>
                <w:sz w:val="20"/>
                <w:szCs w:val="20"/>
              </w:rPr>
              <w:t>Chusak et al. (2018a); Thilavech et al. (2021)</w:t>
            </w:r>
          </w:p>
        </w:tc>
      </w:tr>
      <w:tr w:rsidR="00C27D3D" w14:paraId="759CE63D" w14:textId="77777777">
        <w:tc>
          <w:tcPr>
            <w:tcW w:w="2300" w:type="dxa"/>
            <w:tcMar>
              <w:top w:w="100" w:type="dxa"/>
              <w:left w:w="100" w:type="dxa"/>
              <w:bottom w:w="100" w:type="dxa"/>
              <w:right w:w="100" w:type="dxa"/>
            </w:tcMar>
          </w:tcPr>
          <w:p w14:paraId="4A230644" w14:textId="77777777" w:rsidR="00C27D3D" w:rsidRDefault="00000000" w:rsidP="0026265B">
            <w:pPr>
              <w:spacing w:before="100" w:beforeAutospacing="1" w:after="100" w:afterAutospacing="1"/>
            </w:pPr>
            <w:r>
              <w:rPr>
                <w:sz w:val="20"/>
                <w:szCs w:val="20"/>
              </w:rPr>
              <w:t>Unresolved cyclotide safety characterisation in commercial extracts</w:t>
            </w:r>
          </w:p>
        </w:tc>
        <w:tc>
          <w:tcPr>
            <w:tcW w:w="3100" w:type="dxa"/>
            <w:tcMar>
              <w:top w:w="100" w:type="dxa"/>
              <w:left w:w="100" w:type="dxa"/>
              <w:bottom w:w="100" w:type="dxa"/>
              <w:right w:w="100" w:type="dxa"/>
            </w:tcMar>
          </w:tcPr>
          <w:p w14:paraId="3CB44162" w14:textId="77777777" w:rsidR="00C27D3D" w:rsidRDefault="00000000" w:rsidP="0026265B">
            <w:pPr>
              <w:spacing w:before="100" w:beforeAutospacing="1" w:after="100" w:afterAutospacing="1"/>
            </w:pPr>
            <w:r>
              <w:rPr>
                <w:sz w:val="20"/>
                <w:szCs w:val="20"/>
              </w:rPr>
              <w:t>EU and US regulatory evaluations reached different conclusions for different plant preparations; effects of extraction/purification on cyclotide content not directly quantified</w:t>
            </w:r>
          </w:p>
        </w:tc>
        <w:tc>
          <w:tcPr>
            <w:tcW w:w="2600" w:type="dxa"/>
            <w:tcMar>
              <w:top w:w="100" w:type="dxa"/>
              <w:left w:w="100" w:type="dxa"/>
              <w:bottom w:w="100" w:type="dxa"/>
              <w:right w:w="100" w:type="dxa"/>
            </w:tcMar>
          </w:tcPr>
          <w:p w14:paraId="6A3D2EE8" w14:textId="77777777" w:rsidR="00C27D3D" w:rsidRDefault="00000000" w:rsidP="0026265B">
            <w:pPr>
              <w:spacing w:before="100" w:beforeAutospacing="1" w:after="100" w:afterAutospacing="1"/>
            </w:pPr>
            <w:r>
              <w:rPr>
                <w:sz w:val="20"/>
                <w:szCs w:val="20"/>
              </w:rPr>
              <w:t>Comparative toxicological characterisation of cyclotide content in purified colour-additive-grade extract versus whole dried flower</w:t>
            </w:r>
          </w:p>
        </w:tc>
        <w:tc>
          <w:tcPr>
            <w:tcW w:w="1600" w:type="dxa"/>
            <w:tcMar>
              <w:top w:w="100" w:type="dxa"/>
              <w:left w:w="100" w:type="dxa"/>
              <w:bottom w:w="100" w:type="dxa"/>
              <w:right w:w="100" w:type="dxa"/>
            </w:tcMar>
          </w:tcPr>
          <w:p w14:paraId="483D601C" w14:textId="77777777" w:rsidR="00C27D3D" w:rsidRDefault="00000000" w:rsidP="0026265B">
            <w:pPr>
              <w:spacing w:before="100" w:beforeAutospacing="1" w:after="100" w:afterAutospacing="1"/>
            </w:pPr>
            <w:r>
              <w:rPr>
                <w:sz w:val="20"/>
                <w:szCs w:val="20"/>
              </w:rPr>
              <w:t>European Food Safety Authority (2022); U.S. Food and Drug Administration (2021, 2025)</w:t>
            </w:r>
          </w:p>
        </w:tc>
      </w:tr>
    </w:tbl>
    <w:p w14:paraId="1F39AAB9" w14:textId="77777777" w:rsidR="00C27D3D" w:rsidRDefault="00000000" w:rsidP="0026265B">
      <w:pPr>
        <w:spacing w:before="100" w:beforeAutospacing="1" w:after="100" w:afterAutospacing="1"/>
      </w:pPr>
      <w:r>
        <w:rPr>
          <w:i/>
          <w:iCs/>
          <w:sz w:val="18"/>
          <w:szCs w:val="18"/>
        </w:rPr>
        <w:t>Note. This table is not exhaustive; it summarises the priorities developed in the Future Directions section.</w:t>
      </w:r>
    </w:p>
    <w:p w14:paraId="025738BA" w14:textId="77777777" w:rsidR="00C27D3D" w:rsidRDefault="00000000" w:rsidP="0026265B">
      <w:pPr>
        <w:pStyle w:val="Heading1"/>
        <w:spacing w:before="100" w:beforeAutospacing="1" w:after="100" w:afterAutospacing="1"/>
      </w:pPr>
      <w:r>
        <w:t>Future Directions</w:t>
      </w:r>
    </w:p>
    <w:p w14:paraId="6727EFEA" w14:textId="77777777" w:rsidR="00C27D3D" w:rsidRDefault="00000000" w:rsidP="0026265B">
      <w:pPr>
        <w:spacing w:before="100" w:beforeAutospacing="1" w:after="100" w:afterAutospacing="1"/>
        <w:jc w:val="both"/>
      </w:pPr>
      <w:r>
        <w:t>The single most consequential and immediately addressable priority arising from this review is standardisation of extract characterisation. Because total anthocyanin content, total phenolic content, the ternatin-to-flavonol ratio and even the analytical units in which these are expressed vary so substantially across the extraction-method literature surveyed in Sections 3 and 4, comparative claims about efficacy, stability or safety cannot presently be generalised from one study to another, let alone to a specific commercial preparation. Adoption of a small number of reference extraction protocols, reported alongside standardised compositional metrics such as ternatin content expressed per gram of dry flower material, would allow subsequent stability, functional and safety studies to be meaningfully compared, and this is an achievable near-term methodological priority rather than one requiring new trial infrastructure.</w:t>
      </w:r>
    </w:p>
    <w:p w14:paraId="022BD4A2" w14:textId="77777777" w:rsidR="00C27D3D" w:rsidRDefault="00000000" w:rsidP="0026265B">
      <w:pPr>
        <w:spacing w:before="100" w:beforeAutospacing="1" w:after="100" w:afterAutospacing="1"/>
        <w:jc w:val="both"/>
      </w:pPr>
      <w:r>
        <w:t xml:space="preserve">A second priority, of comparable urgency, is matrix-specific stability and bioaccessibility testing conducted across a realistic commercial shelf life rather than the shorter storage intervals used in most studies reviewed here. The evidence summarised in Sections 3 and 4 establishes that pH, temperature, light and encapsulation each materially affect colour and pigment retention in model extracts and simple solutions, but food manufacturers require data generated within the specific matrix, packaging and distribution conditions of an intended product, including matrices with substantial protein or lipid content in which pigment-macromolecule interactions, as observed for </w:t>
      </w:r>
      <w:r>
        <w:lastRenderedPageBreak/>
        <w:t>whey proteins in Section 5, may alter both colour expression and bioaccessibility in ways not predicted by studies on the extract alone. Multi-month stability studies conducted in representative finished products, rather than in laboratory-prepared extracts, would directly address a gap that is currently filled largely by extrapolation.</w:t>
      </w:r>
    </w:p>
    <w:p w14:paraId="6688EF31" w14:textId="77777777" w:rsidR="00C27D3D" w:rsidRDefault="00000000" w:rsidP="0026265B">
      <w:pPr>
        <w:spacing w:before="100" w:beforeAutospacing="1" w:after="100" w:afterAutospacing="1"/>
        <w:jc w:val="both"/>
      </w:pPr>
      <w:r>
        <w:t>A third priority concerns bioavailability and pharmacokinetics in humans. The rodent evidence that ternatins are absorbed intact in their polyacylated form (Ichiyanagi et al., 2021) is encouraging but does not establish the extent, rate or dose-dependence of absorption in humans, nor whether repeated dietary exposure at levels achievable through a fortified food or beverage produces plasma concentrations sufficient to sustain the antioxidant and enzyme-inhibitory effects observed acutely in the trials reviewed in Section 6. Human pharmacokinetic studies using appropriately validated analytical methods for ternatins specifically, rather than for anthocyanins generically, would materially strengthen the mechanistic case connecting in vitro activity to the modest clinical effects already observed.</w:t>
      </w:r>
    </w:p>
    <w:p w14:paraId="2E4D0851" w14:textId="77777777" w:rsidR="00C27D3D" w:rsidRDefault="00000000" w:rsidP="0026265B">
      <w:pPr>
        <w:spacing w:before="100" w:beforeAutospacing="1" w:after="100" w:afterAutospacing="1"/>
        <w:jc w:val="both"/>
      </w:pPr>
      <w:r>
        <w:t>A fourth and closely related priority is expansion of the clinical evidence base beyond the small number of acute, single-dose or single-meal trials presently available. Adequately powered, longer-duration randomised trials, incorporating repeated dietary exposure at realistic inclusion levels within an actual food or beverage product rather than as an isolated extract dose, are needed to establish whether the postprandial glycaemic and lipaemic effects observed acutely translate into sustained metabolic benefit, and whether the anti-inflammatory and hepatoprotective effects presently supported only by animal-model evidence are detectable in humans at all. Such trials should also be designed to capture safety outcomes over a duration and at exposure levels more representative of habitual consumption of a widely available colour additive than the single-exposure designs used to date.</w:t>
      </w:r>
    </w:p>
    <w:p w14:paraId="5C44C9EA" w14:textId="77777777" w:rsidR="00C27D3D" w:rsidRDefault="00000000" w:rsidP="0026265B">
      <w:pPr>
        <w:spacing w:before="100" w:beforeAutospacing="1" w:after="100" w:afterAutospacing="1"/>
        <w:jc w:val="both"/>
      </w:pPr>
      <w:r>
        <w:t>A fifth priority, more regulatory than experimental in character, is direct comparative toxicological characterisation of the cyclotide content of manufactured food-grade extracts, of the kind approved as a colour additive, as distinct from the whole dried flower evaluated in the European regulatory assessment discussed in Section 7. Data specifically addressing the extent to which commercial extraction and purification processes reduce cyclotide content, and the toxicological significance of any residual content at realistic dietary exposure levels, would directly address the principal point of regulatory divergence identified in this review and would be of clear practical value to both manufacturers and regulators.</w:t>
      </w:r>
    </w:p>
    <w:p w14:paraId="56030294" w14:textId="77777777" w:rsidR="00C27D3D" w:rsidRDefault="00000000" w:rsidP="0026265B">
      <w:pPr>
        <w:spacing w:before="100" w:beforeAutospacing="1" w:after="100" w:afterAutospacing="1"/>
        <w:jc w:val="both"/>
      </w:pPr>
      <w:r>
        <w:t xml:space="preserve">Longer-term priorities, appropriately positioned after the above near- and medium-term work, include systematic sensory and consumer-acceptance research comparing </w:t>
      </w:r>
      <w:r>
        <w:rPr>
          <w:i/>
          <w:iCs/>
        </w:rPr>
        <w:t>C. ternatea</w:t>
      </w:r>
      <w:r>
        <w:t>-coloured products against both synthetic-dye and alternative natural-colourant benchmarks across a wider range of product categories than the beverage-, bakery-, dairy- and meat-based studies presently available, and mechanistic work clarifying the relative contribution of the ternatin and flavonol fractions to the extract's various reported bioactivities, which remain incompletely disentangled outside the anti-inflammatory mechanism described in Section 6.</w:t>
      </w:r>
    </w:p>
    <w:p w14:paraId="4C86C92C" w14:textId="77777777" w:rsidR="00C27D3D" w:rsidRDefault="00000000" w:rsidP="0026265B">
      <w:pPr>
        <w:pStyle w:val="Heading1"/>
        <w:spacing w:before="100" w:beforeAutospacing="1" w:after="100" w:afterAutospacing="1"/>
      </w:pPr>
      <w:r>
        <w:t>Conclusions</w:t>
      </w:r>
    </w:p>
    <w:p w14:paraId="69E07BEB" w14:textId="77777777" w:rsidR="00C27D3D" w:rsidRDefault="00000000" w:rsidP="0026265B">
      <w:pPr>
        <w:spacing w:before="100" w:beforeAutospacing="1" w:after="100" w:afterAutospacing="1"/>
        <w:jc w:val="both"/>
      </w:pPr>
      <w:r>
        <w:lastRenderedPageBreak/>
        <w:t xml:space="preserve">The evidence reviewed here supports a measured rather than an unqualified endorsement of </w:t>
      </w:r>
      <w:r>
        <w:rPr>
          <w:i/>
          <w:iCs/>
        </w:rPr>
        <w:t>Clitoria ternatea</w:t>
      </w:r>
      <w:r>
        <w:t xml:space="preserve"> flower extract as a food colourant and functional ingredient. As a colourant, the extract possesses a genuine and mechanistically well-explained technological advantage over non-acylated anthocyanin sources, conferred by the intramolecular co-pigmentation arising from repeated acylation of its constituent ternatins, and this advantage translates into demonstrable, though not unconditional, stability under the pH, temperature, light and storage conditions relevant to food processing, particularly when the extract is combined with encapsulation or with extraction media, such as natural deep eutectic solvents, that themselves confer additional stability. Its adoption as an approved colour additive in the United States, and the subsequent broadening of that approval, reflects a level of regulatory confidence in the manufactured, purified extract specifically that is not yet mirrored everywhere, as the more cautious European evaluation of the unprocessed dried flower demonstrates. As a functional ingredient, the extract has a consistent and repeatedly reproduced record of antioxidant activity and of inhibitory activity against carbohydrate-digestive enzymes in vitro, an emerging and biologically plausible body of acute human evidence for postprandial glycaemic and lipaemic effects, and a considerably more provisional evidence base, still confined largely to cell and animal models, for anti-inflammatory, hepatoprotective and related effects. Across both identities, the evidence is strongest where extraction, storage and dosing conditions are best matched to realistic food use, and weakest where laboratory findings on isolated extracts have not yet been tested within actual food matrices, in human subjects, or over durations and exposure levels representative of habitual consumption. The most defensible overall conclusion is that </w:t>
      </w:r>
      <w:r>
        <w:rPr>
          <w:i/>
          <w:iCs/>
        </w:rPr>
        <w:t>C. ternatea</w:t>
      </w:r>
      <w:r>
        <w:t xml:space="preserve"> is a technologically credible and mechanistically well-characterised natural colourant with genuine, but not yet fully substantiated, functional potential, and that the principal barrier to more confident claims is not an absence of promising findings but an absence of standardised, matrix-relevant and adequately powered evidence connecting those findings to real food products and real dietary exposure.</w:t>
      </w:r>
    </w:p>
    <w:p w14:paraId="63FEC587" w14:textId="77777777" w:rsidR="00C27D3D" w:rsidRDefault="00000000" w:rsidP="0026265B">
      <w:pPr>
        <w:pStyle w:val="Heading1"/>
        <w:spacing w:before="100" w:beforeAutospacing="1" w:after="100" w:afterAutospacing="1"/>
      </w:pPr>
      <w:r>
        <w:t>Limitations</w:t>
      </w:r>
    </w:p>
    <w:p w14:paraId="3FECC01B" w14:textId="77777777" w:rsidR="00C27D3D" w:rsidRDefault="00000000" w:rsidP="0026265B">
      <w:pPr>
        <w:spacing w:before="100" w:beforeAutospacing="1" w:after="100" w:afterAutospacing="1"/>
        <w:jc w:val="both"/>
      </w:pPr>
      <w:r>
        <w:t xml:space="preserve">As with any narrative review, the principal limitation of this synthesis is the possibility of selection and interpretive bias in the choice and weighting of studies, despite the transparent search, eligibility and appraisal procedures described in Section 2 and the deliberate effort to represent conflicting as well as convergent findings. Several further limitations apply specifically to the evidence base addressed here rather than to the review process itself. Access to subscription bibliographic databases such as Web of Science, Scopus and Embase was not available during preparation of this manuscript, and the literature search relied instead on openly accessible scholarly search platforms, publisher pages and verified bibliographic records; while backward and forward citation checking was used to mitigate this constraint, complete coverage of the subscription-indexed literature cannot be claimed. The search was further restricted to English-language sources, which may have excluded relevant regional literature, particularly from Southeast Asian and South Asian research groups working directly with this traditionally used plant. The underlying primary literature is itself markedly heterogeneous in extraction protocol, plant material source, analytical method and outcome measure, which limits direct quantitative comparison across studies and confines much of the synthesis in this review to qualitative rather than quantitative integration. Geographical representation in the primary literature is uneven, with a substantial concentration of studies originating from Southeast Asian and, more recently, South American research groups, and comparatively few studies from other regions, which constrains </w:t>
      </w:r>
      <w:r>
        <w:lastRenderedPageBreak/>
        <w:t>confidence in the generalisability of findings across different cultivars, growing conditions and dietary contexts. The evidence base relies heavily on observational, in vitro and animal-model findings, with human clinical evidence confined to a small number of acute trials conducted by a limited number of research groups, and no long-term human trials were identified. This review's own applied literature search likewise identified no studies tracking colour or bioactive stability across a full commercial shelf life within a finished food product, and no head-to-head sensory comparisons against synthetic-dye benchmarks across a broad product range. Finally, the rapid recent growth in publication activity on this species, evident in the number of reviews and primary studies published within the final years of the search period, means that the evidence base is likely to continue to develop quickly, and conclusions drawn here should be understood as reflecting the state of the literature at the time of the search rather than a permanently settled position.</w:t>
      </w:r>
    </w:p>
    <w:p w14:paraId="17CD8D53" w14:textId="77777777" w:rsidR="00955569" w:rsidRPr="000839CE" w:rsidRDefault="00955569" w:rsidP="00955569">
      <w:pPr>
        <w:rPr>
          <w:b/>
        </w:rPr>
      </w:pPr>
      <w:r w:rsidRPr="000839CE">
        <w:rPr>
          <w:b/>
        </w:rPr>
        <w:t>Declaration of AI Use</w:t>
      </w:r>
    </w:p>
    <w:p w14:paraId="43B35F8D" w14:textId="77777777" w:rsidR="00955569" w:rsidRPr="000839CE" w:rsidRDefault="00955569" w:rsidP="00955569"/>
    <w:p w14:paraId="5365791E" w14:textId="77777777" w:rsidR="00955569" w:rsidRPr="000839CE" w:rsidRDefault="00955569" w:rsidP="00955569">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B73DE0" w14:textId="77777777" w:rsidR="00955569" w:rsidRDefault="00955569" w:rsidP="0026265B">
      <w:pPr>
        <w:spacing w:before="100" w:beforeAutospacing="1" w:after="100" w:afterAutospacing="1"/>
        <w:jc w:val="both"/>
      </w:pPr>
    </w:p>
    <w:p w14:paraId="7892B382" w14:textId="77777777" w:rsidR="00C27D3D" w:rsidRDefault="00000000" w:rsidP="0026265B">
      <w:pPr>
        <w:pStyle w:val="Heading1"/>
        <w:spacing w:before="100" w:beforeAutospacing="1" w:after="100" w:afterAutospacing="1"/>
      </w:pPr>
      <w:r>
        <w:t>References</w:t>
      </w:r>
    </w:p>
    <w:p w14:paraId="2EFD6B0D" w14:textId="77777777" w:rsidR="00C27D3D" w:rsidRDefault="00000000" w:rsidP="0026265B">
      <w:pPr>
        <w:spacing w:before="100" w:beforeAutospacing="1" w:after="100" w:afterAutospacing="1"/>
        <w:ind w:left="720" w:hanging="720"/>
      </w:pPr>
      <w:r>
        <w:t xml:space="preserve">Chusak, C., Henry, C. J., Chantarasinlapin, P., Techasukthavorn, V., &amp; Adisakwattana, S. (2018b). Influence of </w:t>
      </w:r>
      <w:r>
        <w:rPr>
          <w:i/>
          <w:iCs/>
        </w:rPr>
        <w:t>Clitoria ternatea</w:t>
      </w:r>
      <w:r>
        <w:t xml:space="preserve"> flower extract on the in vitro enzymatic digestibility of starch and its application in bread. </w:t>
      </w:r>
      <w:r>
        <w:rPr>
          <w:i/>
          <w:iCs/>
        </w:rPr>
        <w:t>Foods, 7</w:t>
      </w:r>
      <w:r>
        <w:t>(7), Article 102. https://doi.org/10.3390/foods7070102</w:t>
      </w:r>
    </w:p>
    <w:p w14:paraId="4B00B00F" w14:textId="77777777" w:rsidR="00C27D3D" w:rsidRDefault="00000000" w:rsidP="0026265B">
      <w:pPr>
        <w:spacing w:before="100" w:beforeAutospacing="1" w:after="100" w:afterAutospacing="1"/>
        <w:ind w:left="720" w:hanging="720"/>
      </w:pPr>
      <w:r>
        <w:t xml:space="preserve">Chusak, C., Thilavech, T., Henry, C. J., &amp; Adisakwattana, S. (2018a). Acute effect of </w:t>
      </w:r>
      <w:r>
        <w:rPr>
          <w:i/>
          <w:iCs/>
        </w:rPr>
        <w:t>Clitoria ternatea</w:t>
      </w:r>
      <w:r>
        <w:t xml:space="preserve"> flower beverage on glycemic response and antioxidant capacity in healthy subjects: A randomised crossover trial. </w:t>
      </w:r>
      <w:r>
        <w:rPr>
          <w:i/>
          <w:iCs/>
        </w:rPr>
        <w:t>BMC Complementary and Alternative Medicine, 18</w:t>
      </w:r>
      <w:r>
        <w:t>, Article 6. https://doi.org/10.1186/s12906-017-2075-7</w:t>
      </w:r>
    </w:p>
    <w:p w14:paraId="746EFD39" w14:textId="77777777" w:rsidR="00C27D3D" w:rsidRDefault="00000000" w:rsidP="0026265B">
      <w:pPr>
        <w:spacing w:before="100" w:beforeAutospacing="1" w:after="100" w:afterAutospacing="1"/>
        <w:ind w:left="720" w:hanging="720"/>
      </w:pPr>
      <w:r>
        <w:t xml:space="preserve">Escher, G. B., Marques, M. B., do Carmo, M. A. V., Azevedo, L., Furtado, M. M., Sant'Ana, A. S., da Silva, M. C., Genovese, M. I., Wen, M., Zhang, L., Oh, W. Y., Shahidi, F., Rosso, N. D., &amp; Granato, D. (2020a). </w:t>
      </w:r>
      <w:r>
        <w:rPr>
          <w:i/>
          <w:iCs/>
        </w:rPr>
        <w:t>Clitoria ternatea</w:t>
      </w:r>
      <w:r>
        <w:t xml:space="preserve"> L. petal bioactive compounds display antioxidant, antihemolytic and antihypertensive effects, inhibit α-amylase and α-glucosidase activities and reduce human LDL cholesterol and DNA induced oxidation. </w:t>
      </w:r>
      <w:r>
        <w:rPr>
          <w:i/>
          <w:iCs/>
        </w:rPr>
        <w:t>Food Research International, 128</w:t>
      </w:r>
      <w:r>
        <w:t>, Article 108763. https://doi.org/10.1016/j.foodres.2019.108763</w:t>
      </w:r>
    </w:p>
    <w:p w14:paraId="60F56260" w14:textId="77777777" w:rsidR="00C27D3D" w:rsidRDefault="00000000" w:rsidP="0026265B">
      <w:pPr>
        <w:spacing w:before="100" w:beforeAutospacing="1" w:after="100" w:afterAutospacing="1"/>
        <w:ind w:left="720" w:hanging="720"/>
      </w:pPr>
      <w:r>
        <w:lastRenderedPageBreak/>
        <w:t xml:space="preserve">Escher, G. B., Wen, M., Zhang, L., Rosso, N. D., &amp; Granato, D. (2020b). Phenolic composition by UHPLC-Q-TOF-MS/MS and stability of anthocyanins from </w:t>
      </w:r>
      <w:r>
        <w:rPr>
          <w:i/>
          <w:iCs/>
        </w:rPr>
        <w:t>Clitoria ternatea</w:t>
      </w:r>
      <w:r>
        <w:t xml:space="preserve"> L. (butterfly pea) blue petals. </w:t>
      </w:r>
      <w:r>
        <w:rPr>
          <w:i/>
          <w:iCs/>
        </w:rPr>
        <w:t>Food Chemistry, 331</w:t>
      </w:r>
      <w:r>
        <w:t>, Article 127341. https://doi.org/10.1016/j.foodchem.2020.127341</w:t>
      </w:r>
    </w:p>
    <w:p w14:paraId="40CBE1A7" w14:textId="77777777" w:rsidR="00C27D3D" w:rsidRDefault="00000000" w:rsidP="0026265B">
      <w:pPr>
        <w:spacing w:before="100" w:beforeAutospacing="1" w:after="100" w:afterAutospacing="1"/>
        <w:ind w:left="720" w:hanging="720"/>
      </w:pPr>
      <w:r>
        <w:t xml:space="preserve">European Food Safety Authority. (2022). Notification of dried flowers of </w:t>
      </w:r>
      <w:r>
        <w:rPr>
          <w:i/>
          <w:iCs/>
        </w:rPr>
        <w:t>Clitoria ternatea</w:t>
      </w:r>
      <w:r>
        <w:t xml:space="preserve"> L. as a traditional food from a third country pursuant to Article 14 of Regulation (EU) 2015/2283. </w:t>
      </w:r>
      <w:r>
        <w:rPr>
          <w:i/>
          <w:iCs/>
        </w:rPr>
        <w:t>EFSA Supporting Publications, 19</w:t>
      </w:r>
      <w:r>
        <w:t>(2), Article EN-7084. https://doi.org/10.2903/sp.efsa.2022.EN-7084</w:t>
      </w:r>
    </w:p>
    <w:p w14:paraId="689CA945" w14:textId="77777777" w:rsidR="00C27D3D" w:rsidRDefault="00000000" w:rsidP="0026265B">
      <w:pPr>
        <w:spacing w:before="100" w:beforeAutospacing="1" w:after="100" w:afterAutospacing="1"/>
        <w:ind w:left="720" w:hanging="720"/>
      </w:pPr>
      <w:r>
        <w:t xml:space="preserve">Ferrari, R. (2015). Writing narrative style literature reviews. </w:t>
      </w:r>
      <w:r>
        <w:rPr>
          <w:i/>
          <w:iCs/>
        </w:rPr>
        <w:t>Medical Writing, 24</w:t>
      </w:r>
      <w:r>
        <w:t>(4), 230–235. https://doi.org/10.1179/2047480615Z.000000000329</w:t>
      </w:r>
    </w:p>
    <w:p w14:paraId="5D16A198" w14:textId="77777777" w:rsidR="00C27D3D" w:rsidRDefault="00000000" w:rsidP="0026265B">
      <w:pPr>
        <w:spacing w:before="100" w:beforeAutospacing="1" w:after="100" w:afterAutospacing="1"/>
        <w:ind w:left="720" w:hanging="720"/>
      </w:pPr>
      <w:r>
        <w:t>Fu, X., Wu, Q., Wang, J., Chen, Y., Zhu, G., &amp; Zhu, Z. (2021). Spectral characteristic, storage stability and antioxidant properties of anthocyanin extracts from flowers of butterfly pea (</w:t>
      </w:r>
      <w:r>
        <w:rPr>
          <w:i/>
          <w:iCs/>
        </w:rPr>
        <w:t>Clitoria ternatea</w:t>
      </w:r>
      <w:r>
        <w:t xml:space="preserve"> L.). </w:t>
      </w:r>
      <w:r>
        <w:rPr>
          <w:i/>
          <w:iCs/>
        </w:rPr>
        <w:t>Molecules, 26</w:t>
      </w:r>
      <w:r>
        <w:t>(22), Article 7000. https://doi.org/10.3390/molecules26227000</w:t>
      </w:r>
    </w:p>
    <w:p w14:paraId="484222C7" w14:textId="77777777" w:rsidR="00C27D3D" w:rsidRDefault="00000000" w:rsidP="0026265B">
      <w:pPr>
        <w:spacing w:before="100" w:beforeAutospacing="1" w:after="100" w:afterAutospacing="1"/>
        <w:ind w:left="720" w:hanging="720"/>
      </w:pPr>
      <w:r>
        <w:t xml:space="preserve">Gasparyan, A. Y., Ayvazyan, L., Blackmore, H., &amp; Kitas, G. D. (2011). Writing a narrative biomedical review: Considerations for authors, peer reviewers, and editors. </w:t>
      </w:r>
      <w:r>
        <w:rPr>
          <w:i/>
          <w:iCs/>
        </w:rPr>
        <w:t>Rheumatology International, 31</w:t>
      </w:r>
      <w:r>
        <w:t>(11), 1409–1417. https://doi.org/10.1007/s00296-011-1999-3</w:t>
      </w:r>
    </w:p>
    <w:p w14:paraId="2C3D0EFA" w14:textId="77777777" w:rsidR="00C27D3D" w:rsidRDefault="00000000" w:rsidP="0026265B">
      <w:pPr>
        <w:spacing w:before="100" w:beforeAutospacing="1" w:after="100" w:afterAutospacing="1"/>
        <w:ind w:left="720" w:hanging="720"/>
      </w:pPr>
      <w:r>
        <w:t>Hasanah, N. N., Mohamad Azman, E., Rozzamri, A., Zainal Abedin, N. H., &amp; Ismail-Fitry, M. R. (2023). A systematic review of butterfly pea flower (</w:t>
      </w:r>
      <w:r>
        <w:rPr>
          <w:i/>
          <w:iCs/>
        </w:rPr>
        <w:t>Clitoria ternatea</w:t>
      </w:r>
      <w:r>
        <w:t xml:space="preserve"> L.): Extraction and application as a food freshness pH-indicator for polymer-based intelligent packaging. </w:t>
      </w:r>
      <w:r>
        <w:rPr>
          <w:i/>
          <w:iCs/>
        </w:rPr>
        <w:t>Polymers, 15</w:t>
      </w:r>
      <w:r>
        <w:t>(11), Article 2541. https://doi.org/10.3390/polym15112541</w:t>
      </w:r>
    </w:p>
    <w:p w14:paraId="3D7448C3" w14:textId="77777777" w:rsidR="00C27D3D" w:rsidRDefault="00000000" w:rsidP="0026265B">
      <w:pPr>
        <w:spacing w:before="100" w:beforeAutospacing="1" w:after="100" w:afterAutospacing="1"/>
        <w:ind w:left="720" w:hanging="720"/>
      </w:pPr>
      <w:r>
        <w:t>Ichiyanagi, T., Nashimoto, M., &amp; Terahara, N. (2021). Gastrointestinal absorption of ternatins, polyacylated anthocyanins derived from butterfly pea (</w:t>
      </w:r>
      <w:r>
        <w:rPr>
          <w:i/>
          <w:iCs/>
        </w:rPr>
        <w:t>Clitoria ternatea</w:t>
      </w:r>
      <w:r>
        <w:t xml:space="preserve"> L.) petals in rats. </w:t>
      </w:r>
      <w:r>
        <w:rPr>
          <w:i/>
          <w:iCs/>
        </w:rPr>
        <w:t>BPB Reports, 4</w:t>
      </w:r>
      <w:r>
        <w:t>(4), 136–141. https://www.jstage.jst.go.jp/article/bpbreports/4/4/4_136/_html/-char/en</w:t>
      </w:r>
    </w:p>
    <w:p w14:paraId="311846AB" w14:textId="77777777" w:rsidR="00C27D3D" w:rsidRDefault="00000000" w:rsidP="0026265B">
      <w:pPr>
        <w:spacing w:before="100" w:beforeAutospacing="1" w:after="100" w:afterAutospacing="1"/>
        <w:ind w:left="720" w:hanging="720"/>
      </w:pPr>
      <w:r>
        <w:t xml:space="preserve">Jeyaraj, E. J., Lim, Y. Y., &amp; Choo, W. S. (2021a). Effect of organic solvents and water extraction on the phytochemical profile and antioxidant activity of </w:t>
      </w:r>
      <w:r>
        <w:rPr>
          <w:i/>
          <w:iCs/>
        </w:rPr>
        <w:t>Clitoria ternatea</w:t>
      </w:r>
      <w:r>
        <w:t xml:space="preserve"> flowers. </w:t>
      </w:r>
      <w:r>
        <w:rPr>
          <w:i/>
          <w:iCs/>
        </w:rPr>
        <w:t>ACS Food Science &amp; Technology, 1</w:t>
      </w:r>
      <w:r>
        <w:t>(9), 1567–1577. https://doi.org/10.1021/acsfoodscitech.1c00168</w:t>
      </w:r>
    </w:p>
    <w:p w14:paraId="0B5BE232" w14:textId="77777777" w:rsidR="00C27D3D" w:rsidRDefault="00000000" w:rsidP="0026265B">
      <w:pPr>
        <w:spacing w:before="100" w:beforeAutospacing="1" w:after="100" w:afterAutospacing="1"/>
        <w:ind w:left="720" w:hanging="720"/>
      </w:pPr>
      <w:r>
        <w:t>Jeyaraj, E. J., Lim, Y. Y., &amp; Choo, W. S. (2021b). Extraction methods of butterfly pea (</w:t>
      </w:r>
      <w:r>
        <w:rPr>
          <w:i/>
          <w:iCs/>
        </w:rPr>
        <w:t>Clitoria ternatea</w:t>
      </w:r>
      <w:r>
        <w:t xml:space="preserve">) flower and biological activities of its phytochemicals. </w:t>
      </w:r>
      <w:r>
        <w:rPr>
          <w:i/>
          <w:iCs/>
        </w:rPr>
        <w:t>Journal of Food Science and Technology, 58</w:t>
      </w:r>
      <w:r>
        <w:t>(6), 2054–2067. https://doi.org/10.1007/s13197-020-04745-3</w:t>
      </w:r>
    </w:p>
    <w:p w14:paraId="5F0143FF" w14:textId="77777777" w:rsidR="00C27D3D" w:rsidRDefault="00000000" w:rsidP="0026265B">
      <w:pPr>
        <w:spacing w:before="100" w:beforeAutospacing="1" w:after="100" w:afterAutospacing="1"/>
        <w:ind w:left="720" w:hanging="720"/>
      </w:pPr>
      <w:r>
        <w:t xml:space="preserve">Jeyaraj, E. J., Lim, Y. Y., &amp; Choo, W. S. (2022). Antioxidant, cytotoxic, and antibacterial activities of </w:t>
      </w:r>
      <w:r>
        <w:rPr>
          <w:i/>
          <w:iCs/>
        </w:rPr>
        <w:t>Clitoria ternatea</w:t>
      </w:r>
      <w:r>
        <w:t xml:space="preserve"> flower extracts and anthocyanin-rich fraction. </w:t>
      </w:r>
      <w:r>
        <w:rPr>
          <w:i/>
          <w:iCs/>
        </w:rPr>
        <w:t>Scientific Reports, 12</w:t>
      </w:r>
      <w:r>
        <w:t>(1), Article 14890. https://doi.org/10.1038/s41598-022-19146-z</w:t>
      </w:r>
    </w:p>
    <w:p w14:paraId="4E9A7171" w14:textId="77777777" w:rsidR="00C27D3D" w:rsidRDefault="00000000" w:rsidP="0026265B">
      <w:pPr>
        <w:spacing w:before="100" w:beforeAutospacing="1" w:after="100" w:afterAutospacing="1"/>
        <w:ind w:left="720" w:hanging="720"/>
      </w:pPr>
      <w:r>
        <w:lastRenderedPageBreak/>
        <w:t xml:space="preserve">Leong, C.-R., Kamarul Azizi, M. A., Taher, M. A., Ismail, N. F., Mohd Yusof, M. Y. Z., Yusof, S. R., Isa, M. I. N., Md Nor, N. A., Abdul Rahman, S. F., Yasin, H., Ismail, N., &amp; Mustafa, M. (2017). Anthocyanins from </w:t>
      </w:r>
      <w:r>
        <w:rPr>
          <w:i/>
          <w:iCs/>
        </w:rPr>
        <w:t>Clitoria ternatea</w:t>
      </w:r>
      <w:r>
        <w:t xml:space="preserve"> attenuate food-borne </w:t>
      </w:r>
      <w:r>
        <w:rPr>
          <w:i/>
          <w:iCs/>
        </w:rPr>
        <w:t>Penicillium expansum</w:t>
      </w:r>
      <w:r>
        <w:t xml:space="preserve"> and its potential application as food biopreservative. </w:t>
      </w:r>
      <w:r>
        <w:rPr>
          <w:i/>
          <w:iCs/>
        </w:rPr>
        <w:t>Natural Product Sciences, 23</w:t>
      </w:r>
      <w:r>
        <w:t>(2), 125–131. https://doi.org/10.20307/nps.2017.23.2.125</w:t>
      </w:r>
    </w:p>
    <w:p w14:paraId="15FED3CB" w14:textId="77777777" w:rsidR="00C27D3D" w:rsidRDefault="00000000" w:rsidP="0026265B">
      <w:pPr>
        <w:spacing w:before="100" w:beforeAutospacing="1" w:after="100" w:afterAutospacing="1"/>
        <w:ind w:left="720" w:hanging="720"/>
      </w:pPr>
      <w:r>
        <w:t xml:space="preserve">Maia, N. M. A., Andressa, I., Cunha, J. S., Costa, N. A., Oliveira, E. B., Leite Júnior, B. R. C., &amp; Vieira, É. N. R. (2025a). </w:t>
      </w:r>
      <w:r>
        <w:rPr>
          <w:i/>
          <w:iCs/>
        </w:rPr>
        <w:t>Clitoria ternatea</w:t>
      </w:r>
      <w:r>
        <w:t xml:space="preserve">: Perspectives on its application in foods and potential health benefits. </w:t>
      </w:r>
      <w:r>
        <w:rPr>
          <w:i/>
          <w:iCs/>
        </w:rPr>
        <w:t>Plants, 14</w:t>
      </w:r>
      <w:r>
        <w:t>(21), Article 3322. https://doi.org/10.3390/plants14213322</w:t>
      </w:r>
    </w:p>
    <w:p w14:paraId="6C0FE11E" w14:textId="77777777" w:rsidR="00C27D3D" w:rsidRDefault="00000000" w:rsidP="0026265B">
      <w:pPr>
        <w:spacing w:before="100" w:beforeAutospacing="1" w:after="100" w:afterAutospacing="1"/>
        <w:ind w:left="720" w:hanging="720"/>
      </w:pPr>
      <w:r>
        <w:t>Maia, N. M. A., Andressa, I., Cunha, J. S., Costa, N. A., Borges, L. L. R., Fontes, E. A. F., Oliveira, E. B., Leite Júnior, B. R. C., Bhering, L. L., Saldaña, M. D. A., &amp; Vieira, É. N. R. (2025b). Optimization of ultrasound-assisted obtention of bluish anthocyanin extracts from butterfly pea (</w:t>
      </w:r>
      <w:r>
        <w:rPr>
          <w:i/>
          <w:iCs/>
        </w:rPr>
        <w:t>Clitoria ternatea</w:t>
      </w:r>
      <w:r>
        <w:t xml:space="preserve">) petal powders using natural deep eutectic solvents. </w:t>
      </w:r>
      <w:r>
        <w:rPr>
          <w:i/>
          <w:iCs/>
        </w:rPr>
        <w:t>Plants, 14</w:t>
      </w:r>
      <w:r>
        <w:t>(7), Article 1042. https://doi.org/10.3390/plants14071042</w:t>
      </w:r>
    </w:p>
    <w:p w14:paraId="383C3BF4" w14:textId="77777777" w:rsidR="00C27D3D" w:rsidRDefault="00000000" w:rsidP="0026265B">
      <w:pPr>
        <w:spacing w:before="100" w:beforeAutospacing="1" w:after="100" w:afterAutospacing="1"/>
        <w:ind w:left="720" w:hanging="720"/>
      </w:pPr>
      <w:r>
        <w:t>Maneechot, O., Hahor, W., Thongprajukaew, K., Nuntapong, N., &amp; Bubaka, S. (2023). A natural blue colorant from butterfly pea (</w:t>
      </w:r>
      <w:r>
        <w:rPr>
          <w:i/>
          <w:iCs/>
        </w:rPr>
        <w:t>Clitoria ternatea</w:t>
      </w:r>
      <w:r>
        <w:t xml:space="preserve">) petals for traditional rice cooking. </w:t>
      </w:r>
      <w:r>
        <w:rPr>
          <w:i/>
          <w:iCs/>
        </w:rPr>
        <w:t>Journal of Food Science and Technology, 60</w:t>
      </w:r>
      <w:r>
        <w:t>(8), 2255–2264. https://doi.org/10.1007/s13197-023-05752-w</w:t>
      </w:r>
    </w:p>
    <w:p w14:paraId="79D4C373" w14:textId="77777777" w:rsidR="00C27D3D" w:rsidRDefault="00000000" w:rsidP="0026265B">
      <w:pPr>
        <w:spacing w:before="100" w:beforeAutospacing="1" w:after="100" w:afterAutospacing="1"/>
        <w:ind w:left="720" w:hanging="720"/>
      </w:pPr>
      <w:r>
        <w:t>Marpaung, A. M., Lee, M., &amp; Kartawiria, I. S. (2020). The development of butterfly pea (</w:t>
      </w:r>
      <w:r>
        <w:rPr>
          <w:i/>
          <w:iCs/>
        </w:rPr>
        <w:t>Clitoria ternatea</w:t>
      </w:r>
      <w:r>
        <w:t xml:space="preserve">) flower powder drink by co-crystallization. </w:t>
      </w:r>
      <w:r>
        <w:rPr>
          <w:i/>
          <w:iCs/>
        </w:rPr>
        <w:t>Indonesian Food Science &amp; Technology Journal, 3</w:t>
      </w:r>
      <w:r>
        <w:t>(2), 34–37. https://doi.org/10.22437/ifstj.v3i2.10185</w:t>
      </w:r>
    </w:p>
    <w:p w14:paraId="725AFB60" w14:textId="77777777" w:rsidR="00C27D3D" w:rsidRDefault="00000000" w:rsidP="0026265B">
      <w:pPr>
        <w:spacing w:before="100" w:beforeAutospacing="1" w:after="100" w:afterAutospacing="1"/>
        <w:ind w:left="720" w:hanging="720"/>
      </w:pPr>
      <w:r>
        <w:t>Marsin, A. M., Jusoh, Y. M. M., Abang, D. N., Zaidel, Z. H., Yusof, A. H. M., &amp; Muhamad, I. I. (2020). Microwave-assisted encapsulation of blue pea flower (</w:t>
      </w:r>
      <w:r>
        <w:rPr>
          <w:i/>
          <w:iCs/>
        </w:rPr>
        <w:t>Clitoria ternatea</w:t>
      </w:r>
      <w:r>
        <w:t xml:space="preserve">) colourant: Maltodextrin concentration, power, and time. </w:t>
      </w:r>
      <w:r>
        <w:rPr>
          <w:i/>
          <w:iCs/>
        </w:rPr>
        <w:t>Chemical Engineering Transactions, 78</w:t>
      </w:r>
      <w:r>
        <w:t>, 199–204. https://doi.org/10.3303/CET2078034</w:t>
      </w:r>
    </w:p>
    <w:p w14:paraId="276A8198" w14:textId="77777777" w:rsidR="00C27D3D" w:rsidRDefault="00000000" w:rsidP="0026265B">
      <w:pPr>
        <w:spacing w:before="100" w:beforeAutospacing="1" w:after="100" w:afterAutospacing="1"/>
        <w:ind w:left="720" w:hanging="720"/>
      </w:pPr>
      <w:r>
        <w:t>Mehmood, A., Ishaq, M., Zhao, L., Yaqoob, S., Safdar, B., Nadeem, M., Munir, M., &amp; Wang, C. (2019). Impact of ultrasound and conventional extraction techniques on bioactive compounds and biological activities of blue butterfly pea flower (</w:t>
      </w:r>
      <w:r>
        <w:rPr>
          <w:i/>
          <w:iCs/>
        </w:rPr>
        <w:t>Clitoria ternatea</w:t>
      </w:r>
      <w:r>
        <w:t xml:space="preserve"> L.). </w:t>
      </w:r>
      <w:r>
        <w:rPr>
          <w:i/>
          <w:iCs/>
        </w:rPr>
        <w:t>Ultrasonics Sonochemistry, 51</w:t>
      </w:r>
      <w:r>
        <w:t>, 12–19. https://doi.org/10.1016/j.ultsonch.2018.10.013</w:t>
      </w:r>
    </w:p>
    <w:p w14:paraId="3BFA7777" w14:textId="77777777" w:rsidR="00C27D3D" w:rsidRDefault="00000000" w:rsidP="0026265B">
      <w:pPr>
        <w:spacing w:before="100" w:beforeAutospacing="1" w:after="100" w:afterAutospacing="1"/>
        <w:ind w:left="720" w:hanging="720"/>
      </w:pPr>
      <w:r>
        <w:t xml:space="preserve">Multisona, R. R., Shirodkar, S., Arnold, M., &amp; Gramza-Michalowska, A. (2023). </w:t>
      </w:r>
      <w:r>
        <w:rPr>
          <w:i/>
          <w:iCs/>
        </w:rPr>
        <w:t>Clitoria ternatea</w:t>
      </w:r>
      <w:r>
        <w:t xml:space="preserve"> flower and its bioactive compounds: Potential use as microencapsulated ingredient for functional foods. </w:t>
      </w:r>
      <w:r>
        <w:rPr>
          <w:i/>
          <w:iCs/>
        </w:rPr>
        <w:t>Applied Sciences, 13</w:t>
      </w:r>
      <w:r>
        <w:t>(4), Article 2134. https://doi.org/10.3390/app13042134</w:t>
      </w:r>
    </w:p>
    <w:p w14:paraId="12C5E281" w14:textId="77777777" w:rsidR="00C27D3D" w:rsidRDefault="00000000" w:rsidP="0026265B">
      <w:pPr>
        <w:spacing w:before="100" w:beforeAutospacing="1" w:after="100" w:afterAutospacing="1"/>
        <w:ind w:left="720" w:hanging="720"/>
      </w:pPr>
      <w:r>
        <w:t>Nair, V., Bang, W. Y., Schreckinger, E., Andarwulan, N., &amp; Cisneros-Zevallos, L. (2015). Protective role of ternatin anthocyanins and quercetin glycosides from butterfly pea (</w:t>
      </w:r>
      <w:r>
        <w:rPr>
          <w:i/>
          <w:iCs/>
        </w:rPr>
        <w:t>Clitoria ternatea</w:t>
      </w:r>
      <w:r>
        <w:t xml:space="preserve"> Leguminosae) blue flower petals against lipopolysaccharide (LPS)-induced inflammation in macrophage cells. </w:t>
      </w:r>
      <w:r>
        <w:rPr>
          <w:i/>
          <w:iCs/>
        </w:rPr>
        <w:t>Journal of Agricultural and Food Chemistry, 63</w:t>
      </w:r>
      <w:r>
        <w:t>(24), 6355–6365. https://doi.org/10.1021/acs.jafc.5b00901</w:t>
      </w:r>
    </w:p>
    <w:p w14:paraId="4C8F3346" w14:textId="77777777" w:rsidR="00C27D3D" w:rsidRDefault="00000000" w:rsidP="0026265B">
      <w:pPr>
        <w:spacing w:before="100" w:beforeAutospacing="1" w:after="100" w:afterAutospacing="1"/>
        <w:ind w:left="720" w:hanging="720"/>
      </w:pPr>
      <w:r>
        <w:lastRenderedPageBreak/>
        <w:t xml:space="preserve">Nithianantham, K., Ping, K. Y., Latha, L. Y., Jothy, S. L., Darah, I., Chen, Y., Chew, A. L., &amp; Sasidharan, S. (2013). Evaluation of hepatoprotective effect of methanolic extract of </w:t>
      </w:r>
      <w:r>
        <w:rPr>
          <w:i/>
          <w:iCs/>
        </w:rPr>
        <w:t>Clitoria ternatea</w:t>
      </w:r>
      <w:r>
        <w:t xml:space="preserve"> (Linn.) flower against acetaminophen-induced liver damage. </w:t>
      </w:r>
      <w:r>
        <w:rPr>
          <w:i/>
          <w:iCs/>
        </w:rPr>
        <w:t>Asian Pacific Journal of Tropical Disease, 3</w:t>
      </w:r>
      <w:r>
        <w:t>(4), 314–319.</w:t>
      </w:r>
    </w:p>
    <w:p w14:paraId="2CAED80D" w14:textId="77777777" w:rsidR="00C27D3D" w:rsidRDefault="00000000" w:rsidP="0026265B">
      <w:pPr>
        <w:spacing w:before="100" w:beforeAutospacing="1" w:after="100" w:afterAutospacing="1"/>
        <w:ind w:left="720" w:hanging="720"/>
      </w:pPr>
      <w:r>
        <w:t>Oguis, G. K., Gilding, E. K., Jackson, M. A., &amp; Craik, D. J. (2019). Butterfly pea (</w:t>
      </w:r>
      <w:r>
        <w:rPr>
          <w:i/>
          <w:iCs/>
        </w:rPr>
        <w:t>Clitoria ternatea</w:t>
      </w:r>
      <w:r>
        <w:t xml:space="preserve">), a cyclotide-bearing plant with applications in agriculture and medicine. </w:t>
      </w:r>
      <w:r>
        <w:rPr>
          <w:i/>
          <w:iCs/>
        </w:rPr>
        <w:t>Frontiers in Plant Science, 10</w:t>
      </w:r>
      <w:r>
        <w:t>, Article 645. https://doi.org/10.3389/fpls.2019.00645</w:t>
      </w:r>
    </w:p>
    <w:p w14:paraId="4AA33979" w14:textId="77777777" w:rsidR="00C27D3D" w:rsidRDefault="00000000" w:rsidP="0026265B">
      <w:pPr>
        <w:spacing w:before="100" w:beforeAutospacing="1" w:after="100" w:afterAutospacing="1"/>
        <w:ind w:left="720" w:hanging="720"/>
      </w:pPr>
      <w:r>
        <w:t xml:space="preserve">Pasukamonset, P., Kwon, O., &amp; Adisakwattana, S. (2016). Alginate-based encapsulation of polyphenols from </w:t>
      </w:r>
      <w:r>
        <w:rPr>
          <w:i/>
          <w:iCs/>
        </w:rPr>
        <w:t>Clitoria ternatea</w:t>
      </w:r>
      <w:r>
        <w:t xml:space="preserve"> petal flower extract enhances stability and biological activity under simulated gastrointestinal conditions. </w:t>
      </w:r>
      <w:r>
        <w:rPr>
          <w:i/>
          <w:iCs/>
        </w:rPr>
        <w:t>Food Hydrocolloids, 61</w:t>
      </w:r>
      <w:r>
        <w:t>, 772–779. https://doi.org/10.1016/j.foodhyd.2016.06.039</w:t>
      </w:r>
    </w:p>
    <w:p w14:paraId="72E0AD1F" w14:textId="77777777" w:rsidR="00C27D3D" w:rsidRDefault="00000000" w:rsidP="0026265B">
      <w:pPr>
        <w:spacing w:before="100" w:beforeAutospacing="1" w:after="100" w:afterAutospacing="1"/>
        <w:ind w:left="720" w:hanging="720"/>
      </w:pPr>
      <w:r>
        <w:t xml:space="preserve">Pasukamonset, P., Kwon, O., &amp; Adisakwattana, S. (2017). Oxidative stability of cooked pork patties incorporated with </w:t>
      </w:r>
      <w:r>
        <w:rPr>
          <w:i/>
          <w:iCs/>
        </w:rPr>
        <w:t>Clitoria ternatea</w:t>
      </w:r>
      <w:r>
        <w:t xml:space="preserve"> extract (blue pea flower petal) during refrigerated storage. </w:t>
      </w:r>
      <w:r>
        <w:rPr>
          <w:i/>
          <w:iCs/>
        </w:rPr>
        <w:t>Journal of Food Processing and Preservation, 41</w:t>
      </w:r>
      <w:r>
        <w:t>(5), Article e12751.</w:t>
      </w:r>
    </w:p>
    <w:p w14:paraId="305E7A1F" w14:textId="77777777" w:rsidR="00C27D3D" w:rsidRDefault="00000000" w:rsidP="0026265B">
      <w:pPr>
        <w:spacing w:before="100" w:beforeAutospacing="1" w:after="100" w:afterAutospacing="1"/>
        <w:ind w:left="720" w:hanging="720"/>
      </w:pPr>
      <w:r>
        <w:t xml:space="preserve">Pasukamonset, P., Pumalee, T., Sanguansuk, N., Chumyen, C., Wongvasu, P., Adisakwattana, S., &amp; Ngamukote, S. (2018). Physicochemical, antioxidant and sensory characteristics of sponge cakes fortified with </w:t>
      </w:r>
      <w:r>
        <w:rPr>
          <w:i/>
          <w:iCs/>
        </w:rPr>
        <w:t>Clitoria ternatea</w:t>
      </w:r>
      <w:r>
        <w:t xml:space="preserve"> extract. </w:t>
      </w:r>
      <w:r>
        <w:rPr>
          <w:i/>
          <w:iCs/>
        </w:rPr>
        <w:t>Journal of Food Science and Technology, 55</w:t>
      </w:r>
      <w:r>
        <w:t>(8), 2881–2889. https://doi.org/10.1007/s13197-018-3204-0</w:t>
      </w:r>
    </w:p>
    <w:p w14:paraId="337FB47B" w14:textId="77777777" w:rsidR="00C27D3D" w:rsidRDefault="00000000" w:rsidP="0026265B">
      <w:pPr>
        <w:spacing w:before="100" w:beforeAutospacing="1" w:after="100" w:afterAutospacing="1"/>
        <w:ind w:left="720" w:hanging="720"/>
      </w:pPr>
      <w:r>
        <w:t xml:space="preserve">Saito, N., Abe, K., Honda, T., Timberlake, C. F., &amp; Bridle, P. (1985). Acylated delphinidin glucosides and flavonols from </w:t>
      </w:r>
      <w:r>
        <w:rPr>
          <w:i/>
          <w:iCs/>
        </w:rPr>
        <w:t>Clitoria ternatea</w:t>
      </w:r>
      <w:r>
        <w:t xml:space="preserve">. </w:t>
      </w:r>
      <w:r>
        <w:rPr>
          <w:i/>
          <w:iCs/>
        </w:rPr>
        <w:t>Phytochemistry, 24</w:t>
      </w:r>
      <w:r>
        <w:t>(7), 1583–1586.</w:t>
      </w:r>
    </w:p>
    <w:p w14:paraId="453B9585" w14:textId="77777777" w:rsidR="00C27D3D" w:rsidRDefault="00000000" w:rsidP="0026265B">
      <w:pPr>
        <w:spacing w:before="100" w:beforeAutospacing="1" w:after="100" w:afterAutospacing="1"/>
        <w:ind w:left="720" w:hanging="720"/>
      </w:pPr>
      <w:r>
        <w:t xml:space="preserve">Santos, L. G., &amp; Martins, V. G. (2023). Optimization of the green extraction of polyphenols from the edible flower </w:t>
      </w:r>
      <w:r>
        <w:rPr>
          <w:i/>
          <w:iCs/>
        </w:rPr>
        <w:t>Clitoria ternatea</w:t>
      </w:r>
      <w:r>
        <w:t xml:space="preserve"> by high-power ultrasound: A comparative study with conventional extraction techniques. </w:t>
      </w:r>
      <w:r>
        <w:rPr>
          <w:i/>
          <w:iCs/>
        </w:rPr>
        <w:t>Journal of Applied Research on Medicinal and Aromatic Plants, 34</w:t>
      </w:r>
      <w:r>
        <w:t>, Article 100458. https://doi.org/10.1016/j.jarmap.2023.100458</w:t>
      </w:r>
    </w:p>
    <w:p w14:paraId="19E3EA0F" w14:textId="77777777" w:rsidR="00C27D3D" w:rsidRDefault="00000000" w:rsidP="0026265B">
      <w:pPr>
        <w:spacing w:before="100" w:beforeAutospacing="1" w:after="100" w:afterAutospacing="1"/>
        <w:ind w:left="720" w:hanging="720"/>
      </w:pPr>
      <w:r>
        <w:t xml:space="preserve">Terahara, N., Oda, M., Matsui, T., Osajima, Y., Saito, N., Toki, K., &amp; Honda, T. (1996). Five new anthocyanins, ternatins A3, B4, B3, B2, and D2, from </w:t>
      </w:r>
      <w:r>
        <w:rPr>
          <w:i/>
          <w:iCs/>
        </w:rPr>
        <w:t>Clitoria ternatea</w:t>
      </w:r>
      <w:r>
        <w:t xml:space="preserve"> flowers. </w:t>
      </w:r>
      <w:r>
        <w:rPr>
          <w:i/>
          <w:iCs/>
        </w:rPr>
        <w:t>Journal of Natural Products, 59</w:t>
      </w:r>
      <w:r>
        <w:t>(2), 139–144. https://doi.org/10.1021/np960050a</w:t>
      </w:r>
    </w:p>
    <w:p w14:paraId="5796F3A6" w14:textId="77777777" w:rsidR="00C27D3D" w:rsidRDefault="00000000" w:rsidP="0026265B">
      <w:pPr>
        <w:spacing w:before="100" w:beforeAutospacing="1" w:after="100" w:afterAutospacing="1"/>
        <w:ind w:left="720" w:hanging="720"/>
      </w:pPr>
      <w:r>
        <w:t xml:space="preserve">Terahara, N., Saito, N., Honda, T., Toki, K., &amp; Osajima, Y. (1989). Structure of ternatin D1, an acylated anthocyanin from </w:t>
      </w:r>
      <w:r>
        <w:rPr>
          <w:i/>
          <w:iCs/>
        </w:rPr>
        <w:t>Clitoria ternatea</w:t>
      </w:r>
      <w:r>
        <w:t xml:space="preserve"> flowers. </w:t>
      </w:r>
      <w:r>
        <w:rPr>
          <w:i/>
          <w:iCs/>
        </w:rPr>
        <w:t>Tetrahedron Letters, 30</w:t>
      </w:r>
      <w:r>
        <w:t>(39), 5305–5308.</w:t>
      </w:r>
    </w:p>
    <w:p w14:paraId="550E1BF8" w14:textId="77777777" w:rsidR="00C27D3D" w:rsidRDefault="00000000" w:rsidP="0026265B">
      <w:pPr>
        <w:spacing w:before="100" w:beforeAutospacing="1" w:after="100" w:afterAutospacing="1"/>
        <w:ind w:left="720" w:hanging="720"/>
      </w:pPr>
      <w:r>
        <w:t xml:space="preserve">Terahara, N., Saito, N., Honda, T., Toki, K., &amp; Osajima, Y. (1990). Structure of ternatin A1, the largest ternatin in the major blue anthocyanins from </w:t>
      </w:r>
      <w:r>
        <w:rPr>
          <w:i/>
          <w:iCs/>
        </w:rPr>
        <w:t>Clitoria ternatea</w:t>
      </w:r>
      <w:r>
        <w:t xml:space="preserve"> flowers. </w:t>
      </w:r>
      <w:r>
        <w:rPr>
          <w:i/>
          <w:iCs/>
        </w:rPr>
        <w:t>Tetrahedron Letters, 31</w:t>
      </w:r>
      <w:r>
        <w:t>(20), 2921–2924.</w:t>
      </w:r>
    </w:p>
    <w:p w14:paraId="1953CBD1" w14:textId="77777777" w:rsidR="00C27D3D" w:rsidRDefault="00000000" w:rsidP="0026265B">
      <w:pPr>
        <w:spacing w:before="100" w:beforeAutospacing="1" w:after="100" w:afterAutospacing="1"/>
        <w:ind w:left="720" w:hanging="720"/>
      </w:pPr>
      <w:r>
        <w:lastRenderedPageBreak/>
        <w:t xml:space="preserve">Terahara, N., Toki, K., Saito, N., Honda, T., Matsui, T., &amp; Osajima, Y. (1998). Eight new anthocyanins, ternatins C1–C5 and D3 and preternatins A3 and C4 from young </w:t>
      </w:r>
      <w:r>
        <w:rPr>
          <w:i/>
          <w:iCs/>
        </w:rPr>
        <w:t>Clitoria ternatea</w:t>
      </w:r>
      <w:r>
        <w:t xml:space="preserve"> flowers. </w:t>
      </w:r>
      <w:r>
        <w:rPr>
          <w:i/>
          <w:iCs/>
        </w:rPr>
        <w:t>Journal of Natural Products, 61</w:t>
      </w:r>
      <w:r>
        <w:t>(11), 1361–1367.</w:t>
      </w:r>
    </w:p>
    <w:p w14:paraId="3EBED8C8" w14:textId="77777777" w:rsidR="00C27D3D" w:rsidRDefault="00000000" w:rsidP="0026265B">
      <w:pPr>
        <w:spacing w:before="100" w:beforeAutospacing="1" w:after="100" w:afterAutospacing="1"/>
        <w:ind w:left="720" w:hanging="720"/>
      </w:pPr>
      <w:r>
        <w:t xml:space="preserve">Thilavech, T., Adisakwattana, S., Channuwong, P., Radarit, K., Jantarapat, K., Ngewlai, K., Sonprasan, N., &amp; Chusak, C. (2021). </w:t>
      </w:r>
      <w:r>
        <w:rPr>
          <w:i/>
          <w:iCs/>
        </w:rPr>
        <w:t>Clitoria ternatea</w:t>
      </w:r>
      <w:r>
        <w:t xml:space="preserve"> flower extract attenuates postprandial lipemia and increases plasma antioxidant status responses to a high-fat meal challenge in overweight and obese participants. </w:t>
      </w:r>
      <w:r>
        <w:rPr>
          <w:i/>
          <w:iCs/>
        </w:rPr>
        <w:t>Biology, 10</w:t>
      </w:r>
      <w:r>
        <w:t>(10), Article 975. https://doi.org/10.3390/biology10100975</w:t>
      </w:r>
    </w:p>
    <w:p w14:paraId="3A8F51EA" w14:textId="77777777" w:rsidR="00C27D3D" w:rsidRDefault="00000000" w:rsidP="0026265B">
      <w:pPr>
        <w:spacing w:before="100" w:beforeAutospacing="1" w:after="100" w:afterAutospacing="1"/>
        <w:ind w:left="720" w:hanging="720"/>
      </w:pPr>
      <w:r>
        <w:t xml:space="preserve">U.S. Food and Drug Administration. (2021, September 2). Listing of color additives exempt from certification; butterfly pea flower extract. </w:t>
      </w:r>
      <w:r>
        <w:rPr>
          <w:i/>
          <w:iCs/>
        </w:rPr>
        <w:t>Federal Register, 86</w:t>
      </w:r>
      <w:r>
        <w:t>(168), 49230–49234. https://www.govinfo.gov/content/pkg/FR-2021-09-02/html/2021-18995.htm</w:t>
      </w:r>
    </w:p>
    <w:p w14:paraId="27464F02" w14:textId="77777777" w:rsidR="00C27D3D" w:rsidRDefault="00000000" w:rsidP="0026265B">
      <w:pPr>
        <w:spacing w:before="100" w:beforeAutospacing="1" w:after="100" w:afterAutospacing="1"/>
        <w:ind w:left="720" w:hanging="720"/>
      </w:pPr>
      <w:r>
        <w:t xml:space="preserve">U.S. Food and Drug Administration. (2025, May 12). Listing of color additives exempt from certification; butterfly pea flower extract. </w:t>
      </w:r>
      <w:r>
        <w:rPr>
          <w:i/>
          <w:iCs/>
        </w:rPr>
        <w:t>Federal Register, 90</w:t>
      </w:r>
      <w:r>
        <w:t>(90). https://www.federalregister.gov/documents/2025/05/12/2025-08248/listing-of-color-additives-exempt-from-certification-butterfly-pea-flower-extract</w:t>
      </w:r>
    </w:p>
    <w:p w14:paraId="4F51C0C4" w14:textId="77777777" w:rsidR="00C27D3D" w:rsidRDefault="00000000" w:rsidP="0026265B">
      <w:pPr>
        <w:spacing w:before="100" w:beforeAutospacing="1" w:after="100" w:afterAutospacing="1"/>
        <w:ind w:left="720" w:hanging="720"/>
      </w:pPr>
      <w:r>
        <w:t xml:space="preserve">Vidana Gamage, G. C., Lim, Y. Y., &amp; Choo, W. S. (2021). Anthocyanins from </w:t>
      </w:r>
      <w:r>
        <w:rPr>
          <w:i/>
          <w:iCs/>
        </w:rPr>
        <w:t>Clitoria ternatea</w:t>
      </w:r>
      <w:r>
        <w:t xml:space="preserve"> flower: Biosynthesis, extraction, stability, antioxidant activity, and applications. </w:t>
      </w:r>
      <w:r>
        <w:rPr>
          <w:i/>
          <w:iCs/>
        </w:rPr>
        <w:t>Frontiers in Plant Science, 12</w:t>
      </w:r>
      <w:r>
        <w:t>, Article 792303. https://doi.org/10.3389/fpls.2021.792303</w:t>
      </w:r>
    </w:p>
    <w:p w14:paraId="0E5CEC28" w14:textId="77777777" w:rsidR="00C27D3D" w:rsidRDefault="00000000" w:rsidP="0026265B">
      <w:pPr>
        <w:spacing w:before="100" w:beforeAutospacing="1" w:after="100" w:afterAutospacing="1"/>
        <w:ind w:left="720" w:hanging="720"/>
      </w:pPr>
      <w:r>
        <w:t xml:space="preserve">Vuong, T. T., Srivichai, S., &amp; Hongsprabhas, P. (2021). Effect of sugar and CaCl2 concentration on fluorescence quenching characteristics of whey proteins by delphinidin derivatives from butterfly pea flower. </w:t>
      </w:r>
      <w:r>
        <w:rPr>
          <w:i/>
          <w:iCs/>
        </w:rPr>
        <w:t>Agriculture and Natural Resources, 55</w:t>
      </w:r>
      <w:r>
        <w:t>(4), 569–578. https://li01.tci-thaijo.org/index.php/anres/article/view/252039</w:t>
      </w:r>
    </w:p>
    <w:p w14:paraId="1DDC82EA" w14:textId="77777777" w:rsidR="00C27D3D" w:rsidRDefault="00000000" w:rsidP="0026265B">
      <w:pPr>
        <w:spacing w:before="100" w:beforeAutospacing="1" w:after="100" w:afterAutospacing="1"/>
        <w:ind w:left="720" w:hanging="720"/>
      </w:pPr>
      <w:r>
        <w:t xml:space="preserve">Wang, Y., Liu, T., Xie, Y., Li, N., Liu, Y., Wen, J., Zhang, M., Feng, W., Huang, J., Guo, Y., Kabbas Junior, T., Wang, D., &amp; Granato, D. (2022). </w:t>
      </w:r>
      <w:r>
        <w:rPr>
          <w:i/>
          <w:iCs/>
        </w:rPr>
        <w:t>Clitoria ternatea</w:t>
      </w:r>
      <w:r>
        <w:t xml:space="preserve"> blue petal extract protects against obesity, oxidative stress, and inflammation induced by a high-fat, high-fructose diet in C57BL/6 mice. </w:t>
      </w:r>
      <w:r>
        <w:rPr>
          <w:i/>
          <w:iCs/>
        </w:rPr>
        <w:t>Food Research International, 162</w:t>
      </w:r>
      <w:r>
        <w:t>, Article 112008. https://doi.org/10.1016/j.foodres.2022.112008</w:t>
      </w:r>
    </w:p>
    <w:sectPr w:rsidR="00C27D3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sama Abdulwahab" w:date="2026-07-23T17:12:00Z" w:initials="AA">
    <w:p w14:paraId="271FBD9F" w14:textId="77777777" w:rsidR="00584879" w:rsidRDefault="009F22B4" w:rsidP="00584879">
      <w:pPr>
        <w:pStyle w:val="CommentText"/>
      </w:pPr>
      <w:r>
        <w:rPr>
          <w:rStyle w:val="CommentReference"/>
        </w:rPr>
        <w:annotationRef/>
      </w:r>
      <w:r w:rsidR="00584879">
        <w:t>It is better to prepare an abbreviation list of all the abbreviations.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1FBD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28E94B" w16cex:dateUtc="2026-07-23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1FBD9F" w16cid:durableId="6D28E9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15E98" w14:textId="77777777" w:rsidR="00CB357B" w:rsidRDefault="00CB357B" w:rsidP="00A5325E">
      <w:r>
        <w:separator/>
      </w:r>
    </w:p>
  </w:endnote>
  <w:endnote w:type="continuationSeparator" w:id="0">
    <w:p w14:paraId="408C8CCE" w14:textId="77777777" w:rsidR="00CB357B" w:rsidRDefault="00CB357B" w:rsidP="00A53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B7893" w14:textId="77777777" w:rsidR="00A5325E" w:rsidRDefault="00A532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31969" w14:textId="77777777" w:rsidR="00A5325E" w:rsidRDefault="00A532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44748" w14:textId="77777777" w:rsidR="00A5325E" w:rsidRDefault="00A53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8EBC7" w14:textId="77777777" w:rsidR="00CB357B" w:rsidRDefault="00CB357B" w:rsidP="00A5325E">
      <w:r>
        <w:separator/>
      </w:r>
    </w:p>
  </w:footnote>
  <w:footnote w:type="continuationSeparator" w:id="0">
    <w:p w14:paraId="38F11DFA" w14:textId="77777777" w:rsidR="00CB357B" w:rsidRDefault="00CB357B" w:rsidP="00A53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F12E6" w14:textId="17CC8D5C" w:rsidR="00A5325E" w:rsidRDefault="00000000">
    <w:pPr>
      <w:pStyle w:val="Header"/>
    </w:pPr>
    <w:r>
      <w:rPr>
        <w:noProof/>
      </w:rPr>
      <w:pict w14:anchorId="7729C0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361938"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378D" w14:textId="06F55A39" w:rsidR="00A5325E" w:rsidRDefault="00000000">
    <w:pPr>
      <w:pStyle w:val="Header"/>
    </w:pPr>
    <w:r>
      <w:rPr>
        <w:noProof/>
      </w:rPr>
      <w:pict w14:anchorId="050AB6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361939"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D9AE7" w14:textId="073908F0" w:rsidR="00A5325E" w:rsidRDefault="00000000">
    <w:pPr>
      <w:pStyle w:val="Header"/>
    </w:pPr>
    <w:r>
      <w:rPr>
        <w:noProof/>
      </w:rPr>
      <w:pict w14:anchorId="4B75F4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0361937"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815F3"/>
    <w:multiLevelType w:val="hybridMultilevel"/>
    <w:tmpl w:val="3B1AA4EC"/>
    <w:lvl w:ilvl="0" w:tplc="7A9AEBE2">
      <w:start w:val="1"/>
      <w:numFmt w:val="bullet"/>
      <w:lvlText w:val="●"/>
      <w:lvlJc w:val="left"/>
      <w:pPr>
        <w:ind w:left="720" w:hanging="360"/>
      </w:pPr>
    </w:lvl>
    <w:lvl w:ilvl="1" w:tplc="E614166A">
      <w:start w:val="1"/>
      <w:numFmt w:val="bullet"/>
      <w:lvlText w:val="○"/>
      <w:lvlJc w:val="left"/>
      <w:pPr>
        <w:ind w:left="1440" w:hanging="360"/>
      </w:pPr>
    </w:lvl>
    <w:lvl w:ilvl="2" w:tplc="3052FF94">
      <w:start w:val="1"/>
      <w:numFmt w:val="bullet"/>
      <w:lvlText w:val="■"/>
      <w:lvlJc w:val="left"/>
      <w:pPr>
        <w:ind w:left="2160" w:hanging="360"/>
      </w:pPr>
    </w:lvl>
    <w:lvl w:ilvl="3" w:tplc="544C5336">
      <w:start w:val="1"/>
      <w:numFmt w:val="bullet"/>
      <w:lvlText w:val="●"/>
      <w:lvlJc w:val="left"/>
      <w:pPr>
        <w:ind w:left="2880" w:hanging="360"/>
      </w:pPr>
    </w:lvl>
    <w:lvl w:ilvl="4" w:tplc="B3A07708">
      <w:start w:val="1"/>
      <w:numFmt w:val="bullet"/>
      <w:lvlText w:val="○"/>
      <w:lvlJc w:val="left"/>
      <w:pPr>
        <w:ind w:left="3600" w:hanging="360"/>
      </w:pPr>
    </w:lvl>
    <w:lvl w:ilvl="5" w:tplc="0AACA63A">
      <w:start w:val="1"/>
      <w:numFmt w:val="bullet"/>
      <w:lvlText w:val="■"/>
      <w:lvlJc w:val="left"/>
      <w:pPr>
        <w:ind w:left="4320" w:hanging="360"/>
      </w:pPr>
    </w:lvl>
    <w:lvl w:ilvl="6" w:tplc="6F965240">
      <w:start w:val="1"/>
      <w:numFmt w:val="bullet"/>
      <w:lvlText w:val="●"/>
      <w:lvlJc w:val="left"/>
      <w:pPr>
        <w:ind w:left="5040" w:hanging="360"/>
      </w:pPr>
    </w:lvl>
    <w:lvl w:ilvl="7" w:tplc="E056D192">
      <w:start w:val="1"/>
      <w:numFmt w:val="bullet"/>
      <w:lvlText w:val="●"/>
      <w:lvlJc w:val="left"/>
      <w:pPr>
        <w:ind w:left="5760" w:hanging="360"/>
      </w:pPr>
    </w:lvl>
    <w:lvl w:ilvl="8" w:tplc="779619B4">
      <w:start w:val="1"/>
      <w:numFmt w:val="bullet"/>
      <w:lvlText w:val="●"/>
      <w:lvlJc w:val="left"/>
      <w:pPr>
        <w:ind w:left="6480" w:hanging="360"/>
      </w:pPr>
    </w:lvl>
  </w:abstractNum>
  <w:num w:numId="1" w16cid:durableId="1171875009">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sama Abdulwahab">
    <w15:presenceInfo w15:providerId="Windows Live" w15:userId="3098e16aeaa5d8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D3D"/>
    <w:rsid w:val="000E0CE2"/>
    <w:rsid w:val="001320EC"/>
    <w:rsid w:val="0026265B"/>
    <w:rsid w:val="004E29F6"/>
    <w:rsid w:val="00584879"/>
    <w:rsid w:val="00804411"/>
    <w:rsid w:val="008E7B9C"/>
    <w:rsid w:val="00955569"/>
    <w:rsid w:val="009F22B4"/>
    <w:rsid w:val="00A5325E"/>
    <w:rsid w:val="00C27D3D"/>
    <w:rsid w:val="00CB357B"/>
    <w:rsid w:val="00FC03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A447"/>
  <w15:docId w15:val="{1896FD0B-BFE3-42C6-8911-9F4E66A5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3864"/>
      <w:sz w:val="28"/>
      <w:szCs w:val="28"/>
    </w:rPr>
  </w:style>
  <w:style w:type="paragraph" w:styleId="Heading2">
    <w:name w:val="heading 2"/>
    <w:uiPriority w:val="9"/>
    <w:unhideWhenUsed/>
    <w:qFormat/>
    <w:pPr>
      <w:spacing w:before="280" w:after="160"/>
      <w:outlineLvl w:val="1"/>
    </w:pPr>
    <w:rPr>
      <w:b/>
      <w:bCs/>
      <w:i/>
      <w:iCs/>
      <w:color w:val="2E4E7E"/>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5325E"/>
    <w:pPr>
      <w:tabs>
        <w:tab w:val="center" w:pos="4680"/>
        <w:tab w:val="right" w:pos="9360"/>
      </w:tabs>
    </w:pPr>
  </w:style>
  <w:style w:type="character" w:customStyle="1" w:styleId="HeaderChar">
    <w:name w:val="Header Char"/>
    <w:basedOn w:val="DefaultParagraphFont"/>
    <w:link w:val="Header"/>
    <w:uiPriority w:val="99"/>
    <w:rsid w:val="00A5325E"/>
  </w:style>
  <w:style w:type="paragraph" w:styleId="Footer">
    <w:name w:val="footer"/>
    <w:basedOn w:val="Normal"/>
    <w:link w:val="FooterChar"/>
    <w:uiPriority w:val="99"/>
    <w:unhideWhenUsed/>
    <w:rsid w:val="00A5325E"/>
    <w:pPr>
      <w:tabs>
        <w:tab w:val="center" w:pos="4680"/>
        <w:tab w:val="right" w:pos="9360"/>
      </w:tabs>
    </w:pPr>
  </w:style>
  <w:style w:type="character" w:customStyle="1" w:styleId="FooterChar">
    <w:name w:val="Footer Char"/>
    <w:basedOn w:val="DefaultParagraphFont"/>
    <w:link w:val="Footer"/>
    <w:uiPriority w:val="99"/>
    <w:rsid w:val="00A5325E"/>
  </w:style>
  <w:style w:type="character" w:styleId="CommentReference">
    <w:name w:val="annotation reference"/>
    <w:basedOn w:val="DefaultParagraphFont"/>
    <w:uiPriority w:val="99"/>
    <w:semiHidden/>
    <w:unhideWhenUsed/>
    <w:rsid w:val="009F22B4"/>
    <w:rPr>
      <w:sz w:val="16"/>
      <w:szCs w:val="16"/>
    </w:rPr>
  </w:style>
  <w:style w:type="paragraph" w:styleId="CommentText">
    <w:name w:val="annotation text"/>
    <w:basedOn w:val="Normal"/>
    <w:link w:val="CommentTextChar"/>
    <w:uiPriority w:val="99"/>
    <w:unhideWhenUsed/>
    <w:rsid w:val="009F22B4"/>
    <w:rPr>
      <w:sz w:val="20"/>
      <w:szCs w:val="20"/>
    </w:rPr>
  </w:style>
  <w:style w:type="character" w:customStyle="1" w:styleId="CommentTextChar">
    <w:name w:val="Comment Text Char"/>
    <w:basedOn w:val="DefaultParagraphFont"/>
    <w:link w:val="CommentText"/>
    <w:uiPriority w:val="99"/>
    <w:rsid w:val="009F22B4"/>
    <w:rPr>
      <w:sz w:val="20"/>
      <w:szCs w:val="20"/>
    </w:rPr>
  </w:style>
  <w:style w:type="paragraph" w:styleId="CommentSubject">
    <w:name w:val="annotation subject"/>
    <w:basedOn w:val="CommentText"/>
    <w:next w:val="CommentText"/>
    <w:link w:val="CommentSubjectChar"/>
    <w:uiPriority w:val="99"/>
    <w:semiHidden/>
    <w:unhideWhenUsed/>
    <w:rsid w:val="009F22B4"/>
    <w:rPr>
      <w:b/>
      <w:bCs/>
    </w:rPr>
  </w:style>
  <w:style w:type="character" w:customStyle="1" w:styleId="CommentSubjectChar">
    <w:name w:val="Comment Subject Char"/>
    <w:basedOn w:val="CommentTextChar"/>
    <w:link w:val="CommentSubject"/>
    <w:uiPriority w:val="99"/>
    <w:semiHidden/>
    <w:rsid w:val="009F22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25</Pages>
  <Words>12505</Words>
  <Characters>71282</Characters>
  <Application>Microsoft Office Word</Application>
  <DocSecurity>0</DocSecurity>
  <Lines>594</Lines>
  <Paragraphs>167</Paragraphs>
  <ScaleCrop>false</ScaleCrop>
  <Company>HP</Company>
  <LinksUpToDate>false</LinksUpToDate>
  <CharactersWithSpaces>83620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Ausama Abdulwahab</cp:lastModifiedBy>
  <cp:revision>8</cp:revision>
  <dcterms:created xsi:type="dcterms:W3CDTF">2026-07-20T20:22:00Z</dcterms:created>
  <dcterms:modified xsi:type="dcterms:W3CDTF">2026-07-23T14:19:00Z</dcterms:modified>
</cp:coreProperties>
</file>