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6F3485" w:rsidRPr="009C4A21" w14:paraId="1ED6C730" w14:textId="77777777">
        <w:trPr>
          <w:trHeight w:val="20"/>
          <w:jc w:val="center"/>
        </w:trPr>
        <w:tc>
          <w:tcPr>
            <w:tcW w:w="1186" w:type="pct"/>
          </w:tcPr>
          <w:p w14:paraId="54FE230E" w14:textId="77777777" w:rsidR="006F3485" w:rsidRPr="009C4A21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9C4A21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3493A2BC" w14:textId="77777777" w:rsidR="006F3485" w:rsidRPr="009C4A21" w:rsidRDefault="006F3485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9C4A21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International Research in Medical and Pharmaceutical Sciences</w:t>
              </w:r>
            </w:hyperlink>
          </w:p>
        </w:tc>
      </w:tr>
      <w:tr w:rsidR="006F3485" w:rsidRPr="009C4A21" w14:paraId="660FA0C3" w14:textId="77777777">
        <w:trPr>
          <w:trHeight w:val="20"/>
          <w:jc w:val="center"/>
        </w:trPr>
        <w:tc>
          <w:tcPr>
            <w:tcW w:w="1186" w:type="pct"/>
          </w:tcPr>
          <w:p w14:paraId="30A43B74" w14:textId="77777777" w:rsidR="006F3485" w:rsidRPr="009C4A21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9C4A21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2789A1C4" w14:textId="6CE1B45B" w:rsidR="006F3485" w:rsidRPr="009C4A21" w:rsidRDefault="009A542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C4A2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Ms_JIRMEPS_15510</w:t>
            </w:r>
          </w:p>
        </w:tc>
      </w:tr>
      <w:tr w:rsidR="006F3485" w:rsidRPr="009C4A21" w14:paraId="011C683C" w14:textId="77777777">
        <w:trPr>
          <w:trHeight w:val="20"/>
          <w:jc w:val="center"/>
        </w:trPr>
        <w:tc>
          <w:tcPr>
            <w:tcW w:w="1186" w:type="pct"/>
          </w:tcPr>
          <w:p w14:paraId="00973A67" w14:textId="77777777" w:rsidR="006F3485" w:rsidRPr="009C4A21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9C4A21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44A82190" w14:textId="48EFF34B" w:rsidR="006F3485" w:rsidRPr="009C4A21" w:rsidRDefault="009A542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C4A21">
              <w:rPr>
                <w:rFonts w:ascii="Arial" w:hAnsi="Arial" w:cs="Arial"/>
                <w:b/>
                <w:sz w:val="20"/>
                <w:szCs w:val="20"/>
                <w:lang w:val="en-GB"/>
              </w:rPr>
              <w:t>Chemical Migration from Plastic Bottled-Water Containers under Environmental Stress: A Critical Review of Toxicological Mechanisms, Ecological Effects and Clinical Health Implications</w:t>
            </w:r>
          </w:p>
        </w:tc>
      </w:tr>
      <w:tr w:rsidR="006F3485" w:rsidRPr="009C4A21" w14:paraId="0FD76663" w14:textId="77777777">
        <w:trPr>
          <w:trHeight w:val="20"/>
          <w:jc w:val="center"/>
        </w:trPr>
        <w:tc>
          <w:tcPr>
            <w:tcW w:w="1186" w:type="pct"/>
          </w:tcPr>
          <w:p w14:paraId="39D77959" w14:textId="77777777" w:rsidR="006F3485" w:rsidRPr="009C4A21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9C4A21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1A5723FA" w14:textId="77777777" w:rsidR="006F3485" w:rsidRPr="009C4A21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C4A21">
              <w:rPr>
                <w:rFonts w:ascii="Arial" w:hAnsi="Arial" w:cs="Arial"/>
                <w:b/>
                <w:sz w:val="20"/>
                <w:szCs w:val="20"/>
                <w:lang w:val="en-GB"/>
              </w:rPr>
              <w:t>REVIEW ARTICLE</w:t>
            </w:r>
          </w:p>
          <w:p w14:paraId="1C0BE831" w14:textId="77777777" w:rsidR="006F3485" w:rsidRPr="009C4A21" w:rsidRDefault="006F348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</w:tbl>
    <w:p w14:paraId="557F9B7C" w14:textId="77777777" w:rsidR="006F3485" w:rsidRPr="009C4A21" w:rsidRDefault="006F3485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092D3F16" w14:textId="77777777" w:rsidR="006F3485" w:rsidRPr="009C4A21" w:rsidRDefault="006F3485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27D9EDB5" w14:textId="77777777" w:rsidR="006F3485" w:rsidRPr="009C4A21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9C4A21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</w:p>
    <w:p w14:paraId="6E8113DD" w14:textId="77777777" w:rsidR="006F3485" w:rsidRPr="009C4A21" w:rsidRDefault="006F3485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p w14:paraId="68E400B1" w14:textId="77777777" w:rsidR="006F3485" w:rsidRPr="009C4A21" w:rsidRDefault="006F3485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F3485" w:rsidRPr="009C4A21" w14:paraId="5182FE95" w14:textId="77777777">
        <w:trPr>
          <w:trHeight w:val="20"/>
          <w:jc w:val="center"/>
        </w:trPr>
        <w:tc>
          <w:tcPr>
            <w:tcW w:w="1666" w:type="pct"/>
            <w:noWrap/>
          </w:tcPr>
          <w:p w14:paraId="0DFB6670" w14:textId="77777777" w:rsidR="006F3485" w:rsidRPr="009C4A21" w:rsidRDefault="006F3485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0958BE4" w14:textId="77777777" w:rsidR="006F3485" w:rsidRPr="009C4A21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C4A2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04245BF6" w14:textId="77777777" w:rsidR="006F3485" w:rsidRPr="009C4A21" w:rsidRDefault="00000000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9C4A21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9C4A21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01E88D57" w14:textId="77777777" w:rsidR="006F3485" w:rsidRPr="009C4A21" w:rsidRDefault="006F3485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F3485" w:rsidRPr="009C4A21" w14:paraId="39206B68" w14:textId="77777777">
        <w:trPr>
          <w:trHeight w:val="20"/>
          <w:jc w:val="center"/>
        </w:trPr>
        <w:tc>
          <w:tcPr>
            <w:tcW w:w="1666" w:type="pct"/>
            <w:noWrap/>
          </w:tcPr>
          <w:p w14:paraId="296D68A2" w14:textId="77777777" w:rsidR="006F3485" w:rsidRPr="009C4A21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C4A2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9C4A21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be required for this part.</w:t>
            </w:r>
          </w:p>
          <w:p w14:paraId="6553E757" w14:textId="77777777" w:rsidR="006F3485" w:rsidRPr="009C4A21" w:rsidRDefault="006F3485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EDEE24D" w14:textId="1BB43A98" w:rsidR="006F3485" w:rsidRPr="009C4A21" w:rsidRDefault="009F2018" w:rsidP="009F2018">
            <w:pPr>
              <w:contextualSpacing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C4A21">
              <w:rPr>
                <w:rFonts w:ascii="Arial" w:hAnsi="Arial" w:cs="Arial"/>
                <w:sz w:val="20"/>
                <w:szCs w:val="20"/>
              </w:rPr>
              <w:t>The topic is important and timely because the manuscript connects chemical migration, micro-/</w:t>
            </w:r>
            <w:proofErr w:type="spellStart"/>
            <w:r w:rsidRPr="009C4A21">
              <w:rPr>
                <w:rFonts w:ascii="Arial" w:hAnsi="Arial" w:cs="Arial"/>
                <w:sz w:val="20"/>
                <w:szCs w:val="20"/>
              </w:rPr>
              <w:t>nanoplastic</w:t>
            </w:r>
            <w:proofErr w:type="spellEnd"/>
            <w:r w:rsidRPr="009C4A21">
              <w:rPr>
                <w:rFonts w:ascii="Arial" w:hAnsi="Arial" w:cs="Arial"/>
                <w:sz w:val="20"/>
                <w:szCs w:val="20"/>
              </w:rPr>
              <w:t xml:space="preserve"> release, toxicological mechanisms, ecological consequences, and clinical interpretation rather than treating these as isolated issues. The manuscript appropriately emphasizes that detection of a chemical or particle does not by itself establish its source or clinical risk. This is one of the stronger aspects of the review.</w:t>
            </w:r>
          </w:p>
        </w:tc>
        <w:tc>
          <w:tcPr>
            <w:tcW w:w="1667" w:type="pct"/>
          </w:tcPr>
          <w:p w14:paraId="279C7AD1" w14:textId="77777777" w:rsidR="006F3485" w:rsidRPr="009C4A21" w:rsidRDefault="006F3485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BC55990" w14:textId="77777777" w:rsidR="006F3485" w:rsidRPr="009C4A21" w:rsidRDefault="006F3485">
      <w:pPr>
        <w:rPr>
          <w:rFonts w:ascii="Arial" w:hAnsi="Arial" w:cs="Arial"/>
          <w:sz w:val="20"/>
          <w:szCs w:val="20"/>
          <w:lang w:val="en-GB"/>
        </w:rPr>
      </w:pPr>
    </w:p>
    <w:p w14:paraId="4D09A88D" w14:textId="77777777" w:rsidR="006F3485" w:rsidRPr="009C4A21" w:rsidRDefault="006F3485">
      <w:pPr>
        <w:rPr>
          <w:rFonts w:ascii="Arial" w:hAnsi="Arial" w:cs="Arial"/>
          <w:sz w:val="20"/>
          <w:szCs w:val="20"/>
          <w:lang w:val="en-GB"/>
        </w:rPr>
      </w:pPr>
    </w:p>
    <w:p w14:paraId="7FDFB64E" w14:textId="77777777" w:rsidR="00B73797" w:rsidRPr="009C4A21" w:rsidRDefault="00B73797" w:rsidP="00B73797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9C4A21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7906BA4E" w14:textId="77777777" w:rsidR="006F3485" w:rsidRPr="009C4A21" w:rsidRDefault="006F3485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F3485" w:rsidRPr="009C4A21" w14:paraId="5819BA1D" w14:textId="77777777">
        <w:trPr>
          <w:trHeight w:val="20"/>
          <w:jc w:val="center"/>
        </w:trPr>
        <w:tc>
          <w:tcPr>
            <w:tcW w:w="1666" w:type="pct"/>
            <w:noWrap/>
          </w:tcPr>
          <w:p w14:paraId="12264B62" w14:textId="77777777" w:rsidR="006F3485" w:rsidRPr="009C4A21" w:rsidRDefault="006F3485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226AA9E" w14:textId="77777777" w:rsidR="006F3485" w:rsidRPr="009C4A21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C4A2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</w:tcPr>
          <w:p w14:paraId="006C5C33" w14:textId="0F8A74EA" w:rsidR="006F3485" w:rsidRPr="009C4A21" w:rsidRDefault="00000000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C4A21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9C4A21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F775F6" w:rsidRPr="009C4A21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F775F6" w:rsidRPr="009C4A21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6F3485" w:rsidRPr="009C4A21" w14:paraId="4A69A9B5" w14:textId="77777777">
        <w:trPr>
          <w:trHeight w:val="20"/>
          <w:jc w:val="center"/>
        </w:trPr>
        <w:tc>
          <w:tcPr>
            <w:tcW w:w="1666" w:type="pct"/>
            <w:noWrap/>
          </w:tcPr>
          <w:p w14:paraId="6E05BD1B" w14:textId="77777777" w:rsidR="006F3485" w:rsidRPr="009C4A21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C4A2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paper? </w:t>
            </w:r>
          </w:p>
          <w:p w14:paraId="6D34A08E" w14:textId="77777777" w:rsidR="006F3485" w:rsidRPr="009C4A2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C4A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7004938" w14:textId="77777777" w:rsidR="006F3485" w:rsidRPr="009C4A21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9C4A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105B6E6" w14:textId="1714B7FA" w:rsidR="006F3485" w:rsidRPr="009C4A21" w:rsidRDefault="009F2018" w:rsidP="009F2018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C4A2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4, </w:t>
            </w:r>
            <w:r w:rsidRPr="009C4A21">
              <w:rPr>
                <w:rFonts w:ascii="Arial" w:hAnsi="Arial" w:cs="Arial"/>
                <w:sz w:val="20"/>
                <w:szCs w:val="20"/>
              </w:rPr>
              <w:t>Appropriate and accurately reflects the scope, although it is quite long. It could be shortened without losing the central concepts.</w:t>
            </w:r>
          </w:p>
        </w:tc>
        <w:tc>
          <w:tcPr>
            <w:tcW w:w="1667" w:type="pct"/>
          </w:tcPr>
          <w:p w14:paraId="534648F4" w14:textId="77777777" w:rsidR="006F3485" w:rsidRPr="009C4A21" w:rsidRDefault="006F3485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F3485" w:rsidRPr="009C4A21" w14:paraId="13925CDE" w14:textId="77777777">
        <w:trPr>
          <w:trHeight w:val="20"/>
          <w:jc w:val="center"/>
        </w:trPr>
        <w:tc>
          <w:tcPr>
            <w:tcW w:w="1666" w:type="pct"/>
            <w:noWrap/>
          </w:tcPr>
          <w:p w14:paraId="52A06DBA" w14:textId="77777777" w:rsidR="006F3485" w:rsidRPr="009C4A21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C4A2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6F9E64C4" w14:textId="77777777" w:rsidR="006F3485" w:rsidRPr="009C4A2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C4A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A8C9822" w14:textId="77777777" w:rsidR="006F3485" w:rsidRPr="009C4A21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C4A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EB51D9A" w14:textId="1F313F10" w:rsidR="006F3485" w:rsidRPr="009C4A21" w:rsidRDefault="009F2018" w:rsidP="009F2018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C4A2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4, </w:t>
            </w:r>
            <w:r w:rsidRPr="009C4A21">
              <w:rPr>
                <w:rFonts w:ascii="Arial" w:hAnsi="Arial" w:cs="Arial"/>
                <w:sz w:val="20"/>
                <w:szCs w:val="20"/>
              </w:rPr>
              <w:t>The abstract clearly identifies the review scope, search period, principal findings and clinical interpretation. It appropriately distinguishes migration from demonstrated disease risk.</w:t>
            </w:r>
          </w:p>
        </w:tc>
        <w:tc>
          <w:tcPr>
            <w:tcW w:w="1667" w:type="pct"/>
          </w:tcPr>
          <w:p w14:paraId="353D8133" w14:textId="77777777" w:rsidR="006F3485" w:rsidRPr="009C4A21" w:rsidRDefault="006F3485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F3485" w:rsidRPr="009C4A21" w14:paraId="001BA7CC" w14:textId="77777777">
        <w:trPr>
          <w:trHeight w:val="20"/>
          <w:jc w:val="center"/>
        </w:trPr>
        <w:tc>
          <w:tcPr>
            <w:tcW w:w="1666" w:type="pct"/>
            <w:noWrap/>
          </w:tcPr>
          <w:p w14:paraId="7101743B" w14:textId="77777777" w:rsidR="006F3485" w:rsidRPr="009C4A21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C4A2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5FD4F57D" w14:textId="77777777" w:rsidR="006F3485" w:rsidRPr="009C4A2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C4A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7DAB892" w14:textId="77777777" w:rsidR="006F3485" w:rsidRPr="009C4A21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C4A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CE76BB0" w14:textId="5ED9949D" w:rsidR="006F3485" w:rsidRPr="009C4A21" w:rsidRDefault="009F2018" w:rsidP="009F2018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C4A2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4, </w:t>
            </w:r>
            <w:r w:rsidRPr="009C4A21">
              <w:rPr>
                <w:rFonts w:ascii="Arial" w:hAnsi="Arial" w:cs="Arial"/>
                <w:sz w:val="20"/>
                <w:szCs w:val="20"/>
              </w:rPr>
              <w:t>The keywords cover the major concepts: bottled water, PET, antimony, NIAS, microplastics, environmental stress and exposure assessment.</w:t>
            </w:r>
          </w:p>
        </w:tc>
        <w:tc>
          <w:tcPr>
            <w:tcW w:w="1667" w:type="pct"/>
          </w:tcPr>
          <w:p w14:paraId="051B370D" w14:textId="77777777" w:rsidR="006F3485" w:rsidRPr="009C4A21" w:rsidRDefault="006F3485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F3485" w:rsidRPr="009C4A21" w14:paraId="4D5C6AC0" w14:textId="77777777">
        <w:trPr>
          <w:trHeight w:val="20"/>
          <w:jc w:val="center"/>
        </w:trPr>
        <w:tc>
          <w:tcPr>
            <w:tcW w:w="1666" w:type="pct"/>
            <w:noWrap/>
          </w:tcPr>
          <w:p w14:paraId="4000E7D2" w14:textId="77777777" w:rsidR="006F3485" w:rsidRPr="009C4A21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C4A2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7DCA2B4B" w14:textId="77777777" w:rsidR="006F3485" w:rsidRPr="009C4A2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C4A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FEBD9D3" w14:textId="77777777" w:rsidR="006F3485" w:rsidRPr="009C4A21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C4A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6105DFA" w14:textId="30940A49" w:rsidR="006F3485" w:rsidRPr="009C4A21" w:rsidRDefault="009F2018" w:rsidP="009F2018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C4A2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4, </w:t>
            </w:r>
            <w:r w:rsidRPr="009C4A21">
              <w:rPr>
                <w:rFonts w:ascii="Arial" w:hAnsi="Arial" w:cs="Arial"/>
                <w:sz w:val="20"/>
                <w:szCs w:val="20"/>
              </w:rPr>
              <w:t>The introduction establishes the complexity of the bottle-water exposure system and explains source attribution, stress conditions and risk interpretation effectively.</w:t>
            </w:r>
          </w:p>
        </w:tc>
        <w:tc>
          <w:tcPr>
            <w:tcW w:w="1667" w:type="pct"/>
          </w:tcPr>
          <w:p w14:paraId="5CF20FFE" w14:textId="77777777" w:rsidR="006F3485" w:rsidRPr="009C4A21" w:rsidRDefault="006F3485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F3485" w:rsidRPr="009C4A21" w14:paraId="45A35C22" w14:textId="77777777">
        <w:trPr>
          <w:trHeight w:val="20"/>
          <w:jc w:val="center"/>
        </w:trPr>
        <w:tc>
          <w:tcPr>
            <w:tcW w:w="1666" w:type="pct"/>
            <w:noWrap/>
          </w:tcPr>
          <w:p w14:paraId="6D781BAB" w14:textId="77777777" w:rsidR="006F3485" w:rsidRPr="009C4A21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C4A2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objectives clearly stated?</w:t>
            </w:r>
          </w:p>
          <w:p w14:paraId="33CA59BF" w14:textId="77777777" w:rsidR="006F3485" w:rsidRPr="009C4A2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C4A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4E1BA24" w14:textId="77777777" w:rsidR="006F3485" w:rsidRPr="009C4A21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C4A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2AEFB68" w14:textId="64931FDC" w:rsidR="006F3485" w:rsidRPr="009C4A21" w:rsidRDefault="009F2018" w:rsidP="009F2018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C4A2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5, </w:t>
            </w:r>
            <w:r w:rsidRPr="009C4A21">
              <w:rPr>
                <w:rFonts w:ascii="Arial" w:hAnsi="Arial" w:cs="Arial"/>
                <w:sz w:val="20"/>
                <w:szCs w:val="20"/>
              </w:rPr>
              <w:t>The objectives are explicitly stated and correspond well to the scope of the review: stressors, source attribution, biological plausibility, human evidence and research/regulatory priorities.</w:t>
            </w:r>
          </w:p>
        </w:tc>
        <w:tc>
          <w:tcPr>
            <w:tcW w:w="1667" w:type="pct"/>
          </w:tcPr>
          <w:p w14:paraId="5DEF6FDD" w14:textId="77777777" w:rsidR="006F3485" w:rsidRPr="009C4A21" w:rsidRDefault="006F3485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F3485" w:rsidRPr="009C4A21" w14:paraId="50D5C16F" w14:textId="77777777">
        <w:trPr>
          <w:trHeight w:val="20"/>
          <w:jc w:val="center"/>
        </w:trPr>
        <w:tc>
          <w:tcPr>
            <w:tcW w:w="1666" w:type="pct"/>
            <w:noWrap/>
          </w:tcPr>
          <w:p w14:paraId="27125EF1" w14:textId="77777777" w:rsidR="006F3485" w:rsidRPr="009C4A21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C4A2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relevant?</w:t>
            </w:r>
          </w:p>
          <w:p w14:paraId="06D10E2F" w14:textId="77777777" w:rsidR="006F3485" w:rsidRPr="009C4A2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C4A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D19D141" w14:textId="77777777" w:rsidR="006F3485" w:rsidRPr="009C4A21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C4A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27D7C97" w14:textId="574B7645" w:rsidR="006F3485" w:rsidRPr="009C4A21" w:rsidRDefault="009F2018" w:rsidP="009F2018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C4A2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5, </w:t>
            </w:r>
            <w:r w:rsidRPr="009C4A21">
              <w:rPr>
                <w:rFonts w:ascii="Arial" w:hAnsi="Arial" w:cs="Arial"/>
                <w:sz w:val="20"/>
                <w:szCs w:val="20"/>
              </w:rPr>
              <w:t>The literature is highly relevant and covers chemistry, analytical science, toxicology, ecotoxicology, exposure assessment, biomonitoring and clinical evidence.</w:t>
            </w:r>
          </w:p>
        </w:tc>
        <w:tc>
          <w:tcPr>
            <w:tcW w:w="1667" w:type="pct"/>
          </w:tcPr>
          <w:p w14:paraId="23215565" w14:textId="77777777" w:rsidR="006F3485" w:rsidRPr="009C4A21" w:rsidRDefault="006F3485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F3485" w:rsidRPr="009C4A21" w14:paraId="5398ECE2" w14:textId="77777777">
        <w:trPr>
          <w:trHeight w:val="20"/>
          <w:jc w:val="center"/>
        </w:trPr>
        <w:tc>
          <w:tcPr>
            <w:tcW w:w="1666" w:type="pct"/>
            <w:noWrap/>
          </w:tcPr>
          <w:p w14:paraId="336AA394" w14:textId="77777777" w:rsidR="006F3485" w:rsidRPr="009C4A21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C4A2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literature review recent?</w:t>
            </w:r>
          </w:p>
          <w:p w14:paraId="1D123FF5" w14:textId="77777777" w:rsidR="006F3485" w:rsidRPr="009C4A2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C4A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02C4FA7" w14:textId="77777777" w:rsidR="006F3485" w:rsidRPr="009C4A21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C4A21">
              <w:rPr>
                <w:rFonts w:ascii="Arial" w:eastAsia="MS Mincho" w:hAnsi="Arial" w:cs="Arial"/>
                <w:b/>
                <w:bCs/>
                <w:color w:val="404040"/>
                <w:sz w:val="20"/>
                <w:szCs w:val="20"/>
                <w:shd w:val="clear" w:color="auto" w:fill="FFFFFF"/>
                <w:lang w:val="en-GB" w:eastAsia="x-none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EF8959B" w14:textId="0A5E1554" w:rsidR="006F3485" w:rsidRPr="009C4A21" w:rsidRDefault="009F2018" w:rsidP="009F2018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C4A2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4, </w:t>
            </w:r>
            <w:r w:rsidRPr="009C4A21">
              <w:rPr>
                <w:rFonts w:ascii="Arial" w:hAnsi="Arial" w:cs="Arial"/>
                <w:sz w:val="20"/>
                <w:szCs w:val="20"/>
              </w:rPr>
              <w:t>The review contains recent evidence, including studies from 2024–2026, while also appropriately retaining older foundational studies.</w:t>
            </w:r>
          </w:p>
        </w:tc>
        <w:tc>
          <w:tcPr>
            <w:tcW w:w="1667" w:type="pct"/>
          </w:tcPr>
          <w:p w14:paraId="41903047" w14:textId="77777777" w:rsidR="006F3485" w:rsidRPr="009C4A21" w:rsidRDefault="006F3485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F3485" w:rsidRPr="009C4A21" w14:paraId="55305B85" w14:textId="77777777">
        <w:trPr>
          <w:trHeight w:val="20"/>
          <w:jc w:val="center"/>
        </w:trPr>
        <w:tc>
          <w:tcPr>
            <w:tcW w:w="1666" w:type="pct"/>
            <w:noWrap/>
          </w:tcPr>
          <w:p w14:paraId="2CC472D1" w14:textId="77777777" w:rsidR="006F3485" w:rsidRPr="009C4A21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C4A2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 xml:space="preserve">8. Is the literature search methodology explained properly? </w:t>
            </w:r>
          </w:p>
          <w:p w14:paraId="0775982B" w14:textId="77777777" w:rsidR="006F3485" w:rsidRPr="009C4A2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C4A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55B4DBD" w14:textId="77777777" w:rsidR="006F3485" w:rsidRPr="009C4A21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C4A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AC21444" w14:textId="48925FA4" w:rsidR="006F3485" w:rsidRPr="009C4A21" w:rsidRDefault="009F2018" w:rsidP="009F2018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C4A2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4, </w:t>
            </w:r>
            <w:r w:rsidRPr="009C4A21">
              <w:rPr>
                <w:rFonts w:ascii="Arial" w:hAnsi="Arial" w:cs="Arial"/>
                <w:sz w:val="20"/>
                <w:szCs w:val="20"/>
              </w:rPr>
              <w:t>The authors describe databases, search period, concepts, eligibility criteria, screening, duplicate handling and citation searching. However, reproducibility could be improved by providing complete database-specific search strings and clearer documentation of the number of records screened/included.</w:t>
            </w:r>
          </w:p>
        </w:tc>
        <w:tc>
          <w:tcPr>
            <w:tcW w:w="1667" w:type="pct"/>
          </w:tcPr>
          <w:p w14:paraId="62904EEA" w14:textId="77777777" w:rsidR="006F3485" w:rsidRPr="009C4A21" w:rsidRDefault="006F3485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F3485" w:rsidRPr="009C4A21" w14:paraId="77D1E46C" w14:textId="77777777">
        <w:trPr>
          <w:trHeight w:val="20"/>
          <w:jc w:val="center"/>
        </w:trPr>
        <w:tc>
          <w:tcPr>
            <w:tcW w:w="1666" w:type="pct"/>
            <w:noWrap/>
          </w:tcPr>
          <w:p w14:paraId="3B33E877" w14:textId="77777777" w:rsidR="006F3485" w:rsidRPr="009C4A21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C4A2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9. Is the Critical analysis of literature done?</w:t>
            </w:r>
          </w:p>
          <w:p w14:paraId="5169ED54" w14:textId="77777777" w:rsidR="006F3485" w:rsidRPr="009C4A2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C4A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7C29005" w14:textId="77777777" w:rsidR="006F3485" w:rsidRPr="009C4A21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C4A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E1C0E39" w14:textId="4B97AEA9" w:rsidR="006F3485" w:rsidRPr="009C4A21" w:rsidRDefault="009F2018" w:rsidP="00903DBF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proofErr w:type="gramStart"/>
            <w:r w:rsidRPr="009C4A2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5, </w:t>
            </w:r>
            <w:r w:rsidR="00903DBF" w:rsidRPr="009C4A2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r w:rsidR="00903DBF" w:rsidRPr="009C4A21">
              <w:rPr>
                <w:rFonts w:ascii="Arial" w:hAnsi="Arial" w:cs="Arial"/>
                <w:sz w:val="20"/>
                <w:szCs w:val="20"/>
              </w:rPr>
              <w:t>This</w:t>
            </w:r>
            <w:proofErr w:type="gramEnd"/>
            <w:r w:rsidR="00903DBF" w:rsidRPr="009C4A21">
              <w:rPr>
                <w:rFonts w:ascii="Arial" w:hAnsi="Arial" w:cs="Arial"/>
                <w:sz w:val="20"/>
                <w:szCs w:val="20"/>
              </w:rPr>
              <w:t xml:space="preserve"> is a major strength. The manuscript repeatedly distinguishes hazard from exposure, source attribution from detection, and experimental toxicity from clinical risk.</w:t>
            </w:r>
          </w:p>
        </w:tc>
        <w:tc>
          <w:tcPr>
            <w:tcW w:w="1667" w:type="pct"/>
          </w:tcPr>
          <w:p w14:paraId="055A6499" w14:textId="77777777" w:rsidR="006F3485" w:rsidRPr="009C4A21" w:rsidRDefault="006F3485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F3485" w:rsidRPr="009C4A21" w14:paraId="5649941D" w14:textId="77777777">
        <w:trPr>
          <w:trHeight w:val="20"/>
          <w:jc w:val="center"/>
        </w:trPr>
        <w:tc>
          <w:tcPr>
            <w:tcW w:w="1666" w:type="pct"/>
            <w:noWrap/>
          </w:tcPr>
          <w:p w14:paraId="4A34EED5" w14:textId="77777777" w:rsidR="006F3485" w:rsidRPr="009C4A21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C4A21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10. Is </w:t>
            </w:r>
            <w:r w:rsidRPr="009C4A21">
              <w:rPr>
                <w:rFonts w:ascii="Arial" w:hAnsi="Arial" w:cs="Arial"/>
                <w:sz w:val="20"/>
                <w:szCs w:val="20"/>
                <w:lang w:val="en-GB"/>
              </w:rPr>
              <w:t xml:space="preserve">Identification of research gaps/future directions </w:t>
            </w:r>
            <w:proofErr w:type="gramStart"/>
            <w:r w:rsidRPr="009C4A21">
              <w:rPr>
                <w:rFonts w:ascii="Arial" w:hAnsi="Arial" w:cs="Arial"/>
                <w:sz w:val="20"/>
                <w:szCs w:val="20"/>
                <w:lang w:val="en-GB"/>
              </w:rPr>
              <w:t xml:space="preserve">done </w:t>
            </w:r>
            <w:r w:rsidRPr="009C4A21">
              <w:rPr>
                <w:rFonts w:ascii="Arial" w:hAnsi="Arial" w:cs="Arial"/>
                <w:b/>
                <w:sz w:val="20"/>
                <w:szCs w:val="20"/>
                <w:lang w:val="en-GB"/>
              </w:rPr>
              <w:t>?</w:t>
            </w:r>
            <w:proofErr w:type="gramEnd"/>
          </w:p>
          <w:p w14:paraId="6BBB34EC" w14:textId="77777777" w:rsidR="006F3485" w:rsidRPr="009C4A2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C4A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7EA2FE2" w14:textId="77777777" w:rsidR="006F3485" w:rsidRPr="009C4A2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C4A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3E3BA52D" w14:textId="77777777" w:rsidR="006F3485" w:rsidRPr="009C4A21" w:rsidRDefault="006F348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13C9268" w14:textId="0D4918E4" w:rsidR="006F3485" w:rsidRPr="009C4A21" w:rsidRDefault="00903DBF" w:rsidP="00903DBF">
            <w:pPr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C4A21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 xml:space="preserve">5, </w:t>
            </w:r>
            <w:r w:rsidRPr="009C4A21">
              <w:rPr>
                <w:rFonts w:ascii="Arial" w:hAnsi="Arial" w:cs="Arial"/>
                <w:bCs/>
                <w:sz w:val="20"/>
                <w:szCs w:val="20"/>
              </w:rPr>
              <w:t>Clearly addressed. The future section proposes realistic stress-dose mapping, source-resolved analysis, harmonization of micro-/</w:t>
            </w:r>
            <w:proofErr w:type="spellStart"/>
            <w:r w:rsidRPr="009C4A21">
              <w:rPr>
                <w:rFonts w:ascii="Arial" w:hAnsi="Arial" w:cs="Arial"/>
                <w:bCs/>
                <w:sz w:val="20"/>
                <w:szCs w:val="20"/>
              </w:rPr>
              <w:t>nanoplastic</w:t>
            </w:r>
            <w:proofErr w:type="spellEnd"/>
            <w:r w:rsidRPr="009C4A21">
              <w:rPr>
                <w:rFonts w:ascii="Arial" w:hAnsi="Arial" w:cs="Arial"/>
                <w:bCs/>
                <w:sz w:val="20"/>
                <w:szCs w:val="20"/>
              </w:rPr>
              <w:t xml:space="preserve"> measurements and improved exposure assessment.</w:t>
            </w:r>
          </w:p>
        </w:tc>
        <w:tc>
          <w:tcPr>
            <w:tcW w:w="1667" w:type="pct"/>
          </w:tcPr>
          <w:p w14:paraId="5BC95833" w14:textId="77777777" w:rsidR="006F3485" w:rsidRPr="009C4A21" w:rsidRDefault="006F3485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F3485" w:rsidRPr="009C4A21" w14:paraId="7D793E81" w14:textId="77777777">
        <w:trPr>
          <w:trHeight w:val="20"/>
          <w:jc w:val="center"/>
        </w:trPr>
        <w:tc>
          <w:tcPr>
            <w:tcW w:w="1666" w:type="pct"/>
            <w:noWrap/>
          </w:tcPr>
          <w:p w14:paraId="5FC3F27A" w14:textId="77777777" w:rsidR="006F3485" w:rsidRPr="009C4A21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C4A21">
              <w:rPr>
                <w:rFonts w:ascii="Arial" w:hAnsi="Arial" w:cs="Arial"/>
                <w:b/>
                <w:sz w:val="20"/>
                <w:szCs w:val="20"/>
                <w:lang w:val="en-GB"/>
              </w:rPr>
              <w:t>11. Are the conclusions logically arrived?</w:t>
            </w:r>
          </w:p>
          <w:p w14:paraId="7B3A1945" w14:textId="77777777" w:rsidR="006F3485" w:rsidRPr="009C4A2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C4A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EE85BEE" w14:textId="77777777" w:rsidR="006F3485" w:rsidRPr="009C4A21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C4A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31BC102" w14:textId="5A52F34C" w:rsidR="006F3485" w:rsidRPr="009C4A21" w:rsidRDefault="00903DBF" w:rsidP="00903DBF">
            <w:pPr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C4A21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5, </w:t>
            </w:r>
            <w:r w:rsidRPr="009C4A21">
              <w:rPr>
                <w:rFonts w:ascii="Arial" w:hAnsi="Arial" w:cs="Arial"/>
                <w:bCs/>
                <w:sz w:val="20"/>
                <w:szCs w:val="20"/>
              </w:rPr>
              <w:t>Conclusions appropriately reflect the evidence and avoid claiming that bottled-water exposure has been proven to cause human disease.</w:t>
            </w:r>
          </w:p>
        </w:tc>
        <w:tc>
          <w:tcPr>
            <w:tcW w:w="1667" w:type="pct"/>
          </w:tcPr>
          <w:p w14:paraId="4AC833D5" w14:textId="77777777" w:rsidR="006F3485" w:rsidRPr="009C4A21" w:rsidRDefault="006F3485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F3485" w:rsidRPr="009C4A21" w14:paraId="3E7C74D1" w14:textId="77777777">
        <w:trPr>
          <w:trHeight w:val="20"/>
          <w:jc w:val="center"/>
        </w:trPr>
        <w:tc>
          <w:tcPr>
            <w:tcW w:w="1666" w:type="pct"/>
            <w:noWrap/>
          </w:tcPr>
          <w:p w14:paraId="2F5FC9AF" w14:textId="77777777" w:rsidR="006F3485" w:rsidRPr="009C4A21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C4A21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limitations of the paper discussed?</w:t>
            </w:r>
          </w:p>
          <w:p w14:paraId="08C90AEE" w14:textId="77777777" w:rsidR="006F3485" w:rsidRPr="009C4A2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C4A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3B50376" w14:textId="77777777" w:rsidR="006F3485" w:rsidRPr="009C4A21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C4A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25285C7" w14:textId="45CAE6A2" w:rsidR="006F3485" w:rsidRPr="009C4A21" w:rsidRDefault="00903DBF" w:rsidP="00903DBF">
            <w:pPr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C4A21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5, </w:t>
            </w:r>
            <w:r w:rsidRPr="009C4A21">
              <w:rPr>
                <w:rFonts w:ascii="Arial" w:hAnsi="Arial" w:cs="Arial"/>
                <w:bCs/>
                <w:sz w:val="20"/>
                <w:szCs w:val="20"/>
              </w:rPr>
              <w:t>Limitations are explicitly acknowledged, including narrative-review selection bias, heterogeneity, English-language restriction, geographical limitations, limited brand samples and difficulty in source attribution.</w:t>
            </w:r>
          </w:p>
        </w:tc>
        <w:tc>
          <w:tcPr>
            <w:tcW w:w="1667" w:type="pct"/>
          </w:tcPr>
          <w:p w14:paraId="62E3212C" w14:textId="77777777" w:rsidR="006F3485" w:rsidRPr="009C4A21" w:rsidRDefault="006F3485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F3485" w:rsidRPr="009C4A21" w14:paraId="09BE6B91" w14:textId="77777777">
        <w:trPr>
          <w:trHeight w:val="20"/>
          <w:jc w:val="center"/>
        </w:trPr>
        <w:tc>
          <w:tcPr>
            <w:tcW w:w="1666" w:type="pct"/>
            <w:noWrap/>
          </w:tcPr>
          <w:p w14:paraId="479A5BFA" w14:textId="77777777" w:rsidR="006F3485" w:rsidRPr="009C4A21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C4A21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13. What is the </w:t>
            </w:r>
            <w:r w:rsidRPr="009C4A21">
              <w:rPr>
                <w:rFonts w:ascii="Arial" w:hAnsi="Arial" w:cs="Arial"/>
                <w:sz w:val="20"/>
                <w:szCs w:val="20"/>
                <w:lang w:val="en-GB"/>
              </w:rPr>
              <w:t>Quality of references (i.e. from peer reviewed authentic sources)</w:t>
            </w:r>
          </w:p>
          <w:p w14:paraId="07C76ECC" w14:textId="77777777" w:rsidR="006F3485" w:rsidRPr="009C4A2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C4A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8F24DF2" w14:textId="77777777" w:rsidR="006F3485" w:rsidRPr="009C4A2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C4A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52A4FB7A" w14:textId="77777777" w:rsidR="006F3485" w:rsidRPr="009C4A21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C4A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E506ADD" w14:textId="28A31D5D" w:rsidR="006F3485" w:rsidRPr="009C4A21" w:rsidRDefault="00903DBF" w:rsidP="00903DBF">
            <w:pPr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C4A21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4, </w:t>
            </w:r>
            <w:r w:rsidRPr="009C4A21">
              <w:rPr>
                <w:rFonts w:ascii="Arial" w:hAnsi="Arial" w:cs="Arial"/>
                <w:bCs/>
                <w:sz w:val="20"/>
                <w:szCs w:val="20"/>
              </w:rPr>
              <w:t>References appear broadly appropriate and include peer-reviewed foundational and recent literature. Reference formatting and consistency should nevertheless be checked throughout.</w:t>
            </w:r>
          </w:p>
        </w:tc>
        <w:tc>
          <w:tcPr>
            <w:tcW w:w="1667" w:type="pct"/>
          </w:tcPr>
          <w:p w14:paraId="0E205736" w14:textId="77777777" w:rsidR="006F3485" w:rsidRPr="009C4A21" w:rsidRDefault="006F3485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F3485" w:rsidRPr="009C4A21" w14:paraId="338844C3" w14:textId="77777777">
        <w:trPr>
          <w:trHeight w:val="20"/>
          <w:jc w:val="center"/>
        </w:trPr>
        <w:tc>
          <w:tcPr>
            <w:tcW w:w="1666" w:type="pct"/>
            <w:noWrap/>
          </w:tcPr>
          <w:p w14:paraId="69314EF3" w14:textId="77777777" w:rsidR="006F3485" w:rsidRPr="009C4A21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C4A21">
              <w:rPr>
                <w:rFonts w:ascii="Arial" w:hAnsi="Arial" w:cs="Arial"/>
                <w:b/>
                <w:sz w:val="20"/>
                <w:szCs w:val="20"/>
                <w:lang w:val="en-GB"/>
              </w:rPr>
              <w:t>14. Is the manuscript written in clear and understandable language?</w:t>
            </w:r>
          </w:p>
          <w:p w14:paraId="23AE9FBD" w14:textId="77777777" w:rsidR="006F3485" w:rsidRPr="009C4A2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C4A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32D8DE" w14:textId="77777777" w:rsidR="006F3485" w:rsidRPr="009C4A2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C4A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2B6BA3B" w14:textId="77777777" w:rsidR="006F3485" w:rsidRPr="009C4A21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C4A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7132D64" w14:textId="0A10B7B2" w:rsidR="006F3485" w:rsidRPr="009C4A21" w:rsidRDefault="00903DBF" w:rsidP="00903DBF">
            <w:pPr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C4A21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4, </w:t>
            </w:r>
            <w:r w:rsidRPr="009C4A21">
              <w:rPr>
                <w:rFonts w:ascii="Arial" w:hAnsi="Arial" w:cs="Arial"/>
                <w:bCs/>
                <w:sz w:val="20"/>
                <w:szCs w:val="20"/>
              </w:rPr>
              <w:t>Generally clear and scholarly, but a final language/proofreading pass is needed for typographical and formatting issues.</w:t>
            </w:r>
          </w:p>
        </w:tc>
        <w:tc>
          <w:tcPr>
            <w:tcW w:w="1667" w:type="pct"/>
          </w:tcPr>
          <w:p w14:paraId="15C14BDE" w14:textId="77777777" w:rsidR="006F3485" w:rsidRPr="009C4A21" w:rsidRDefault="006F3485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DC2C0C3" w14:textId="77777777" w:rsidR="006F3485" w:rsidRPr="009C4A21" w:rsidRDefault="006F3485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0369BD1B" w14:textId="77777777" w:rsidR="006F3485" w:rsidRPr="009C4A21" w:rsidRDefault="006F3485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0A885422" w14:textId="77777777" w:rsidR="006F3485" w:rsidRPr="009C4A21" w:rsidRDefault="00000000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9C4A21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2B104CFB" w14:textId="77777777" w:rsidR="006F3485" w:rsidRPr="009C4A21" w:rsidRDefault="006F3485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F3485" w:rsidRPr="009C4A21" w14:paraId="45568E14" w14:textId="77777777">
        <w:trPr>
          <w:trHeight w:val="20"/>
          <w:jc w:val="center"/>
        </w:trPr>
        <w:tc>
          <w:tcPr>
            <w:tcW w:w="1666" w:type="pct"/>
            <w:noWrap/>
          </w:tcPr>
          <w:p w14:paraId="2B660E9A" w14:textId="77777777" w:rsidR="006F3485" w:rsidRPr="009C4A21" w:rsidRDefault="006F3485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54B067C" w14:textId="77777777" w:rsidR="006F3485" w:rsidRPr="009C4A21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C4A2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2A44830A" w14:textId="77777777" w:rsidR="006F3485" w:rsidRPr="009C4A21" w:rsidRDefault="006F348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163CEC2" w14:textId="77777777" w:rsidR="006F3485" w:rsidRPr="009C4A21" w:rsidRDefault="00000000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9C4A21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9C4A21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9C4A21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0CFF9DD4" w14:textId="77777777" w:rsidR="006F3485" w:rsidRPr="009C4A21" w:rsidRDefault="006F3485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F3485" w:rsidRPr="009C4A21" w14:paraId="2E902780" w14:textId="77777777">
        <w:trPr>
          <w:trHeight w:val="20"/>
          <w:jc w:val="center"/>
        </w:trPr>
        <w:tc>
          <w:tcPr>
            <w:tcW w:w="1666" w:type="pct"/>
            <w:noWrap/>
          </w:tcPr>
          <w:p w14:paraId="24957AB8" w14:textId="77777777" w:rsidR="006F3485" w:rsidRPr="009C4A21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C4A2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1591BC70" w14:textId="77777777" w:rsidR="006F3485" w:rsidRPr="009C4A21" w:rsidRDefault="006F348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2F6D521" w14:textId="77777777" w:rsidR="006F3485" w:rsidRPr="009C4A21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9C4A2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225B0E8F" w14:textId="5DC9F2E3" w:rsidR="006F3485" w:rsidRPr="009C4A21" w:rsidRDefault="00903DBF" w:rsidP="00903DBF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C4A2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1A4A46F0" w14:textId="77777777" w:rsidR="006F3485" w:rsidRPr="009C4A21" w:rsidRDefault="006F3485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F3485" w:rsidRPr="009C4A21" w14:paraId="499A7FA2" w14:textId="77777777">
        <w:trPr>
          <w:trHeight w:val="20"/>
          <w:jc w:val="center"/>
        </w:trPr>
        <w:tc>
          <w:tcPr>
            <w:tcW w:w="1666" w:type="pct"/>
            <w:noWrap/>
          </w:tcPr>
          <w:p w14:paraId="6B4829D2" w14:textId="77777777" w:rsidR="006F3485" w:rsidRPr="009C4A21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C4A2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4A7952B4" w14:textId="77777777" w:rsidR="006F3485" w:rsidRPr="009C4A21" w:rsidRDefault="006F348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B668F25" w14:textId="77777777" w:rsidR="006F3485" w:rsidRPr="009C4A21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C4A2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188E4A6C" w14:textId="64C4EA60" w:rsidR="006F3485" w:rsidRPr="009C4A21" w:rsidRDefault="00903DBF" w:rsidP="00903DBF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C4A2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25C9CBC1" w14:textId="77777777" w:rsidR="006F3485" w:rsidRPr="009C4A21" w:rsidRDefault="006F3485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F3485" w:rsidRPr="009C4A21" w14:paraId="3887AC8A" w14:textId="77777777">
        <w:trPr>
          <w:trHeight w:val="20"/>
          <w:jc w:val="center"/>
        </w:trPr>
        <w:tc>
          <w:tcPr>
            <w:tcW w:w="1666" w:type="pct"/>
            <w:noWrap/>
          </w:tcPr>
          <w:p w14:paraId="471F3F7F" w14:textId="77777777" w:rsidR="006F3485" w:rsidRPr="009C4A21" w:rsidRDefault="00000000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9C4A2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9C4A2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14D3B638" w14:textId="77777777" w:rsidR="006F3485" w:rsidRPr="009C4A21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C4A2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40E9CA1F" w14:textId="77777777" w:rsidR="006F3485" w:rsidRPr="009C4A21" w:rsidRDefault="00903DBF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C4A2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  <w:p w14:paraId="20B8FD72" w14:textId="77777777" w:rsidR="008C682F" w:rsidRPr="009C4A21" w:rsidRDefault="008C682F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9C4A21">
              <w:rPr>
                <w:rFonts w:ascii="Arial" w:hAnsi="Arial" w:cs="Arial"/>
                <w:b/>
                <w:bCs/>
                <w:sz w:val="20"/>
                <w:szCs w:val="20"/>
              </w:rPr>
              <w:t>Minor Revision</w:t>
            </w:r>
            <w:r w:rsidRPr="009C4A21">
              <w:rPr>
                <w:rFonts w:ascii="Arial" w:hAnsi="Arial" w:cs="Arial"/>
                <w:sz w:val="20"/>
                <w:szCs w:val="20"/>
              </w:rPr>
              <w:t>, provided the authors address the methodological reporting, language, reference and regulatory-verification points.</w:t>
            </w:r>
          </w:p>
          <w:p w14:paraId="190235F9" w14:textId="63FBEA9D" w:rsidR="00112FAC" w:rsidRPr="009C4A21" w:rsidRDefault="00112FA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4DD4AB5" w14:textId="77777777" w:rsidR="006F3485" w:rsidRPr="009C4A21" w:rsidRDefault="006F3485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F3485" w:rsidRPr="009C4A21" w14:paraId="5A939917" w14:textId="77777777">
        <w:trPr>
          <w:trHeight w:val="20"/>
          <w:jc w:val="center"/>
        </w:trPr>
        <w:tc>
          <w:tcPr>
            <w:tcW w:w="1666" w:type="pct"/>
            <w:noWrap/>
          </w:tcPr>
          <w:p w14:paraId="47F2F91B" w14:textId="77777777" w:rsidR="006F3485" w:rsidRPr="009C4A21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C4A2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4F4B6BE1" w14:textId="77777777" w:rsidR="006F3485" w:rsidRPr="009C4A21" w:rsidRDefault="006F348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B76863C" w14:textId="77777777" w:rsidR="006F3485" w:rsidRPr="009C4A21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C4A2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</w:tc>
        <w:tc>
          <w:tcPr>
            <w:tcW w:w="1667" w:type="pct"/>
          </w:tcPr>
          <w:p w14:paraId="2D086A10" w14:textId="165B0CBF" w:rsidR="006F3485" w:rsidRPr="009C4A21" w:rsidRDefault="00903DB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C4A2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36D9BF7B" w14:textId="77777777" w:rsidR="006F3485" w:rsidRPr="009C4A21" w:rsidRDefault="006F3485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F3485" w:rsidRPr="009C4A21" w14:paraId="3EF2C4BF" w14:textId="77777777">
        <w:trPr>
          <w:trHeight w:val="20"/>
          <w:jc w:val="center"/>
        </w:trPr>
        <w:tc>
          <w:tcPr>
            <w:tcW w:w="1666" w:type="pct"/>
            <w:noWrap/>
          </w:tcPr>
          <w:p w14:paraId="6B64E52A" w14:textId="77777777" w:rsidR="006F3485" w:rsidRPr="009C4A21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C4A2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18B865FC" w14:textId="77777777" w:rsidR="006F3485" w:rsidRPr="009C4A21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C4A21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52D3369" w14:textId="77777777" w:rsidR="006F3485" w:rsidRPr="009C4A21" w:rsidRDefault="006F348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21A2C31" w14:textId="77777777" w:rsidR="006F3485" w:rsidRPr="009C4A21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C4A21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211E471E" w14:textId="77777777" w:rsidR="006F3485" w:rsidRPr="009C4A21" w:rsidRDefault="006F3485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19B1248" w14:textId="5F2B5167" w:rsidR="006F3485" w:rsidRPr="009C4A21" w:rsidRDefault="00903DB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C4A21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55191977" w14:textId="77777777" w:rsidR="006F3485" w:rsidRPr="009C4A21" w:rsidRDefault="006F3485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888F673" w14:textId="77777777" w:rsidR="006F3485" w:rsidRPr="009C4A21" w:rsidRDefault="006F3485" w:rsidP="009C4A21">
      <w:pPr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671ED07A" w14:textId="77777777" w:rsidR="009C4A21" w:rsidRPr="009C4A21" w:rsidRDefault="009C4A21" w:rsidP="009C4A21">
      <w:pPr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16FF7928" w14:textId="77777777" w:rsidR="009C4A21" w:rsidRPr="009C4A21" w:rsidRDefault="009C4A21" w:rsidP="009C4A21">
      <w:pPr>
        <w:rPr>
          <w:rFonts w:ascii="Arial" w:hAnsi="Arial" w:cs="Arial"/>
          <w:b/>
          <w:sz w:val="20"/>
          <w:szCs w:val="20"/>
          <w:u w:val="single"/>
        </w:rPr>
      </w:pPr>
      <w:r w:rsidRPr="009C4A21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41A4832A" w14:textId="77777777" w:rsidR="009C4A21" w:rsidRPr="009C4A21" w:rsidRDefault="009C4A21" w:rsidP="009C4A21">
      <w:pPr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2CC2F1A9" w14:textId="2E7639E9" w:rsidR="009C4A21" w:rsidRPr="009C4A21" w:rsidRDefault="009C4A21" w:rsidP="009C4A21">
      <w:pPr>
        <w:rPr>
          <w:rFonts w:ascii="Arial" w:hAnsi="Arial" w:cs="Arial"/>
          <w:b/>
          <w:bCs/>
          <w:sz w:val="20"/>
          <w:szCs w:val="20"/>
          <w:lang w:val="en-GB"/>
        </w:rPr>
      </w:pPr>
      <w:r w:rsidRPr="009C4A21">
        <w:rPr>
          <w:rFonts w:ascii="Arial" w:hAnsi="Arial" w:cs="Arial"/>
          <w:b/>
          <w:bCs/>
          <w:sz w:val="20"/>
          <w:szCs w:val="20"/>
          <w:lang w:val="en-GB"/>
        </w:rPr>
        <w:t>Bhumika Panchal</w:t>
      </w:r>
      <w:r w:rsidRPr="009C4A21">
        <w:rPr>
          <w:rFonts w:ascii="Arial" w:hAnsi="Arial" w:cs="Arial"/>
          <w:b/>
          <w:bCs/>
          <w:sz w:val="20"/>
          <w:szCs w:val="20"/>
          <w:lang w:val="en-GB"/>
        </w:rPr>
        <w:t xml:space="preserve">, </w:t>
      </w:r>
      <w:r w:rsidRPr="009C4A21">
        <w:rPr>
          <w:rFonts w:ascii="Arial" w:hAnsi="Arial" w:cs="Arial"/>
          <w:b/>
          <w:bCs/>
          <w:sz w:val="20"/>
          <w:szCs w:val="20"/>
          <w:lang w:val="en-GB"/>
        </w:rPr>
        <w:t>Parul Institute of Pharmacy</w:t>
      </w:r>
      <w:r w:rsidRPr="009C4A21">
        <w:rPr>
          <w:rFonts w:ascii="Arial" w:hAnsi="Arial" w:cs="Arial"/>
          <w:b/>
          <w:bCs/>
          <w:sz w:val="20"/>
          <w:szCs w:val="20"/>
          <w:lang w:val="en-GB"/>
        </w:rPr>
        <w:t xml:space="preserve">, </w:t>
      </w:r>
      <w:r w:rsidRPr="009C4A21">
        <w:rPr>
          <w:rFonts w:ascii="Arial" w:hAnsi="Arial" w:cs="Arial"/>
          <w:b/>
          <w:bCs/>
          <w:sz w:val="20"/>
          <w:szCs w:val="20"/>
          <w:lang w:val="en-GB"/>
        </w:rPr>
        <w:t>India</w:t>
      </w:r>
    </w:p>
    <w:sectPr w:rsidR="009C4A21" w:rsidRPr="009C4A21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2A1B60" w14:textId="77777777" w:rsidR="00FC4AC0" w:rsidRDefault="00FC4AC0">
      <w:r>
        <w:separator/>
      </w:r>
    </w:p>
  </w:endnote>
  <w:endnote w:type="continuationSeparator" w:id="0">
    <w:p w14:paraId="1A8BED52" w14:textId="77777777" w:rsidR="00FC4AC0" w:rsidRDefault="00FC4A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183FD" w14:textId="77777777" w:rsidR="006F3485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b/>
        <w:sz w:val="20"/>
      </w:rPr>
      <w:br/>
      <w:t>V240326</w:t>
    </w:r>
  </w:p>
  <w:p w14:paraId="52C16CBB" w14:textId="77777777" w:rsidR="006F3485" w:rsidRDefault="006F3485">
    <w:pPr>
      <w:pStyle w:val="Footer"/>
      <w:jc w:val="right"/>
    </w:pPr>
  </w:p>
  <w:p w14:paraId="61752A75" w14:textId="77777777" w:rsidR="006F3485" w:rsidRDefault="006F3485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D44DA0" w14:textId="77777777" w:rsidR="00FC4AC0" w:rsidRDefault="00FC4AC0">
      <w:r>
        <w:separator/>
      </w:r>
    </w:p>
  </w:footnote>
  <w:footnote w:type="continuationSeparator" w:id="0">
    <w:p w14:paraId="2778EE5B" w14:textId="77777777" w:rsidR="00FC4AC0" w:rsidRDefault="00FC4A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5F7C06" w14:textId="77777777" w:rsidR="006F3485" w:rsidRDefault="006F3485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4425B338" w14:textId="77777777" w:rsidR="006F3485" w:rsidRDefault="00000000">
    <w:pPr>
      <w:spacing w:before="100" w:beforeAutospacing="1" w:after="100" w:afterAutospacing="1"/>
      <w:jc w:val="center"/>
      <w:rPr>
        <w:color w:val="000000"/>
        <w:sz w:val="20"/>
      </w:rPr>
    </w:pPr>
    <w:r>
      <w:rPr>
        <w:bCs/>
        <w:color w:val="000000"/>
        <w:sz w:val="20"/>
        <w:highlight w:val="lightGray"/>
        <w:lang w:val="en-GB"/>
      </w:rPr>
      <w:t>Review Form (Review)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378041379">
    <w:abstractNumId w:val="4"/>
  </w:num>
  <w:num w:numId="2" w16cid:durableId="755858573">
    <w:abstractNumId w:val="8"/>
  </w:num>
  <w:num w:numId="3" w16cid:durableId="1762486528">
    <w:abstractNumId w:val="7"/>
  </w:num>
  <w:num w:numId="4" w16cid:durableId="937719751">
    <w:abstractNumId w:val="9"/>
  </w:num>
  <w:num w:numId="5" w16cid:durableId="1334606653">
    <w:abstractNumId w:val="6"/>
  </w:num>
  <w:num w:numId="6" w16cid:durableId="902452098">
    <w:abstractNumId w:val="0"/>
  </w:num>
  <w:num w:numId="7" w16cid:durableId="110054111">
    <w:abstractNumId w:val="3"/>
  </w:num>
  <w:num w:numId="8" w16cid:durableId="2032341335">
    <w:abstractNumId w:val="11"/>
  </w:num>
  <w:num w:numId="9" w16cid:durableId="244806833">
    <w:abstractNumId w:val="10"/>
  </w:num>
  <w:num w:numId="10" w16cid:durableId="102267782">
    <w:abstractNumId w:val="2"/>
  </w:num>
  <w:num w:numId="11" w16cid:durableId="654720108">
    <w:abstractNumId w:val="1"/>
  </w:num>
  <w:num w:numId="12" w16cid:durableId="200654579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F3485"/>
    <w:rsid w:val="001035F2"/>
    <w:rsid w:val="00112FAC"/>
    <w:rsid w:val="00255F64"/>
    <w:rsid w:val="002A4142"/>
    <w:rsid w:val="002C0D92"/>
    <w:rsid w:val="002E0C55"/>
    <w:rsid w:val="00371781"/>
    <w:rsid w:val="004F249F"/>
    <w:rsid w:val="00550DDE"/>
    <w:rsid w:val="00567CBC"/>
    <w:rsid w:val="00570414"/>
    <w:rsid w:val="006A3BA4"/>
    <w:rsid w:val="006F3485"/>
    <w:rsid w:val="007C7741"/>
    <w:rsid w:val="008C682F"/>
    <w:rsid w:val="00903DBF"/>
    <w:rsid w:val="009A5428"/>
    <w:rsid w:val="009C4A21"/>
    <w:rsid w:val="009F2018"/>
    <w:rsid w:val="00B01890"/>
    <w:rsid w:val="00B73797"/>
    <w:rsid w:val="00B84E9A"/>
    <w:rsid w:val="00BB62A1"/>
    <w:rsid w:val="00CB416B"/>
    <w:rsid w:val="00F3499F"/>
    <w:rsid w:val="00F775F6"/>
    <w:rsid w:val="00FC4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0189AB"/>
  <w15:chartTrackingRefBased/>
  <w15:docId w15:val="{BE4CE4BE-6288-453F-9056-E77DDD436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F2018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2018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character" w:customStyle="1" w:styleId="Heading1Char">
    <w:name w:val="Heading 1 Char"/>
    <w:link w:val="Heading1"/>
    <w:uiPriority w:val="9"/>
    <w:rsid w:val="009F2018"/>
    <w:rPr>
      <w:rFonts w:ascii="Calibri Light" w:eastAsia="Times New Roman" w:hAnsi="Calibri Light" w:cs="Times New Roman"/>
      <w:b/>
      <w:bCs/>
      <w:kern w:val="32"/>
      <w:sz w:val="32"/>
      <w:szCs w:val="32"/>
      <w:lang w:val="en-US" w:eastAsia="en-US"/>
    </w:rPr>
  </w:style>
  <w:style w:type="character" w:customStyle="1" w:styleId="Heading3Char">
    <w:name w:val="Heading 3 Char"/>
    <w:link w:val="Heading3"/>
    <w:uiPriority w:val="9"/>
    <w:semiHidden/>
    <w:rsid w:val="009F2018"/>
    <w:rPr>
      <w:rFonts w:ascii="Calibri Light" w:eastAsia="Times New Roman" w:hAnsi="Calibri Light" w:cs="Times New Roman"/>
      <w:b/>
      <w:bCs/>
      <w:sz w:val="26"/>
      <w:szCs w:val="2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irmeps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1047</Words>
  <Characters>5968</Characters>
  <Application>Microsoft Office Word</Application>
  <DocSecurity>0</DocSecurity>
  <Lines>49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7001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Editor-11</cp:lastModifiedBy>
  <cp:revision>45</cp:revision>
  <dcterms:created xsi:type="dcterms:W3CDTF">2026-03-24T06:32:00Z</dcterms:created>
  <dcterms:modified xsi:type="dcterms:W3CDTF">2026-08-24T12:02:00Z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