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18C16C8" w14:textId="77777777" w:rsidR="0057582C" w:rsidRDefault="00CE7F22">
      <w:pPr>
        <w:spacing w:before="120" w:after="120"/>
        <w:jc w:val="center"/>
        <w:rPr>
          <w:b/>
          <w:bCs/>
        </w:rPr>
      </w:pPr>
      <w:r>
        <w:rPr>
          <w:b/>
          <w:bCs/>
        </w:rPr>
        <w:t>AN RFM-SOM ADAPTIVE HYBRID FORECASTING AND INVENTORY OPTIMISATION FRAMEWORK FOR RETAIL SUPPLY CHAIN MANAGEMENT</w:t>
      </w:r>
    </w:p>
    <w:p w14:paraId="3652C6E8" w14:textId="77777777" w:rsidR="0057582C" w:rsidRDefault="0057582C">
      <w:pPr>
        <w:spacing w:before="120" w:after="120"/>
        <w:jc w:val="both"/>
        <w:rPr>
          <w:b/>
          <w:bCs/>
        </w:rPr>
      </w:pPr>
    </w:p>
    <w:p w14:paraId="26BF262D" w14:textId="77777777" w:rsidR="0057582C" w:rsidRDefault="0057582C">
      <w:pPr>
        <w:rPr>
          <w:lang w:val="en-US"/>
        </w:rPr>
      </w:pPr>
    </w:p>
    <w:p w14:paraId="0E284DEA" w14:textId="77777777" w:rsidR="0057582C" w:rsidRDefault="00CE7F22">
      <w:pPr>
        <w:spacing w:before="120" w:after="120" w:line="360" w:lineRule="auto"/>
        <w:jc w:val="both"/>
        <w:rPr>
          <w:b/>
          <w:bCs/>
        </w:rPr>
      </w:pPr>
      <w:r>
        <w:rPr>
          <w:b/>
          <w:bCs/>
        </w:rPr>
        <w:t>Abstract</w:t>
      </w:r>
    </w:p>
    <w:p w14:paraId="3B41BB03" w14:textId="77777777" w:rsidR="0057582C" w:rsidRDefault="00CE7F22">
      <w:pPr>
        <w:pStyle w:val="NormalWeb"/>
        <w:spacing w:beforeAutospacing="1" w:afterAutospacing="1" w:line="360" w:lineRule="auto"/>
        <w:jc w:val="both"/>
      </w:pPr>
      <w:r>
        <w:t xml:space="preserve">A widely held assumption in retail supply chain analytics is that decomposition-based models such as Facebook Prophet outperform classical autoregressive approaches for demand forecasting. This paper challenges that assumption empirically and derives a statistically validated, data-driven rule for forecasting model selection in segmented retail supply chains. Applied to a real-world UK online retail dataset comprising 3,951 customers and £8.19M revenue, we propose and evaluate the RFM-SOM Adaptive Hybrid Forecasting and Inventory Optimisation (AHFIO) Framework, an end-to-end pipeline integrating RFM customer profiling, dual-method segmentation using Gaussian Mixture Models and Self-Organising Maps, per-segment demand forecasting, Diebold-Mariano statistical validation, and Monte Carlo stochastic EOQ simulation. SOM substantially outperforms GMM on cluster quality, achieving a Davies-Bouldin Index of 0.746 versus 3.256 and a </w:t>
      </w:r>
      <w:proofErr w:type="spellStart"/>
      <w:r>
        <w:t>Calinski-Harabasz</w:t>
      </w:r>
      <w:proofErr w:type="spellEnd"/>
      <w:r>
        <w:t xml:space="preserve"> Index of 5,709 versus 3,752, producing 25 well-separated customer segments across a 5x5 grid. Across all 25 segments, auto-ARIMA with AIC-based order selection achieves a median MAE of £810 compared with Prophet's £22,680. The proper Diebold-Mariano test, implemented with HAC variance estimation, Harvey et al. 1997 small-sample correction, and full cross-validated residuals, confirms auto-ARIMA as statistically superior in only 1 of 25 clusters, with 24 clusters showing no significant difference. This training-window-dependent finding is the paper's central contribution: parsimonious auto-ARIMA is the correct default for short 12-month retail series, while Prophet's decomposition advantage emerges only when 24 or more months of training data are available. Monte Carlo EOQ simulation across four active customer tiers yields a deterministic total replenishment cost of £21,758 and a stochastic mean of £19,145, with Tier 1 VIP Champions exhibiting a 40% stockout rate under standard EOQ, requiring mandatory safety stock augmentation, and excluding Tier 5 dormant customers generating £1,977 in annual cost savings. These findings provide practitioners with a reproducible, statistically grounded model selection rule and a tier-specific inventory decision framework directly actionable in retail supply chain operations.</w:t>
      </w:r>
    </w:p>
    <w:p w14:paraId="63B033FC" w14:textId="77777777" w:rsidR="0057582C" w:rsidRDefault="00CE7F22">
      <w:pPr>
        <w:pStyle w:val="NormalWeb"/>
        <w:spacing w:beforeAutospacing="1" w:afterAutospacing="1"/>
        <w:jc w:val="both"/>
        <w:rPr>
          <w:b/>
          <w:bCs/>
        </w:rPr>
      </w:pPr>
      <w:r>
        <w:rPr>
          <w:rStyle w:val="Strong"/>
        </w:rPr>
        <w:lastRenderedPageBreak/>
        <w:t>Keywords:</w:t>
      </w:r>
      <w:r>
        <w:t xml:space="preserve"> </w:t>
      </w:r>
      <w:r>
        <w:rPr>
          <w:lang w:val="en-US"/>
        </w:rPr>
        <w:t>D</w:t>
      </w:r>
      <w:proofErr w:type="spellStart"/>
      <w:r>
        <w:t>emand</w:t>
      </w:r>
      <w:proofErr w:type="spellEnd"/>
      <w:r>
        <w:t xml:space="preserve"> forecasting; supply chain analytics; RFM segmentation; Self-Organising Maps; Diebold-Mariano test; inventory optimisation; Facebook Prophet; ARIMA; customer segmentation; retail supply chain management</w:t>
      </w:r>
    </w:p>
    <w:p w14:paraId="79C738D7" w14:textId="77777777" w:rsidR="0057582C" w:rsidRDefault="00CE7F22">
      <w:pPr>
        <w:spacing w:before="120" w:after="120" w:line="360" w:lineRule="auto"/>
        <w:jc w:val="both"/>
      </w:pPr>
      <w:r>
        <w:rPr>
          <w:b/>
          <w:bCs/>
        </w:rPr>
        <w:t>1. Introduction</w:t>
      </w:r>
    </w:p>
    <w:p w14:paraId="6ADC7854" w14:textId="77777777" w:rsidR="0057582C" w:rsidRDefault="00CE7F22">
      <w:pPr>
        <w:spacing w:before="120" w:after="120" w:line="360" w:lineRule="auto"/>
        <w:jc w:val="both"/>
      </w:pPr>
      <w:r>
        <w:rPr>
          <w:rFonts w:eastAsia="SimSun"/>
        </w:rPr>
        <w:t>A persistent and largely untested assumption in retail supply chain analytics is that decomposition-based models such as Facebook Prophet outperform classical autoregressive approaches for demand forecasting across all customer segments and training window lengths</w:t>
      </w:r>
      <w:r>
        <w:rPr>
          <w:rFonts w:ascii="SimSun" w:eastAsia="SimSun" w:hAnsi="SimSun" w:cs="SimSun"/>
        </w:rPr>
        <w:t>.</w:t>
      </w:r>
      <w:r>
        <w:rPr>
          <w:rFonts w:ascii="SimSun" w:eastAsia="SimSun" w:hAnsi="SimSun" w:cs="SimSun"/>
          <w:lang w:val="en-US"/>
        </w:rPr>
        <w:t xml:space="preserve"> </w:t>
      </w:r>
      <w:r>
        <w:t>Most studies apply a single forecasting model uniformly across all customers, ignoring the structural differences between high-frequency VIP buyers and dormant low-value segments. This paper addresses that gap directly. We propose a hybrid forecasting decision rule, derived from RFM-based customer segmentation and statistically validated using the Diebold-Mariano test, that assigns Prophet or ARIMA to each customer tier based on demonstrated forecast accuracy rather than assumption. We further connect these forecasts to inventory management through an EOQ simulation that produces tier-specific replenishment policies and quantifies cost implications, estimating total annual replenishment cost at £21,758 (deterministic EOQ) and £19,145 (Monte Carlo mean, N=1,000 runs per tier) across four active customer tiers. Together, these contributions directly address the efficiency and cost reduction objectives stated in the title with quantified, simulation-backed evidence.</w:t>
      </w:r>
    </w:p>
    <w:p w14:paraId="270121D5" w14:textId="77777777" w:rsidR="0057582C" w:rsidRDefault="00CE7F22">
      <w:pPr>
        <w:spacing w:before="120" w:after="120" w:line="360" w:lineRule="auto"/>
        <w:jc w:val="both"/>
      </w:pPr>
      <w:r>
        <w:t>Within this landscape, two analytical functions are particularly critical: customer segmentation and demand forecasting. Customer segmentation enables organisations to classify their customer base by behavioural and transactional attributes, enabling differentiated service strategies, targeted marketing, and more efficient resource allocation. Demand forecasting, conversely, equips supply chain managers to anticipate future consumption patterns, thereby reducing inventory inefficiencies, minimising stockouts, and improving responsiveness to market fluctuations. Traditional statistical forecasting methods, including moving averages, exponential smoothing, and linear regression, have demonstrated limited capacity to accommodate the non-linear, high-dimensional patterns present in contemporary retail data (Babai et al., 2022). Machine learning approaches, by contrast, can capture complex demand structures and adapt to evolving patterns, making them well-suited to retail supply chain environments (Feizabadi, 2022; Sharma et al., 2022).</w:t>
      </w:r>
    </w:p>
    <w:p w14:paraId="717BB0D5" w14:textId="77777777" w:rsidR="0057582C" w:rsidRDefault="00CE7F22">
      <w:pPr>
        <w:spacing w:before="120" w:after="120" w:line="360" w:lineRule="auto"/>
        <w:jc w:val="both"/>
      </w:pPr>
      <w:r>
        <w:lastRenderedPageBreak/>
        <w:t xml:space="preserve">The Recency, Frequency, and Monetary (RFM) framework has been widely adopted as a practical and interpretable method for characterising customer purchasing behaviour (Chen et al., 2012; Parikh &amp; Abdelfattah, 2020). However, its integration with advanced probabilistic and topology-based clustering algorithms and the subsequent application of per-segment forecasting remain underexplored in the supply chain literature. </w:t>
      </w:r>
      <w:proofErr w:type="spellStart"/>
      <w:r>
        <w:t>Douaioui</w:t>
      </w:r>
      <w:proofErr w:type="spellEnd"/>
      <w:r>
        <w:t xml:space="preserve"> et al. (2024) reviewed 119 ML and deep learning studies on supply chain demand forecasting, concluding that decomposition-based models such as Prophet excel on high-frequency seasonal demand, while parsimonious autoregressive models better serve sparse irregular series. This finding directly motivates the hybrid model selection developed in this study. </w:t>
      </w:r>
      <w:proofErr w:type="spellStart"/>
      <w:r>
        <w:t>Albqowr</w:t>
      </w:r>
      <w:proofErr w:type="spellEnd"/>
      <w:r>
        <w:t xml:space="preserve"> et al. (2022) conducted a systematic review of big data analytics in supply chain management, highlighting the growing importance of segmentation-driven analytics but noting a gap in studies that couple customer profiling directly with downstream forecasting pipelines. This gap motivates the present study.</w:t>
      </w:r>
    </w:p>
    <w:p w14:paraId="313BCE05" w14:textId="77777777" w:rsidR="0057582C" w:rsidRDefault="00CE7F22">
      <w:pPr>
        <w:spacing w:before="120" w:after="120" w:line="360" w:lineRule="auto"/>
        <w:jc w:val="both"/>
      </w:pPr>
      <w:r>
        <w:t>This paper proposes and empirically evaluates an integrated analytics pipeline that combines RFM-based customer segmentation with per-segment demand forecasting, applied to a real-world UK online retail dataset from the UCI Machine Learning Repository. Segmentation is performed using two complementary approaches, namely Gaussian Mixture Models (GMM) and Self-Organising Maps (SOM), and demand is then forecast for each resulting customer segment using Facebook Prophet and ARIMA models over a 12-month horizon. The study makes four novel contributions: (</w:t>
      </w:r>
      <w:proofErr w:type="spellStart"/>
      <w:r>
        <w:t>i</w:t>
      </w:r>
      <w:proofErr w:type="spellEnd"/>
      <w:r>
        <w:t>) the first direct empirical comparison of GMM and SOM for RFM-based segmentation on this dataset using validated cluster quality indices; (ii) a statistically validated hybrid model selection rule auto-ARIMA as the correct default for short 12-month retail series (median MAE £810 vs Prophet’s £22,680); Prophet preferred when 24+ months of training data accumulate grounded in the proper Diebold-Mariano test (HAC, Harvey et al. 1997, full CV residuals); (iii) an EOQ inventory cost simulation producing tier-specific replenishment policies and quantifying £21,758 deterministic EOQ total (£19,145 MC mean) with £1,976 annual saving from excluding Tier 5 dormant customers; and (iv) a five-tier strategic customer framework linking RFM-SOM segments to concrete inventory decisions. The remainder of this paper is structured as follows: Section 2 reviews the relevant literature on big data analytics, customer segmentation, and demand forecasting; Section 3 describes the methodology; Section 4 presents the results and discussion; and Section 5 concludes, including implications and directions for future research.</w:t>
      </w:r>
    </w:p>
    <w:p w14:paraId="5E5B6C5B" w14:textId="77777777" w:rsidR="0057582C" w:rsidRDefault="00CE7F22">
      <w:pPr>
        <w:spacing w:before="180" w:after="80" w:line="360" w:lineRule="auto"/>
        <w:jc w:val="both"/>
      </w:pPr>
      <w:r>
        <w:rPr>
          <w:b/>
          <w:bCs/>
        </w:rPr>
        <w:lastRenderedPageBreak/>
        <w:t>Highlights of the Contribution of the Paper:</w:t>
      </w:r>
    </w:p>
    <w:p w14:paraId="7458D764" w14:textId="77777777" w:rsidR="0057582C" w:rsidRDefault="00CE7F22">
      <w:pPr>
        <w:spacing w:before="60" w:after="60" w:line="360" w:lineRule="auto"/>
        <w:jc w:val="both"/>
      </w:pPr>
      <w:r>
        <w:t>• Proposes the RFM-SOM Adaptive Hybrid Forecasting and Inventory Optimisation (AHFIO) Framework: an end-to-end decision-support system linking customer segmentation, per-segment forecasting, statistical model validation, and stochastic inventory cost simulation.</w:t>
      </w:r>
    </w:p>
    <w:p w14:paraId="0F4C0C98" w14:textId="77777777" w:rsidR="0057582C" w:rsidRDefault="00CE7F22">
      <w:pPr>
        <w:spacing w:before="60" w:after="60" w:line="360" w:lineRule="auto"/>
        <w:jc w:val="both"/>
      </w:pPr>
      <w:r>
        <w:t>• SOM (5×5, 25 segments) substantially outperforms GMM on both DBI (0.746 vs 3.256) and CHI (5,709 vs 3,752), producing significantly more compact and better-separated customer clusters.</w:t>
      </w:r>
    </w:p>
    <w:p w14:paraId="738BE108" w14:textId="77777777" w:rsidR="0057582C" w:rsidRDefault="00CE7F22">
      <w:pPr>
        <w:spacing w:before="60" w:after="60" w:line="360" w:lineRule="auto"/>
        <w:jc w:val="both"/>
      </w:pPr>
      <w:r>
        <w:t>• Auto-ARIMA achieves median MAE £810 versus Prophet’s £22,680 across all 25 segments: short 12-month series favour parsimonious auto-ARIMA; Prophet is recommended only when 24+ months of training data are available.</w:t>
      </w:r>
    </w:p>
    <w:p w14:paraId="5844EA7D" w14:textId="77777777" w:rsidR="0057582C" w:rsidRDefault="00CE7F22">
      <w:pPr>
        <w:spacing w:before="60" w:after="60" w:line="360" w:lineRule="auto"/>
        <w:jc w:val="both"/>
      </w:pPr>
      <w:r>
        <w:t>• Monte Carlo stochastic EOQ simulation (N=1,000 runs per tier): deterministic total £21,758, MC mean £19,145; Tier 1 requires safety stock augmentation; £1,977/yr saved by excluding Tier 5 dormant customers.</w:t>
      </w:r>
    </w:p>
    <w:p w14:paraId="66E49D8B" w14:textId="77777777" w:rsidR="0057582C" w:rsidRDefault="00CE7F22">
      <w:pPr>
        <w:spacing w:before="60" w:after="80" w:line="360" w:lineRule="auto"/>
        <w:jc w:val="both"/>
      </w:pPr>
      <w:r>
        <w:t>• Five-tier strategic customer framework links RFM-SOM segments to differentiated replenishment policies, forecasting model selection, and inventory actions in a single operational decision rule.</w:t>
      </w:r>
    </w:p>
    <w:p w14:paraId="6B7CB90E" w14:textId="77777777" w:rsidR="0057582C" w:rsidRDefault="00CE7F22">
      <w:pPr>
        <w:spacing w:before="120" w:after="120" w:line="360" w:lineRule="auto"/>
        <w:jc w:val="both"/>
      </w:pPr>
      <w:r>
        <w:t>Supply chain management (SCM) has undergone a significant transformation as organisations have sought to improve responsiveness, reduce costs, and meet rising customer expectations. The increasing availability of transactional and behavioural data, combined with advances in machine learning, has created new opportunities to strengthen supply chain performance through data-driven analytics. This section reviews the literature across three interconnected domains: big data analytics in SCM, customer segmentation methods, and demand forecasting approaches, culminating in the identification of the research gap that this study addresses.</w:t>
      </w:r>
    </w:p>
    <w:p w14:paraId="2AD44CF1" w14:textId="77777777" w:rsidR="0057582C" w:rsidRDefault="00CE7F22">
      <w:pPr>
        <w:spacing w:before="120" w:after="120" w:line="360" w:lineRule="auto"/>
        <w:jc w:val="both"/>
        <w:rPr>
          <w:b/>
          <w:bCs/>
        </w:rPr>
      </w:pPr>
      <w:r>
        <w:t xml:space="preserve">Big data analytics has been recognised as a key enabler of supply chain efficiency and competitiveness. </w:t>
      </w:r>
      <w:proofErr w:type="spellStart"/>
      <w:r>
        <w:t>Darvazeh</w:t>
      </w:r>
      <w:proofErr w:type="spellEnd"/>
      <w:r>
        <w:t xml:space="preserve"> et al. (2020) demonstrated that big data deployment methodologies can substantially improve supply chain decision-making and operational performance, particularly in data-intensive retail environments. </w:t>
      </w:r>
      <w:proofErr w:type="spellStart"/>
      <w:r>
        <w:t>Puica</w:t>
      </w:r>
      <w:proofErr w:type="spellEnd"/>
      <w:r>
        <w:t xml:space="preserve"> (2022) conducted a systematic evaluation of the effectiveness of big data analytics in SCM, identifying data quality, integration capability, and model interpretability as the primary factors determining success. Putri et al. (2023) examined SCM practices in the digital printing sector, finding that data-driven supply chain strategies directly strengthen customer loyalty and satisfaction, an outcome that is increasingly relevant in </w:t>
      </w:r>
      <w:r>
        <w:lastRenderedPageBreak/>
        <w:t>e-commerce contexts. Collectively, these studies establish that big data analytics offers substantial potential for supply chain improvement, but that its realisation depends on the quality of the analytical pipeline applied.</w:t>
      </w:r>
    </w:p>
    <w:p w14:paraId="2D9880F5" w14:textId="77777777" w:rsidR="0057582C" w:rsidRDefault="00CE7F22">
      <w:pPr>
        <w:spacing w:before="120" w:after="120" w:line="360" w:lineRule="auto"/>
        <w:jc w:val="both"/>
      </w:pPr>
      <w:r>
        <w:t>Against this backdrop of data-driven supply chain analytics, customer segmentation has emerged as the critical first step in moving from aggregate to segment-specific decision-making. Customer segmentation enables organisations to group customers according to shared behavioural, demographic, or transactional characteristics,</w:t>
      </w:r>
    </w:p>
    <w:p w14:paraId="4E9814D0" w14:textId="77777777" w:rsidR="0057582C" w:rsidRDefault="00CE7F22">
      <w:pPr>
        <w:spacing w:before="120" w:after="120" w:line="360" w:lineRule="auto"/>
        <w:jc w:val="both"/>
      </w:pPr>
      <w:r>
        <w:t>The Recency, Frequency, and Monetary (RFM) model has become a standard framework for customer profiling based on transactions. Chen et al. (2012) applied RFM-based segmentation with data mining algorithms to an online retail dataset, demonstrating that RFM scoring effectively differentiates customer value tiers and informs targeted marketing strategies. Parikh and Abdelfattah (2020) extended this approach by evaluating multiple clustering algorithms, including K-means, hierarchical clustering, and DBSCAN, in conjunction with RFM analysis, finding that clustering substantially enhances the granularity and actionability of customer segmentation in retail environments. Anitha and Patil (2022) further validated the integration of RFM with K-means clustering, reporting improvements in customer retention rates and marketing efficiency when segment-specific strategies were applied. Together, these studies establish RFM as a robust and practically interpretable basis for customer segmentation in retail supply chains.</w:t>
      </w:r>
    </w:p>
    <w:p w14:paraId="3B635949" w14:textId="77777777" w:rsidR="0057582C" w:rsidRDefault="00CE7F22">
      <w:pPr>
        <w:spacing w:before="120" w:after="120" w:line="360" w:lineRule="auto"/>
        <w:jc w:val="both"/>
      </w:pPr>
      <w:r>
        <w:t>While RFM provides the input features for segmentation, the choice of clustering algorithm shapes the quality and interpretability of the resulting segments. K-means is the most widely used approach in RFM studies, largely because of its simplicity and computational efficiency, but it carries well-known limitations: it assumes spherical, equally sized clusters and is sensitive to outliers, both of which are problematic in retail transactional data where a small number of extremely high-value customers routinely skew the feature space (Parikh and Abdelfattah, 2020). DBSCAN handles outliers more gracefully by treating them as noise rather than forcing them into clusters, but its performance degrades on datasets with varying density, and the choice of epsilon and minimum samples hyperparameters is not straightforward within high-dimensional RFM space. Gaussian Mixture Models offer a probabilistic alternative that assigns each customer a probability of belonging to each segment, rather than a hard label, which is more realistic given that customer behaviour lies on a continuum rather than falling into discrete categories. Self-</w:t>
      </w:r>
      <w:r>
        <w:lastRenderedPageBreak/>
        <w:t>Organising Maps take a different approach entirely, preserving the topological structure of the data as a two-dimensional grid, making the relationships between segments visually interpretable in a way neither K-means nor GMM can. Despite these theoretical advantages, direct empirical comparisons between GMM and SOM on RFM retail data remain scarce, and no study has yet paired both methods on the same dataset, using validated cluster quality metrics, and connected the results to downstream demand forecasting. This gap is what the present study addresses.</w:t>
      </w:r>
    </w:p>
    <w:p w14:paraId="6D652AAC" w14:textId="77777777" w:rsidR="0057582C" w:rsidRDefault="00CE7F22">
      <w:pPr>
        <w:spacing w:before="120" w:after="120" w:line="360" w:lineRule="auto"/>
        <w:jc w:val="both"/>
      </w:pPr>
      <w:r>
        <w:t xml:space="preserve">The application of segmentation to demand forecasting extends beyond retail. Kontogiannis et al. (2022) demonstrated that cluster-based consumer segmentation improved the accuracy of aggregate demand forecasts in electricity grid management. Komatsu and Kimura (2023) applied smart meter analytics to segment building energy users and predict demand by cluster, achieving more accurate load forecasting than non-segmented models. </w:t>
      </w:r>
      <w:proofErr w:type="spellStart"/>
      <w:r>
        <w:t>Viverit</w:t>
      </w:r>
      <w:proofErr w:type="spellEnd"/>
      <w:r>
        <w:t xml:space="preserve"> et al. (2023) proposed a machine-learning-based hotel booking curve model that incorporated customer-cluster characteristics to improve short-term hospitality demand forecasting. These cross-domain findings support the broader principle that segmentation-informed forecasting outperforms aggregate approaches, a hypothesis central to the present study.</w:t>
      </w:r>
    </w:p>
    <w:p w14:paraId="5D22EA90" w14:textId="77777777" w:rsidR="0057582C" w:rsidRDefault="00CE7F22">
      <w:pPr>
        <w:spacing w:before="120" w:after="120" w:line="360" w:lineRule="auto"/>
        <w:jc w:val="both"/>
      </w:pPr>
      <w:r>
        <w:rPr>
          <w:b/>
          <w:bCs/>
        </w:rPr>
        <w:t>Demand Forecasting</w:t>
      </w:r>
    </w:p>
    <w:p w14:paraId="1F8D8DAD" w14:textId="77777777" w:rsidR="0057582C" w:rsidRDefault="00CE7F22">
      <w:pPr>
        <w:spacing w:before="120" w:after="120" w:line="360" w:lineRule="auto"/>
        <w:jc w:val="both"/>
      </w:pPr>
      <w:r>
        <w:t>Demand forecasting is a critical planning function in supply chain management, underpinning inventory optimisation, production scheduling, procurement decisions, and logistics coordination. Accurate forecasts reduce the risk of both overstock (which ties up working capital and increases holding costs) and stockouts (which undermine customer satisfaction and revenue; Babai et al., 2022).</w:t>
      </w:r>
    </w:p>
    <w:p w14:paraId="1480E6E3" w14:textId="77777777" w:rsidR="0057582C" w:rsidRDefault="00CE7F22">
      <w:pPr>
        <w:spacing w:before="120" w:after="120" w:line="360" w:lineRule="auto"/>
        <w:jc w:val="both"/>
      </w:pPr>
      <w:r>
        <w:t>Traditional time-series methods such as moving averages, exponential smoothing, and ARIMA models have long served as the backbone of demand forecasting in practice. These approaches are computationally efficient and interpretable, but they assume stationarity and linearity that often do not hold in real-world retail environments characterised by irregular seasonality, promotional effects, and structural demand shifts. Babai et al. (2022) reviewed aggregation and hierarchical forecasting methods in supply chains, concluding that no single method dominates across all demand environments and that the choice of method must align with the supply chain's structural characteristics.</w:t>
      </w:r>
    </w:p>
    <w:p w14:paraId="30265F6B" w14:textId="77777777" w:rsidR="0057582C" w:rsidRDefault="00CE7F22">
      <w:pPr>
        <w:spacing w:before="120" w:after="120" w:line="360" w:lineRule="auto"/>
        <w:jc w:val="both"/>
      </w:pPr>
      <w:r>
        <w:lastRenderedPageBreak/>
        <w:t xml:space="preserve">Machine learning models have increasingly been applied to overcome these limitations. </w:t>
      </w:r>
      <w:proofErr w:type="spellStart"/>
      <w:r>
        <w:t>Feizabadi</w:t>
      </w:r>
      <w:proofErr w:type="spellEnd"/>
      <w:r>
        <w:t xml:space="preserve"> (2022) provided empirical evidence that machine learning forecasting models outperform traditional statistical approaches across multiple supply chain performance dimensions, notably in environments with complex, non-linear demand patterns. Sharma et al. (2022) mapped the territory of AI applications in SCM, identifying demand forecasting as one of the highest-impact areas for deploying machine learning. Zhang et al. (2022) examined the strategic dimension of demand forecast sharing between retailers and suppliers, demonstrating that forecast accuracy directly affects supply chain profitability and quality decisions. Younis et al. (2022) conducted a systematic review of AI and machine learning applications in supply chains, identifying demand forecasting as a domain where these technologies consistently deliver measurable improvements in responsiveness and efficiency.</w:t>
      </w:r>
    </w:p>
    <w:p w14:paraId="4B275440" w14:textId="77777777" w:rsidR="0057582C" w:rsidRDefault="00CE7F22">
      <w:pPr>
        <w:spacing w:before="120" w:after="120" w:line="360" w:lineRule="auto"/>
        <w:jc w:val="both"/>
      </w:pPr>
      <w:r>
        <w:t>Facebook Prophet, developed by Taylor and Letham (2018), has emerged as a practical, decomposition-based forecasting model that explicitly handles trends, seasonality, and holiday effects. Jha and Pande (2021) demonstrated its effectiveness for retail sales forecasting, reporting competitive accuracy compared to ARIMA on supermarket sales data. Its robustness to missing data and outliers makes it particularly well-suited to transactional retail datasets, which often exhibit irregular transaction patterns across customer segments.</w:t>
      </w:r>
    </w:p>
    <w:p w14:paraId="3ED806EC" w14:textId="77777777" w:rsidR="0057582C" w:rsidRDefault="00CE7F22">
      <w:pPr>
        <w:spacing w:before="120" w:after="120" w:line="360" w:lineRule="auto"/>
        <w:jc w:val="both"/>
      </w:pPr>
      <w:r>
        <w:t>Despite this body of work, a gap remains in studies that integrate RFM-based customer segmentation with per-segment demand forecasting and evaluate the resulting pipeline on a real-world transactional dataset. Most existing studies either apply segmentation or forecasting independently or do so at an aggregate level that obscures segment-specific demand dynamics. This study addresses that gap directly.</w:t>
      </w:r>
    </w:p>
    <w:p w14:paraId="008E6640" w14:textId="77777777" w:rsidR="0057582C" w:rsidRDefault="00CE7F22">
      <w:pPr>
        <w:spacing w:before="120" w:after="120" w:line="360" w:lineRule="auto"/>
        <w:jc w:val="both"/>
      </w:pPr>
      <w:r>
        <w:rPr>
          <w:b/>
          <w:bCs/>
        </w:rPr>
        <w:t>Demand Forecasting Evaluation</w:t>
      </w:r>
    </w:p>
    <w:p w14:paraId="71F568E8" w14:textId="77777777" w:rsidR="0057582C" w:rsidRDefault="00CE7F22">
      <w:pPr>
        <w:spacing w:before="120" w:after="120" w:line="360" w:lineRule="auto"/>
        <w:jc w:val="both"/>
      </w:pPr>
      <w:r>
        <w:t xml:space="preserve">In synthesising the literature, three observations motivate the present study. First, RFM-based segmentation is well-established and effective for customer profiling but combining it with probabilistic (GMM) and topology-preserving (SOM) clustering in the same study is rare, limiting comparative insights. Second, demand forecasting methods have advanced considerably, yet most supply chain studies apply forecasting at an aggregate level rather than tailoring models to individual customer segments, sacrificing precision for simplicity. Third, despite the intuitive appeal of segment-specific forecasting, in which demand patterns specific to each customer group </w:t>
      </w:r>
      <w:r>
        <w:lastRenderedPageBreak/>
        <w:t>are modelled separately, empirical validation of this approach in a retail supply chain context remains limited. The present study addresses all three gaps by proposing, implementing, and evaluating an integrated RFM-segmentation and per-segment demand forecasting pipeline using real transactional data.</w:t>
      </w:r>
    </w:p>
    <w:p w14:paraId="6EC68D4E" w14:textId="77777777" w:rsidR="0057582C" w:rsidRDefault="0057582C">
      <w:pPr>
        <w:spacing w:before="120" w:after="120" w:line="360" w:lineRule="auto"/>
        <w:jc w:val="both"/>
      </w:pPr>
    </w:p>
    <w:p w14:paraId="5227ECD6" w14:textId="77777777" w:rsidR="0057582C" w:rsidRDefault="00CE7F22">
      <w:pPr>
        <w:spacing w:before="120" w:after="120" w:line="360" w:lineRule="auto"/>
        <w:jc w:val="both"/>
      </w:pPr>
      <w:r>
        <w:rPr>
          <w:b/>
          <w:bCs/>
        </w:rPr>
        <w:t>3. Methodology</w:t>
      </w:r>
    </w:p>
    <w:p w14:paraId="60B59F30" w14:textId="77777777" w:rsidR="0057582C" w:rsidRDefault="00CE7F22">
      <w:pPr>
        <w:spacing w:before="120" w:after="120" w:line="360" w:lineRule="auto"/>
        <w:jc w:val="both"/>
      </w:pPr>
      <w:r>
        <w:rPr>
          <w:b/>
          <w:bCs/>
        </w:rPr>
        <w:t>Research Design</w:t>
      </w:r>
    </w:p>
    <w:p w14:paraId="32A8DF49" w14:textId="77777777" w:rsidR="0057582C" w:rsidRDefault="00CE7F22">
      <w:pPr>
        <w:spacing w:before="120" w:after="120" w:line="360" w:lineRule="auto"/>
        <w:jc w:val="both"/>
      </w:pPr>
      <w:r>
        <w:t>This study uses a quantitative research design and implements a multi-stage machine learning pipeline on a real-world transactional dataset. The AHFIO framework pipeline consists of five stages: (1) data collection and preprocessing; (2) exploratory data analysis; (3) dual-method RFM-based customer segmentation (GMM and SOM) with validated cluster quality indices (DBI and CHI); (4) per-segment demand forecasting using Facebook Prophet and auto-ARIMA (</w:t>
      </w:r>
      <w:proofErr w:type="spellStart"/>
      <w:r>
        <w:t>pmdarima</w:t>
      </w:r>
      <w:proofErr w:type="spellEnd"/>
      <w:r>
        <w:t>, AIC-based order selection), with model selection validated by the Diebold-Mariano test using HAC variance estimation and Harvey et al. (1997) small-sample correction applied to full cross-validated error series; and (5) stochastic EOQ inventory simulation (Monte Carlo, N=1,000 runs per tier) translating Prophet forecasts into (R,Q) replenishment policies with quantified cost distributions and service level analysis. This design is chosen because it enables both descriptive insight into customer behaviour and predictive modelling of future demand, thereby addressing the dual research objectives of improving segmentation granularity and forecasting accuracy in retail supply chain management.</w:t>
      </w:r>
    </w:p>
    <w:p w14:paraId="138ACE1C" w14:textId="77777777" w:rsidR="0057582C" w:rsidRDefault="00CE7F22">
      <w:pPr>
        <w:spacing w:before="120" w:after="120" w:line="360" w:lineRule="auto"/>
        <w:jc w:val="both"/>
      </w:pPr>
      <w:r>
        <w:rPr>
          <w:b/>
          <w:bCs/>
        </w:rPr>
        <w:t>Data Collection</w:t>
      </w:r>
    </w:p>
    <w:p w14:paraId="4F11D2CD" w14:textId="77777777" w:rsidR="0057582C" w:rsidRDefault="00CE7F22">
      <w:pPr>
        <w:spacing w:before="120" w:after="120" w:line="360" w:lineRule="auto"/>
        <w:jc w:val="both"/>
      </w:pPr>
      <w:r>
        <w:t xml:space="preserve">The dataset used in this study is the Online Retail dataset from the UCI Machine Learning Repository, comprising all transactions recorded between 1 December 2010 and 9 December 2011 for a UK-based non-store online retailer. The dataset contains 541,909 transaction records with eight attributes: </w:t>
      </w:r>
      <w:proofErr w:type="spellStart"/>
      <w:r>
        <w:t>InvoiceNo</w:t>
      </w:r>
      <w:proofErr w:type="spellEnd"/>
      <w:r>
        <w:t xml:space="preserve">, </w:t>
      </w:r>
      <w:proofErr w:type="spellStart"/>
      <w:r>
        <w:t>StockCode</w:t>
      </w:r>
      <w:proofErr w:type="spellEnd"/>
      <w:r>
        <w:t xml:space="preserve">, Description, Quantity, </w:t>
      </w:r>
      <w:proofErr w:type="spellStart"/>
      <w:r>
        <w:t>InvoiceDate</w:t>
      </w:r>
      <w:proofErr w:type="spellEnd"/>
      <w:r>
        <w:t xml:space="preserve">, </w:t>
      </w:r>
      <w:proofErr w:type="spellStart"/>
      <w:r>
        <w:t>UnitPrice</w:t>
      </w:r>
      <w:proofErr w:type="spellEnd"/>
      <w:r>
        <w:t xml:space="preserve">, </w:t>
      </w:r>
      <w:proofErr w:type="spellStart"/>
      <w:r>
        <w:t>CustomerID</w:t>
      </w:r>
      <w:proofErr w:type="spellEnd"/>
      <w:r>
        <w:t>, and Country. This dataset was selected because it provides complete transactional detail required to compute RFM metrics, is publicly available to ensure reproducibility, and has been widely used in supply chain and retail analytics research, facilitating meaningful comparison with prior work (Chen et al., 2012; Parikh &amp; Abdelfattah, 2020).</w:t>
      </w:r>
    </w:p>
    <w:p w14:paraId="79D0D903" w14:textId="77777777" w:rsidR="0057582C" w:rsidRDefault="00CE7F22">
      <w:pPr>
        <w:spacing w:before="120" w:after="120" w:line="360" w:lineRule="auto"/>
        <w:jc w:val="both"/>
      </w:pPr>
      <w:r>
        <w:lastRenderedPageBreak/>
        <w:t>The UCI Online Retail dataset has been widely utilised in retail analytics research, providing a foundation for benchmarking and comparative analysis. Chen et al. (2012) applied RFM segmentation with K-means clustering to this dataset, demonstrating that RFM-derived segments effectively differentiate customer value and predict future purchasing behaviour, thereby establishing the dataset as a standard for retail segmentation studies. Subsequent research, such as Parikh and Abdelfattah (2020), evaluated multiple clustering algorithms, including K-means, DBSCAN, and hierarchical clustering, on RFM features from this dataset and concluded that no single algorithm consistently outperformed the others across all evaluation metrics. This finding informed the multi-method approach adopted in the present study. Distinctively, this research applies both GMM and SOM, neither of which has previously been comparatively evaluated on this dataset and extends segmentation results to per-segment time-series demand forecasting, an area unexplored in prior UCI Online Retail studies. Consequently, the dataset enables both direct benchmarking of segmentation methods and robust 12-month segment-level demand forecasting.</w:t>
      </w:r>
    </w:p>
    <w:p w14:paraId="5C22406C" w14:textId="77777777" w:rsidR="0057582C" w:rsidRDefault="00CE7F22">
      <w:pPr>
        <w:spacing w:before="120" w:after="120" w:line="360" w:lineRule="auto"/>
        <w:jc w:val="both"/>
      </w:pPr>
      <w:r>
        <w:rPr>
          <w:b/>
          <w:bCs/>
        </w:rPr>
        <w:t>Data Preprocessing</w:t>
      </w:r>
    </w:p>
    <w:p w14:paraId="290E64A6" w14:textId="77777777" w:rsidR="0057582C" w:rsidRDefault="00CE7F22">
      <w:pPr>
        <w:spacing w:before="120" w:after="120" w:line="360" w:lineRule="auto"/>
        <w:jc w:val="both"/>
      </w:pPr>
      <w:r>
        <w:t xml:space="preserve">Data preprocessing was implemented in Python using Google </w:t>
      </w:r>
      <w:proofErr w:type="spellStart"/>
      <w:r>
        <w:t>Colab</w:t>
      </w:r>
      <w:proofErr w:type="spellEnd"/>
      <w:r>
        <w:t xml:space="preserve"> and comprised four sequential steps: filtering, cleaning, transformation, and feature selection. Each step is described below.</w:t>
      </w:r>
    </w:p>
    <w:p w14:paraId="2837FFFC" w14:textId="77777777" w:rsidR="0057582C" w:rsidRDefault="00CE7F22">
      <w:pPr>
        <w:spacing w:before="120" w:after="120" w:line="360" w:lineRule="auto"/>
        <w:jc w:val="both"/>
      </w:pPr>
      <w:r>
        <w:rPr>
          <w:b/>
          <w:bCs/>
        </w:rPr>
        <w:t>Data Filtering</w:t>
      </w:r>
    </w:p>
    <w:p w14:paraId="07642B8F" w14:textId="77777777" w:rsidR="0057582C" w:rsidRDefault="00CE7F22">
      <w:pPr>
        <w:spacing w:before="120" w:after="120" w:line="360" w:lineRule="auto"/>
        <w:jc w:val="both"/>
      </w:pPr>
      <w:r>
        <w:t>The analysis was scoped to UK-based transactions. Records associated with non-UK countries were removed from the raw dataset, reducing the transaction count from 541,909 to 495,478 UK-based records. This filtering step ensured that the segmentation and forecasting models were trained on a geographically and behaviourally coherent customer population.</w:t>
      </w:r>
    </w:p>
    <w:p w14:paraId="28E7CB97" w14:textId="77777777" w:rsidR="0057582C" w:rsidRDefault="00CE7F22">
      <w:pPr>
        <w:spacing w:before="120" w:after="120" w:line="360" w:lineRule="auto"/>
        <w:jc w:val="both"/>
      </w:pPr>
      <w:r>
        <w:rPr>
          <w:b/>
          <w:bCs/>
        </w:rPr>
        <w:t>Data Cleaning</w:t>
      </w:r>
    </w:p>
    <w:p w14:paraId="5F7A3400" w14:textId="77777777" w:rsidR="0057582C" w:rsidRDefault="00CE7F22">
      <w:pPr>
        <w:spacing w:before="120" w:after="120" w:line="360" w:lineRule="auto"/>
        <w:jc w:val="both"/>
      </w:pPr>
      <w:r>
        <w:t xml:space="preserve">Following filtering, the dataset was examined for structural integrity. Column data types were verified, the distribution of transaction records across the UK was visualised, and the extent of missing values was assessed. </w:t>
      </w:r>
      <w:proofErr w:type="spellStart"/>
      <w:r>
        <w:t>CustomerID</w:t>
      </w:r>
      <w:proofErr w:type="spellEnd"/>
      <w:r>
        <w:t xml:space="preserve"> was identified as the primary field containing missing values, as transactions lacking a </w:t>
      </w:r>
      <w:proofErr w:type="spellStart"/>
      <w:r>
        <w:t>CustomerID</w:t>
      </w:r>
      <w:proofErr w:type="spellEnd"/>
      <w:r>
        <w:t xml:space="preserve"> cannot be attributed to an individual customer and were therefore excluded from the RFM analysis.</w:t>
      </w:r>
    </w:p>
    <w:p w14:paraId="6E29BD2A" w14:textId="77777777" w:rsidR="0057582C" w:rsidRDefault="00CE7F22">
      <w:pPr>
        <w:spacing w:before="120" w:after="120" w:line="360" w:lineRule="auto"/>
        <w:jc w:val="both"/>
      </w:pPr>
      <w:r>
        <w:rPr>
          <w:b/>
          <w:bCs/>
        </w:rPr>
        <w:t>Data Transformation</w:t>
      </w:r>
    </w:p>
    <w:p w14:paraId="524AD3F1" w14:textId="77777777" w:rsidR="0057582C" w:rsidRDefault="00CE7F22">
      <w:pPr>
        <w:spacing w:before="120" w:after="120" w:line="360" w:lineRule="auto"/>
        <w:jc w:val="both"/>
      </w:pPr>
      <w:r>
        <w:lastRenderedPageBreak/>
        <w:t>Missing values in continuous fields were imputed using mean imputation via scikit-</w:t>
      </w:r>
      <w:proofErr w:type="spellStart"/>
      <w:r>
        <w:t>learn's</w:t>
      </w:r>
      <w:proofErr w:type="spellEnd"/>
      <w:r>
        <w:t xml:space="preserve"> </w:t>
      </w:r>
      <w:proofErr w:type="spellStart"/>
      <w:r>
        <w:t>SimpleImputer</w:t>
      </w:r>
      <w:proofErr w:type="spellEnd"/>
      <w:r>
        <w:t xml:space="preserve">. Outlier detection was performed using z-score standardisation: records with absolute z-scores exceeding 5 in either the Quantity or </w:t>
      </w:r>
      <w:proofErr w:type="spellStart"/>
      <w:r>
        <w:t>UnitPrice</w:t>
      </w:r>
      <w:proofErr w:type="spellEnd"/>
      <w:r>
        <w:t xml:space="preserve"> column were flagged as statistical outliers and removed. This conservative threshold was selected to preserve genuine high-value transactions while eliminating data entry errors and anomalous return records. Outlier removal reduced the dataset from 495,478 to 495,119 records, a 359-transaction reduction (0.07%), confirming that the original dataset was largely clean prior to processing.</w:t>
      </w:r>
    </w:p>
    <w:p w14:paraId="1BB19CBE" w14:textId="77777777" w:rsidR="0057582C" w:rsidRDefault="0057582C">
      <w:pPr>
        <w:spacing w:before="120" w:after="120" w:line="360" w:lineRule="auto"/>
        <w:jc w:val="both"/>
      </w:pPr>
    </w:p>
    <w:p w14:paraId="07D6F6D9" w14:textId="77777777" w:rsidR="0057582C" w:rsidRDefault="00CE7F22">
      <w:pPr>
        <w:spacing w:before="120" w:after="120" w:line="360" w:lineRule="auto"/>
        <w:jc w:val="both"/>
      </w:pPr>
      <w:r>
        <w:rPr>
          <w:i/>
          <w:iCs/>
        </w:rPr>
        <w:t xml:space="preserve">(5)  </w:t>
      </w:r>
      <m:oMath>
        <m:r>
          <m:rPr>
            <m:nor/>
          </m:rPr>
          <w:rPr>
            <w:i/>
          </w:rPr>
          <m:t>z</m:t>
        </m:r>
        <m:r>
          <m:rPr>
            <m:nor/>
          </m:rPr>
          <m:t xml:space="preserve"> = </m:t>
        </m:r>
        <m:f>
          <m:fPr>
            <m:ctrlPr>
              <w:rPr>
                <w:rFonts w:ascii="Cambria Math" w:hAnsi="Cambria Math"/>
              </w:rPr>
            </m:ctrlPr>
          </m:fPr>
          <m:num>
            <m:r>
              <m:rPr>
                <m:nor/>
              </m:rPr>
              <w:rPr>
                <w:i/>
              </w:rPr>
              <m:t>x</m:t>
            </m:r>
            <m:r>
              <m:rPr>
                <m:nor/>
              </m:rPr>
              <m:t xml:space="preserve"> - </m:t>
            </m:r>
            <m:r>
              <m:rPr>
                <m:nor/>
              </m:rPr>
              <w:rPr>
                <w:i/>
              </w:rPr>
              <m:t>μ</m:t>
            </m:r>
          </m:num>
          <m:den>
            <m:r>
              <m:rPr>
                <m:nor/>
              </m:rPr>
              <w:rPr>
                <w:i/>
              </w:rPr>
              <m:t>σ</m:t>
            </m:r>
          </m:den>
        </m:f>
        <m:r>
          <m:rPr>
            <m:nor/>
          </m:rPr>
          <m:t xml:space="preserve">  ;   </m:t>
        </m:r>
        <m:r>
          <m:rPr>
            <m:nor/>
          </m:rPr>
          <w:rPr>
            <w:i/>
          </w:rPr>
          <m:t>remove</m:t>
        </m:r>
        <m:r>
          <m:rPr>
            <m:nor/>
          </m:rPr>
          <m:t xml:space="preserve"> </m:t>
        </m:r>
        <m:r>
          <m:rPr>
            <m:nor/>
          </m:rPr>
          <w:rPr>
            <w:i/>
          </w:rPr>
          <m:t>if</m:t>
        </m:r>
        <m:r>
          <m:rPr>
            <m:nor/>
          </m:rPr>
          <m:t xml:space="preserve">  </m:t>
        </m:r>
        <m:d>
          <m:dPr>
            <m:begChr m:val="|"/>
            <m:endChr m:val="|"/>
            <m:ctrlPr>
              <w:rPr>
                <w:rFonts w:ascii="Cambria Math" w:hAnsi="Cambria Math"/>
              </w:rPr>
            </m:ctrlPr>
          </m:dPr>
          <m:e>
            <m:r>
              <m:rPr>
                <m:nor/>
              </m:rPr>
              <w:rPr>
                <w:i/>
              </w:rPr>
              <m:t>z</m:t>
            </m:r>
          </m:e>
        </m:d>
        <m:r>
          <m:rPr>
            <m:nor/>
          </m:rPr>
          <m:t xml:space="preserve"> &gt; </m:t>
        </m:r>
        <m:r>
          <m:rPr>
            <m:nor/>
          </m:rPr>
          <w:rPr>
            <w:i/>
          </w:rPr>
          <m:t>θ</m:t>
        </m:r>
      </m:oMath>
    </w:p>
    <w:p w14:paraId="5CC8A3CB" w14:textId="77777777" w:rsidR="0057582C" w:rsidRDefault="00CE7F22">
      <w:pPr>
        <w:spacing w:before="120" w:after="120" w:line="360" w:lineRule="auto"/>
        <w:jc w:val="both"/>
      </w:pPr>
      <w:r>
        <w:rPr>
          <w:b/>
          <w:bCs/>
        </w:rPr>
        <w:t>Feature Selection</w:t>
      </w:r>
    </w:p>
    <w:p w14:paraId="18408F18" w14:textId="77777777" w:rsidR="0057582C" w:rsidRDefault="00CE7F22">
      <w:pPr>
        <w:spacing w:before="120" w:after="120" w:line="360" w:lineRule="auto"/>
        <w:jc w:val="both"/>
      </w:pPr>
      <w:r>
        <w:t>The requirements of the RFM framework guided feature selection. The Description column was excluded as it provides product-level detail irrelevant to customer-level profiling. The retained fields (</w:t>
      </w:r>
      <w:proofErr w:type="spellStart"/>
      <w:r>
        <w:t>InvoiceDate</w:t>
      </w:r>
      <w:proofErr w:type="spellEnd"/>
      <w:r>
        <w:t xml:space="preserve">, </w:t>
      </w:r>
      <w:proofErr w:type="spellStart"/>
      <w:r>
        <w:t>InvoiceNo</w:t>
      </w:r>
      <w:proofErr w:type="spellEnd"/>
      <w:r>
        <w:t xml:space="preserve">, </w:t>
      </w:r>
      <w:proofErr w:type="spellStart"/>
      <w:r>
        <w:t>CustomerID</w:t>
      </w:r>
      <w:proofErr w:type="spellEnd"/>
      <w:r>
        <w:t xml:space="preserve">, Quantity, and </w:t>
      </w:r>
      <w:proofErr w:type="spellStart"/>
      <w:r>
        <w:t>UnitPrice</w:t>
      </w:r>
      <w:proofErr w:type="spellEnd"/>
      <w:r>
        <w:t>) supply all information necessary to compute Recency, Frequency, and Monetary values for each customer.</w:t>
      </w:r>
    </w:p>
    <w:p w14:paraId="7FBE5838" w14:textId="77777777" w:rsidR="0057582C" w:rsidRDefault="00CE7F22">
      <w:pPr>
        <w:spacing w:before="120" w:after="120" w:line="360" w:lineRule="auto"/>
        <w:jc w:val="both"/>
      </w:pPr>
      <w:r>
        <w:rPr>
          <w:b/>
          <w:bCs/>
        </w:rPr>
        <w:t>Data Analysis</w:t>
      </w:r>
    </w:p>
    <w:p w14:paraId="444B47A4" w14:textId="77777777" w:rsidR="0057582C" w:rsidRDefault="00CE7F22">
      <w:pPr>
        <w:spacing w:before="120" w:after="120" w:line="360" w:lineRule="auto"/>
        <w:jc w:val="both"/>
      </w:pPr>
      <w:r>
        <w:t xml:space="preserve">The analytical pipeline proceeds in two stages. First, RFM metrics are computed for each customer and used as input features for clustering. Two clustering methods, GMM and SOM, are applied and evaluated using the Davies-Bouldin Index (DBI) and </w:t>
      </w:r>
      <w:proofErr w:type="spellStart"/>
      <w:r>
        <w:t>Calinski-Harabasz</w:t>
      </w:r>
      <w:proofErr w:type="spellEnd"/>
      <w:r>
        <w:t xml:space="preserve"> Index (CHI). Second, the customer segments produced by SOM are used to partition the transactional time series, and demand is forecast for each segment independently using Facebook Prophet and ARIMA. Model performance is evaluated using Mean Absolute Error (MAE) and Root Mean Squared Error (RMSE), with all error values reported in the original GBP units after an inverse </w:t>
      </w:r>
      <w:proofErr w:type="spellStart"/>
      <w:r>
        <w:t>MinMax</w:t>
      </w:r>
      <w:proofErr w:type="spellEnd"/>
      <w:r>
        <w:t xml:space="preserve"> transformation.</w:t>
      </w:r>
    </w:p>
    <w:p w14:paraId="17083C9E" w14:textId="77777777" w:rsidR="0057582C" w:rsidRDefault="00CE7F22">
      <w:pPr>
        <w:spacing w:before="120" w:after="120" w:line="360" w:lineRule="auto"/>
        <w:jc w:val="both"/>
      </w:pPr>
      <w:r>
        <w:rPr>
          <w:b/>
          <w:bCs/>
        </w:rPr>
        <w:t>Exploratory Data Analysis</w:t>
      </w:r>
    </w:p>
    <w:p w14:paraId="320A2B4D" w14:textId="77777777" w:rsidR="0057582C" w:rsidRDefault="00CE7F22">
      <w:pPr>
        <w:spacing w:before="120" w:after="120" w:line="360" w:lineRule="auto"/>
        <w:jc w:val="both"/>
      </w:pPr>
      <w:r>
        <w:t xml:space="preserve">Exploratory data analysis (EDA) was conducted on the </w:t>
      </w:r>
      <w:proofErr w:type="spellStart"/>
      <w:r>
        <w:t>preprocessed</w:t>
      </w:r>
      <w:proofErr w:type="spellEnd"/>
      <w:r>
        <w:t xml:space="preserve"> dataset to characterise its structure, identify temporal patterns, and establish a contextual baseline prior to segmentation and forecasting. The EDA used three analytical lenses: time analysis (monthly sales trends), year-over-year analysis (annual revenue comparison), and customer analysis (unique customer count). These </w:t>
      </w:r>
      <w:r>
        <w:lastRenderedPageBreak/>
        <w:t>analyses inform both the design of the RFM segmentation and the interpretation of the forecasting results.</w:t>
      </w:r>
    </w:p>
    <w:p w14:paraId="4B2C01C3" w14:textId="77777777" w:rsidR="0057582C" w:rsidRDefault="00CE7F22">
      <w:pPr>
        <w:spacing w:before="120" w:after="120" w:line="360" w:lineRule="auto"/>
        <w:jc w:val="both"/>
      </w:pPr>
      <w:r>
        <w:rPr>
          <w:b/>
          <w:bCs/>
        </w:rPr>
        <w:t>The EDA comprises three analytical components, each described below.</w:t>
      </w:r>
    </w:p>
    <w:p w14:paraId="724C790B" w14:textId="77777777" w:rsidR="0057582C" w:rsidRDefault="00CE7F22">
      <w:pPr>
        <w:spacing w:before="120" w:after="120" w:line="360" w:lineRule="auto"/>
        <w:jc w:val="both"/>
      </w:pPr>
      <w:r>
        <w:rPr>
          <w:b/>
          <w:bCs/>
        </w:rPr>
        <w:t>Summary Statistics</w:t>
      </w:r>
    </w:p>
    <w:p w14:paraId="7ACC87B7" w14:textId="77777777" w:rsidR="0057582C" w:rsidRDefault="00CE7F22">
      <w:pPr>
        <w:spacing w:before="120" w:after="120" w:line="360" w:lineRule="auto"/>
        <w:jc w:val="both"/>
      </w:pPr>
      <w:r>
        <w:t>Summary statistics provide numerical measures of a dataset's characteristics, including central tendency, dispersion, and distribution. These metrics offer a comprehensive overview of the data structure.</w:t>
      </w:r>
    </w:p>
    <w:p w14:paraId="137F66E7" w14:textId="77777777" w:rsidR="0057582C" w:rsidRDefault="00CE7F22">
      <w:pPr>
        <w:spacing w:before="120" w:after="120" w:line="360" w:lineRule="auto"/>
        <w:jc w:val="both"/>
      </w:pPr>
      <w:r>
        <w:rPr>
          <w:b/>
          <w:bCs/>
        </w:rPr>
        <w:t>Time Analysis</w:t>
      </w:r>
    </w:p>
    <w:p w14:paraId="199B634B" w14:textId="77777777" w:rsidR="0057582C" w:rsidRDefault="00CE7F22">
      <w:pPr>
        <w:spacing w:before="120" w:after="120" w:line="360" w:lineRule="auto"/>
        <w:jc w:val="both"/>
      </w:pPr>
      <w:r>
        <w:t>The time analysis shows monthly sales for 12 months, based on transactions from 01/12/2010 to 09/12/2011. Below is the table showing the months and sales for each of the twelve months.</w:t>
      </w:r>
    </w:p>
    <w:p w14:paraId="793CF0A3" w14:textId="77777777" w:rsidR="0057582C" w:rsidRDefault="00CE7F22">
      <w:pPr>
        <w:spacing w:before="120" w:after="120" w:line="360" w:lineRule="auto"/>
        <w:jc w:val="both"/>
      </w:pPr>
      <w:r>
        <w:rPr>
          <w:b/>
          <w:bCs/>
        </w:rPr>
        <w:t>Results and Discussion</w:t>
      </w:r>
    </w:p>
    <w:p w14:paraId="31E8867E" w14:textId="77777777" w:rsidR="0057582C" w:rsidRDefault="00CE7F22">
      <w:pPr>
        <w:spacing w:before="120" w:after="120" w:line="360" w:lineRule="auto"/>
        <w:jc w:val="both"/>
      </w:pPr>
      <w:r>
        <w:t>This section presents the results of the AHFIO Framework pipeline applied to the UK Online Retail dataset. The presentation follows the five-stage pipeline: data preprocessing and EDA, RFM-based customer segmentation (GMM and SOM), per-segment demand forecasting (Prophet walk-forward CV and auto-ARIMA), statistical model validation (proper Diebold-Mariano test), and stochastic EOQ inventory simulation (Monte Carlo, N=1,000 runs per tier). Each stage is evaluated quantitatively and interpreted for supply chain decision-making.</w:t>
      </w:r>
    </w:p>
    <w:p w14:paraId="407C4B31" w14:textId="77777777" w:rsidR="0057582C" w:rsidRDefault="00CE7F22">
      <w:pPr>
        <w:spacing w:before="120" w:after="120" w:line="360" w:lineRule="auto"/>
        <w:jc w:val="both"/>
      </w:pPr>
      <w:r>
        <w:rPr>
          <w:b/>
          <w:bCs/>
        </w:rPr>
        <w:t>Monthly Sales Analysis</w:t>
      </w:r>
    </w:p>
    <w:p w14:paraId="7B5D7236" w14:textId="77777777" w:rsidR="0057582C" w:rsidRDefault="00CE7F22">
      <w:pPr>
        <w:spacing w:before="120" w:after="120" w:line="360" w:lineRule="auto"/>
        <w:jc w:val="both"/>
      </w:pPr>
      <w:r>
        <w:t>Table 1 presents the time analysis of monthly sales for each of the 12 months, and Figure 1 shows the trends and seasonal patterns of sales.</w:t>
      </w:r>
    </w:p>
    <w:p w14:paraId="4AF37289" w14:textId="77777777" w:rsidR="0057582C" w:rsidRDefault="00CE7F22">
      <w:pPr>
        <w:spacing w:before="120" w:after="120" w:line="360" w:lineRule="auto"/>
        <w:jc w:val="both"/>
      </w:pPr>
      <w:r>
        <w:t>Table 1. Time analysis of sales.</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gridCol w:w="2295"/>
      </w:tblGrid>
      <w:tr w:rsidR="0057582C" w14:paraId="548DB6A7" w14:textId="77777777">
        <w:trPr>
          <w:trHeight w:val="540"/>
          <w:jc w:val="center"/>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787DC16A" w14:textId="77777777" w:rsidR="0057582C" w:rsidRDefault="00CE7F22">
            <w:pPr>
              <w:spacing w:line="360" w:lineRule="auto"/>
              <w:jc w:val="both"/>
            </w:pPr>
            <w:r>
              <w:rPr>
                <w:b/>
                <w:bCs/>
              </w:rPr>
              <w:t>Month</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0B7202F0" w14:textId="77777777" w:rsidR="0057582C" w:rsidRDefault="00CE7F22">
            <w:pPr>
              <w:spacing w:line="360" w:lineRule="auto"/>
              <w:jc w:val="both"/>
            </w:pPr>
            <w:r>
              <w:rPr>
                <w:b/>
                <w:bCs/>
              </w:rPr>
              <w:t>Month Name</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2FE75561" w14:textId="77777777" w:rsidR="0057582C" w:rsidRDefault="00CE7F22">
            <w:pPr>
              <w:spacing w:line="360" w:lineRule="auto"/>
              <w:jc w:val="both"/>
            </w:pPr>
            <w:r>
              <w:rPr>
                <w:b/>
                <w:bCs/>
              </w:rPr>
              <w:t>Sales Quantity</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58C339D0" w14:textId="77777777" w:rsidR="0057582C" w:rsidRDefault="00CE7F22">
            <w:pPr>
              <w:spacing w:line="360" w:lineRule="auto"/>
              <w:jc w:val="both"/>
            </w:pPr>
            <w:r>
              <w:rPr>
                <w:b/>
                <w:bCs/>
              </w:rPr>
              <w:t>Indicator</w:t>
            </w:r>
          </w:p>
        </w:tc>
      </w:tr>
      <w:tr w:rsidR="0057582C" w14:paraId="6E7E1909" w14:textId="77777777">
        <w:trPr>
          <w:trHeight w:val="540"/>
          <w:jc w:val="center"/>
        </w:trPr>
        <w:tc>
          <w:tcPr>
            <w:tcW w:w="2295" w:type="dxa"/>
            <w:tcBorders>
              <w:left w:val="single" w:sz="6" w:space="0" w:color="E0E0E0"/>
              <w:bottom w:val="single" w:sz="6" w:space="0" w:color="E0E0E0"/>
              <w:right w:val="single" w:sz="6" w:space="0" w:color="E0E0E0"/>
            </w:tcBorders>
          </w:tcPr>
          <w:p w14:paraId="5BA5198E" w14:textId="77777777" w:rsidR="0057582C" w:rsidRDefault="00CE7F22">
            <w:pPr>
              <w:spacing w:line="360" w:lineRule="auto"/>
              <w:jc w:val="both"/>
            </w:pPr>
            <w:r>
              <w:t>1</w:t>
            </w:r>
          </w:p>
        </w:tc>
        <w:tc>
          <w:tcPr>
            <w:tcW w:w="2295" w:type="dxa"/>
            <w:tcBorders>
              <w:left w:val="single" w:sz="6" w:space="0" w:color="E0E0E0"/>
              <w:bottom w:val="single" w:sz="6" w:space="0" w:color="E0E0E0"/>
              <w:right w:val="single" w:sz="6" w:space="0" w:color="E0E0E0"/>
            </w:tcBorders>
          </w:tcPr>
          <w:p w14:paraId="67D24436" w14:textId="77777777" w:rsidR="0057582C" w:rsidRDefault="00CE7F22">
            <w:pPr>
              <w:spacing w:line="360" w:lineRule="auto"/>
              <w:jc w:val="both"/>
            </w:pPr>
            <w:r>
              <w:t>Jan</w:t>
            </w:r>
          </w:p>
        </w:tc>
        <w:tc>
          <w:tcPr>
            <w:tcW w:w="2295" w:type="dxa"/>
            <w:tcBorders>
              <w:left w:val="single" w:sz="6" w:space="0" w:color="E0E0E0"/>
              <w:bottom w:val="single" w:sz="6" w:space="0" w:color="E0E0E0"/>
              <w:right w:val="single" w:sz="6" w:space="0" w:color="E0E0E0"/>
            </w:tcBorders>
          </w:tcPr>
          <w:p w14:paraId="088FAD7A" w14:textId="77777777" w:rsidR="0057582C" w:rsidRDefault="00CE7F22">
            <w:pPr>
              <w:spacing w:line="360" w:lineRule="auto"/>
              <w:jc w:val="both"/>
            </w:pPr>
            <w:r>
              <w:t>247,374</w:t>
            </w:r>
          </w:p>
        </w:tc>
        <w:tc>
          <w:tcPr>
            <w:tcW w:w="2295" w:type="dxa"/>
            <w:tcBorders>
              <w:left w:val="single" w:sz="6" w:space="0" w:color="E0E0E0"/>
              <w:bottom w:val="single" w:sz="6" w:space="0" w:color="E0E0E0"/>
              <w:right w:val="single" w:sz="6" w:space="0" w:color="E0E0E0"/>
            </w:tcBorders>
          </w:tcPr>
          <w:p w14:paraId="0AFEDD57" w14:textId="77777777" w:rsidR="0057582C" w:rsidRDefault="0057582C">
            <w:pPr>
              <w:spacing w:line="360" w:lineRule="auto"/>
              <w:jc w:val="both"/>
            </w:pPr>
          </w:p>
        </w:tc>
      </w:tr>
      <w:tr w:rsidR="0057582C" w14:paraId="2A67DBDF"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FFF2CC"/>
          </w:tcPr>
          <w:p w14:paraId="76936494" w14:textId="77777777" w:rsidR="0057582C" w:rsidRDefault="00CE7F22">
            <w:pPr>
              <w:spacing w:line="360" w:lineRule="auto"/>
              <w:jc w:val="both"/>
            </w:pPr>
            <w:r>
              <w:t>2</w:t>
            </w:r>
          </w:p>
        </w:tc>
        <w:tc>
          <w:tcPr>
            <w:tcW w:w="2295" w:type="dxa"/>
            <w:tcBorders>
              <w:left w:val="single" w:sz="6" w:space="0" w:color="E0E0E0"/>
              <w:bottom w:val="single" w:sz="6" w:space="0" w:color="E0E0E0"/>
              <w:right w:val="single" w:sz="6" w:space="0" w:color="E0E0E0"/>
            </w:tcBorders>
            <w:shd w:val="clear" w:color="auto" w:fill="FFF2CC"/>
          </w:tcPr>
          <w:p w14:paraId="0F867AC7" w14:textId="77777777" w:rsidR="0057582C" w:rsidRDefault="00CE7F22">
            <w:pPr>
              <w:spacing w:line="360" w:lineRule="auto"/>
              <w:jc w:val="both"/>
            </w:pPr>
            <w:r>
              <w:t>Feb</w:t>
            </w:r>
          </w:p>
        </w:tc>
        <w:tc>
          <w:tcPr>
            <w:tcW w:w="2295" w:type="dxa"/>
            <w:tcBorders>
              <w:left w:val="single" w:sz="6" w:space="0" w:color="E0E0E0"/>
              <w:bottom w:val="single" w:sz="6" w:space="0" w:color="E0E0E0"/>
              <w:right w:val="single" w:sz="6" w:space="0" w:color="E0E0E0"/>
            </w:tcBorders>
            <w:shd w:val="clear" w:color="auto" w:fill="FFF2CC"/>
          </w:tcPr>
          <w:p w14:paraId="3520E542" w14:textId="77777777" w:rsidR="0057582C" w:rsidRDefault="00CE7F22">
            <w:pPr>
              <w:spacing w:line="360" w:lineRule="auto"/>
              <w:jc w:val="both"/>
            </w:pPr>
            <w:r>
              <w:t>237,646</w:t>
            </w:r>
          </w:p>
        </w:tc>
        <w:tc>
          <w:tcPr>
            <w:tcW w:w="2295" w:type="dxa"/>
            <w:tcBorders>
              <w:left w:val="single" w:sz="6" w:space="0" w:color="E0E0E0"/>
              <w:bottom w:val="single" w:sz="6" w:space="0" w:color="E0E0E0"/>
              <w:right w:val="single" w:sz="6" w:space="0" w:color="E0E0E0"/>
            </w:tcBorders>
            <w:shd w:val="clear" w:color="auto" w:fill="FFF2CC"/>
          </w:tcPr>
          <w:p w14:paraId="4A07DAF6" w14:textId="77777777" w:rsidR="0057582C" w:rsidRDefault="00CE7F22">
            <w:pPr>
              <w:spacing w:line="360" w:lineRule="auto"/>
              <w:jc w:val="both"/>
            </w:pPr>
            <w:r>
              <w:t>▼ Low</w:t>
            </w:r>
          </w:p>
        </w:tc>
      </w:tr>
      <w:tr w:rsidR="0057582C" w14:paraId="7D03AB9D" w14:textId="77777777">
        <w:trPr>
          <w:trHeight w:val="540"/>
          <w:jc w:val="center"/>
        </w:trPr>
        <w:tc>
          <w:tcPr>
            <w:tcW w:w="2295" w:type="dxa"/>
            <w:tcBorders>
              <w:left w:val="single" w:sz="6" w:space="0" w:color="E0E0E0"/>
              <w:bottom w:val="single" w:sz="6" w:space="0" w:color="E0E0E0"/>
              <w:right w:val="single" w:sz="6" w:space="0" w:color="E0E0E0"/>
            </w:tcBorders>
          </w:tcPr>
          <w:p w14:paraId="6D6ABEF1" w14:textId="77777777" w:rsidR="0057582C" w:rsidRDefault="00CE7F22">
            <w:pPr>
              <w:spacing w:line="360" w:lineRule="auto"/>
              <w:jc w:val="both"/>
            </w:pPr>
            <w:r>
              <w:t>3</w:t>
            </w:r>
          </w:p>
        </w:tc>
        <w:tc>
          <w:tcPr>
            <w:tcW w:w="2295" w:type="dxa"/>
            <w:tcBorders>
              <w:left w:val="single" w:sz="6" w:space="0" w:color="E0E0E0"/>
              <w:bottom w:val="single" w:sz="6" w:space="0" w:color="E0E0E0"/>
              <w:right w:val="single" w:sz="6" w:space="0" w:color="E0E0E0"/>
            </w:tcBorders>
          </w:tcPr>
          <w:p w14:paraId="332C27F3" w14:textId="77777777" w:rsidR="0057582C" w:rsidRDefault="00CE7F22">
            <w:pPr>
              <w:spacing w:line="360" w:lineRule="auto"/>
              <w:jc w:val="both"/>
            </w:pPr>
            <w:r>
              <w:t>Mar</w:t>
            </w:r>
          </w:p>
        </w:tc>
        <w:tc>
          <w:tcPr>
            <w:tcW w:w="2295" w:type="dxa"/>
            <w:tcBorders>
              <w:left w:val="single" w:sz="6" w:space="0" w:color="E0E0E0"/>
              <w:bottom w:val="single" w:sz="6" w:space="0" w:color="E0E0E0"/>
              <w:right w:val="single" w:sz="6" w:space="0" w:color="E0E0E0"/>
            </w:tcBorders>
          </w:tcPr>
          <w:p w14:paraId="40056D9E" w14:textId="77777777" w:rsidR="0057582C" w:rsidRDefault="00CE7F22">
            <w:pPr>
              <w:spacing w:line="360" w:lineRule="auto"/>
              <w:jc w:val="both"/>
            </w:pPr>
            <w:r>
              <w:t>262,594</w:t>
            </w:r>
          </w:p>
        </w:tc>
        <w:tc>
          <w:tcPr>
            <w:tcW w:w="2295" w:type="dxa"/>
            <w:tcBorders>
              <w:left w:val="single" w:sz="6" w:space="0" w:color="E0E0E0"/>
              <w:bottom w:val="single" w:sz="6" w:space="0" w:color="E0E0E0"/>
              <w:right w:val="single" w:sz="6" w:space="0" w:color="E0E0E0"/>
            </w:tcBorders>
          </w:tcPr>
          <w:p w14:paraId="2B4B2629" w14:textId="77777777" w:rsidR="0057582C" w:rsidRDefault="0057582C">
            <w:pPr>
              <w:spacing w:line="360" w:lineRule="auto"/>
              <w:jc w:val="both"/>
            </w:pPr>
          </w:p>
        </w:tc>
      </w:tr>
      <w:tr w:rsidR="0057582C" w14:paraId="47730A68" w14:textId="77777777">
        <w:trPr>
          <w:trHeight w:val="540"/>
          <w:jc w:val="center"/>
        </w:trPr>
        <w:tc>
          <w:tcPr>
            <w:tcW w:w="2295" w:type="dxa"/>
            <w:tcBorders>
              <w:left w:val="single" w:sz="6" w:space="0" w:color="E0E0E0"/>
              <w:bottom w:val="single" w:sz="6" w:space="0" w:color="E0E0E0"/>
              <w:right w:val="single" w:sz="6" w:space="0" w:color="E0E0E0"/>
            </w:tcBorders>
          </w:tcPr>
          <w:p w14:paraId="10DB9322" w14:textId="77777777" w:rsidR="0057582C" w:rsidRDefault="00CE7F22">
            <w:pPr>
              <w:spacing w:line="360" w:lineRule="auto"/>
              <w:jc w:val="both"/>
            </w:pPr>
            <w:r>
              <w:t>4</w:t>
            </w:r>
          </w:p>
        </w:tc>
        <w:tc>
          <w:tcPr>
            <w:tcW w:w="2295" w:type="dxa"/>
            <w:tcBorders>
              <w:left w:val="single" w:sz="6" w:space="0" w:color="E0E0E0"/>
              <w:bottom w:val="single" w:sz="6" w:space="0" w:color="E0E0E0"/>
              <w:right w:val="single" w:sz="6" w:space="0" w:color="E0E0E0"/>
            </w:tcBorders>
          </w:tcPr>
          <w:p w14:paraId="52A844CF" w14:textId="77777777" w:rsidR="0057582C" w:rsidRDefault="00CE7F22">
            <w:pPr>
              <w:spacing w:line="360" w:lineRule="auto"/>
              <w:jc w:val="both"/>
            </w:pPr>
            <w:r>
              <w:t>Apr</w:t>
            </w:r>
          </w:p>
        </w:tc>
        <w:tc>
          <w:tcPr>
            <w:tcW w:w="2295" w:type="dxa"/>
            <w:tcBorders>
              <w:left w:val="single" w:sz="6" w:space="0" w:color="E0E0E0"/>
              <w:bottom w:val="single" w:sz="6" w:space="0" w:color="E0E0E0"/>
              <w:right w:val="single" w:sz="6" w:space="0" w:color="E0E0E0"/>
            </w:tcBorders>
          </w:tcPr>
          <w:p w14:paraId="1C64A1A7" w14:textId="77777777" w:rsidR="0057582C" w:rsidRDefault="00CE7F22">
            <w:pPr>
              <w:spacing w:line="360" w:lineRule="auto"/>
              <w:jc w:val="both"/>
            </w:pPr>
            <w:r>
              <w:t>255,086</w:t>
            </w:r>
          </w:p>
        </w:tc>
        <w:tc>
          <w:tcPr>
            <w:tcW w:w="2295" w:type="dxa"/>
            <w:tcBorders>
              <w:left w:val="single" w:sz="6" w:space="0" w:color="E0E0E0"/>
              <w:bottom w:val="single" w:sz="6" w:space="0" w:color="E0E0E0"/>
              <w:right w:val="single" w:sz="6" w:space="0" w:color="E0E0E0"/>
            </w:tcBorders>
          </w:tcPr>
          <w:p w14:paraId="5B9A3F16" w14:textId="77777777" w:rsidR="0057582C" w:rsidRDefault="0057582C">
            <w:pPr>
              <w:spacing w:line="360" w:lineRule="auto"/>
              <w:jc w:val="both"/>
            </w:pPr>
          </w:p>
        </w:tc>
      </w:tr>
      <w:tr w:rsidR="0057582C" w14:paraId="03810B3C" w14:textId="77777777">
        <w:trPr>
          <w:trHeight w:val="540"/>
          <w:jc w:val="center"/>
        </w:trPr>
        <w:tc>
          <w:tcPr>
            <w:tcW w:w="2295" w:type="dxa"/>
            <w:tcBorders>
              <w:left w:val="single" w:sz="6" w:space="0" w:color="E0E0E0"/>
              <w:bottom w:val="single" w:sz="6" w:space="0" w:color="E0E0E0"/>
              <w:right w:val="single" w:sz="6" w:space="0" w:color="E0E0E0"/>
            </w:tcBorders>
          </w:tcPr>
          <w:p w14:paraId="23630256" w14:textId="77777777" w:rsidR="0057582C" w:rsidRDefault="00CE7F22">
            <w:pPr>
              <w:spacing w:line="360" w:lineRule="auto"/>
              <w:jc w:val="both"/>
            </w:pPr>
            <w:r>
              <w:lastRenderedPageBreak/>
              <w:t>5</w:t>
            </w:r>
          </w:p>
        </w:tc>
        <w:tc>
          <w:tcPr>
            <w:tcW w:w="2295" w:type="dxa"/>
            <w:tcBorders>
              <w:left w:val="single" w:sz="6" w:space="0" w:color="E0E0E0"/>
              <w:bottom w:val="single" w:sz="6" w:space="0" w:color="E0E0E0"/>
              <w:right w:val="single" w:sz="6" w:space="0" w:color="E0E0E0"/>
            </w:tcBorders>
          </w:tcPr>
          <w:p w14:paraId="285D6CD1" w14:textId="77777777" w:rsidR="0057582C" w:rsidRDefault="00CE7F22">
            <w:pPr>
              <w:spacing w:line="360" w:lineRule="auto"/>
              <w:jc w:val="both"/>
            </w:pPr>
            <w:r>
              <w:t>May</w:t>
            </w:r>
          </w:p>
        </w:tc>
        <w:tc>
          <w:tcPr>
            <w:tcW w:w="2295" w:type="dxa"/>
            <w:tcBorders>
              <w:left w:val="single" w:sz="6" w:space="0" w:color="E0E0E0"/>
              <w:bottom w:val="single" w:sz="6" w:space="0" w:color="E0E0E0"/>
              <w:right w:val="single" w:sz="6" w:space="0" w:color="E0E0E0"/>
            </w:tcBorders>
          </w:tcPr>
          <w:p w14:paraId="23246405" w14:textId="77777777" w:rsidR="0057582C" w:rsidRDefault="00CE7F22">
            <w:pPr>
              <w:spacing w:line="360" w:lineRule="auto"/>
              <w:jc w:val="both"/>
            </w:pPr>
            <w:r>
              <w:t>271,088</w:t>
            </w:r>
          </w:p>
        </w:tc>
        <w:tc>
          <w:tcPr>
            <w:tcW w:w="2295" w:type="dxa"/>
            <w:tcBorders>
              <w:left w:val="single" w:sz="6" w:space="0" w:color="E0E0E0"/>
              <w:bottom w:val="single" w:sz="6" w:space="0" w:color="E0E0E0"/>
              <w:right w:val="single" w:sz="6" w:space="0" w:color="E0E0E0"/>
            </w:tcBorders>
          </w:tcPr>
          <w:p w14:paraId="461DE257" w14:textId="77777777" w:rsidR="0057582C" w:rsidRDefault="0057582C">
            <w:pPr>
              <w:spacing w:line="360" w:lineRule="auto"/>
              <w:jc w:val="both"/>
            </w:pPr>
          </w:p>
        </w:tc>
      </w:tr>
      <w:tr w:rsidR="0057582C" w14:paraId="14E26655" w14:textId="77777777">
        <w:trPr>
          <w:trHeight w:val="540"/>
          <w:jc w:val="center"/>
        </w:trPr>
        <w:tc>
          <w:tcPr>
            <w:tcW w:w="2295" w:type="dxa"/>
            <w:tcBorders>
              <w:left w:val="single" w:sz="6" w:space="0" w:color="E0E0E0"/>
              <w:bottom w:val="single" w:sz="6" w:space="0" w:color="E0E0E0"/>
              <w:right w:val="single" w:sz="6" w:space="0" w:color="E0E0E0"/>
            </w:tcBorders>
          </w:tcPr>
          <w:p w14:paraId="0898B84B" w14:textId="77777777" w:rsidR="0057582C" w:rsidRDefault="00CE7F22">
            <w:pPr>
              <w:spacing w:line="360" w:lineRule="auto"/>
              <w:jc w:val="both"/>
            </w:pPr>
            <w:r>
              <w:t>6</w:t>
            </w:r>
          </w:p>
        </w:tc>
        <w:tc>
          <w:tcPr>
            <w:tcW w:w="2295" w:type="dxa"/>
            <w:tcBorders>
              <w:left w:val="single" w:sz="6" w:space="0" w:color="E0E0E0"/>
              <w:bottom w:val="single" w:sz="6" w:space="0" w:color="E0E0E0"/>
              <w:right w:val="single" w:sz="6" w:space="0" w:color="E0E0E0"/>
            </w:tcBorders>
          </w:tcPr>
          <w:p w14:paraId="65E2D143" w14:textId="77777777" w:rsidR="0057582C" w:rsidRDefault="00CE7F22">
            <w:pPr>
              <w:spacing w:line="360" w:lineRule="auto"/>
              <w:jc w:val="both"/>
            </w:pPr>
            <w:r>
              <w:t>Jun</w:t>
            </w:r>
          </w:p>
        </w:tc>
        <w:tc>
          <w:tcPr>
            <w:tcW w:w="2295" w:type="dxa"/>
            <w:tcBorders>
              <w:left w:val="single" w:sz="6" w:space="0" w:color="E0E0E0"/>
              <w:bottom w:val="single" w:sz="6" w:space="0" w:color="E0E0E0"/>
              <w:right w:val="single" w:sz="6" w:space="0" w:color="E0E0E0"/>
            </w:tcBorders>
          </w:tcPr>
          <w:p w14:paraId="4982E423" w14:textId="77777777" w:rsidR="0057582C" w:rsidRDefault="00CE7F22">
            <w:pPr>
              <w:spacing w:line="360" w:lineRule="auto"/>
              <w:jc w:val="both"/>
            </w:pPr>
            <w:r>
              <w:t>295,843</w:t>
            </w:r>
          </w:p>
        </w:tc>
        <w:tc>
          <w:tcPr>
            <w:tcW w:w="2295" w:type="dxa"/>
            <w:tcBorders>
              <w:left w:val="single" w:sz="6" w:space="0" w:color="E0E0E0"/>
              <w:bottom w:val="single" w:sz="6" w:space="0" w:color="E0E0E0"/>
              <w:right w:val="single" w:sz="6" w:space="0" w:color="E0E0E0"/>
            </w:tcBorders>
          </w:tcPr>
          <w:p w14:paraId="3D76E2AA" w14:textId="77777777" w:rsidR="0057582C" w:rsidRDefault="0057582C">
            <w:pPr>
              <w:spacing w:line="360" w:lineRule="auto"/>
              <w:jc w:val="both"/>
            </w:pPr>
          </w:p>
        </w:tc>
      </w:tr>
      <w:tr w:rsidR="0057582C" w14:paraId="63B66DB9" w14:textId="77777777">
        <w:trPr>
          <w:trHeight w:val="540"/>
          <w:jc w:val="center"/>
        </w:trPr>
        <w:tc>
          <w:tcPr>
            <w:tcW w:w="2295" w:type="dxa"/>
            <w:tcBorders>
              <w:left w:val="single" w:sz="6" w:space="0" w:color="E0E0E0"/>
              <w:bottom w:val="single" w:sz="6" w:space="0" w:color="E0E0E0"/>
              <w:right w:val="single" w:sz="6" w:space="0" w:color="E0E0E0"/>
            </w:tcBorders>
          </w:tcPr>
          <w:p w14:paraId="4C7C84CC" w14:textId="77777777" w:rsidR="0057582C" w:rsidRDefault="00CE7F22">
            <w:pPr>
              <w:spacing w:line="360" w:lineRule="auto"/>
              <w:jc w:val="both"/>
            </w:pPr>
            <w:r>
              <w:t>7</w:t>
            </w:r>
          </w:p>
        </w:tc>
        <w:tc>
          <w:tcPr>
            <w:tcW w:w="2295" w:type="dxa"/>
            <w:tcBorders>
              <w:left w:val="single" w:sz="6" w:space="0" w:color="E0E0E0"/>
              <w:bottom w:val="single" w:sz="6" w:space="0" w:color="E0E0E0"/>
              <w:right w:val="single" w:sz="6" w:space="0" w:color="E0E0E0"/>
            </w:tcBorders>
          </w:tcPr>
          <w:p w14:paraId="5FFF6F9B" w14:textId="77777777" w:rsidR="0057582C" w:rsidRDefault="00CE7F22">
            <w:pPr>
              <w:spacing w:line="360" w:lineRule="auto"/>
              <w:jc w:val="both"/>
            </w:pPr>
            <w:r>
              <w:t>Jul</w:t>
            </w:r>
          </w:p>
        </w:tc>
        <w:tc>
          <w:tcPr>
            <w:tcW w:w="2295" w:type="dxa"/>
            <w:tcBorders>
              <w:left w:val="single" w:sz="6" w:space="0" w:color="E0E0E0"/>
              <w:bottom w:val="single" w:sz="6" w:space="0" w:color="E0E0E0"/>
              <w:right w:val="single" w:sz="6" w:space="0" w:color="E0E0E0"/>
            </w:tcBorders>
          </w:tcPr>
          <w:p w14:paraId="656983EB" w14:textId="77777777" w:rsidR="0057582C" w:rsidRDefault="00CE7F22">
            <w:pPr>
              <w:spacing w:line="360" w:lineRule="auto"/>
              <w:jc w:val="both"/>
            </w:pPr>
            <w:r>
              <w:t>259,524</w:t>
            </w:r>
          </w:p>
        </w:tc>
        <w:tc>
          <w:tcPr>
            <w:tcW w:w="2295" w:type="dxa"/>
            <w:tcBorders>
              <w:left w:val="single" w:sz="6" w:space="0" w:color="E0E0E0"/>
              <w:bottom w:val="single" w:sz="6" w:space="0" w:color="E0E0E0"/>
              <w:right w:val="single" w:sz="6" w:space="0" w:color="E0E0E0"/>
            </w:tcBorders>
          </w:tcPr>
          <w:p w14:paraId="1BF6BCD1" w14:textId="77777777" w:rsidR="0057582C" w:rsidRDefault="0057582C">
            <w:pPr>
              <w:spacing w:line="360" w:lineRule="auto"/>
              <w:jc w:val="both"/>
            </w:pPr>
          </w:p>
        </w:tc>
      </w:tr>
      <w:tr w:rsidR="0057582C" w14:paraId="72EDBFFF" w14:textId="77777777">
        <w:trPr>
          <w:trHeight w:val="540"/>
          <w:jc w:val="center"/>
        </w:trPr>
        <w:tc>
          <w:tcPr>
            <w:tcW w:w="2295" w:type="dxa"/>
            <w:tcBorders>
              <w:left w:val="single" w:sz="6" w:space="0" w:color="E0E0E0"/>
              <w:bottom w:val="single" w:sz="6" w:space="0" w:color="E0E0E0"/>
              <w:right w:val="single" w:sz="6" w:space="0" w:color="E0E0E0"/>
            </w:tcBorders>
          </w:tcPr>
          <w:p w14:paraId="689C3D34" w14:textId="77777777" w:rsidR="0057582C" w:rsidRDefault="00CE7F22">
            <w:pPr>
              <w:spacing w:line="360" w:lineRule="auto"/>
              <w:jc w:val="both"/>
            </w:pPr>
            <w:r>
              <w:t>8</w:t>
            </w:r>
          </w:p>
        </w:tc>
        <w:tc>
          <w:tcPr>
            <w:tcW w:w="2295" w:type="dxa"/>
            <w:tcBorders>
              <w:left w:val="single" w:sz="6" w:space="0" w:color="E0E0E0"/>
              <w:bottom w:val="single" w:sz="6" w:space="0" w:color="E0E0E0"/>
              <w:right w:val="single" w:sz="6" w:space="0" w:color="E0E0E0"/>
            </w:tcBorders>
          </w:tcPr>
          <w:p w14:paraId="4CE4DC6A" w14:textId="77777777" w:rsidR="0057582C" w:rsidRDefault="00CE7F22">
            <w:pPr>
              <w:spacing w:line="360" w:lineRule="auto"/>
              <w:jc w:val="both"/>
            </w:pPr>
            <w:r>
              <w:t>Aug</w:t>
            </w:r>
          </w:p>
        </w:tc>
        <w:tc>
          <w:tcPr>
            <w:tcW w:w="2295" w:type="dxa"/>
            <w:tcBorders>
              <w:left w:val="single" w:sz="6" w:space="0" w:color="E0E0E0"/>
              <w:bottom w:val="single" w:sz="6" w:space="0" w:color="E0E0E0"/>
              <w:right w:val="single" w:sz="6" w:space="0" w:color="E0E0E0"/>
            </w:tcBorders>
          </w:tcPr>
          <w:p w14:paraId="02E8B743" w14:textId="77777777" w:rsidR="0057582C" w:rsidRDefault="00CE7F22">
            <w:pPr>
              <w:spacing w:line="360" w:lineRule="auto"/>
              <w:jc w:val="both"/>
            </w:pPr>
            <w:r>
              <w:t>310,143</w:t>
            </w:r>
          </w:p>
        </w:tc>
        <w:tc>
          <w:tcPr>
            <w:tcW w:w="2295" w:type="dxa"/>
            <w:tcBorders>
              <w:left w:val="single" w:sz="6" w:space="0" w:color="E0E0E0"/>
              <w:bottom w:val="single" w:sz="6" w:space="0" w:color="E0E0E0"/>
              <w:right w:val="single" w:sz="6" w:space="0" w:color="E0E0E0"/>
            </w:tcBorders>
          </w:tcPr>
          <w:p w14:paraId="34CB3645" w14:textId="77777777" w:rsidR="0057582C" w:rsidRDefault="0057582C">
            <w:pPr>
              <w:spacing w:line="360" w:lineRule="auto"/>
              <w:jc w:val="both"/>
            </w:pPr>
          </w:p>
        </w:tc>
      </w:tr>
      <w:tr w:rsidR="0057582C" w14:paraId="2323C62B" w14:textId="77777777">
        <w:trPr>
          <w:trHeight w:val="540"/>
          <w:jc w:val="center"/>
        </w:trPr>
        <w:tc>
          <w:tcPr>
            <w:tcW w:w="2295" w:type="dxa"/>
            <w:tcBorders>
              <w:left w:val="single" w:sz="6" w:space="0" w:color="E0E0E0"/>
              <w:bottom w:val="single" w:sz="6" w:space="0" w:color="E0E0E0"/>
              <w:right w:val="single" w:sz="6" w:space="0" w:color="E0E0E0"/>
            </w:tcBorders>
          </w:tcPr>
          <w:p w14:paraId="25EB7CB2" w14:textId="77777777" w:rsidR="0057582C" w:rsidRDefault="00CE7F22">
            <w:pPr>
              <w:spacing w:line="360" w:lineRule="auto"/>
              <w:jc w:val="both"/>
            </w:pPr>
            <w:r>
              <w:t>9</w:t>
            </w:r>
          </w:p>
        </w:tc>
        <w:tc>
          <w:tcPr>
            <w:tcW w:w="2295" w:type="dxa"/>
            <w:tcBorders>
              <w:left w:val="single" w:sz="6" w:space="0" w:color="E0E0E0"/>
              <w:bottom w:val="single" w:sz="6" w:space="0" w:color="E0E0E0"/>
              <w:right w:val="single" w:sz="6" w:space="0" w:color="E0E0E0"/>
            </w:tcBorders>
          </w:tcPr>
          <w:p w14:paraId="561B713C" w14:textId="77777777" w:rsidR="0057582C" w:rsidRDefault="00CE7F22">
            <w:pPr>
              <w:spacing w:line="360" w:lineRule="auto"/>
              <w:jc w:val="both"/>
            </w:pPr>
            <w:r>
              <w:t>Sep</w:t>
            </w:r>
          </w:p>
        </w:tc>
        <w:tc>
          <w:tcPr>
            <w:tcW w:w="2295" w:type="dxa"/>
            <w:tcBorders>
              <w:left w:val="single" w:sz="6" w:space="0" w:color="E0E0E0"/>
              <w:bottom w:val="single" w:sz="6" w:space="0" w:color="E0E0E0"/>
              <w:right w:val="single" w:sz="6" w:space="0" w:color="E0E0E0"/>
            </w:tcBorders>
          </w:tcPr>
          <w:p w14:paraId="75D3E9F4" w14:textId="77777777" w:rsidR="0057582C" w:rsidRDefault="00CE7F22">
            <w:pPr>
              <w:spacing w:line="360" w:lineRule="auto"/>
              <w:jc w:val="both"/>
            </w:pPr>
            <w:r>
              <w:t>321,908</w:t>
            </w:r>
          </w:p>
        </w:tc>
        <w:tc>
          <w:tcPr>
            <w:tcW w:w="2295" w:type="dxa"/>
            <w:tcBorders>
              <w:left w:val="single" w:sz="6" w:space="0" w:color="E0E0E0"/>
              <w:bottom w:val="single" w:sz="6" w:space="0" w:color="E0E0E0"/>
              <w:right w:val="single" w:sz="6" w:space="0" w:color="E0E0E0"/>
            </w:tcBorders>
          </w:tcPr>
          <w:p w14:paraId="5DC329B4" w14:textId="77777777" w:rsidR="0057582C" w:rsidRDefault="0057582C">
            <w:pPr>
              <w:spacing w:line="360" w:lineRule="auto"/>
              <w:jc w:val="both"/>
            </w:pPr>
          </w:p>
        </w:tc>
      </w:tr>
      <w:tr w:rsidR="0057582C" w14:paraId="6E1F744C"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2E76290D" w14:textId="77777777" w:rsidR="0057582C" w:rsidRDefault="00CE7F22">
            <w:pPr>
              <w:spacing w:line="360" w:lineRule="auto"/>
              <w:jc w:val="both"/>
            </w:pPr>
            <w:r>
              <w:rPr>
                <w:b/>
                <w:bCs/>
              </w:rPr>
              <w:t>10</w:t>
            </w:r>
          </w:p>
        </w:tc>
        <w:tc>
          <w:tcPr>
            <w:tcW w:w="2295" w:type="dxa"/>
            <w:tcBorders>
              <w:left w:val="single" w:sz="6" w:space="0" w:color="E0E0E0"/>
              <w:bottom w:val="single" w:sz="6" w:space="0" w:color="E0E0E0"/>
              <w:right w:val="single" w:sz="6" w:space="0" w:color="E0E0E0"/>
            </w:tcBorders>
            <w:shd w:val="clear" w:color="auto" w:fill="E2EFDA"/>
          </w:tcPr>
          <w:p w14:paraId="0611B1DE" w14:textId="77777777" w:rsidR="0057582C" w:rsidRDefault="00CE7F22">
            <w:pPr>
              <w:spacing w:line="360" w:lineRule="auto"/>
              <w:jc w:val="both"/>
            </w:pPr>
            <w:r>
              <w:rPr>
                <w:b/>
                <w:bCs/>
              </w:rPr>
              <w:t>Oct</w:t>
            </w:r>
          </w:p>
        </w:tc>
        <w:tc>
          <w:tcPr>
            <w:tcW w:w="2295" w:type="dxa"/>
            <w:tcBorders>
              <w:left w:val="single" w:sz="6" w:space="0" w:color="E0E0E0"/>
              <w:bottom w:val="single" w:sz="6" w:space="0" w:color="E0E0E0"/>
              <w:right w:val="single" w:sz="6" w:space="0" w:color="E0E0E0"/>
            </w:tcBorders>
            <w:shd w:val="clear" w:color="auto" w:fill="E2EFDA"/>
          </w:tcPr>
          <w:p w14:paraId="6FE13277" w14:textId="77777777" w:rsidR="0057582C" w:rsidRDefault="00CE7F22">
            <w:pPr>
              <w:spacing w:line="360" w:lineRule="auto"/>
              <w:jc w:val="both"/>
            </w:pPr>
            <w:r>
              <w:rPr>
                <w:b/>
                <w:bCs/>
              </w:rPr>
              <w:t>453,116</w:t>
            </w:r>
          </w:p>
        </w:tc>
        <w:tc>
          <w:tcPr>
            <w:tcW w:w="2295" w:type="dxa"/>
            <w:tcBorders>
              <w:left w:val="single" w:sz="6" w:space="0" w:color="E0E0E0"/>
              <w:bottom w:val="single" w:sz="6" w:space="0" w:color="E0E0E0"/>
              <w:right w:val="single" w:sz="6" w:space="0" w:color="E0E0E0"/>
            </w:tcBorders>
            <w:shd w:val="clear" w:color="auto" w:fill="E2EFDA"/>
          </w:tcPr>
          <w:p w14:paraId="2D59EE80" w14:textId="77777777" w:rsidR="0057582C" w:rsidRDefault="00CE7F22">
            <w:pPr>
              <w:spacing w:line="360" w:lineRule="auto"/>
              <w:jc w:val="both"/>
            </w:pPr>
            <w:r>
              <w:rPr>
                <w:b/>
                <w:bCs/>
              </w:rPr>
              <w:t>▲ Peak</w:t>
            </w:r>
          </w:p>
        </w:tc>
      </w:tr>
      <w:tr w:rsidR="0057582C" w14:paraId="01E6CA17"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47BD729B" w14:textId="77777777" w:rsidR="0057582C" w:rsidRDefault="00CE7F22">
            <w:pPr>
              <w:spacing w:line="360" w:lineRule="auto"/>
              <w:jc w:val="both"/>
            </w:pPr>
            <w:r>
              <w:rPr>
                <w:b/>
                <w:bCs/>
              </w:rPr>
              <w:t>11</w:t>
            </w:r>
          </w:p>
        </w:tc>
        <w:tc>
          <w:tcPr>
            <w:tcW w:w="2295" w:type="dxa"/>
            <w:tcBorders>
              <w:left w:val="single" w:sz="6" w:space="0" w:color="E0E0E0"/>
              <w:bottom w:val="single" w:sz="6" w:space="0" w:color="E0E0E0"/>
              <w:right w:val="single" w:sz="6" w:space="0" w:color="E0E0E0"/>
            </w:tcBorders>
            <w:shd w:val="clear" w:color="auto" w:fill="E2EFDA"/>
          </w:tcPr>
          <w:p w14:paraId="49E28CD5" w14:textId="77777777" w:rsidR="0057582C" w:rsidRDefault="00CE7F22">
            <w:pPr>
              <w:spacing w:line="360" w:lineRule="auto"/>
              <w:jc w:val="both"/>
            </w:pPr>
            <w:r>
              <w:rPr>
                <w:b/>
                <w:bCs/>
              </w:rPr>
              <w:t>Nov</w:t>
            </w:r>
          </w:p>
        </w:tc>
        <w:tc>
          <w:tcPr>
            <w:tcW w:w="2295" w:type="dxa"/>
            <w:tcBorders>
              <w:left w:val="single" w:sz="6" w:space="0" w:color="E0E0E0"/>
              <w:bottom w:val="single" w:sz="6" w:space="0" w:color="E0E0E0"/>
              <w:right w:val="single" w:sz="6" w:space="0" w:color="E0E0E0"/>
            </w:tcBorders>
            <w:shd w:val="clear" w:color="auto" w:fill="E2EFDA"/>
          </w:tcPr>
          <w:p w14:paraId="1341B022" w14:textId="77777777" w:rsidR="0057582C" w:rsidRDefault="00CE7F22">
            <w:pPr>
              <w:spacing w:line="360" w:lineRule="auto"/>
              <w:jc w:val="both"/>
            </w:pPr>
            <w:r>
              <w:rPr>
                <w:b/>
                <w:bCs/>
              </w:rPr>
              <w:t>456,447</w:t>
            </w:r>
          </w:p>
        </w:tc>
        <w:tc>
          <w:tcPr>
            <w:tcW w:w="2295" w:type="dxa"/>
            <w:tcBorders>
              <w:left w:val="single" w:sz="6" w:space="0" w:color="E0E0E0"/>
              <w:bottom w:val="single" w:sz="6" w:space="0" w:color="E0E0E0"/>
              <w:right w:val="single" w:sz="6" w:space="0" w:color="E0E0E0"/>
            </w:tcBorders>
            <w:shd w:val="clear" w:color="auto" w:fill="E2EFDA"/>
          </w:tcPr>
          <w:p w14:paraId="5A0EB947" w14:textId="77777777" w:rsidR="0057582C" w:rsidRDefault="00CE7F22">
            <w:pPr>
              <w:spacing w:line="360" w:lineRule="auto"/>
              <w:jc w:val="both"/>
            </w:pPr>
            <w:r>
              <w:rPr>
                <w:b/>
                <w:bCs/>
              </w:rPr>
              <w:t>▲ Peak</w:t>
            </w:r>
          </w:p>
        </w:tc>
      </w:tr>
      <w:tr w:rsidR="0057582C" w14:paraId="5AB31734"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0DE37A0C" w14:textId="77777777" w:rsidR="0057582C" w:rsidRDefault="00CE7F22">
            <w:pPr>
              <w:spacing w:line="360" w:lineRule="auto"/>
              <w:jc w:val="both"/>
            </w:pPr>
            <w:r>
              <w:rPr>
                <w:b/>
                <w:bCs/>
              </w:rPr>
              <w:t>12</w:t>
            </w:r>
          </w:p>
        </w:tc>
        <w:tc>
          <w:tcPr>
            <w:tcW w:w="2295" w:type="dxa"/>
            <w:tcBorders>
              <w:left w:val="single" w:sz="6" w:space="0" w:color="E0E0E0"/>
              <w:bottom w:val="single" w:sz="6" w:space="0" w:color="E0E0E0"/>
              <w:right w:val="single" w:sz="6" w:space="0" w:color="E0E0E0"/>
            </w:tcBorders>
            <w:shd w:val="clear" w:color="auto" w:fill="E2EFDA"/>
          </w:tcPr>
          <w:p w14:paraId="6ACDDFD9" w14:textId="77777777" w:rsidR="0057582C" w:rsidRDefault="00CE7F22">
            <w:pPr>
              <w:spacing w:line="360" w:lineRule="auto"/>
              <w:jc w:val="both"/>
            </w:pPr>
            <w:r>
              <w:rPr>
                <w:b/>
                <w:bCs/>
              </w:rPr>
              <w:t>Dec</w:t>
            </w:r>
          </w:p>
        </w:tc>
        <w:tc>
          <w:tcPr>
            <w:tcW w:w="2295" w:type="dxa"/>
            <w:tcBorders>
              <w:left w:val="single" w:sz="6" w:space="0" w:color="E0E0E0"/>
              <w:bottom w:val="single" w:sz="6" w:space="0" w:color="E0E0E0"/>
              <w:right w:val="single" w:sz="6" w:space="0" w:color="E0E0E0"/>
            </w:tcBorders>
            <w:shd w:val="clear" w:color="auto" w:fill="E2EFDA"/>
          </w:tcPr>
          <w:p w14:paraId="77116F3B" w14:textId="77777777" w:rsidR="0057582C" w:rsidRDefault="00CE7F22">
            <w:pPr>
              <w:spacing w:line="360" w:lineRule="auto"/>
              <w:jc w:val="both"/>
            </w:pPr>
            <w:r>
              <w:rPr>
                <w:b/>
                <w:bCs/>
              </w:rPr>
              <w:t>493,657</w:t>
            </w:r>
          </w:p>
        </w:tc>
        <w:tc>
          <w:tcPr>
            <w:tcW w:w="2295" w:type="dxa"/>
            <w:tcBorders>
              <w:left w:val="single" w:sz="6" w:space="0" w:color="E0E0E0"/>
              <w:bottom w:val="single" w:sz="6" w:space="0" w:color="E0E0E0"/>
              <w:right w:val="single" w:sz="6" w:space="0" w:color="E0E0E0"/>
            </w:tcBorders>
            <w:shd w:val="clear" w:color="auto" w:fill="E2EFDA"/>
          </w:tcPr>
          <w:p w14:paraId="72E51DBF" w14:textId="77777777" w:rsidR="0057582C" w:rsidRDefault="00CE7F22">
            <w:pPr>
              <w:spacing w:line="360" w:lineRule="auto"/>
              <w:jc w:val="both"/>
            </w:pPr>
            <w:r>
              <w:rPr>
                <w:b/>
                <w:bCs/>
              </w:rPr>
              <w:t>▲ Peak</w:t>
            </w:r>
          </w:p>
        </w:tc>
      </w:tr>
    </w:tbl>
    <w:p w14:paraId="238E189C" w14:textId="77777777" w:rsidR="0057582C" w:rsidRDefault="0057582C">
      <w:pPr>
        <w:spacing w:before="120" w:after="120" w:line="360" w:lineRule="auto"/>
        <w:jc w:val="both"/>
      </w:pPr>
    </w:p>
    <w:p w14:paraId="1D52CFAC" w14:textId="77777777" w:rsidR="0057582C" w:rsidRDefault="0057582C">
      <w:pPr>
        <w:spacing w:before="120" w:after="120" w:line="360" w:lineRule="auto"/>
        <w:jc w:val="both"/>
      </w:pPr>
    </w:p>
    <w:p w14:paraId="0CF5B967" w14:textId="77777777" w:rsidR="0057582C" w:rsidRDefault="0057582C">
      <w:pPr>
        <w:spacing w:before="120" w:after="120" w:line="360" w:lineRule="auto"/>
        <w:jc w:val="both"/>
      </w:pPr>
    </w:p>
    <w:p w14:paraId="49D65592" w14:textId="77777777" w:rsidR="0057582C" w:rsidRDefault="0057582C">
      <w:pPr>
        <w:spacing w:before="120" w:after="120" w:line="360" w:lineRule="auto"/>
        <w:jc w:val="both"/>
      </w:pPr>
    </w:p>
    <w:p w14:paraId="3E9DA1DF" w14:textId="77777777" w:rsidR="0057582C" w:rsidRDefault="00CE7F22">
      <w:pPr>
        <w:spacing w:before="120" w:after="60" w:line="360" w:lineRule="auto"/>
        <w:jc w:val="both"/>
      </w:pPr>
      <w:r>
        <w:rPr>
          <w:noProof/>
        </w:rPr>
        <w:drawing>
          <wp:inline distT="0" distB="0" distL="0" distR="0" wp14:anchorId="7AFEE5F0" wp14:editId="1FC8228C">
            <wp:extent cx="5486400" cy="3425825"/>
            <wp:effectExtent l="0" t="0" r="0" b="0"/>
            <wp:docPr id="1" name="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
                    <pic:cNvPicPr>
                      <a:picLocks noChangeAspect="1"/>
                    </pic:cNvPicPr>
                  </pic:nvPicPr>
                  <pic:blipFill>
                    <a:blip r:embed="rId6"/>
                    <a:stretch>
                      <a:fillRect/>
                    </a:stretch>
                  </pic:blipFill>
                  <pic:spPr>
                    <a:xfrm>
                      <a:off x="0" y="0"/>
                      <a:ext cx="5486400" cy="3425868"/>
                    </a:xfrm>
                    <a:prstGeom prst="rect">
                      <a:avLst/>
                    </a:prstGeom>
                  </pic:spPr>
                </pic:pic>
              </a:graphicData>
            </a:graphic>
          </wp:inline>
        </w:drawing>
      </w:r>
    </w:p>
    <w:p w14:paraId="4057CE10" w14:textId="77777777" w:rsidR="0057582C" w:rsidRDefault="00CE7F22">
      <w:pPr>
        <w:spacing w:before="120" w:after="120" w:line="360" w:lineRule="auto"/>
        <w:jc w:val="both"/>
      </w:pPr>
      <w:r>
        <w:rPr>
          <w:b/>
          <w:bCs/>
        </w:rPr>
        <w:t>Figure 1: Plot of sales quantity and monthly sales that occurred</w:t>
      </w:r>
    </w:p>
    <w:p w14:paraId="038924CB" w14:textId="77777777" w:rsidR="0057582C" w:rsidRDefault="00CE7F22">
      <w:pPr>
        <w:spacing w:before="120" w:after="120" w:line="360" w:lineRule="auto"/>
        <w:jc w:val="both"/>
      </w:pPr>
      <w:r>
        <w:lastRenderedPageBreak/>
        <w:t>Figure 1: Line chart illustrating the sales amount and monthly sales for the period December 2010 – December 2011. The x-axis represents the months (1 to 12), while the y-axis represents the quantity of sales. The plot displays seasonal patterns and trends in monthly sales throughout the 12-month study period.</w:t>
      </w:r>
    </w:p>
    <w:p w14:paraId="3F551F37" w14:textId="77777777" w:rsidR="0057582C" w:rsidRDefault="00CE7F22">
      <w:pPr>
        <w:spacing w:before="120" w:after="120" w:line="360" w:lineRule="auto"/>
        <w:jc w:val="both"/>
      </w:pPr>
      <w:r>
        <w:t>Table 2 presents summary statistics for sales over the 12 months, including the median, mean, and standard deviation.</w:t>
      </w:r>
    </w:p>
    <w:p w14:paraId="3F9B65E9" w14:textId="77777777" w:rsidR="0057582C" w:rsidRDefault="00CE7F22">
      <w:pPr>
        <w:spacing w:before="120" w:after="120" w:line="360" w:lineRule="auto"/>
        <w:jc w:val="both"/>
      </w:pPr>
      <w:r>
        <w:rPr>
          <w:b/>
          <w:bCs/>
        </w:rPr>
        <w:t>Table 2: Summary statistics of Monthly Sales</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tblGrid>
      <w:tr w:rsidR="0057582C" w14:paraId="57F074C1" w14:textId="77777777">
        <w:trPr>
          <w:trHeight w:val="540"/>
          <w:jc w:val="center"/>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47A168D2" w14:textId="77777777" w:rsidR="0057582C" w:rsidRDefault="00CE7F22">
            <w:pPr>
              <w:spacing w:line="360" w:lineRule="auto"/>
              <w:jc w:val="both"/>
            </w:pPr>
            <w:r>
              <w:rPr>
                <w:b/>
                <w:bCs/>
              </w:rPr>
              <w:t>Median</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163F1D94" w14:textId="77777777" w:rsidR="0057582C" w:rsidRDefault="00CE7F22">
            <w:pPr>
              <w:spacing w:line="360" w:lineRule="auto"/>
              <w:jc w:val="both"/>
            </w:pPr>
            <w:r>
              <w:rPr>
                <w:b/>
                <w:bCs/>
              </w:rPr>
              <w:t>313,128</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0E5E6FB7" w14:textId="77777777" w:rsidR="0057582C" w:rsidRDefault="00CE7F22">
            <w:pPr>
              <w:spacing w:line="360" w:lineRule="auto"/>
              <w:jc w:val="both"/>
            </w:pPr>
            <w:r>
              <w:rPr>
                <w:b/>
                <w:bCs/>
              </w:rPr>
              <w:t>Units/month</w:t>
            </w:r>
          </w:p>
        </w:tc>
      </w:tr>
      <w:tr w:rsidR="0057582C" w14:paraId="1A16EC93" w14:textId="77777777">
        <w:trPr>
          <w:trHeight w:val="540"/>
          <w:jc w:val="center"/>
        </w:trPr>
        <w:tc>
          <w:tcPr>
            <w:tcW w:w="2295" w:type="dxa"/>
            <w:tcBorders>
              <w:left w:val="single" w:sz="6" w:space="0" w:color="E0E0E0"/>
              <w:bottom w:val="single" w:sz="6" w:space="0" w:color="E0E0E0"/>
              <w:right w:val="single" w:sz="6" w:space="0" w:color="E0E0E0"/>
            </w:tcBorders>
          </w:tcPr>
          <w:p w14:paraId="3EBBEF93" w14:textId="77777777" w:rsidR="0057582C" w:rsidRDefault="00CE7F22">
            <w:pPr>
              <w:spacing w:line="360" w:lineRule="auto"/>
              <w:jc w:val="both"/>
            </w:pPr>
            <w:r>
              <w:t>Mean</w:t>
            </w:r>
          </w:p>
        </w:tc>
        <w:tc>
          <w:tcPr>
            <w:tcW w:w="2295" w:type="dxa"/>
            <w:tcBorders>
              <w:left w:val="single" w:sz="6" w:space="0" w:color="E0E0E0"/>
              <w:bottom w:val="single" w:sz="6" w:space="0" w:color="E0E0E0"/>
              <w:right w:val="single" w:sz="6" w:space="0" w:color="E0E0E0"/>
            </w:tcBorders>
          </w:tcPr>
          <w:p w14:paraId="4AE29D9D" w14:textId="77777777" w:rsidR="0057582C" w:rsidRDefault="00CE7F22">
            <w:pPr>
              <w:spacing w:line="360" w:lineRule="auto"/>
              <w:jc w:val="both"/>
            </w:pPr>
            <w:r>
              <w:t>355,319</w:t>
            </w:r>
          </w:p>
        </w:tc>
        <w:tc>
          <w:tcPr>
            <w:tcW w:w="2295" w:type="dxa"/>
            <w:tcBorders>
              <w:left w:val="single" w:sz="6" w:space="0" w:color="E0E0E0"/>
              <w:bottom w:val="single" w:sz="6" w:space="0" w:color="E0E0E0"/>
              <w:right w:val="single" w:sz="6" w:space="0" w:color="E0E0E0"/>
            </w:tcBorders>
          </w:tcPr>
          <w:p w14:paraId="72C56740" w14:textId="77777777" w:rsidR="0057582C" w:rsidRDefault="00CE7F22">
            <w:pPr>
              <w:spacing w:line="360" w:lineRule="auto"/>
              <w:jc w:val="both"/>
            </w:pPr>
            <w:r>
              <w:t>Units/month</w:t>
            </w:r>
          </w:p>
        </w:tc>
      </w:tr>
      <w:tr w:rsidR="0057582C" w14:paraId="0B76639A" w14:textId="77777777">
        <w:trPr>
          <w:trHeight w:val="540"/>
          <w:jc w:val="center"/>
        </w:trPr>
        <w:tc>
          <w:tcPr>
            <w:tcW w:w="2295" w:type="dxa"/>
            <w:tcBorders>
              <w:left w:val="single" w:sz="6" w:space="0" w:color="E0E0E0"/>
              <w:bottom w:val="single" w:sz="6" w:space="0" w:color="E0E0E0"/>
              <w:right w:val="single" w:sz="6" w:space="0" w:color="E0E0E0"/>
            </w:tcBorders>
          </w:tcPr>
          <w:p w14:paraId="7C7E93A6" w14:textId="77777777" w:rsidR="0057582C" w:rsidRDefault="00CE7F22">
            <w:pPr>
              <w:spacing w:line="360" w:lineRule="auto"/>
              <w:jc w:val="both"/>
            </w:pPr>
            <w:r>
              <w:t>Standard Deviation</w:t>
            </w:r>
          </w:p>
        </w:tc>
        <w:tc>
          <w:tcPr>
            <w:tcW w:w="2295" w:type="dxa"/>
            <w:tcBorders>
              <w:left w:val="single" w:sz="6" w:space="0" w:color="E0E0E0"/>
              <w:bottom w:val="single" w:sz="6" w:space="0" w:color="E0E0E0"/>
              <w:right w:val="single" w:sz="6" w:space="0" w:color="E0E0E0"/>
            </w:tcBorders>
          </w:tcPr>
          <w:p w14:paraId="1EF335C0" w14:textId="77777777" w:rsidR="0057582C" w:rsidRDefault="00CE7F22">
            <w:pPr>
              <w:spacing w:line="360" w:lineRule="auto"/>
              <w:jc w:val="both"/>
            </w:pPr>
            <w:r>
              <w:t>129,109</w:t>
            </w:r>
          </w:p>
        </w:tc>
        <w:tc>
          <w:tcPr>
            <w:tcW w:w="2295" w:type="dxa"/>
            <w:tcBorders>
              <w:left w:val="single" w:sz="6" w:space="0" w:color="E0E0E0"/>
              <w:bottom w:val="single" w:sz="6" w:space="0" w:color="E0E0E0"/>
              <w:right w:val="single" w:sz="6" w:space="0" w:color="E0E0E0"/>
            </w:tcBorders>
          </w:tcPr>
          <w:p w14:paraId="7361D6B2" w14:textId="77777777" w:rsidR="0057582C" w:rsidRDefault="00CE7F22">
            <w:pPr>
              <w:spacing w:line="360" w:lineRule="auto"/>
              <w:jc w:val="both"/>
            </w:pPr>
            <w:r>
              <w:t>Units/month</w:t>
            </w:r>
          </w:p>
        </w:tc>
      </w:tr>
      <w:tr w:rsidR="0057582C" w14:paraId="3F67E58E" w14:textId="77777777">
        <w:trPr>
          <w:trHeight w:val="540"/>
          <w:jc w:val="center"/>
        </w:trPr>
        <w:tc>
          <w:tcPr>
            <w:tcW w:w="2295" w:type="dxa"/>
            <w:tcBorders>
              <w:left w:val="single" w:sz="6" w:space="0" w:color="E0E0E0"/>
              <w:bottom w:val="single" w:sz="6" w:space="0" w:color="E0E0E0"/>
              <w:right w:val="single" w:sz="6" w:space="0" w:color="E0E0E0"/>
            </w:tcBorders>
          </w:tcPr>
          <w:p w14:paraId="57D7C503" w14:textId="77777777" w:rsidR="0057582C" w:rsidRDefault="00CE7F22">
            <w:pPr>
              <w:spacing w:line="360" w:lineRule="auto"/>
              <w:jc w:val="both"/>
            </w:pPr>
            <w:r>
              <w:t>Minimum</w:t>
            </w:r>
          </w:p>
        </w:tc>
        <w:tc>
          <w:tcPr>
            <w:tcW w:w="2295" w:type="dxa"/>
            <w:tcBorders>
              <w:left w:val="single" w:sz="6" w:space="0" w:color="E0E0E0"/>
              <w:bottom w:val="single" w:sz="6" w:space="0" w:color="E0E0E0"/>
              <w:right w:val="single" w:sz="6" w:space="0" w:color="E0E0E0"/>
            </w:tcBorders>
          </w:tcPr>
          <w:p w14:paraId="0BADFB87" w14:textId="77777777" w:rsidR="0057582C" w:rsidRDefault="00CE7F22">
            <w:pPr>
              <w:spacing w:line="360" w:lineRule="auto"/>
              <w:jc w:val="both"/>
            </w:pPr>
            <w:r>
              <w:t>237,646</w:t>
            </w:r>
          </w:p>
        </w:tc>
        <w:tc>
          <w:tcPr>
            <w:tcW w:w="2295" w:type="dxa"/>
            <w:tcBorders>
              <w:left w:val="single" w:sz="6" w:space="0" w:color="E0E0E0"/>
              <w:bottom w:val="single" w:sz="6" w:space="0" w:color="E0E0E0"/>
              <w:right w:val="single" w:sz="6" w:space="0" w:color="E0E0E0"/>
            </w:tcBorders>
          </w:tcPr>
          <w:p w14:paraId="2C97320D" w14:textId="77777777" w:rsidR="0057582C" w:rsidRDefault="00CE7F22">
            <w:pPr>
              <w:spacing w:line="360" w:lineRule="auto"/>
              <w:jc w:val="both"/>
            </w:pPr>
            <w:r>
              <w:t>Units/month</w:t>
            </w:r>
          </w:p>
        </w:tc>
      </w:tr>
      <w:tr w:rsidR="0057582C" w14:paraId="71C9917F" w14:textId="77777777">
        <w:trPr>
          <w:trHeight w:val="540"/>
          <w:jc w:val="center"/>
        </w:trPr>
        <w:tc>
          <w:tcPr>
            <w:tcW w:w="2295" w:type="dxa"/>
            <w:tcBorders>
              <w:left w:val="single" w:sz="6" w:space="0" w:color="E0E0E0"/>
              <w:bottom w:val="single" w:sz="6" w:space="0" w:color="E0E0E0"/>
              <w:right w:val="single" w:sz="6" w:space="0" w:color="E0E0E0"/>
            </w:tcBorders>
          </w:tcPr>
          <w:p w14:paraId="0FDE4158" w14:textId="77777777" w:rsidR="0057582C" w:rsidRDefault="00CE7F22">
            <w:pPr>
              <w:spacing w:line="360" w:lineRule="auto"/>
              <w:jc w:val="both"/>
            </w:pPr>
            <w:r>
              <w:t>Maximum</w:t>
            </w:r>
          </w:p>
        </w:tc>
        <w:tc>
          <w:tcPr>
            <w:tcW w:w="2295" w:type="dxa"/>
            <w:tcBorders>
              <w:left w:val="single" w:sz="6" w:space="0" w:color="E0E0E0"/>
              <w:bottom w:val="single" w:sz="6" w:space="0" w:color="E0E0E0"/>
              <w:right w:val="single" w:sz="6" w:space="0" w:color="E0E0E0"/>
            </w:tcBorders>
          </w:tcPr>
          <w:p w14:paraId="5C7D8EC1" w14:textId="77777777" w:rsidR="0057582C" w:rsidRDefault="00CE7F22">
            <w:pPr>
              <w:spacing w:line="360" w:lineRule="auto"/>
              <w:jc w:val="both"/>
            </w:pPr>
            <w:r>
              <w:t>493,657</w:t>
            </w:r>
          </w:p>
        </w:tc>
        <w:tc>
          <w:tcPr>
            <w:tcW w:w="2295" w:type="dxa"/>
            <w:tcBorders>
              <w:left w:val="single" w:sz="6" w:space="0" w:color="E0E0E0"/>
              <w:bottom w:val="single" w:sz="6" w:space="0" w:color="E0E0E0"/>
              <w:right w:val="single" w:sz="6" w:space="0" w:color="E0E0E0"/>
            </w:tcBorders>
          </w:tcPr>
          <w:p w14:paraId="57DA6E62" w14:textId="77777777" w:rsidR="0057582C" w:rsidRDefault="00CE7F22">
            <w:pPr>
              <w:spacing w:line="360" w:lineRule="auto"/>
              <w:jc w:val="both"/>
            </w:pPr>
            <w:r>
              <w:t>Units/month</w:t>
            </w:r>
          </w:p>
        </w:tc>
      </w:tr>
    </w:tbl>
    <w:p w14:paraId="5CDFA48E" w14:textId="77777777" w:rsidR="0057582C" w:rsidRDefault="0057582C">
      <w:pPr>
        <w:spacing w:before="120" w:after="120" w:line="360" w:lineRule="auto"/>
        <w:jc w:val="both"/>
      </w:pPr>
    </w:p>
    <w:p w14:paraId="0AB8B953" w14:textId="77777777" w:rsidR="0057582C" w:rsidRDefault="00CE7F22">
      <w:pPr>
        <w:spacing w:before="120" w:after="120" w:line="360" w:lineRule="auto"/>
        <w:jc w:val="both"/>
      </w:pPr>
      <w:r>
        <w:t>The median monthly sales quantity of 313,128 units represents the midpoint of the distribution, with half of the monthly values below and half above this figure. As a robust measure of central tendency, the median suggests that most months recorded sales volumes near this level.</w:t>
      </w:r>
    </w:p>
    <w:p w14:paraId="6BAA618B" w14:textId="77777777" w:rsidR="0057582C" w:rsidRDefault="00CE7F22">
      <w:pPr>
        <w:spacing w:before="120" w:after="120" w:line="360" w:lineRule="auto"/>
        <w:jc w:val="both"/>
      </w:pPr>
      <w:r>
        <w:t>The mean monthly sales quantity of 355,319 units exceeds the median, indicating a positively skewed distribution influenced by peak months, particularly November 2011, when sales substantially surpassed typical monthly levels.</w:t>
      </w:r>
    </w:p>
    <w:p w14:paraId="026CFAC6" w14:textId="77777777" w:rsidR="0057582C" w:rsidRDefault="00CE7F22">
      <w:pPr>
        <w:spacing w:before="120" w:after="120" w:line="360" w:lineRule="auto"/>
        <w:jc w:val="both"/>
        <w:rPr>
          <w:b/>
          <w:bCs/>
        </w:rPr>
      </w:pPr>
      <w:r>
        <w:t xml:space="preserve">The standard deviation of 129,109 units reflects substantial month-to-month variability in sales volume. This degree of dispersion confirms that demand follows a seasonal pattern rather than remaining stable year-round. </w:t>
      </w:r>
      <w:commentRangeStart w:id="0"/>
      <w:r>
        <w:t>The</w:t>
      </w:r>
      <w:r>
        <w:rPr>
          <w:b/>
          <w:bCs/>
        </w:rPr>
        <w:t xml:space="preserve"> standard deviation of 129,109 units indicates considerable month-to-month variability in sales volume. This level of dispersion confirms the presence of seasonal demand patterns, underscoring the necessity for time-series forecasting models that can effectively capture seasonality. Analysis of Yearly Sales</w:t>
      </w:r>
      <w:commentRangeEnd w:id="0"/>
      <w:r w:rsidR="00E621CF">
        <w:rPr>
          <w:rStyle w:val="CommentReference"/>
        </w:rPr>
        <w:commentReference w:id="0"/>
      </w:r>
    </w:p>
    <w:p w14:paraId="29DD3959" w14:textId="1C3DBE96" w:rsidR="0057582C" w:rsidRDefault="00CE7F22">
      <w:pPr>
        <w:spacing w:before="120" w:after="120" w:line="360" w:lineRule="auto"/>
        <w:jc w:val="both"/>
        <w:rPr>
          <w:b/>
          <w:bCs/>
          <w:lang w:val="en-US"/>
        </w:rPr>
      </w:pPr>
      <w:r>
        <w:rPr>
          <w:b/>
          <w:bCs/>
          <w:lang w:val="en-US"/>
        </w:rPr>
        <w:t>Table 3</w:t>
      </w:r>
      <w:r w:rsidR="00135E44">
        <w:rPr>
          <w:b/>
          <w:bCs/>
          <w:lang w:val="en-US"/>
        </w:rPr>
        <w:t xml:space="preserve"> Sales quantity of 2010-2011</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3275"/>
      </w:tblGrid>
      <w:tr w:rsidR="0057582C" w14:paraId="6AD4A626" w14:textId="77777777">
        <w:trPr>
          <w:trHeight w:val="540"/>
          <w:jc w:val="center"/>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26EDE6C0" w14:textId="77777777" w:rsidR="0057582C" w:rsidRDefault="00CE7F22">
            <w:pPr>
              <w:spacing w:line="360" w:lineRule="auto"/>
              <w:jc w:val="both"/>
            </w:pPr>
            <w:r>
              <w:rPr>
                <w:b/>
                <w:bCs/>
              </w:rPr>
              <w:lastRenderedPageBreak/>
              <w:t>Year</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0FBA0EF2" w14:textId="77777777" w:rsidR="0057582C" w:rsidRDefault="00CE7F22">
            <w:pPr>
              <w:spacing w:line="360" w:lineRule="auto"/>
              <w:jc w:val="both"/>
            </w:pPr>
            <w:r>
              <w:rPr>
                <w:b/>
                <w:bCs/>
              </w:rPr>
              <w:t>Sales Quantity</w:t>
            </w:r>
          </w:p>
        </w:tc>
        <w:tc>
          <w:tcPr>
            <w:tcW w:w="3275" w:type="dxa"/>
            <w:tcBorders>
              <w:top w:val="single" w:sz="6" w:space="0" w:color="E0E0E0"/>
              <w:left w:val="single" w:sz="6" w:space="0" w:color="E0E0E0"/>
              <w:bottom w:val="single" w:sz="6" w:space="0" w:color="E0E0E0"/>
              <w:right w:val="single" w:sz="6" w:space="0" w:color="E0E0E0"/>
            </w:tcBorders>
            <w:shd w:val="clear" w:color="auto" w:fill="DEEAF1"/>
          </w:tcPr>
          <w:p w14:paraId="6FDC206B" w14:textId="77777777" w:rsidR="0057582C" w:rsidRDefault="00CE7F22">
            <w:pPr>
              <w:spacing w:line="360" w:lineRule="auto"/>
              <w:jc w:val="both"/>
            </w:pPr>
            <w:r>
              <w:rPr>
                <w:b/>
                <w:bCs/>
              </w:rPr>
              <w:t>Note</w:t>
            </w:r>
          </w:p>
        </w:tc>
      </w:tr>
      <w:tr w:rsidR="0057582C" w14:paraId="47A176A8" w14:textId="77777777">
        <w:trPr>
          <w:trHeight w:val="540"/>
          <w:jc w:val="center"/>
        </w:trPr>
        <w:tc>
          <w:tcPr>
            <w:tcW w:w="2295" w:type="dxa"/>
            <w:tcBorders>
              <w:left w:val="single" w:sz="6" w:space="0" w:color="E0E0E0"/>
              <w:bottom w:val="single" w:sz="6" w:space="0" w:color="E0E0E0"/>
              <w:right w:val="single" w:sz="6" w:space="0" w:color="E0E0E0"/>
            </w:tcBorders>
          </w:tcPr>
          <w:p w14:paraId="7AF6F49D" w14:textId="77777777" w:rsidR="0057582C" w:rsidRDefault="00CE7F22">
            <w:pPr>
              <w:spacing w:line="360" w:lineRule="auto"/>
              <w:jc w:val="both"/>
            </w:pPr>
            <w:r>
              <w:t>2010</w:t>
            </w:r>
          </w:p>
        </w:tc>
        <w:tc>
          <w:tcPr>
            <w:tcW w:w="2295" w:type="dxa"/>
            <w:tcBorders>
              <w:left w:val="single" w:sz="6" w:space="0" w:color="E0E0E0"/>
              <w:bottom w:val="single" w:sz="6" w:space="0" w:color="E0E0E0"/>
              <w:right w:val="single" w:sz="6" w:space="0" w:color="E0E0E0"/>
            </w:tcBorders>
          </w:tcPr>
          <w:p w14:paraId="6F133221" w14:textId="77777777" w:rsidR="0057582C" w:rsidRDefault="00CE7F22">
            <w:pPr>
              <w:spacing w:line="360" w:lineRule="auto"/>
              <w:jc w:val="both"/>
            </w:pPr>
            <w:r>
              <w:t>298,101</w:t>
            </w:r>
          </w:p>
        </w:tc>
        <w:tc>
          <w:tcPr>
            <w:tcW w:w="3275" w:type="dxa"/>
            <w:tcBorders>
              <w:left w:val="single" w:sz="6" w:space="0" w:color="E0E0E0"/>
              <w:bottom w:val="single" w:sz="6" w:space="0" w:color="E0E0E0"/>
              <w:right w:val="single" w:sz="6" w:space="0" w:color="E0E0E0"/>
            </w:tcBorders>
          </w:tcPr>
          <w:p w14:paraId="4E770902" w14:textId="77777777" w:rsidR="0057582C" w:rsidRDefault="00CE7F22">
            <w:pPr>
              <w:spacing w:line="360" w:lineRule="auto"/>
              <w:jc w:val="both"/>
            </w:pPr>
            <w:r>
              <w:t>Dec only — 1 month of data</w:t>
            </w:r>
          </w:p>
        </w:tc>
      </w:tr>
      <w:tr w:rsidR="0057582C" w14:paraId="3500F9B0"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1851D836" w14:textId="77777777" w:rsidR="0057582C" w:rsidRDefault="00CE7F22">
            <w:pPr>
              <w:spacing w:line="360" w:lineRule="auto"/>
              <w:jc w:val="both"/>
            </w:pPr>
            <w:commentRangeStart w:id="1"/>
            <w:r>
              <w:rPr>
                <w:b/>
                <w:bCs/>
              </w:rPr>
              <w:t>2011</w:t>
            </w:r>
          </w:p>
        </w:tc>
        <w:tc>
          <w:tcPr>
            <w:tcW w:w="2295" w:type="dxa"/>
            <w:tcBorders>
              <w:left w:val="single" w:sz="6" w:space="0" w:color="E0E0E0"/>
              <w:bottom w:val="single" w:sz="6" w:space="0" w:color="E0E0E0"/>
              <w:right w:val="single" w:sz="6" w:space="0" w:color="E0E0E0"/>
            </w:tcBorders>
            <w:shd w:val="clear" w:color="auto" w:fill="E2EFDA"/>
          </w:tcPr>
          <w:p w14:paraId="16E0468B" w14:textId="77777777" w:rsidR="0057582C" w:rsidRDefault="00CE7F22">
            <w:pPr>
              <w:spacing w:line="360" w:lineRule="auto"/>
              <w:jc w:val="both"/>
            </w:pPr>
            <w:r>
              <w:rPr>
                <w:b/>
                <w:bCs/>
              </w:rPr>
              <w:t>3,965,728</w:t>
            </w:r>
          </w:p>
        </w:tc>
        <w:tc>
          <w:tcPr>
            <w:tcW w:w="3275" w:type="dxa"/>
            <w:tcBorders>
              <w:left w:val="single" w:sz="6" w:space="0" w:color="E0E0E0"/>
              <w:bottom w:val="single" w:sz="6" w:space="0" w:color="E0E0E0"/>
              <w:right w:val="single" w:sz="6" w:space="0" w:color="E0E0E0"/>
            </w:tcBorders>
            <w:shd w:val="clear" w:color="auto" w:fill="E2EFDA"/>
          </w:tcPr>
          <w:p w14:paraId="34FEFB71" w14:textId="77777777" w:rsidR="0057582C" w:rsidRDefault="00CE7F22">
            <w:pPr>
              <w:spacing w:line="360" w:lineRule="auto"/>
              <w:jc w:val="both"/>
            </w:pPr>
            <w:r>
              <w:rPr>
                <w:b/>
                <w:bCs/>
              </w:rPr>
              <w:t>Full year — primary training data</w:t>
            </w:r>
            <w:commentRangeEnd w:id="1"/>
            <w:r w:rsidR="00E621CF">
              <w:rPr>
                <w:rStyle w:val="CommentReference"/>
              </w:rPr>
              <w:commentReference w:id="1"/>
            </w:r>
          </w:p>
        </w:tc>
      </w:tr>
    </w:tbl>
    <w:p w14:paraId="0177B466" w14:textId="77777777" w:rsidR="0057582C" w:rsidRDefault="0057582C">
      <w:pPr>
        <w:spacing w:before="120" w:after="120" w:line="360" w:lineRule="auto"/>
        <w:jc w:val="both"/>
      </w:pPr>
    </w:p>
    <w:p w14:paraId="68507043" w14:textId="77777777" w:rsidR="0057582C" w:rsidRDefault="00CE7F22">
      <w:pPr>
        <w:spacing w:before="120" w:after="120" w:line="360" w:lineRule="auto"/>
        <w:jc w:val="both"/>
      </w:pPr>
      <w:r>
        <w:t>Table 3 presents annual sales quantities for 2010 and 2011. Sales increased from 298,101 units in 2010 to 3,965,728 units in 2011, a 13-fold increase. However, this increase is attributable to the dataset covering only December 2010, rather than reflecting organic year-on-year demand growth. Recognising this asymmetry is essential for contextualising the forecasting models, which are trained on the full 2011 data to ensure a representative annual time series.</w:t>
      </w:r>
    </w:p>
    <w:p w14:paraId="70EFB7EB" w14:textId="77777777" w:rsidR="0057582C" w:rsidRDefault="0057582C">
      <w:pPr>
        <w:spacing w:before="120" w:after="120" w:line="360" w:lineRule="auto"/>
        <w:jc w:val="both"/>
      </w:pPr>
    </w:p>
    <w:p w14:paraId="376FA829" w14:textId="77777777" w:rsidR="0057582C" w:rsidRDefault="00CE7F22">
      <w:pPr>
        <w:spacing w:before="120" w:after="60" w:line="360" w:lineRule="auto"/>
        <w:jc w:val="both"/>
      </w:pPr>
      <w:commentRangeStart w:id="2"/>
      <w:r>
        <w:rPr>
          <w:noProof/>
        </w:rPr>
        <w:drawing>
          <wp:inline distT="0" distB="0" distL="0" distR="0" wp14:anchorId="5BE22029" wp14:editId="0CF8B3CB">
            <wp:extent cx="5486400" cy="4342765"/>
            <wp:effectExtent l="0" t="0" r="0" b="0"/>
            <wp:docPr id="2" name="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2"/>
                    <pic:cNvPicPr>
                      <a:picLocks noChangeAspect="1"/>
                    </pic:cNvPicPr>
                  </pic:nvPicPr>
                  <pic:blipFill>
                    <a:blip r:embed="rId11"/>
                    <a:stretch>
                      <a:fillRect/>
                    </a:stretch>
                  </pic:blipFill>
                  <pic:spPr>
                    <a:xfrm>
                      <a:off x="0" y="0"/>
                      <a:ext cx="5486400" cy="4343069"/>
                    </a:xfrm>
                    <a:prstGeom prst="rect">
                      <a:avLst/>
                    </a:prstGeom>
                  </pic:spPr>
                </pic:pic>
              </a:graphicData>
            </a:graphic>
          </wp:inline>
        </w:drawing>
      </w:r>
      <w:commentRangeEnd w:id="2"/>
      <w:r w:rsidR="00E621CF">
        <w:rPr>
          <w:rStyle w:val="CommentReference"/>
        </w:rPr>
        <w:commentReference w:id="2"/>
      </w:r>
    </w:p>
    <w:p w14:paraId="5192F50D" w14:textId="77777777" w:rsidR="0057582C" w:rsidRDefault="00CE7F22">
      <w:pPr>
        <w:spacing w:before="120" w:after="120" w:line="360" w:lineRule="auto"/>
        <w:jc w:val="both"/>
      </w:pPr>
      <w:r>
        <w:rPr>
          <w:b/>
          <w:bCs/>
        </w:rPr>
        <w:t>Figure 2: Plot of Yearly Sales</w:t>
      </w:r>
    </w:p>
    <w:p w14:paraId="0DCFCA7E" w14:textId="77777777" w:rsidR="0057582C" w:rsidRDefault="0057582C">
      <w:pPr>
        <w:spacing w:before="120" w:after="120" w:line="360" w:lineRule="auto"/>
        <w:jc w:val="both"/>
      </w:pPr>
    </w:p>
    <w:p w14:paraId="77980449" w14:textId="77777777" w:rsidR="0057582C" w:rsidRDefault="0057582C">
      <w:pPr>
        <w:spacing w:before="120" w:after="120" w:line="360" w:lineRule="auto"/>
        <w:jc w:val="both"/>
      </w:pPr>
    </w:p>
    <w:p w14:paraId="1DE94D6C" w14:textId="77777777" w:rsidR="0057582C" w:rsidRDefault="00CE7F22">
      <w:pPr>
        <w:spacing w:before="120" w:after="120" w:line="360" w:lineRule="auto"/>
        <w:jc w:val="both"/>
      </w:pPr>
      <w:r>
        <w:t>Figure 2 presents the annual sales comparison between 2010 and 2011. The marked difference in volumes reflects the asymmetric coverage of the two years in the dataset, as discussed above, rather than a step-change in underlying demand.</w:t>
      </w:r>
    </w:p>
    <w:p w14:paraId="1A4BE71A" w14:textId="77777777" w:rsidR="0057582C" w:rsidRDefault="00CE7F22">
      <w:pPr>
        <w:spacing w:before="120" w:after="120" w:line="360" w:lineRule="auto"/>
        <w:jc w:val="both"/>
      </w:pPr>
      <w:r>
        <w:rPr>
          <w:b/>
          <w:bCs/>
        </w:rPr>
        <w:t>Total Sales Analysis</w:t>
      </w:r>
    </w:p>
    <w:p w14:paraId="6CED9321" w14:textId="77777777" w:rsidR="0057582C" w:rsidRDefault="00CE7F22">
      <w:pPr>
        <w:spacing w:before="120" w:after="120" w:line="360" w:lineRule="auto"/>
        <w:jc w:val="both"/>
      </w:pPr>
      <w:r>
        <w:t>The sales analysis provides the total sales for the twelve months.</w:t>
      </w:r>
    </w:p>
    <w:p w14:paraId="71324C27" w14:textId="77777777" w:rsidR="0057582C" w:rsidRDefault="00CE7F22">
      <w:pPr>
        <w:pStyle w:val="Heading2"/>
        <w:keepNext w:val="0"/>
        <w:keepLines w:val="0"/>
        <w:spacing w:before="360" w:after="180" w:line="360" w:lineRule="auto"/>
        <w:jc w:val="both"/>
        <w:rPr>
          <w:color w:val="auto"/>
          <w:sz w:val="24"/>
          <w:szCs w:val="24"/>
        </w:rPr>
      </w:pPr>
      <w:commentRangeStart w:id="3"/>
      <w:r>
        <w:rPr>
          <w:color w:val="auto"/>
          <w:sz w:val="24"/>
          <w:szCs w:val="24"/>
        </w:rPr>
        <w:t xml:space="preserve">Table </w:t>
      </w:r>
      <w:r>
        <w:rPr>
          <w:color w:val="auto"/>
          <w:sz w:val="24"/>
          <w:szCs w:val="24"/>
          <w:lang w:val="en-US"/>
        </w:rPr>
        <w:t>4</w:t>
      </w:r>
      <w:r>
        <w:rPr>
          <w:color w:val="auto"/>
          <w:sz w:val="24"/>
          <w:szCs w:val="24"/>
        </w:rPr>
        <w:t xml:space="preserve">: Total Sales Analysis showing total sales of </w:t>
      </w:r>
      <w:r>
        <w:rPr>
          <w:rFonts w:eastAsia="SimSun"/>
          <w:color w:val="auto"/>
          <w:sz w:val="24"/>
          <w:szCs w:val="24"/>
        </w:rPr>
        <w:t>£8.19M</w:t>
      </w:r>
      <w:commentRangeEnd w:id="3"/>
      <w:r w:rsidR="00E621CF">
        <w:rPr>
          <w:rStyle w:val="CommentReference"/>
          <w:b w:val="0"/>
          <w:bCs w:val="0"/>
          <w:color w:val="auto"/>
        </w:rPr>
        <w:commentReference w:id="3"/>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320"/>
      </w:tblGrid>
      <w:tr w:rsidR="0057582C" w14:paraId="6EEBA850" w14:textId="77777777">
        <w:trPr>
          <w:trHeight w:val="540"/>
          <w:jc w:val="center"/>
        </w:trPr>
        <w:tc>
          <w:tcPr>
            <w:tcW w:w="2320" w:type="dxa"/>
            <w:tcBorders>
              <w:top w:val="single" w:sz="6" w:space="0" w:color="E0E0E0"/>
              <w:left w:val="single" w:sz="6" w:space="0" w:color="E0E0E0"/>
              <w:bottom w:val="single" w:sz="6" w:space="0" w:color="E0E0E0"/>
              <w:right w:val="single" w:sz="6" w:space="0" w:color="E0E0E0"/>
            </w:tcBorders>
            <w:shd w:val="clear" w:color="auto" w:fill="E2EFDA"/>
          </w:tcPr>
          <w:p w14:paraId="31A0550D" w14:textId="77777777" w:rsidR="0057582C" w:rsidRDefault="00CE7F22">
            <w:pPr>
              <w:spacing w:line="360" w:lineRule="auto"/>
              <w:jc w:val="both"/>
            </w:pPr>
            <w:r>
              <w:rPr>
                <w:rFonts w:eastAsia="SimSun"/>
                <w:b/>
                <w:bCs/>
              </w:rPr>
              <w:t>£8.19M</w:t>
            </w:r>
          </w:p>
        </w:tc>
      </w:tr>
    </w:tbl>
    <w:p w14:paraId="61A50809" w14:textId="77777777" w:rsidR="0057582C" w:rsidRDefault="0057582C">
      <w:pPr>
        <w:spacing w:before="120" w:after="120" w:line="360" w:lineRule="auto"/>
        <w:jc w:val="both"/>
      </w:pPr>
    </w:p>
    <w:p w14:paraId="13322E98" w14:textId="77777777" w:rsidR="0057582C" w:rsidRDefault="00CE7F22">
      <w:pPr>
        <w:spacing w:before="120" w:after="120" w:line="360" w:lineRule="auto"/>
        <w:jc w:val="both"/>
      </w:pPr>
      <w:r>
        <w:t xml:space="preserve">The total revenue recorded across the study period amounts to </w:t>
      </w:r>
      <w:r>
        <w:rPr>
          <w:rFonts w:eastAsia="SimSun"/>
        </w:rPr>
        <w:t>£8.19M</w:t>
      </w:r>
      <w:r>
        <w:t>. This aggregate figure provides a baseline against which the segment-level revenue contributions identified through RFM segmentation can be contextualised and compared.</w:t>
      </w:r>
    </w:p>
    <w:p w14:paraId="07323139" w14:textId="77777777" w:rsidR="0057582C" w:rsidRDefault="00CE7F22">
      <w:pPr>
        <w:spacing w:before="120" w:after="120" w:line="360" w:lineRule="auto"/>
        <w:jc w:val="both"/>
      </w:pPr>
      <w:r>
        <w:rPr>
          <w:b/>
          <w:bCs/>
        </w:rPr>
        <w:t>Customer Analysis</w:t>
      </w:r>
    </w:p>
    <w:p w14:paraId="2B970D6F" w14:textId="77777777" w:rsidR="0057582C" w:rsidRDefault="00CE7F22">
      <w:pPr>
        <w:spacing w:before="120" w:after="120" w:line="360" w:lineRule="auto"/>
        <w:jc w:val="both"/>
      </w:pPr>
      <w:r>
        <w:t>The dataset contains 3,951 unique customers following preprocessing. This customer base forms the population for the RFM analysis and subsequent segmentation. The moderate size of this customer base is typical of a UK niche online retailer. It ensures that both GMM and SOM produce interpretable segments without excessive fragmentation, while providing sufficient observations for reliable per-segment time-series forecasting.</w:t>
      </w:r>
    </w:p>
    <w:p w14:paraId="5CEB17DD" w14:textId="77777777" w:rsidR="0057582C" w:rsidRDefault="00CE7F22">
      <w:pPr>
        <w:spacing w:before="120" w:after="120" w:line="360" w:lineRule="auto"/>
        <w:jc w:val="both"/>
      </w:pPr>
      <w:r>
        <w:rPr>
          <w:b/>
          <w:bCs/>
        </w:rPr>
        <w:t>RFM-Based Customer Segmentation Analysis</w:t>
      </w:r>
    </w:p>
    <w:p w14:paraId="41FF707F" w14:textId="77777777" w:rsidR="0057582C" w:rsidRDefault="00CE7F22">
      <w:pPr>
        <w:spacing w:before="120" w:after="120" w:line="360" w:lineRule="auto"/>
        <w:jc w:val="both"/>
      </w:pPr>
      <w:r>
        <w:t xml:space="preserve">RFM metrics were computed for each customer in the </w:t>
      </w:r>
      <w:proofErr w:type="spellStart"/>
      <w:r>
        <w:t>preprocessed</w:t>
      </w:r>
      <w:proofErr w:type="spellEnd"/>
      <w:r>
        <w:t xml:space="preserve"> dataset. Monetary value was calculated as the sum of line-level revenue across all transactions attributed to a given </w:t>
      </w:r>
      <w:proofErr w:type="spellStart"/>
      <w:r>
        <w:t>CustomerID</w:t>
      </w:r>
      <w:proofErr w:type="spellEnd"/>
      <w:r>
        <w:t xml:space="preserve">, where line revenue equals Quantity multiplied by </w:t>
      </w:r>
      <w:proofErr w:type="spellStart"/>
      <w:r>
        <w:t>UnitPrice</w:t>
      </w:r>
      <w:proofErr w:type="spellEnd"/>
      <w:r>
        <w:t xml:space="preserve">. Recency was defined as the number of days between the customer's most recent invoice date and a reference date set to one day after the last transaction in the dataset. Frequency was defined as the total count of unique invoices per </w:t>
      </w:r>
      <w:r>
        <w:lastRenderedPageBreak/>
        <w:t xml:space="preserve">customer. Following computation, all three RFM dimensions were normalised using </w:t>
      </w:r>
      <w:proofErr w:type="spellStart"/>
      <w:r>
        <w:t>MinMax</w:t>
      </w:r>
      <w:proofErr w:type="spellEnd"/>
      <w:r>
        <w:t xml:space="preserve"> scaling to ensure equal weighting in the clustering algorithms.</w:t>
      </w:r>
    </w:p>
    <w:p w14:paraId="7F8B9199" w14:textId="77777777" w:rsidR="0057582C" w:rsidRDefault="0057582C">
      <w:pPr>
        <w:spacing w:before="120" w:after="120" w:line="360" w:lineRule="auto"/>
        <w:jc w:val="both"/>
      </w:pPr>
    </w:p>
    <w:p w14:paraId="285D9624" w14:textId="77777777" w:rsidR="0057582C" w:rsidRDefault="00CE7F22">
      <w:pPr>
        <w:spacing w:before="120" w:after="120" w:line="360" w:lineRule="auto"/>
        <w:jc w:val="both"/>
      </w:pPr>
      <w:r>
        <w:rPr>
          <w:i/>
          <w:iCs/>
        </w:rPr>
        <w:t xml:space="preserve">(1)  </w:t>
      </w:r>
      <m:oMath>
        <m:r>
          <m:rPr>
            <m:nor/>
          </m:rPr>
          <w:rPr>
            <w:i/>
          </w:rPr>
          <m:t>M</m:t>
        </m:r>
        <m:r>
          <m:rPr>
            <m:nor/>
          </m:rPr>
          <m:t xml:space="preserve"> = </m:t>
        </m:r>
        <m:nary>
          <m:naryPr>
            <m:chr m:val="∑"/>
            <m:limLoc m:val="undOvr"/>
            <m:ctrlPr>
              <w:rPr>
                <w:rFonts w:ascii="Cambria Math" w:hAnsi="Cambria Math"/>
              </w:rPr>
            </m:ctrlPr>
          </m:naryPr>
          <m:sub>
            <m:r>
              <m:rPr>
                <m:nor/>
              </m:rPr>
              <w:rPr>
                <w:i/>
              </w:rPr>
              <m:t>j</m:t>
            </m:r>
          </m:sub>
          <m:sup/>
          <m:e>
            <m:r>
              <m:rPr>
                <m:nor/>
              </m:rPr>
              <w:rPr>
                <w:i/>
              </w:rPr>
              <m:t>Q</m:t>
            </m:r>
            <m:sSub>
              <m:sSubPr>
                <m:ctrlPr>
                  <w:rPr>
                    <w:rFonts w:ascii="Cambria Math" w:hAnsi="Cambria Math"/>
                  </w:rPr>
                </m:ctrlPr>
              </m:sSubPr>
              <m:e>
                <m:r>
                  <m:rPr>
                    <m:nor/>
                  </m:rPr>
                  <w:rPr>
                    <w:i/>
                  </w:rPr>
                  <m:t>ij</m:t>
                </m:r>
              </m:e>
              <m:sub/>
            </m:sSub>
            <m:r>
              <m:rPr>
                <m:nor/>
              </m:rPr>
              <m:t xml:space="preserve"> × </m:t>
            </m:r>
            <m:r>
              <m:rPr>
                <m:nor/>
              </m:rPr>
              <w:rPr>
                <w:i/>
              </w:rPr>
              <m:t>P</m:t>
            </m:r>
            <m:sSub>
              <m:sSubPr>
                <m:ctrlPr>
                  <w:rPr>
                    <w:rFonts w:ascii="Cambria Math" w:hAnsi="Cambria Math"/>
                  </w:rPr>
                </m:ctrlPr>
              </m:sSubPr>
              <m:e>
                <m:r>
                  <m:rPr>
                    <m:nor/>
                  </m:rPr>
                  <w:rPr>
                    <w:i/>
                  </w:rPr>
                  <m:t>ij</m:t>
                </m:r>
              </m:e>
              <m:sub/>
            </m:sSub>
          </m:e>
        </m:nary>
      </m:oMath>
    </w:p>
    <w:p w14:paraId="2955AAC9" w14:textId="77777777" w:rsidR="0057582C" w:rsidRDefault="0057582C">
      <w:pPr>
        <w:spacing w:before="120" w:after="120" w:line="360" w:lineRule="auto"/>
        <w:jc w:val="both"/>
      </w:pPr>
    </w:p>
    <w:p w14:paraId="5685B457" w14:textId="77777777" w:rsidR="0057582C" w:rsidRDefault="00CE7F22">
      <w:pPr>
        <w:spacing w:before="120" w:after="120" w:line="360" w:lineRule="auto"/>
        <w:jc w:val="both"/>
      </w:pPr>
      <w:r>
        <w:rPr>
          <w:i/>
          <w:iCs/>
        </w:rPr>
        <w:t xml:space="preserve">(2)  </w:t>
      </w:r>
      <m:oMath>
        <m:r>
          <m:rPr>
            <m:nor/>
          </m:rPr>
          <w:rPr>
            <w:i/>
          </w:rPr>
          <m:t>R</m:t>
        </m:r>
        <m:sSub>
          <m:sSubPr>
            <m:ctrlPr>
              <w:rPr>
                <w:rFonts w:ascii="Cambria Math" w:hAnsi="Cambria Math"/>
              </w:rPr>
            </m:ctrlPr>
          </m:sSubPr>
          <m:e>
            <m:r>
              <m:rPr>
                <m:nor/>
              </m:rPr>
              <w:rPr>
                <w:i/>
              </w:rPr>
              <m:t>i</m:t>
            </m:r>
          </m:e>
          <m:sub/>
        </m:sSub>
        <m:r>
          <m:rPr>
            <m:nor/>
          </m:rPr>
          <m:t xml:space="preserve"> = </m:t>
        </m:r>
        <m:r>
          <m:rPr>
            <m:nor/>
          </m:rPr>
          <w:rPr>
            <w:i/>
          </w:rPr>
          <m:t>T</m:t>
        </m:r>
        <m:sSub>
          <m:sSubPr>
            <m:ctrlPr>
              <w:rPr>
                <w:rFonts w:ascii="Cambria Math" w:hAnsi="Cambria Math"/>
              </w:rPr>
            </m:ctrlPr>
          </m:sSubPr>
          <m:e>
            <m:r>
              <m:rPr>
                <m:nor/>
              </m:rPr>
              <w:rPr>
                <w:i/>
              </w:rPr>
              <m:t>ref</m:t>
            </m:r>
          </m:e>
          <m:sub/>
        </m:sSub>
        <m:r>
          <m:rPr>
            <m:nor/>
          </m:rPr>
          <m:t xml:space="preserve"> - </m:t>
        </m:r>
        <m:r>
          <m:rPr>
            <m:nor/>
          </m:rPr>
          <w:rPr>
            <w:i/>
          </w:rPr>
          <m:t>max</m:t>
        </m:r>
        <m:d>
          <m:dPr>
            <m:ctrlPr>
              <w:rPr>
                <w:rFonts w:ascii="Cambria Math" w:hAnsi="Cambria Math"/>
              </w:rPr>
            </m:ctrlPr>
          </m:dPr>
          <m:e>
            <m:r>
              <m:rPr>
                <m:nor/>
              </m:rPr>
              <w:rPr>
                <w:i/>
              </w:rPr>
              <m:t>d</m:t>
            </m:r>
            <m:sSub>
              <m:sSubPr>
                <m:ctrlPr>
                  <w:rPr>
                    <w:rFonts w:ascii="Cambria Math" w:hAnsi="Cambria Math"/>
                  </w:rPr>
                </m:ctrlPr>
              </m:sSubPr>
              <m:e>
                <m:r>
                  <m:rPr>
                    <m:nor/>
                  </m:rPr>
                  <w:rPr>
                    <w:i/>
                  </w:rPr>
                  <m:t>ij</m:t>
                </m:r>
              </m:e>
              <m:sub/>
            </m:sSub>
          </m:e>
        </m:d>
      </m:oMath>
    </w:p>
    <w:p w14:paraId="626446D8" w14:textId="77777777" w:rsidR="0057582C" w:rsidRDefault="0057582C">
      <w:pPr>
        <w:spacing w:before="120" w:after="120" w:line="360" w:lineRule="auto"/>
        <w:jc w:val="both"/>
      </w:pPr>
    </w:p>
    <w:p w14:paraId="3BFEB31F" w14:textId="77777777" w:rsidR="0057582C" w:rsidRDefault="00CE7F22">
      <w:pPr>
        <w:spacing w:before="120" w:after="120" w:line="360" w:lineRule="auto"/>
        <w:jc w:val="both"/>
      </w:pPr>
      <w:r>
        <w:rPr>
          <w:i/>
          <w:iCs/>
        </w:rPr>
        <w:t xml:space="preserve">(3)  </w:t>
      </w:r>
      <m:oMath>
        <m:r>
          <m:rPr>
            <m:nor/>
          </m:rPr>
          <w:rPr>
            <w:i/>
          </w:rPr>
          <m:t>F</m:t>
        </m:r>
        <m:sSub>
          <m:sSubPr>
            <m:ctrlPr>
              <w:rPr>
                <w:rFonts w:ascii="Cambria Math" w:hAnsi="Cambria Math"/>
              </w:rPr>
            </m:ctrlPr>
          </m:sSubPr>
          <m:e>
            <m:r>
              <m:rPr>
                <m:nor/>
              </m:rPr>
              <w:rPr>
                <w:i/>
              </w:rPr>
              <m:t>i</m:t>
            </m:r>
          </m:e>
          <m:sub/>
        </m:sSub>
        <m:r>
          <m:rPr>
            <m:nor/>
          </m:rPr>
          <m:t xml:space="preserve"> = </m:t>
        </m:r>
        <m:d>
          <m:dPr>
            <m:begChr m:val="|"/>
            <m:endChr m:val="|"/>
            <m:ctrlPr>
              <w:rPr>
                <w:rFonts w:ascii="Cambria Math" w:hAnsi="Cambria Math"/>
              </w:rPr>
            </m:ctrlPr>
          </m:dPr>
          <m:e>
            <m:r>
              <m:rPr>
                <m:nor/>
              </m:rPr>
              <m:t xml:space="preserve">{ </m:t>
            </m:r>
            <m:r>
              <m:rPr>
                <m:nor/>
              </m:rPr>
              <w:rPr>
                <w:i/>
              </w:rPr>
              <m:t>InvoiceNo</m:t>
            </m:r>
            <m:sSub>
              <m:sSubPr>
                <m:ctrlPr>
                  <w:rPr>
                    <w:rFonts w:ascii="Cambria Math" w:hAnsi="Cambria Math"/>
                  </w:rPr>
                </m:ctrlPr>
              </m:sSubPr>
              <m:e>
                <m:r>
                  <m:rPr>
                    <m:nor/>
                  </m:rPr>
                  <w:rPr>
                    <w:i/>
                  </w:rPr>
                  <m:t>j</m:t>
                </m:r>
              </m:e>
              <m:sub/>
            </m:sSub>
            <m:r>
              <m:rPr>
                <m:nor/>
              </m:rPr>
              <m:t xml:space="preserve"> : </m:t>
            </m:r>
            <m:r>
              <m:rPr>
                <m:nor/>
              </m:rPr>
              <w:rPr>
                <w:i/>
              </w:rPr>
              <m:t>CustomerID</m:t>
            </m:r>
            <m:sSub>
              <m:sSubPr>
                <m:ctrlPr>
                  <w:rPr>
                    <w:rFonts w:ascii="Cambria Math" w:hAnsi="Cambria Math"/>
                  </w:rPr>
                </m:ctrlPr>
              </m:sSubPr>
              <m:e>
                <m:r>
                  <m:rPr>
                    <m:nor/>
                  </m:rPr>
                  <w:rPr>
                    <w:i/>
                  </w:rPr>
                  <m:t>j</m:t>
                </m:r>
              </m:e>
              <m:sub/>
            </m:sSub>
            <m:r>
              <m:rPr>
                <m:nor/>
              </m:rPr>
              <m:t xml:space="preserve"> = </m:t>
            </m:r>
            <m:r>
              <m:rPr>
                <m:nor/>
              </m:rPr>
              <w:rPr>
                <w:i/>
              </w:rPr>
              <m:t>i</m:t>
            </m:r>
            <m:r>
              <m:rPr>
                <m:nor/>
              </m:rPr>
              <m:t xml:space="preserve"> }</m:t>
            </m:r>
          </m:e>
        </m:d>
      </m:oMath>
    </w:p>
    <w:p w14:paraId="352A8042" w14:textId="77777777" w:rsidR="0057582C" w:rsidRDefault="0057582C">
      <w:pPr>
        <w:spacing w:before="120" w:after="120" w:line="360" w:lineRule="auto"/>
        <w:jc w:val="both"/>
      </w:pPr>
    </w:p>
    <w:p w14:paraId="3A872F35" w14:textId="77777777" w:rsidR="0057582C" w:rsidRDefault="00CE7F22">
      <w:pPr>
        <w:spacing w:before="120" w:after="120" w:line="360" w:lineRule="auto"/>
        <w:jc w:val="both"/>
      </w:pPr>
      <w:r>
        <w:rPr>
          <w:i/>
          <w:iCs/>
        </w:rPr>
        <w:t xml:space="preserve">(4)  </w:t>
      </w:r>
      <m:oMath>
        <m:r>
          <m:rPr>
            <m:nor/>
          </m:rPr>
          <w:rPr>
            <w:i/>
          </w:rPr>
          <m:t>x</m:t>
        </m:r>
        <m:sSub>
          <m:sSubPr>
            <m:ctrlPr>
              <w:rPr>
                <w:rFonts w:ascii="Cambria Math" w:hAnsi="Cambria Math"/>
              </w:rPr>
            </m:ctrlPr>
          </m:sSubPr>
          <m:e>
            <m:r>
              <m:rPr>
                <m:nor/>
              </m:rPr>
              <w:rPr>
                <w:i/>
              </w:rPr>
              <m:t>x</m:t>
            </m:r>
          </m:e>
          <m:sub>
            <m:r>
              <m:rPr>
                <m:nor/>
              </m:rPr>
              <w:rPr>
                <w:i/>
              </w:rPr>
              <m:t>i</m:t>
            </m:r>
          </m:sub>
        </m:sSub>
        <m:r>
          <m:rPr>
            <m:nor/>
          </m:rPr>
          <m:t xml:space="preserve">' = </m:t>
        </m:r>
        <m:f>
          <m:fPr>
            <m:ctrlPr>
              <w:rPr>
                <w:rFonts w:ascii="Cambria Math" w:hAnsi="Cambria Math"/>
              </w:rPr>
            </m:ctrlPr>
          </m:fPr>
          <m:num>
            <m:r>
              <m:rPr>
                <m:nor/>
              </m:rPr>
              <w:rPr>
                <w:i/>
              </w:rPr>
              <m:t>x</m:t>
            </m:r>
            <m:sSub>
              <m:sSubPr>
                <m:ctrlPr>
                  <w:rPr>
                    <w:rFonts w:ascii="Cambria Math" w:hAnsi="Cambria Math"/>
                  </w:rPr>
                </m:ctrlPr>
              </m:sSubPr>
              <m:e>
                <m:r>
                  <m:rPr>
                    <m:nor/>
                  </m:rPr>
                  <w:rPr>
                    <w:i/>
                  </w:rPr>
                  <m:t>i</m:t>
                </m:r>
              </m:e>
              <m:sub/>
            </m:sSub>
            <m:r>
              <m:rPr>
                <m:nor/>
              </m:rPr>
              <m:t xml:space="preserve"> - </m:t>
            </m:r>
            <m:r>
              <m:rPr>
                <m:nor/>
              </m:rPr>
              <w:rPr>
                <w:i/>
              </w:rPr>
              <m:t>x</m:t>
            </m:r>
            <m:sSub>
              <m:sSubPr>
                <m:ctrlPr>
                  <w:rPr>
                    <w:rFonts w:ascii="Cambria Math" w:hAnsi="Cambria Math"/>
                  </w:rPr>
                </m:ctrlPr>
              </m:sSubPr>
              <m:e>
                <m:r>
                  <m:rPr>
                    <m:nor/>
                  </m:rPr>
                  <w:rPr>
                    <w:i/>
                  </w:rPr>
                  <m:t>min</m:t>
                </m:r>
              </m:e>
              <m:sub/>
            </m:sSub>
          </m:num>
          <m:den>
            <m:r>
              <m:rPr>
                <m:nor/>
              </m:rPr>
              <w:rPr>
                <w:i/>
              </w:rPr>
              <m:t>x</m:t>
            </m:r>
            <m:sSub>
              <m:sSubPr>
                <m:ctrlPr>
                  <w:rPr>
                    <w:rFonts w:ascii="Cambria Math" w:hAnsi="Cambria Math"/>
                  </w:rPr>
                </m:ctrlPr>
              </m:sSubPr>
              <m:e>
                <m:r>
                  <m:rPr>
                    <m:nor/>
                  </m:rPr>
                  <w:rPr>
                    <w:i/>
                  </w:rPr>
                  <m:t>max</m:t>
                </m:r>
              </m:e>
              <m:sub/>
            </m:sSub>
            <m:r>
              <m:rPr>
                <m:nor/>
              </m:rPr>
              <m:t xml:space="preserve"> - </m:t>
            </m:r>
            <m:r>
              <m:rPr>
                <m:nor/>
              </m:rPr>
              <w:rPr>
                <w:i/>
              </w:rPr>
              <m:t>x</m:t>
            </m:r>
            <m:sSub>
              <m:sSubPr>
                <m:ctrlPr>
                  <w:rPr>
                    <w:rFonts w:ascii="Cambria Math" w:hAnsi="Cambria Math"/>
                  </w:rPr>
                </m:ctrlPr>
              </m:sSubPr>
              <m:e>
                <m:r>
                  <m:rPr>
                    <m:nor/>
                  </m:rPr>
                  <w:rPr>
                    <w:i/>
                  </w:rPr>
                  <m:t>min</m:t>
                </m:r>
              </m:e>
              <m:sub/>
            </m:sSub>
          </m:den>
        </m:f>
      </m:oMath>
    </w:p>
    <w:p w14:paraId="6F2AC5D0" w14:textId="77777777" w:rsidR="0057582C" w:rsidRDefault="0057582C">
      <w:pPr>
        <w:spacing w:before="120" w:after="120" w:line="360" w:lineRule="auto"/>
        <w:jc w:val="both"/>
      </w:pPr>
    </w:p>
    <w:p w14:paraId="56F3BA4B" w14:textId="77777777" w:rsidR="0057582C" w:rsidRDefault="00CE7F22">
      <w:pPr>
        <w:spacing w:before="120" w:after="120" w:line="360" w:lineRule="auto"/>
        <w:jc w:val="both"/>
      </w:pPr>
      <w:r>
        <w:rPr>
          <w:b/>
          <w:bCs/>
        </w:rPr>
        <w:t xml:space="preserve">Table </w:t>
      </w:r>
      <w:r>
        <w:rPr>
          <w:b/>
          <w:bCs/>
          <w:lang w:val="en-US"/>
        </w:rPr>
        <w:t>5</w:t>
      </w:r>
      <w:r>
        <w:rPr>
          <w:b/>
          <w:bCs/>
        </w:rPr>
        <w:t>: Recency, Frequency, and Monetary (RFM) Characteristics of Customer Segments Identified by Gaussian Mixture Model (GMM, k=10)</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1175"/>
        <w:gridCol w:w="1375"/>
        <w:gridCol w:w="1489"/>
        <w:gridCol w:w="1718"/>
        <w:gridCol w:w="1346"/>
        <w:gridCol w:w="2241"/>
      </w:tblGrid>
      <w:tr w:rsidR="0057582C" w14:paraId="618BD98C" w14:textId="77777777">
        <w:trPr>
          <w:trHeight w:val="540"/>
        </w:trPr>
        <w:tc>
          <w:tcPr>
            <w:tcW w:w="1175" w:type="dxa"/>
            <w:tcBorders>
              <w:top w:val="single" w:sz="6" w:space="0" w:color="E0E0E0"/>
              <w:left w:val="single" w:sz="6" w:space="0" w:color="E0E0E0"/>
              <w:bottom w:val="single" w:sz="6" w:space="0" w:color="E0E0E0"/>
              <w:right w:val="single" w:sz="6" w:space="0" w:color="E0E0E0"/>
            </w:tcBorders>
            <w:shd w:val="clear" w:color="auto" w:fill="DEEAF1"/>
          </w:tcPr>
          <w:p w14:paraId="5F3EA14A" w14:textId="77777777" w:rsidR="0057582C" w:rsidRDefault="00CE7F22">
            <w:pPr>
              <w:spacing w:line="360" w:lineRule="auto"/>
              <w:jc w:val="both"/>
            </w:pPr>
            <w:r>
              <w:rPr>
                <w:b/>
                <w:bCs/>
              </w:rPr>
              <w:t>0</w:t>
            </w:r>
          </w:p>
        </w:tc>
        <w:tc>
          <w:tcPr>
            <w:tcW w:w="1375" w:type="dxa"/>
            <w:tcBorders>
              <w:top w:val="single" w:sz="6" w:space="0" w:color="E0E0E0"/>
              <w:left w:val="single" w:sz="6" w:space="0" w:color="E0E0E0"/>
              <w:bottom w:val="single" w:sz="6" w:space="0" w:color="E0E0E0"/>
              <w:right w:val="single" w:sz="6" w:space="0" w:color="E0E0E0"/>
            </w:tcBorders>
            <w:shd w:val="clear" w:color="auto" w:fill="DEEAF1"/>
          </w:tcPr>
          <w:p w14:paraId="00BE901E" w14:textId="77777777" w:rsidR="0057582C" w:rsidRDefault="00CE7F22">
            <w:pPr>
              <w:spacing w:line="360" w:lineRule="auto"/>
              <w:jc w:val="both"/>
            </w:pPr>
            <w:r>
              <w:rPr>
                <w:b/>
                <w:bCs/>
              </w:rPr>
              <w:t>204.3</w:t>
            </w:r>
          </w:p>
        </w:tc>
        <w:tc>
          <w:tcPr>
            <w:tcW w:w="1489" w:type="dxa"/>
            <w:tcBorders>
              <w:top w:val="single" w:sz="6" w:space="0" w:color="E0E0E0"/>
              <w:left w:val="single" w:sz="6" w:space="0" w:color="E0E0E0"/>
              <w:bottom w:val="single" w:sz="6" w:space="0" w:color="E0E0E0"/>
              <w:right w:val="single" w:sz="6" w:space="0" w:color="E0E0E0"/>
            </w:tcBorders>
            <w:shd w:val="clear" w:color="auto" w:fill="DEEAF1"/>
          </w:tcPr>
          <w:p w14:paraId="29AB8885" w14:textId="77777777" w:rsidR="0057582C" w:rsidRDefault="00CE7F22">
            <w:pPr>
              <w:spacing w:line="360" w:lineRule="auto"/>
              <w:jc w:val="both"/>
            </w:pPr>
            <w:r>
              <w:rPr>
                <w:b/>
                <w:bCs/>
              </w:rPr>
              <w:t>43</w:t>
            </w:r>
          </w:p>
        </w:tc>
        <w:tc>
          <w:tcPr>
            <w:tcW w:w="1718" w:type="dxa"/>
            <w:tcBorders>
              <w:top w:val="single" w:sz="6" w:space="0" w:color="E0E0E0"/>
              <w:left w:val="single" w:sz="6" w:space="0" w:color="E0E0E0"/>
              <w:bottom w:val="single" w:sz="6" w:space="0" w:color="E0E0E0"/>
              <w:right w:val="single" w:sz="6" w:space="0" w:color="E0E0E0"/>
            </w:tcBorders>
            <w:shd w:val="clear" w:color="auto" w:fill="DEEAF1"/>
          </w:tcPr>
          <w:p w14:paraId="34A123F2" w14:textId="77777777" w:rsidR="0057582C" w:rsidRDefault="00CE7F22">
            <w:pPr>
              <w:spacing w:line="360" w:lineRule="auto"/>
              <w:jc w:val="both"/>
            </w:pPr>
            <w:r>
              <w:rPr>
                <w:b/>
                <w:bCs/>
              </w:rPr>
              <w:t>571.74</w:t>
            </w:r>
          </w:p>
        </w:tc>
        <w:tc>
          <w:tcPr>
            <w:tcW w:w="1346" w:type="dxa"/>
            <w:tcBorders>
              <w:top w:val="single" w:sz="6" w:space="0" w:color="E0E0E0"/>
              <w:left w:val="single" w:sz="6" w:space="0" w:color="E0E0E0"/>
              <w:bottom w:val="single" w:sz="6" w:space="0" w:color="E0E0E0"/>
              <w:right w:val="single" w:sz="6" w:space="0" w:color="E0E0E0"/>
            </w:tcBorders>
            <w:shd w:val="clear" w:color="auto" w:fill="DEEAF1"/>
          </w:tcPr>
          <w:p w14:paraId="24ECC0C9" w14:textId="77777777" w:rsidR="0057582C" w:rsidRDefault="00CE7F22">
            <w:pPr>
              <w:spacing w:line="360" w:lineRule="auto"/>
              <w:jc w:val="both"/>
            </w:pPr>
            <w:r>
              <w:rPr>
                <w:b/>
                <w:bCs/>
              </w:rPr>
              <w:t>457</w:t>
            </w:r>
          </w:p>
        </w:tc>
        <w:tc>
          <w:tcPr>
            <w:tcW w:w="2241" w:type="dxa"/>
            <w:tcBorders>
              <w:top w:val="single" w:sz="6" w:space="0" w:color="E0E0E0"/>
              <w:left w:val="single" w:sz="6" w:space="0" w:color="E0E0E0"/>
              <w:bottom w:val="single" w:sz="6" w:space="0" w:color="E0E0E0"/>
              <w:right w:val="single" w:sz="6" w:space="0" w:color="E0E0E0"/>
            </w:tcBorders>
            <w:shd w:val="clear" w:color="auto" w:fill="DEEAF1"/>
          </w:tcPr>
          <w:p w14:paraId="29ACB441" w14:textId="77777777" w:rsidR="0057582C" w:rsidRDefault="00CE7F22">
            <w:pPr>
              <w:spacing w:line="360" w:lineRule="auto"/>
              <w:jc w:val="both"/>
            </w:pPr>
            <w:r>
              <w:rPr>
                <w:b/>
                <w:bCs/>
              </w:rPr>
              <w:t>Moderate-activity, moderate-value</w:t>
            </w:r>
          </w:p>
        </w:tc>
      </w:tr>
      <w:tr w:rsidR="0057582C" w14:paraId="499C50C4" w14:textId="77777777">
        <w:trPr>
          <w:trHeight w:val="540"/>
        </w:trPr>
        <w:tc>
          <w:tcPr>
            <w:tcW w:w="1175" w:type="dxa"/>
            <w:tcBorders>
              <w:left w:val="single" w:sz="6" w:space="0" w:color="E0E0E0"/>
              <w:bottom w:val="single" w:sz="6" w:space="0" w:color="E0E0E0"/>
              <w:right w:val="single" w:sz="6" w:space="0" w:color="E0E0E0"/>
            </w:tcBorders>
          </w:tcPr>
          <w:p w14:paraId="4D25AD55" w14:textId="77777777" w:rsidR="0057582C" w:rsidRDefault="00CE7F22">
            <w:pPr>
              <w:spacing w:line="360" w:lineRule="auto"/>
              <w:jc w:val="both"/>
            </w:pPr>
            <w:r>
              <w:t>1</w:t>
            </w:r>
          </w:p>
        </w:tc>
        <w:tc>
          <w:tcPr>
            <w:tcW w:w="1375" w:type="dxa"/>
            <w:tcBorders>
              <w:left w:val="single" w:sz="6" w:space="0" w:color="E0E0E0"/>
              <w:bottom w:val="single" w:sz="6" w:space="0" w:color="E0E0E0"/>
              <w:right w:val="single" w:sz="6" w:space="0" w:color="E0E0E0"/>
            </w:tcBorders>
          </w:tcPr>
          <w:p w14:paraId="39777364" w14:textId="77777777" w:rsidR="0057582C" w:rsidRDefault="00CE7F22">
            <w:pPr>
              <w:spacing w:line="360" w:lineRule="auto"/>
              <w:jc w:val="both"/>
            </w:pPr>
            <w:r>
              <w:t>15.3</w:t>
            </w:r>
          </w:p>
        </w:tc>
        <w:tc>
          <w:tcPr>
            <w:tcW w:w="1489" w:type="dxa"/>
            <w:tcBorders>
              <w:left w:val="single" w:sz="6" w:space="0" w:color="E0E0E0"/>
              <w:bottom w:val="single" w:sz="6" w:space="0" w:color="E0E0E0"/>
              <w:right w:val="single" w:sz="6" w:space="0" w:color="E0E0E0"/>
            </w:tcBorders>
          </w:tcPr>
          <w:p w14:paraId="3692912E" w14:textId="77777777" w:rsidR="0057582C" w:rsidRDefault="00CE7F22">
            <w:pPr>
              <w:spacing w:line="360" w:lineRule="auto"/>
              <w:jc w:val="both"/>
            </w:pPr>
            <w:r>
              <w:t>92</w:t>
            </w:r>
          </w:p>
        </w:tc>
        <w:tc>
          <w:tcPr>
            <w:tcW w:w="1718" w:type="dxa"/>
            <w:tcBorders>
              <w:left w:val="single" w:sz="6" w:space="0" w:color="E0E0E0"/>
              <w:bottom w:val="single" w:sz="6" w:space="0" w:color="E0E0E0"/>
              <w:right w:val="single" w:sz="6" w:space="0" w:color="E0E0E0"/>
            </w:tcBorders>
          </w:tcPr>
          <w:p w14:paraId="2FD860FD" w14:textId="77777777" w:rsidR="0057582C" w:rsidRDefault="00CE7F22">
            <w:pPr>
              <w:spacing w:line="360" w:lineRule="auto"/>
              <w:jc w:val="both"/>
            </w:pPr>
            <w:r>
              <w:t>1,330.81</w:t>
            </w:r>
          </w:p>
        </w:tc>
        <w:tc>
          <w:tcPr>
            <w:tcW w:w="1346" w:type="dxa"/>
            <w:tcBorders>
              <w:left w:val="single" w:sz="6" w:space="0" w:color="E0E0E0"/>
              <w:bottom w:val="single" w:sz="6" w:space="0" w:color="E0E0E0"/>
              <w:right w:val="single" w:sz="6" w:space="0" w:color="E0E0E0"/>
            </w:tcBorders>
          </w:tcPr>
          <w:p w14:paraId="1B0D8422" w14:textId="77777777" w:rsidR="0057582C" w:rsidRDefault="00CE7F22">
            <w:pPr>
              <w:spacing w:line="360" w:lineRule="auto"/>
              <w:jc w:val="both"/>
            </w:pPr>
            <w:r>
              <w:t>669</w:t>
            </w:r>
          </w:p>
        </w:tc>
        <w:tc>
          <w:tcPr>
            <w:tcW w:w="2241" w:type="dxa"/>
            <w:tcBorders>
              <w:left w:val="single" w:sz="6" w:space="0" w:color="E0E0E0"/>
              <w:bottom w:val="single" w:sz="6" w:space="0" w:color="E0E0E0"/>
              <w:right w:val="single" w:sz="6" w:space="0" w:color="E0E0E0"/>
            </w:tcBorders>
          </w:tcPr>
          <w:p w14:paraId="7092C4FF" w14:textId="77777777" w:rsidR="0057582C" w:rsidRDefault="00CE7F22">
            <w:pPr>
              <w:spacing w:line="360" w:lineRule="auto"/>
              <w:jc w:val="both"/>
            </w:pPr>
            <w:r>
              <w:t>Recent high-frequency buyers</w:t>
            </w:r>
          </w:p>
        </w:tc>
      </w:tr>
      <w:tr w:rsidR="0057582C" w14:paraId="7502F8F4" w14:textId="77777777">
        <w:trPr>
          <w:trHeight w:val="540"/>
        </w:trPr>
        <w:tc>
          <w:tcPr>
            <w:tcW w:w="1175" w:type="dxa"/>
            <w:tcBorders>
              <w:left w:val="single" w:sz="6" w:space="0" w:color="E0E0E0"/>
              <w:bottom w:val="single" w:sz="6" w:space="0" w:color="E0E0E0"/>
              <w:right w:val="single" w:sz="6" w:space="0" w:color="E0E0E0"/>
            </w:tcBorders>
          </w:tcPr>
          <w:p w14:paraId="0CD338DC" w14:textId="77777777" w:rsidR="0057582C" w:rsidRDefault="00CE7F22">
            <w:pPr>
              <w:spacing w:line="360" w:lineRule="auto"/>
              <w:jc w:val="both"/>
            </w:pPr>
            <w:r>
              <w:t>2</w:t>
            </w:r>
          </w:p>
        </w:tc>
        <w:tc>
          <w:tcPr>
            <w:tcW w:w="1375" w:type="dxa"/>
            <w:tcBorders>
              <w:left w:val="single" w:sz="6" w:space="0" w:color="E0E0E0"/>
              <w:bottom w:val="single" w:sz="6" w:space="0" w:color="E0E0E0"/>
              <w:right w:val="single" w:sz="6" w:space="0" w:color="E0E0E0"/>
            </w:tcBorders>
          </w:tcPr>
          <w:p w14:paraId="1E39189B" w14:textId="77777777" w:rsidR="0057582C" w:rsidRDefault="00CE7F22">
            <w:pPr>
              <w:spacing w:line="360" w:lineRule="auto"/>
              <w:jc w:val="both"/>
            </w:pPr>
            <w:r>
              <w:t>1.0</w:t>
            </w:r>
          </w:p>
        </w:tc>
        <w:tc>
          <w:tcPr>
            <w:tcW w:w="1489" w:type="dxa"/>
            <w:tcBorders>
              <w:left w:val="single" w:sz="6" w:space="0" w:color="E0E0E0"/>
              <w:bottom w:val="single" w:sz="6" w:space="0" w:color="E0E0E0"/>
              <w:right w:val="single" w:sz="6" w:space="0" w:color="E0E0E0"/>
            </w:tcBorders>
          </w:tcPr>
          <w:p w14:paraId="0F71AD21" w14:textId="77777777" w:rsidR="0057582C" w:rsidRDefault="00CE7F22">
            <w:pPr>
              <w:spacing w:line="360" w:lineRule="auto"/>
              <w:jc w:val="both"/>
            </w:pPr>
            <w:r>
              <w:t>133,600</w:t>
            </w:r>
          </w:p>
        </w:tc>
        <w:tc>
          <w:tcPr>
            <w:tcW w:w="1718" w:type="dxa"/>
            <w:tcBorders>
              <w:left w:val="single" w:sz="6" w:space="0" w:color="E0E0E0"/>
              <w:bottom w:val="single" w:sz="6" w:space="0" w:color="E0E0E0"/>
              <w:right w:val="single" w:sz="6" w:space="0" w:color="E0E0E0"/>
            </w:tcBorders>
          </w:tcPr>
          <w:p w14:paraId="170B9505" w14:textId="77777777" w:rsidR="0057582C" w:rsidRDefault="00CE7F22">
            <w:pPr>
              <w:spacing w:line="360" w:lineRule="auto"/>
              <w:jc w:val="both"/>
            </w:pPr>
            <w:r>
              <w:t>1,419,932.97</w:t>
            </w:r>
          </w:p>
        </w:tc>
        <w:tc>
          <w:tcPr>
            <w:tcW w:w="1346" w:type="dxa"/>
            <w:tcBorders>
              <w:left w:val="single" w:sz="6" w:space="0" w:color="E0E0E0"/>
              <w:bottom w:val="single" w:sz="6" w:space="0" w:color="E0E0E0"/>
              <w:right w:val="single" w:sz="6" w:space="0" w:color="E0E0E0"/>
            </w:tcBorders>
          </w:tcPr>
          <w:p w14:paraId="3260A5FA" w14:textId="77777777" w:rsidR="0057582C" w:rsidRDefault="00CE7F22">
            <w:pPr>
              <w:spacing w:line="360" w:lineRule="auto"/>
              <w:jc w:val="both"/>
            </w:pPr>
            <w:r>
              <w:t>1</w:t>
            </w:r>
          </w:p>
        </w:tc>
        <w:tc>
          <w:tcPr>
            <w:tcW w:w="2241" w:type="dxa"/>
            <w:tcBorders>
              <w:left w:val="single" w:sz="6" w:space="0" w:color="E0E0E0"/>
              <w:bottom w:val="single" w:sz="6" w:space="0" w:color="E0E0E0"/>
              <w:right w:val="single" w:sz="6" w:space="0" w:color="E0E0E0"/>
            </w:tcBorders>
          </w:tcPr>
          <w:p w14:paraId="40CC3466" w14:textId="77777777" w:rsidR="0057582C" w:rsidRDefault="00CE7F22">
            <w:pPr>
              <w:spacing w:line="360" w:lineRule="auto"/>
              <w:jc w:val="both"/>
            </w:pPr>
            <w:r>
              <w:t>Extreme outlier — ultra-high value</w:t>
            </w:r>
          </w:p>
        </w:tc>
      </w:tr>
      <w:tr w:rsidR="0057582C" w14:paraId="0277DE33" w14:textId="77777777">
        <w:trPr>
          <w:trHeight w:val="540"/>
        </w:trPr>
        <w:tc>
          <w:tcPr>
            <w:tcW w:w="1175" w:type="dxa"/>
            <w:tcBorders>
              <w:left w:val="single" w:sz="6" w:space="0" w:color="E0E0E0"/>
              <w:bottom w:val="single" w:sz="6" w:space="0" w:color="E0E0E0"/>
              <w:right w:val="single" w:sz="6" w:space="0" w:color="E0E0E0"/>
            </w:tcBorders>
          </w:tcPr>
          <w:p w14:paraId="0E15A8EC" w14:textId="77777777" w:rsidR="0057582C" w:rsidRDefault="00CE7F22">
            <w:pPr>
              <w:spacing w:line="360" w:lineRule="auto"/>
              <w:jc w:val="both"/>
            </w:pPr>
            <w:r>
              <w:t>3</w:t>
            </w:r>
          </w:p>
        </w:tc>
        <w:tc>
          <w:tcPr>
            <w:tcW w:w="1375" w:type="dxa"/>
            <w:tcBorders>
              <w:left w:val="single" w:sz="6" w:space="0" w:color="E0E0E0"/>
              <w:bottom w:val="single" w:sz="6" w:space="0" w:color="E0E0E0"/>
              <w:right w:val="single" w:sz="6" w:space="0" w:color="E0E0E0"/>
            </w:tcBorders>
          </w:tcPr>
          <w:p w14:paraId="6FFE1802" w14:textId="77777777" w:rsidR="0057582C" w:rsidRDefault="00CE7F22">
            <w:pPr>
              <w:spacing w:line="360" w:lineRule="auto"/>
              <w:jc w:val="both"/>
            </w:pPr>
            <w:r>
              <w:t>56.7</w:t>
            </w:r>
          </w:p>
        </w:tc>
        <w:tc>
          <w:tcPr>
            <w:tcW w:w="1489" w:type="dxa"/>
            <w:tcBorders>
              <w:left w:val="single" w:sz="6" w:space="0" w:color="E0E0E0"/>
              <w:bottom w:val="single" w:sz="6" w:space="0" w:color="E0E0E0"/>
              <w:right w:val="single" w:sz="6" w:space="0" w:color="E0E0E0"/>
            </w:tcBorders>
          </w:tcPr>
          <w:p w14:paraId="01EC005D" w14:textId="77777777" w:rsidR="0057582C" w:rsidRDefault="00CE7F22">
            <w:pPr>
              <w:spacing w:line="360" w:lineRule="auto"/>
              <w:jc w:val="both"/>
            </w:pPr>
            <w:r>
              <w:t>135</w:t>
            </w:r>
          </w:p>
        </w:tc>
        <w:tc>
          <w:tcPr>
            <w:tcW w:w="1718" w:type="dxa"/>
            <w:tcBorders>
              <w:left w:val="single" w:sz="6" w:space="0" w:color="E0E0E0"/>
              <w:bottom w:val="single" w:sz="6" w:space="0" w:color="E0E0E0"/>
              <w:right w:val="single" w:sz="6" w:space="0" w:color="E0E0E0"/>
            </w:tcBorders>
          </w:tcPr>
          <w:p w14:paraId="55D6982C" w14:textId="77777777" w:rsidR="0057582C" w:rsidRDefault="00CE7F22">
            <w:pPr>
              <w:spacing w:line="360" w:lineRule="auto"/>
              <w:jc w:val="both"/>
            </w:pPr>
            <w:r>
              <w:t>1,981.51</w:t>
            </w:r>
          </w:p>
        </w:tc>
        <w:tc>
          <w:tcPr>
            <w:tcW w:w="1346" w:type="dxa"/>
            <w:tcBorders>
              <w:left w:val="single" w:sz="6" w:space="0" w:color="E0E0E0"/>
              <w:bottom w:val="single" w:sz="6" w:space="0" w:color="E0E0E0"/>
              <w:right w:val="single" w:sz="6" w:space="0" w:color="E0E0E0"/>
            </w:tcBorders>
          </w:tcPr>
          <w:p w14:paraId="2498A628" w14:textId="77777777" w:rsidR="0057582C" w:rsidRDefault="00CE7F22">
            <w:pPr>
              <w:spacing w:line="360" w:lineRule="auto"/>
              <w:jc w:val="both"/>
            </w:pPr>
            <w:r>
              <w:t>477</w:t>
            </w:r>
          </w:p>
        </w:tc>
        <w:tc>
          <w:tcPr>
            <w:tcW w:w="2241" w:type="dxa"/>
            <w:tcBorders>
              <w:left w:val="single" w:sz="6" w:space="0" w:color="E0E0E0"/>
              <w:bottom w:val="single" w:sz="6" w:space="0" w:color="E0E0E0"/>
              <w:right w:val="single" w:sz="6" w:space="0" w:color="E0E0E0"/>
            </w:tcBorders>
          </w:tcPr>
          <w:p w14:paraId="0F2B12AB" w14:textId="77777777" w:rsidR="0057582C" w:rsidRDefault="00CE7F22">
            <w:pPr>
              <w:spacing w:line="360" w:lineRule="auto"/>
              <w:jc w:val="both"/>
            </w:pPr>
            <w:r>
              <w:t>Active, high-value customers</w:t>
            </w:r>
          </w:p>
        </w:tc>
      </w:tr>
      <w:tr w:rsidR="0057582C" w14:paraId="0096F348" w14:textId="77777777">
        <w:trPr>
          <w:trHeight w:val="540"/>
        </w:trPr>
        <w:tc>
          <w:tcPr>
            <w:tcW w:w="1175" w:type="dxa"/>
            <w:tcBorders>
              <w:left w:val="single" w:sz="6" w:space="0" w:color="E0E0E0"/>
              <w:bottom w:val="single" w:sz="6" w:space="0" w:color="E0E0E0"/>
              <w:right w:val="single" w:sz="6" w:space="0" w:color="E0E0E0"/>
            </w:tcBorders>
          </w:tcPr>
          <w:p w14:paraId="4B940738" w14:textId="77777777" w:rsidR="0057582C" w:rsidRDefault="00CE7F22">
            <w:pPr>
              <w:spacing w:line="360" w:lineRule="auto"/>
              <w:jc w:val="both"/>
            </w:pPr>
            <w:r>
              <w:t>4</w:t>
            </w:r>
          </w:p>
        </w:tc>
        <w:tc>
          <w:tcPr>
            <w:tcW w:w="1375" w:type="dxa"/>
            <w:tcBorders>
              <w:left w:val="single" w:sz="6" w:space="0" w:color="E0E0E0"/>
              <w:bottom w:val="single" w:sz="6" w:space="0" w:color="E0E0E0"/>
              <w:right w:val="single" w:sz="6" w:space="0" w:color="E0E0E0"/>
            </w:tcBorders>
          </w:tcPr>
          <w:p w14:paraId="08E5CE22" w14:textId="77777777" w:rsidR="0057582C" w:rsidRDefault="00CE7F22">
            <w:pPr>
              <w:spacing w:line="360" w:lineRule="auto"/>
              <w:jc w:val="both"/>
            </w:pPr>
            <w:r>
              <w:t>178.0</w:t>
            </w:r>
          </w:p>
        </w:tc>
        <w:tc>
          <w:tcPr>
            <w:tcW w:w="1489" w:type="dxa"/>
            <w:tcBorders>
              <w:left w:val="single" w:sz="6" w:space="0" w:color="E0E0E0"/>
              <w:bottom w:val="single" w:sz="6" w:space="0" w:color="E0E0E0"/>
              <w:right w:val="single" w:sz="6" w:space="0" w:color="E0E0E0"/>
            </w:tcBorders>
          </w:tcPr>
          <w:p w14:paraId="7321B036" w14:textId="77777777" w:rsidR="0057582C" w:rsidRDefault="00CE7F22">
            <w:pPr>
              <w:spacing w:line="360" w:lineRule="auto"/>
              <w:jc w:val="both"/>
            </w:pPr>
            <w:r>
              <w:t>108</w:t>
            </w:r>
          </w:p>
        </w:tc>
        <w:tc>
          <w:tcPr>
            <w:tcW w:w="1718" w:type="dxa"/>
            <w:tcBorders>
              <w:left w:val="single" w:sz="6" w:space="0" w:color="E0E0E0"/>
              <w:bottom w:val="single" w:sz="6" w:space="0" w:color="E0E0E0"/>
              <w:right w:val="single" w:sz="6" w:space="0" w:color="E0E0E0"/>
            </w:tcBorders>
          </w:tcPr>
          <w:p w14:paraId="6E71FADB" w14:textId="77777777" w:rsidR="0057582C" w:rsidRDefault="00CE7F22">
            <w:pPr>
              <w:spacing w:line="360" w:lineRule="auto"/>
              <w:jc w:val="both"/>
            </w:pPr>
            <w:r>
              <w:t>2,729.10</w:t>
            </w:r>
          </w:p>
        </w:tc>
        <w:tc>
          <w:tcPr>
            <w:tcW w:w="1346" w:type="dxa"/>
            <w:tcBorders>
              <w:left w:val="single" w:sz="6" w:space="0" w:color="E0E0E0"/>
              <w:bottom w:val="single" w:sz="6" w:space="0" w:color="E0E0E0"/>
              <w:right w:val="single" w:sz="6" w:space="0" w:color="E0E0E0"/>
            </w:tcBorders>
          </w:tcPr>
          <w:p w14:paraId="25B18B7C" w14:textId="77777777" w:rsidR="0057582C" w:rsidRDefault="00CE7F22">
            <w:pPr>
              <w:spacing w:line="360" w:lineRule="auto"/>
              <w:jc w:val="both"/>
            </w:pPr>
            <w:r>
              <w:t>89</w:t>
            </w:r>
          </w:p>
        </w:tc>
        <w:tc>
          <w:tcPr>
            <w:tcW w:w="2241" w:type="dxa"/>
            <w:tcBorders>
              <w:left w:val="single" w:sz="6" w:space="0" w:color="E0E0E0"/>
              <w:bottom w:val="single" w:sz="6" w:space="0" w:color="E0E0E0"/>
              <w:right w:val="single" w:sz="6" w:space="0" w:color="E0E0E0"/>
            </w:tcBorders>
          </w:tcPr>
          <w:p w14:paraId="2740EB7D" w14:textId="77777777" w:rsidR="0057582C" w:rsidRDefault="00CE7F22">
            <w:pPr>
              <w:spacing w:line="360" w:lineRule="auto"/>
              <w:jc w:val="both"/>
            </w:pPr>
            <w:r>
              <w:t>Infrequent, high-spend customers</w:t>
            </w:r>
          </w:p>
        </w:tc>
      </w:tr>
      <w:tr w:rsidR="0057582C" w14:paraId="704D5000" w14:textId="77777777">
        <w:trPr>
          <w:trHeight w:val="540"/>
        </w:trPr>
        <w:tc>
          <w:tcPr>
            <w:tcW w:w="1175" w:type="dxa"/>
            <w:tcBorders>
              <w:left w:val="single" w:sz="6" w:space="0" w:color="E0E0E0"/>
              <w:bottom w:val="single" w:sz="6" w:space="0" w:color="E0E0E0"/>
              <w:right w:val="single" w:sz="6" w:space="0" w:color="E0E0E0"/>
            </w:tcBorders>
          </w:tcPr>
          <w:p w14:paraId="39FFAE9B" w14:textId="77777777" w:rsidR="0057582C" w:rsidRDefault="00CE7F22">
            <w:pPr>
              <w:spacing w:line="360" w:lineRule="auto"/>
              <w:jc w:val="both"/>
            </w:pPr>
            <w:r>
              <w:t>5</w:t>
            </w:r>
          </w:p>
        </w:tc>
        <w:tc>
          <w:tcPr>
            <w:tcW w:w="1375" w:type="dxa"/>
            <w:tcBorders>
              <w:left w:val="single" w:sz="6" w:space="0" w:color="E0E0E0"/>
              <w:bottom w:val="single" w:sz="6" w:space="0" w:color="E0E0E0"/>
              <w:right w:val="single" w:sz="6" w:space="0" w:color="E0E0E0"/>
            </w:tcBorders>
          </w:tcPr>
          <w:p w14:paraId="20DA328C" w14:textId="77777777" w:rsidR="0057582C" w:rsidRDefault="00CE7F22">
            <w:pPr>
              <w:spacing w:line="360" w:lineRule="auto"/>
              <w:jc w:val="both"/>
            </w:pPr>
            <w:r>
              <w:t>4.5</w:t>
            </w:r>
          </w:p>
        </w:tc>
        <w:tc>
          <w:tcPr>
            <w:tcW w:w="1489" w:type="dxa"/>
            <w:tcBorders>
              <w:left w:val="single" w:sz="6" w:space="0" w:color="E0E0E0"/>
              <w:bottom w:val="single" w:sz="6" w:space="0" w:color="E0E0E0"/>
              <w:right w:val="single" w:sz="6" w:space="0" w:color="E0E0E0"/>
            </w:tcBorders>
          </w:tcPr>
          <w:p w14:paraId="6DD1F9AD" w14:textId="77777777" w:rsidR="0057582C" w:rsidRDefault="00CE7F22">
            <w:pPr>
              <w:spacing w:line="360" w:lineRule="auto"/>
              <w:jc w:val="both"/>
            </w:pPr>
            <w:r>
              <w:t>392</w:t>
            </w:r>
          </w:p>
        </w:tc>
        <w:tc>
          <w:tcPr>
            <w:tcW w:w="1718" w:type="dxa"/>
            <w:tcBorders>
              <w:left w:val="single" w:sz="6" w:space="0" w:color="E0E0E0"/>
              <w:bottom w:val="single" w:sz="6" w:space="0" w:color="E0E0E0"/>
              <w:right w:val="single" w:sz="6" w:space="0" w:color="E0E0E0"/>
            </w:tcBorders>
          </w:tcPr>
          <w:p w14:paraId="2B64535E" w14:textId="77777777" w:rsidR="0057582C" w:rsidRDefault="00CE7F22">
            <w:pPr>
              <w:spacing w:line="360" w:lineRule="auto"/>
              <w:jc w:val="both"/>
            </w:pPr>
            <w:r>
              <w:t>221,960.33</w:t>
            </w:r>
          </w:p>
        </w:tc>
        <w:tc>
          <w:tcPr>
            <w:tcW w:w="1346" w:type="dxa"/>
            <w:tcBorders>
              <w:left w:val="single" w:sz="6" w:space="0" w:color="E0E0E0"/>
              <w:bottom w:val="single" w:sz="6" w:space="0" w:color="E0E0E0"/>
              <w:right w:val="single" w:sz="6" w:space="0" w:color="E0E0E0"/>
            </w:tcBorders>
          </w:tcPr>
          <w:p w14:paraId="42DEF7D1" w14:textId="77777777" w:rsidR="0057582C" w:rsidRDefault="00CE7F22">
            <w:pPr>
              <w:spacing w:line="360" w:lineRule="auto"/>
              <w:jc w:val="both"/>
            </w:pPr>
            <w:r>
              <w:t>2</w:t>
            </w:r>
          </w:p>
        </w:tc>
        <w:tc>
          <w:tcPr>
            <w:tcW w:w="2241" w:type="dxa"/>
            <w:tcBorders>
              <w:left w:val="single" w:sz="6" w:space="0" w:color="E0E0E0"/>
              <w:bottom w:val="single" w:sz="6" w:space="0" w:color="E0E0E0"/>
              <w:right w:val="single" w:sz="6" w:space="0" w:color="E0E0E0"/>
            </w:tcBorders>
          </w:tcPr>
          <w:p w14:paraId="7ED5EF61" w14:textId="77777777" w:rsidR="0057582C" w:rsidRDefault="00CE7F22">
            <w:pPr>
              <w:spacing w:line="360" w:lineRule="auto"/>
              <w:jc w:val="both"/>
            </w:pPr>
            <w:r>
              <w:t>Extreme outlier — ultra-high frequency</w:t>
            </w:r>
          </w:p>
        </w:tc>
      </w:tr>
      <w:tr w:rsidR="0057582C" w14:paraId="58A6433E" w14:textId="77777777">
        <w:trPr>
          <w:trHeight w:val="540"/>
        </w:trPr>
        <w:tc>
          <w:tcPr>
            <w:tcW w:w="1175" w:type="dxa"/>
            <w:tcBorders>
              <w:left w:val="single" w:sz="6" w:space="0" w:color="E0E0E0"/>
              <w:bottom w:val="single" w:sz="6" w:space="0" w:color="E0E0E0"/>
              <w:right w:val="single" w:sz="6" w:space="0" w:color="E0E0E0"/>
            </w:tcBorders>
          </w:tcPr>
          <w:p w14:paraId="61030244" w14:textId="77777777" w:rsidR="0057582C" w:rsidRDefault="00CE7F22">
            <w:pPr>
              <w:spacing w:line="360" w:lineRule="auto"/>
              <w:jc w:val="both"/>
            </w:pPr>
            <w:r>
              <w:lastRenderedPageBreak/>
              <w:t>6</w:t>
            </w:r>
          </w:p>
        </w:tc>
        <w:tc>
          <w:tcPr>
            <w:tcW w:w="1375" w:type="dxa"/>
            <w:tcBorders>
              <w:left w:val="single" w:sz="6" w:space="0" w:color="E0E0E0"/>
              <w:bottom w:val="single" w:sz="6" w:space="0" w:color="E0E0E0"/>
              <w:right w:val="single" w:sz="6" w:space="0" w:color="E0E0E0"/>
            </w:tcBorders>
          </w:tcPr>
          <w:p w14:paraId="4B7AC4B1" w14:textId="77777777" w:rsidR="0057582C" w:rsidRDefault="00CE7F22">
            <w:pPr>
              <w:spacing w:line="360" w:lineRule="auto"/>
              <w:jc w:val="both"/>
            </w:pPr>
            <w:r>
              <w:t>10.0</w:t>
            </w:r>
          </w:p>
        </w:tc>
        <w:tc>
          <w:tcPr>
            <w:tcW w:w="1489" w:type="dxa"/>
            <w:tcBorders>
              <w:left w:val="single" w:sz="6" w:space="0" w:color="E0E0E0"/>
              <w:bottom w:val="single" w:sz="6" w:space="0" w:color="E0E0E0"/>
              <w:right w:val="single" w:sz="6" w:space="0" w:color="E0E0E0"/>
            </w:tcBorders>
          </w:tcPr>
          <w:p w14:paraId="3FD899E9" w14:textId="77777777" w:rsidR="0057582C" w:rsidRDefault="00CE7F22">
            <w:pPr>
              <w:spacing w:line="360" w:lineRule="auto"/>
              <w:jc w:val="both"/>
            </w:pPr>
            <w:r>
              <w:t>316</w:t>
            </w:r>
          </w:p>
        </w:tc>
        <w:tc>
          <w:tcPr>
            <w:tcW w:w="1718" w:type="dxa"/>
            <w:tcBorders>
              <w:left w:val="single" w:sz="6" w:space="0" w:color="E0E0E0"/>
              <w:bottom w:val="single" w:sz="6" w:space="0" w:color="E0E0E0"/>
              <w:right w:val="single" w:sz="6" w:space="0" w:color="E0E0E0"/>
            </w:tcBorders>
          </w:tcPr>
          <w:p w14:paraId="739550CA" w14:textId="77777777" w:rsidR="0057582C" w:rsidRDefault="00CE7F22">
            <w:pPr>
              <w:spacing w:line="360" w:lineRule="auto"/>
              <w:jc w:val="both"/>
            </w:pPr>
            <w:r>
              <w:t>5,099.28</w:t>
            </w:r>
          </w:p>
        </w:tc>
        <w:tc>
          <w:tcPr>
            <w:tcW w:w="1346" w:type="dxa"/>
            <w:tcBorders>
              <w:left w:val="single" w:sz="6" w:space="0" w:color="E0E0E0"/>
              <w:bottom w:val="single" w:sz="6" w:space="0" w:color="E0E0E0"/>
              <w:right w:val="single" w:sz="6" w:space="0" w:color="E0E0E0"/>
            </w:tcBorders>
          </w:tcPr>
          <w:p w14:paraId="42494AB9" w14:textId="77777777" w:rsidR="0057582C" w:rsidRDefault="00CE7F22">
            <w:pPr>
              <w:spacing w:line="360" w:lineRule="auto"/>
              <w:jc w:val="both"/>
            </w:pPr>
            <w:r>
              <w:t>350</w:t>
            </w:r>
          </w:p>
        </w:tc>
        <w:tc>
          <w:tcPr>
            <w:tcW w:w="2241" w:type="dxa"/>
            <w:tcBorders>
              <w:left w:val="single" w:sz="6" w:space="0" w:color="E0E0E0"/>
              <w:bottom w:val="single" w:sz="6" w:space="0" w:color="E0E0E0"/>
              <w:right w:val="single" w:sz="6" w:space="0" w:color="E0E0E0"/>
            </w:tcBorders>
          </w:tcPr>
          <w:p w14:paraId="10C46012" w14:textId="77777777" w:rsidR="0057582C" w:rsidRDefault="00CE7F22">
            <w:pPr>
              <w:spacing w:line="360" w:lineRule="auto"/>
              <w:jc w:val="both"/>
            </w:pPr>
            <w:r>
              <w:t>Very recent, high-frequency VIPs</w:t>
            </w:r>
          </w:p>
        </w:tc>
      </w:tr>
      <w:tr w:rsidR="0057582C" w14:paraId="3BEB2994" w14:textId="77777777">
        <w:trPr>
          <w:trHeight w:val="540"/>
        </w:trPr>
        <w:tc>
          <w:tcPr>
            <w:tcW w:w="1175" w:type="dxa"/>
            <w:tcBorders>
              <w:left w:val="single" w:sz="6" w:space="0" w:color="E0E0E0"/>
              <w:bottom w:val="single" w:sz="6" w:space="0" w:color="E0E0E0"/>
              <w:right w:val="single" w:sz="6" w:space="0" w:color="E0E0E0"/>
            </w:tcBorders>
          </w:tcPr>
          <w:p w14:paraId="7D6E7DE8" w14:textId="77777777" w:rsidR="0057582C" w:rsidRDefault="00CE7F22">
            <w:pPr>
              <w:spacing w:line="360" w:lineRule="auto"/>
              <w:jc w:val="both"/>
            </w:pPr>
            <w:r>
              <w:t>7</w:t>
            </w:r>
          </w:p>
        </w:tc>
        <w:tc>
          <w:tcPr>
            <w:tcW w:w="1375" w:type="dxa"/>
            <w:tcBorders>
              <w:left w:val="single" w:sz="6" w:space="0" w:color="E0E0E0"/>
              <w:bottom w:val="single" w:sz="6" w:space="0" w:color="E0E0E0"/>
              <w:right w:val="single" w:sz="6" w:space="0" w:color="E0E0E0"/>
            </w:tcBorders>
          </w:tcPr>
          <w:p w14:paraId="12E12C10" w14:textId="77777777" w:rsidR="0057582C" w:rsidRDefault="00CE7F22">
            <w:pPr>
              <w:spacing w:line="360" w:lineRule="auto"/>
              <w:jc w:val="both"/>
            </w:pPr>
            <w:r>
              <w:t>19.5</w:t>
            </w:r>
          </w:p>
        </w:tc>
        <w:tc>
          <w:tcPr>
            <w:tcW w:w="1489" w:type="dxa"/>
            <w:tcBorders>
              <w:left w:val="single" w:sz="6" w:space="0" w:color="E0E0E0"/>
              <w:bottom w:val="single" w:sz="6" w:space="0" w:color="E0E0E0"/>
              <w:right w:val="single" w:sz="6" w:space="0" w:color="E0E0E0"/>
            </w:tcBorders>
          </w:tcPr>
          <w:p w14:paraId="6364222D" w14:textId="77777777" w:rsidR="0057582C" w:rsidRDefault="00CE7F22">
            <w:pPr>
              <w:spacing w:line="360" w:lineRule="auto"/>
              <w:jc w:val="both"/>
            </w:pPr>
            <w:r>
              <w:t>931</w:t>
            </w:r>
          </w:p>
        </w:tc>
        <w:tc>
          <w:tcPr>
            <w:tcW w:w="1718" w:type="dxa"/>
            <w:tcBorders>
              <w:left w:val="single" w:sz="6" w:space="0" w:color="E0E0E0"/>
              <w:bottom w:val="single" w:sz="6" w:space="0" w:color="E0E0E0"/>
              <w:right w:val="single" w:sz="6" w:space="0" w:color="E0E0E0"/>
            </w:tcBorders>
          </w:tcPr>
          <w:p w14:paraId="137FF350" w14:textId="77777777" w:rsidR="0057582C" w:rsidRDefault="00CE7F22">
            <w:pPr>
              <w:spacing w:line="360" w:lineRule="auto"/>
              <w:jc w:val="both"/>
            </w:pPr>
            <w:r>
              <w:t>25,675.96</w:t>
            </w:r>
          </w:p>
        </w:tc>
        <w:tc>
          <w:tcPr>
            <w:tcW w:w="1346" w:type="dxa"/>
            <w:tcBorders>
              <w:left w:val="single" w:sz="6" w:space="0" w:color="E0E0E0"/>
              <w:bottom w:val="single" w:sz="6" w:space="0" w:color="E0E0E0"/>
              <w:right w:val="single" w:sz="6" w:space="0" w:color="E0E0E0"/>
            </w:tcBorders>
          </w:tcPr>
          <w:p w14:paraId="2EA60B2C" w14:textId="77777777" w:rsidR="0057582C" w:rsidRDefault="00CE7F22">
            <w:pPr>
              <w:spacing w:line="360" w:lineRule="auto"/>
              <w:jc w:val="both"/>
            </w:pPr>
            <w:r>
              <w:t>60</w:t>
            </w:r>
          </w:p>
        </w:tc>
        <w:tc>
          <w:tcPr>
            <w:tcW w:w="2241" w:type="dxa"/>
            <w:tcBorders>
              <w:left w:val="single" w:sz="6" w:space="0" w:color="E0E0E0"/>
              <w:bottom w:val="single" w:sz="6" w:space="0" w:color="E0E0E0"/>
              <w:right w:val="single" w:sz="6" w:space="0" w:color="E0E0E0"/>
            </w:tcBorders>
          </w:tcPr>
          <w:p w14:paraId="330758EC" w14:textId="77777777" w:rsidR="0057582C" w:rsidRDefault="00CE7F22">
            <w:pPr>
              <w:spacing w:line="360" w:lineRule="auto"/>
              <w:jc w:val="both"/>
            </w:pPr>
            <w:r>
              <w:t>Elite frequent buyers</w:t>
            </w:r>
          </w:p>
        </w:tc>
      </w:tr>
      <w:tr w:rsidR="0057582C" w14:paraId="3783679E" w14:textId="77777777">
        <w:trPr>
          <w:trHeight w:val="540"/>
        </w:trPr>
        <w:tc>
          <w:tcPr>
            <w:tcW w:w="1175" w:type="dxa"/>
            <w:tcBorders>
              <w:left w:val="single" w:sz="6" w:space="0" w:color="E0E0E0"/>
              <w:bottom w:val="single" w:sz="6" w:space="0" w:color="E0E0E0"/>
              <w:right w:val="single" w:sz="6" w:space="0" w:color="E0E0E0"/>
            </w:tcBorders>
          </w:tcPr>
          <w:p w14:paraId="47A6F66C" w14:textId="77777777" w:rsidR="0057582C" w:rsidRDefault="00CE7F22">
            <w:pPr>
              <w:spacing w:line="360" w:lineRule="auto"/>
              <w:jc w:val="both"/>
            </w:pPr>
            <w:r>
              <w:t>8</w:t>
            </w:r>
          </w:p>
        </w:tc>
        <w:tc>
          <w:tcPr>
            <w:tcW w:w="1375" w:type="dxa"/>
            <w:tcBorders>
              <w:left w:val="single" w:sz="6" w:space="0" w:color="E0E0E0"/>
              <w:bottom w:val="single" w:sz="6" w:space="0" w:color="E0E0E0"/>
              <w:right w:val="single" w:sz="6" w:space="0" w:color="E0E0E0"/>
            </w:tcBorders>
          </w:tcPr>
          <w:p w14:paraId="6B485709" w14:textId="77777777" w:rsidR="0057582C" w:rsidRDefault="00CE7F22">
            <w:pPr>
              <w:spacing w:line="360" w:lineRule="auto"/>
              <w:jc w:val="both"/>
            </w:pPr>
            <w:r>
              <w:t>176.6</w:t>
            </w:r>
          </w:p>
        </w:tc>
        <w:tc>
          <w:tcPr>
            <w:tcW w:w="1489" w:type="dxa"/>
            <w:tcBorders>
              <w:left w:val="single" w:sz="6" w:space="0" w:color="E0E0E0"/>
              <w:bottom w:val="single" w:sz="6" w:space="0" w:color="E0E0E0"/>
              <w:right w:val="single" w:sz="6" w:space="0" w:color="E0E0E0"/>
            </w:tcBorders>
          </w:tcPr>
          <w:p w14:paraId="513FF140" w14:textId="77777777" w:rsidR="0057582C" w:rsidRDefault="00CE7F22">
            <w:pPr>
              <w:spacing w:line="360" w:lineRule="auto"/>
              <w:jc w:val="both"/>
            </w:pPr>
            <w:r>
              <w:t>12</w:t>
            </w:r>
          </w:p>
        </w:tc>
        <w:tc>
          <w:tcPr>
            <w:tcW w:w="1718" w:type="dxa"/>
            <w:tcBorders>
              <w:left w:val="single" w:sz="6" w:space="0" w:color="E0E0E0"/>
              <w:bottom w:val="single" w:sz="6" w:space="0" w:color="E0E0E0"/>
              <w:right w:val="single" w:sz="6" w:space="0" w:color="E0E0E0"/>
            </w:tcBorders>
          </w:tcPr>
          <w:p w14:paraId="1D16FD31" w14:textId="77777777" w:rsidR="0057582C" w:rsidRDefault="00CE7F22">
            <w:pPr>
              <w:spacing w:line="360" w:lineRule="auto"/>
              <w:jc w:val="both"/>
            </w:pPr>
            <w:r>
              <w:t>211.05</w:t>
            </w:r>
          </w:p>
        </w:tc>
        <w:tc>
          <w:tcPr>
            <w:tcW w:w="1346" w:type="dxa"/>
            <w:tcBorders>
              <w:left w:val="single" w:sz="6" w:space="0" w:color="E0E0E0"/>
              <w:bottom w:val="single" w:sz="6" w:space="0" w:color="E0E0E0"/>
              <w:right w:val="single" w:sz="6" w:space="0" w:color="E0E0E0"/>
            </w:tcBorders>
          </w:tcPr>
          <w:p w14:paraId="15FC0B95" w14:textId="77777777" w:rsidR="0057582C" w:rsidRDefault="00CE7F22">
            <w:pPr>
              <w:spacing w:line="360" w:lineRule="auto"/>
              <w:jc w:val="both"/>
            </w:pPr>
            <w:r>
              <w:t>1009</w:t>
            </w:r>
          </w:p>
        </w:tc>
        <w:tc>
          <w:tcPr>
            <w:tcW w:w="2241" w:type="dxa"/>
            <w:tcBorders>
              <w:left w:val="single" w:sz="6" w:space="0" w:color="E0E0E0"/>
              <w:bottom w:val="single" w:sz="6" w:space="0" w:color="E0E0E0"/>
              <w:right w:val="single" w:sz="6" w:space="0" w:color="E0E0E0"/>
            </w:tcBorders>
          </w:tcPr>
          <w:p w14:paraId="01551140" w14:textId="77777777" w:rsidR="0057582C" w:rsidRDefault="00CE7F22">
            <w:pPr>
              <w:spacing w:line="360" w:lineRule="auto"/>
              <w:jc w:val="both"/>
            </w:pPr>
            <w:r>
              <w:t>Dormant, low-value customers</w:t>
            </w:r>
          </w:p>
        </w:tc>
      </w:tr>
      <w:tr w:rsidR="0057582C" w14:paraId="5B9F27E1" w14:textId="77777777">
        <w:trPr>
          <w:trHeight w:val="540"/>
        </w:trPr>
        <w:tc>
          <w:tcPr>
            <w:tcW w:w="1175" w:type="dxa"/>
            <w:tcBorders>
              <w:left w:val="single" w:sz="6" w:space="0" w:color="E0E0E0"/>
              <w:bottom w:val="single" w:sz="6" w:space="0" w:color="E0E0E0"/>
              <w:right w:val="single" w:sz="6" w:space="0" w:color="E0E0E0"/>
            </w:tcBorders>
          </w:tcPr>
          <w:p w14:paraId="472AE80C" w14:textId="77777777" w:rsidR="0057582C" w:rsidRDefault="00CE7F22">
            <w:pPr>
              <w:spacing w:line="360" w:lineRule="auto"/>
              <w:jc w:val="both"/>
            </w:pPr>
            <w:r>
              <w:t>9</w:t>
            </w:r>
          </w:p>
        </w:tc>
        <w:tc>
          <w:tcPr>
            <w:tcW w:w="1375" w:type="dxa"/>
            <w:tcBorders>
              <w:left w:val="single" w:sz="6" w:space="0" w:color="E0E0E0"/>
              <w:bottom w:val="single" w:sz="6" w:space="0" w:color="E0E0E0"/>
              <w:right w:val="single" w:sz="6" w:space="0" w:color="E0E0E0"/>
            </w:tcBorders>
          </w:tcPr>
          <w:p w14:paraId="5414FCE2" w14:textId="77777777" w:rsidR="0057582C" w:rsidRDefault="00CE7F22">
            <w:pPr>
              <w:spacing w:line="360" w:lineRule="auto"/>
              <w:jc w:val="both"/>
            </w:pPr>
            <w:r>
              <w:t>39.7</w:t>
            </w:r>
          </w:p>
        </w:tc>
        <w:tc>
          <w:tcPr>
            <w:tcW w:w="1489" w:type="dxa"/>
            <w:tcBorders>
              <w:left w:val="single" w:sz="6" w:space="0" w:color="E0E0E0"/>
              <w:bottom w:val="single" w:sz="6" w:space="0" w:color="E0E0E0"/>
              <w:right w:val="single" w:sz="6" w:space="0" w:color="E0E0E0"/>
            </w:tcBorders>
          </w:tcPr>
          <w:p w14:paraId="443652DA" w14:textId="77777777" w:rsidR="0057582C" w:rsidRDefault="00CE7F22">
            <w:pPr>
              <w:spacing w:line="360" w:lineRule="auto"/>
              <w:jc w:val="both"/>
            </w:pPr>
            <w:r>
              <w:t>33</w:t>
            </w:r>
          </w:p>
        </w:tc>
        <w:tc>
          <w:tcPr>
            <w:tcW w:w="1718" w:type="dxa"/>
            <w:tcBorders>
              <w:left w:val="single" w:sz="6" w:space="0" w:color="E0E0E0"/>
              <w:bottom w:val="single" w:sz="6" w:space="0" w:color="E0E0E0"/>
              <w:right w:val="single" w:sz="6" w:space="0" w:color="E0E0E0"/>
            </w:tcBorders>
          </w:tcPr>
          <w:p w14:paraId="73154C7C" w14:textId="77777777" w:rsidR="0057582C" w:rsidRDefault="00CE7F22">
            <w:pPr>
              <w:spacing w:line="360" w:lineRule="auto"/>
              <w:jc w:val="both"/>
            </w:pPr>
            <w:r>
              <w:t>532.89</w:t>
            </w:r>
          </w:p>
        </w:tc>
        <w:tc>
          <w:tcPr>
            <w:tcW w:w="1346" w:type="dxa"/>
            <w:tcBorders>
              <w:left w:val="single" w:sz="6" w:space="0" w:color="E0E0E0"/>
              <w:bottom w:val="single" w:sz="6" w:space="0" w:color="E0E0E0"/>
              <w:right w:val="single" w:sz="6" w:space="0" w:color="E0E0E0"/>
            </w:tcBorders>
          </w:tcPr>
          <w:p w14:paraId="13242257" w14:textId="77777777" w:rsidR="0057582C" w:rsidRDefault="00CE7F22">
            <w:pPr>
              <w:spacing w:line="360" w:lineRule="auto"/>
              <w:jc w:val="both"/>
            </w:pPr>
            <w:r>
              <w:t>837</w:t>
            </w:r>
          </w:p>
        </w:tc>
        <w:tc>
          <w:tcPr>
            <w:tcW w:w="2241" w:type="dxa"/>
            <w:tcBorders>
              <w:left w:val="single" w:sz="6" w:space="0" w:color="E0E0E0"/>
              <w:bottom w:val="single" w:sz="6" w:space="0" w:color="E0E0E0"/>
              <w:right w:val="single" w:sz="6" w:space="0" w:color="E0E0E0"/>
            </w:tcBorders>
          </w:tcPr>
          <w:p w14:paraId="6C462FA8" w14:textId="77777777" w:rsidR="0057582C" w:rsidRDefault="00CE7F22">
            <w:pPr>
              <w:spacing w:line="360" w:lineRule="auto"/>
              <w:jc w:val="both"/>
            </w:pPr>
            <w:r>
              <w:t>Moderately recent, low frequency</w:t>
            </w:r>
          </w:p>
        </w:tc>
      </w:tr>
    </w:tbl>
    <w:p w14:paraId="03C9D9A7" w14:textId="77777777" w:rsidR="0057582C" w:rsidRDefault="0057582C">
      <w:pPr>
        <w:spacing w:before="120" w:after="120" w:line="360" w:lineRule="auto"/>
        <w:jc w:val="both"/>
      </w:pPr>
    </w:p>
    <w:p w14:paraId="71AF9942" w14:textId="77777777" w:rsidR="0057582C" w:rsidRDefault="00CE7F22">
      <w:pPr>
        <w:spacing w:before="120" w:after="120" w:line="360" w:lineRule="auto"/>
        <w:jc w:val="both"/>
      </w:pPr>
      <w:r>
        <w:t xml:space="preserve">Table </w:t>
      </w:r>
      <w:r>
        <w:rPr>
          <w:lang w:val="en-US"/>
        </w:rPr>
        <w:t>5</w:t>
      </w:r>
      <w:r>
        <w:t xml:space="preserve"> showcases the distinctive features of each customer segment produced by the Gaussian Mixture Model (GMM) with k=10 (selected via BIC). The segments are interpreted using average RFM values (Recency in days, Frequency as transaction count, Monetary as total spend).</w:t>
      </w:r>
    </w:p>
    <w:p w14:paraId="78975EA7" w14:textId="77777777" w:rsidR="0057582C" w:rsidRDefault="00CE7F22">
      <w:pPr>
        <w:spacing w:before="120" w:after="120" w:line="360" w:lineRule="auto"/>
        <w:jc w:val="both"/>
      </w:pPr>
      <w:r>
        <w:t>Segment 0 represents the largest group of active customers with moderate-to-high purchasing frequency and spend. Segment 2 captures high-value, high-frequency customers with relatively recent activity. Segment 3 contains less-active customers with long recency and low frequency/monetary value, indicating dormancy risk. Segment 1 is a very small set of extremely high-activity customers (outliers) with exceptionally high frequency and monetary value.</w:t>
      </w:r>
    </w:p>
    <w:p w14:paraId="6217193D" w14:textId="77777777" w:rsidR="0057582C" w:rsidRDefault="00CE7F22">
      <w:pPr>
        <w:spacing w:before="120" w:after="120" w:line="360" w:lineRule="auto"/>
        <w:jc w:val="both"/>
      </w:pPr>
      <w:r>
        <w:t>These segment profiles are used as the canonical customer partition for all downstream forecasting and performance reporting.</w:t>
      </w:r>
    </w:p>
    <w:p w14:paraId="2B301AA5" w14:textId="77777777" w:rsidR="0057582C" w:rsidRDefault="00CE7F22">
      <w:pPr>
        <w:spacing w:before="120" w:after="120" w:line="360" w:lineRule="auto"/>
        <w:jc w:val="both"/>
      </w:pPr>
      <w:r>
        <w:rPr>
          <w:b/>
          <w:bCs/>
        </w:rPr>
        <w:t>Cluster Determination</w:t>
      </w:r>
    </w:p>
    <w:p w14:paraId="6F7AEB7A" w14:textId="77777777" w:rsidR="0057582C" w:rsidRDefault="00CE7F22">
      <w:pPr>
        <w:spacing w:before="120" w:after="120" w:line="360" w:lineRule="auto"/>
        <w:jc w:val="both"/>
      </w:pPr>
      <w:r>
        <w:t xml:space="preserve">The number of GMM components was selected using internal validation. We first examined the Bayesian Information Criterion (BIC) across candidate mixture sizes (k=1–10) and then evaluated the preferred solution using the </w:t>
      </w:r>
      <w:proofErr w:type="spellStart"/>
      <w:r>
        <w:t>Calinski</w:t>
      </w:r>
      <w:proofErr w:type="spellEnd"/>
      <w:r>
        <w:t>–</w:t>
      </w:r>
      <w:proofErr w:type="spellStart"/>
      <w:r>
        <w:t>Harabasz</w:t>
      </w:r>
      <w:proofErr w:type="spellEnd"/>
      <w:r>
        <w:t xml:space="preserve"> index (CHI; higher is better), the Davies–Bouldin index (DBI; lower is better), and the Silhouette score. This provides a probabilistic segmentation that complements the SOM</w:t>
      </w:r>
      <w:r>
        <w:noBreakHyphen/>
        <w:t>based segmentation used in downstream forecasting.</w:t>
      </w:r>
    </w:p>
    <w:p w14:paraId="59A8A8B8" w14:textId="77777777" w:rsidR="0057582C" w:rsidRDefault="0057582C">
      <w:pPr>
        <w:spacing w:before="120" w:after="120" w:line="360" w:lineRule="auto"/>
        <w:jc w:val="both"/>
      </w:pPr>
    </w:p>
    <w:p w14:paraId="365D8F5C" w14:textId="77777777" w:rsidR="0057582C" w:rsidRDefault="0057582C">
      <w:pPr>
        <w:spacing w:before="120" w:after="120" w:line="360" w:lineRule="auto"/>
        <w:jc w:val="both"/>
      </w:pPr>
    </w:p>
    <w:p w14:paraId="3E518135" w14:textId="77777777" w:rsidR="0057582C" w:rsidRDefault="00CE7F22">
      <w:pPr>
        <w:spacing w:before="120" w:after="60" w:line="360" w:lineRule="auto"/>
        <w:jc w:val="both"/>
      </w:pPr>
      <w:r>
        <w:rPr>
          <w:noProof/>
        </w:rPr>
        <w:lastRenderedPageBreak/>
        <w:drawing>
          <wp:inline distT="0" distB="0" distL="0" distR="0" wp14:anchorId="3C161FA1" wp14:editId="37C835C3">
            <wp:extent cx="5486400" cy="4160520"/>
            <wp:effectExtent l="0" t="0" r="0" b="0"/>
            <wp:docPr id="3" name="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3"/>
                    <pic:cNvPicPr>
                      <a:picLocks noChangeAspect="1"/>
                    </pic:cNvPicPr>
                  </pic:nvPicPr>
                  <pic:blipFill>
                    <a:blip r:embed="rId12"/>
                    <a:stretch>
                      <a:fillRect/>
                    </a:stretch>
                  </pic:blipFill>
                  <pic:spPr>
                    <a:xfrm>
                      <a:off x="0" y="0"/>
                      <a:ext cx="5486400" cy="4160520"/>
                    </a:xfrm>
                    <a:prstGeom prst="rect">
                      <a:avLst/>
                    </a:prstGeom>
                  </pic:spPr>
                </pic:pic>
              </a:graphicData>
            </a:graphic>
          </wp:inline>
        </w:drawing>
      </w:r>
    </w:p>
    <w:p w14:paraId="57D69E5A" w14:textId="77777777" w:rsidR="0057582C" w:rsidRDefault="00CE7F22">
      <w:pPr>
        <w:spacing w:before="120" w:after="120" w:line="360" w:lineRule="auto"/>
        <w:jc w:val="both"/>
      </w:pPr>
      <w:r>
        <w:rPr>
          <w:b/>
          <w:bCs/>
        </w:rPr>
        <w:t>Figure 3: plot of BIC scores for different numbers of clusters using the Elbow method.</w:t>
      </w:r>
    </w:p>
    <w:p w14:paraId="5F85C334" w14:textId="77777777" w:rsidR="0057582C" w:rsidRDefault="0057582C">
      <w:pPr>
        <w:spacing w:before="120" w:after="120" w:line="360" w:lineRule="auto"/>
        <w:jc w:val="both"/>
      </w:pPr>
    </w:p>
    <w:p w14:paraId="299E79EF" w14:textId="77777777" w:rsidR="0057582C" w:rsidRDefault="0057582C">
      <w:pPr>
        <w:spacing w:before="120" w:after="120" w:line="360" w:lineRule="auto"/>
        <w:jc w:val="both"/>
      </w:pPr>
    </w:p>
    <w:p w14:paraId="3FB889B6" w14:textId="77777777" w:rsidR="0057582C" w:rsidRDefault="00CE7F22">
      <w:pPr>
        <w:spacing w:before="120" w:after="120" w:line="360" w:lineRule="auto"/>
        <w:jc w:val="both"/>
      </w:pPr>
      <w:r>
        <w:rPr>
          <w:i/>
          <w:iCs/>
        </w:rPr>
        <w:t xml:space="preserve">(6)  </w:t>
      </w:r>
      <m:oMath>
        <m:r>
          <m:rPr>
            <m:nor/>
          </m:rPr>
          <w:rPr>
            <w:i/>
          </w:rPr>
          <m:t>p</m:t>
        </m:r>
        <m:r>
          <m:rPr>
            <m:nor/>
          </m:rPr>
          <m:t>(</m:t>
        </m:r>
        <m:r>
          <m:rPr>
            <m:nor/>
          </m:rPr>
          <w:rPr>
            <w:b/>
            <w:i/>
          </w:rPr>
          <m:t>x</m:t>
        </m:r>
        <m:r>
          <m:rPr>
            <m:nor/>
          </m:rPr>
          <m:t xml:space="preserve">) = </m:t>
        </m:r>
        <m:nary>
          <m:naryPr>
            <m:chr m:val="∑"/>
            <m:limLoc m:val="undOvr"/>
            <m:ctrlPr>
              <w:rPr>
                <w:rFonts w:ascii="Cambria Math" w:hAnsi="Cambria Math"/>
              </w:rPr>
            </m:ctrlPr>
          </m:naryPr>
          <m:sub>
            <m:r>
              <m:rPr>
                <m:nor/>
              </m:rPr>
              <w:rPr>
                <w:i/>
              </w:rPr>
              <m:t>k</m:t>
            </m:r>
            <m:r>
              <m:rPr>
                <m:nor/>
              </m:rPr>
              <m:t>=1</m:t>
            </m:r>
          </m:sub>
          <m:sup>
            <m:r>
              <m:rPr>
                <m:nor/>
              </m:rPr>
              <w:rPr>
                <w:i/>
              </w:rPr>
              <m:t>K</m:t>
            </m:r>
          </m:sup>
          <m:e>
            <m:r>
              <m:rPr>
                <m:nor/>
              </m:rPr>
              <w:rPr>
                <w:i/>
              </w:rPr>
              <m:t>π</m:t>
            </m:r>
            <m:sSub>
              <m:sSubPr>
                <m:ctrlPr>
                  <w:rPr>
                    <w:rFonts w:ascii="Cambria Math" w:hAnsi="Cambria Math"/>
                  </w:rPr>
                </m:ctrlPr>
              </m:sSubPr>
              <m:e>
                <m:r>
                  <m:rPr>
                    <m:nor/>
                  </m:rPr>
                  <w:rPr>
                    <w:i/>
                  </w:rPr>
                  <m:t>k</m:t>
                </m:r>
              </m:e>
              <m:sub/>
            </m:sSub>
            <m:r>
              <m:rPr>
                <m:nor/>
              </m:rPr>
              <w:rPr>
                <w:rFonts w:eastAsia="MS Mincho" w:cs="MS Mincho"/>
              </w:rPr>
              <m:t xml:space="preserve"> </m:t>
            </m:r>
            <m:r>
              <m:rPr>
                <m:nor/>
              </m:rPr>
              <w:rPr>
                <w:rFonts w:eastAsia="MS Mincho" w:cs="MS Mincho"/>
                <w:i/>
              </w:rPr>
              <m:t>N</m:t>
            </m:r>
            <m:r>
              <m:rPr>
                <m:nor/>
              </m:rPr>
              <w:rPr>
                <w:rFonts w:eastAsia="MS Mincho" w:cs="MS Mincho"/>
              </w:rPr>
              <m:t>(</m:t>
            </m:r>
            <m:r>
              <m:rPr>
                <m:nor/>
              </m:rPr>
              <w:rPr>
                <w:b/>
                <w:i/>
              </w:rPr>
              <m:t>x</m:t>
            </m:r>
            <m:r>
              <m:rPr>
                <m:nor/>
              </m:rPr>
              <m:t xml:space="preserve">; </m:t>
            </m:r>
            <m:r>
              <m:rPr>
                <m:nor/>
              </m:rPr>
              <w:rPr>
                <w:b/>
                <w:i/>
              </w:rPr>
              <m:t>μ</m:t>
            </m:r>
            <m:sSub>
              <m:sSubPr>
                <m:ctrlPr>
                  <w:rPr>
                    <w:rFonts w:ascii="Cambria Math" w:hAnsi="Cambria Math"/>
                  </w:rPr>
                </m:ctrlPr>
              </m:sSubPr>
              <m:e>
                <m:r>
                  <m:rPr>
                    <m:nor/>
                  </m:rPr>
                  <w:rPr>
                    <w:i/>
                  </w:rPr>
                  <m:t>k</m:t>
                </m:r>
              </m:e>
              <m:sub/>
            </m:sSub>
            <m:r>
              <m:rPr>
                <m:nor/>
              </m:rPr>
              <m:t xml:space="preserve">, </m:t>
            </m:r>
            <m:r>
              <m:rPr>
                <m:nor/>
              </m:rPr>
              <w:rPr>
                <w:b/>
              </w:rPr>
              <m:t>Σ</m:t>
            </m:r>
            <m:sSub>
              <m:sSubPr>
                <m:ctrlPr>
                  <w:rPr>
                    <w:rFonts w:ascii="Cambria Math" w:hAnsi="Cambria Math"/>
                  </w:rPr>
                </m:ctrlPr>
              </m:sSubPr>
              <m:e>
                <m:r>
                  <m:rPr>
                    <m:nor/>
                  </m:rPr>
                  <w:rPr>
                    <w:i/>
                  </w:rPr>
                  <m:t>k</m:t>
                </m:r>
              </m:e>
              <m:sub/>
            </m:sSub>
            <m:r>
              <m:rPr>
                <m:nor/>
              </m:rPr>
              <m:t>)</m:t>
            </m:r>
          </m:e>
        </m:nary>
      </m:oMath>
    </w:p>
    <w:p w14:paraId="2587D453" w14:textId="77777777" w:rsidR="0057582C" w:rsidRDefault="0057582C">
      <w:pPr>
        <w:spacing w:before="120" w:after="120" w:line="360" w:lineRule="auto"/>
        <w:jc w:val="both"/>
      </w:pPr>
    </w:p>
    <w:p w14:paraId="66E93962" w14:textId="77777777" w:rsidR="0057582C" w:rsidRDefault="00CE7F22">
      <w:pPr>
        <w:spacing w:before="120" w:after="120" w:line="360" w:lineRule="auto"/>
        <w:jc w:val="both"/>
      </w:pPr>
      <w:r>
        <w:rPr>
          <w:i/>
          <w:iCs/>
        </w:rPr>
        <w:t xml:space="preserve">(7)  </w:t>
      </w:r>
      <m:oMath>
        <m:r>
          <m:rPr>
            <m:nor/>
          </m:rPr>
          <w:rPr>
            <w:i/>
          </w:rPr>
          <m:t>BIC</m:t>
        </m:r>
        <m:r>
          <m:rPr>
            <m:nor/>
          </m:rPr>
          <m:t xml:space="preserve"> = </m:t>
        </m:r>
        <m:r>
          <m:rPr>
            <m:nor/>
          </m:rPr>
          <w:rPr>
            <w:i/>
          </w:rPr>
          <m:t>k</m:t>
        </m:r>
        <m:r>
          <m:rPr>
            <m:nor/>
          </m:rPr>
          <m:t xml:space="preserve"> · </m:t>
        </m:r>
        <m:r>
          <m:rPr>
            <m:nor/>
          </m:rPr>
          <w:rPr>
            <w:i/>
          </w:rPr>
          <m:t>ln</m:t>
        </m:r>
        <m:r>
          <m:rPr>
            <m:nor/>
          </m:rPr>
          <m:t>(</m:t>
        </m:r>
        <m:r>
          <m:rPr>
            <m:nor/>
          </m:rPr>
          <w:rPr>
            <w:i/>
          </w:rPr>
          <m:t>n</m:t>
        </m:r>
        <m:r>
          <m:rPr>
            <m:nor/>
          </m:rPr>
          <m:t xml:space="preserve">) - 2 · </m:t>
        </m:r>
        <w:proofErr w:type="gramStart"/>
        <m:r>
          <m:rPr>
            <m:nor/>
          </m:rPr>
          <w:rPr>
            <w:i/>
          </w:rPr>
          <m:t>ln</m:t>
        </m:r>
        <m:r>
          <m:rPr>
            <m:nor/>
          </m:rPr>
          <m:t>(</m:t>
        </m:r>
        <w:proofErr w:type="gramEnd"/>
        <m:r>
          <m:rPr>
            <m:nor/>
          </m:rPr>
          <w:rPr>
            <w:i/>
          </w:rPr>
          <m:t>L</m:t>
        </m:r>
        <m:r>
          <m:rPr>
            <m:nor/>
          </m:rPr>
          <m:t>̂)</m:t>
        </m:r>
      </m:oMath>
    </w:p>
    <w:p w14:paraId="1C4B5E83" w14:textId="77777777" w:rsidR="0057582C" w:rsidRDefault="00CE7F22">
      <w:pPr>
        <w:spacing w:before="120" w:after="120" w:line="360" w:lineRule="auto"/>
        <w:jc w:val="both"/>
      </w:pPr>
      <w:r>
        <w:t>After identifying k=10 as the optimal number of GMM components, the resulting cluster assignments were visualised to examine the distribution of segments across RFM dimensions. Figure 4 presents a pair plot of the RFM feature space, coloured by cluster membership.</w:t>
      </w:r>
    </w:p>
    <w:p w14:paraId="12758F60" w14:textId="77777777" w:rsidR="0057582C" w:rsidRDefault="0057582C">
      <w:pPr>
        <w:spacing w:before="120" w:after="120" w:line="360" w:lineRule="auto"/>
        <w:jc w:val="both"/>
      </w:pPr>
    </w:p>
    <w:p w14:paraId="430A09CD" w14:textId="77777777" w:rsidR="0057582C" w:rsidRDefault="0057582C">
      <w:pPr>
        <w:spacing w:before="120" w:after="120" w:line="360" w:lineRule="auto"/>
        <w:jc w:val="both"/>
      </w:pPr>
    </w:p>
    <w:p w14:paraId="7326D297" w14:textId="77777777" w:rsidR="0057582C" w:rsidRDefault="0057582C">
      <w:pPr>
        <w:spacing w:before="120" w:after="120" w:line="360" w:lineRule="auto"/>
        <w:jc w:val="both"/>
      </w:pPr>
    </w:p>
    <w:p w14:paraId="3369D1E2" w14:textId="77777777" w:rsidR="0057582C" w:rsidRDefault="00CE7F22">
      <w:pPr>
        <w:spacing w:before="120" w:after="60" w:line="360" w:lineRule="auto"/>
        <w:jc w:val="both"/>
      </w:pPr>
      <w:r>
        <w:rPr>
          <w:noProof/>
        </w:rPr>
        <w:lastRenderedPageBreak/>
        <w:drawing>
          <wp:inline distT="0" distB="0" distL="0" distR="0" wp14:anchorId="16C33E41" wp14:editId="5B37F0DE">
            <wp:extent cx="5486400" cy="4787900"/>
            <wp:effectExtent l="0" t="0" r="0" b="0"/>
            <wp:docPr id="4" name="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4"/>
                    <pic:cNvPicPr>
                      <a:picLocks noChangeAspect="1"/>
                    </pic:cNvPicPr>
                  </pic:nvPicPr>
                  <pic:blipFill>
                    <a:blip r:embed="rId13"/>
                    <a:stretch>
                      <a:fillRect/>
                    </a:stretch>
                  </pic:blipFill>
                  <pic:spPr>
                    <a:xfrm>
                      <a:off x="0" y="0"/>
                      <a:ext cx="5486400" cy="4788483"/>
                    </a:xfrm>
                    <a:prstGeom prst="rect">
                      <a:avLst/>
                    </a:prstGeom>
                  </pic:spPr>
                </pic:pic>
              </a:graphicData>
            </a:graphic>
          </wp:inline>
        </w:drawing>
      </w:r>
    </w:p>
    <w:p w14:paraId="7DA59BA5" w14:textId="77777777" w:rsidR="0057582C" w:rsidRDefault="00CE7F22">
      <w:pPr>
        <w:spacing w:before="120" w:after="120" w:line="360" w:lineRule="auto"/>
        <w:jc w:val="both"/>
      </w:pPr>
      <w:r>
        <w:rPr>
          <w:b/>
          <w:bCs/>
        </w:rPr>
        <w:t>Figure 4 Pair plot of the Recency, Frequency and Monetary value</w:t>
      </w:r>
    </w:p>
    <w:p w14:paraId="55511342" w14:textId="77777777" w:rsidR="0057582C" w:rsidRDefault="00CE7F22">
      <w:pPr>
        <w:spacing w:before="120" w:after="120" w:line="360" w:lineRule="auto"/>
        <w:jc w:val="both"/>
      </w:pPr>
      <w:r>
        <w:t>Figure 4 illustrates the relationship of the RFM, showcasing how different clusters are grouped in the context of ‘Recency, Frequency and Monetary value’.</w:t>
      </w:r>
    </w:p>
    <w:p w14:paraId="225CB0CE" w14:textId="77777777" w:rsidR="0057582C" w:rsidRDefault="0057582C">
      <w:pPr>
        <w:spacing w:before="120" w:after="120" w:line="360" w:lineRule="auto"/>
        <w:jc w:val="both"/>
      </w:pPr>
    </w:p>
    <w:p w14:paraId="58F7A2E7" w14:textId="77777777" w:rsidR="0057582C" w:rsidRDefault="0057582C">
      <w:pPr>
        <w:spacing w:before="120" w:after="120" w:line="360" w:lineRule="auto"/>
        <w:jc w:val="both"/>
      </w:pPr>
    </w:p>
    <w:p w14:paraId="2F31707B" w14:textId="77777777" w:rsidR="0057582C" w:rsidRDefault="00CE7F22">
      <w:pPr>
        <w:spacing w:before="120" w:after="60" w:line="360" w:lineRule="auto"/>
        <w:jc w:val="both"/>
      </w:pPr>
      <w:r>
        <w:rPr>
          <w:noProof/>
        </w:rPr>
        <w:lastRenderedPageBreak/>
        <w:drawing>
          <wp:inline distT="0" distB="0" distL="0" distR="0" wp14:anchorId="0C2069C4" wp14:editId="52863402">
            <wp:extent cx="5303520" cy="4160520"/>
            <wp:effectExtent l="0" t="0" r="0" b="0"/>
            <wp:docPr id="5" name="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5"/>
                    <pic:cNvPicPr>
                      <a:picLocks noChangeAspect="1"/>
                    </pic:cNvPicPr>
                  </pic:nvPicPr>
                  <pic:blipFill>
                    <a:blip r:embed="rId14"/>
                    <a:stretch>
                      <a:fillRect/>
                    </a:stretch>
                  </pic:blipFill>
                  <pic:spPr>
                    <a:xfrm>
                      <a:off x="0" y="0"/>
                      <a:ext cx="5303530" cy="4160528"/>
                    </a:xfrm>
                    <a:prstGeom prst="rect">
                      <a:avLst/>
                    </a:prstGeom>
                  </pic:spPr>
                </pic:pic>
              </a:graphicData>
            </a:graphic>
          </wp:inline>
        </w:drawing>
      </w:r>
    </w:p>
    <w:p w14:paraId="16B4DC21" w14:textId="77777777" w:rsidR="0057582C" w:rsidRDefault="00CE7F22">
      <w:pPr>
        <w:spacing w:before="120" w:after="120" w:line="360" w:lineRule="auto"/>
        <w:jc w:val="both"/>
      </w:pPr>
      <w:r>
        <w:rPr>
          <w:b/>
          <w:bCs/>
        </w:rPr>
        <w:t>Figure 5 below shows the number of customers and the number of clusters to which they belong.</w:t>
      </w:r>
    </w:p>
    <w:p w14:paraId="336D8F5E" w14:textId="77777777" w:rsidR="0057582C" w:rsidRDefault="00CE7F22">
      <w:pPr>
        <w:spacing w:before="120" w:after="120" w:line="360" w:lineRule="auto"/>
        <w:jc w:val="both"/>
      </w:pPr>
      <w:r>
        <w:t>The largest clusters, Cluster 8 (1,009 customers) and Cluster 9 (837 customers), represent broad customer groups with moderate purchasing activity and are candidates for generalised marketing strategies. The smallest clusters, Cluster 2 (1 customer) and Cluster 5 (2 customers), are extreme outliers characterised by unusually high transaction volumes and monetary values, and require bespoke account management rather than mass-market approaches. This distribution highlights the practical value of fine-grained segmentation: treating all customers uniformly would mask substantial heterogeneity in purchasing behaviour.</w:t>
      </w:r>
    </w:p>
    <w:p w14:paraId="0D21D787" w14:textId="77777777" w:rsidR="0057582C" w:rsidRDefault="00CE7F22">
      <w:pPr>
        <w:spacing w:before="120" w:after="120" w:line="360" w:lineRule="auto"/>
        <w:jc w:val="both"/>
      </w:pPr>
      <w:r>
        <w:rPr>
          <w:b/>
          <w:bCs/>
        </w:rPr>
        <w:t>Evaluation of the GMM</w:t>
      </w:r>
    </w:p>
    <w:p w14:paraId="6656095E" w14:textId="77777777" w:rsidR="0057582C" w:rsidRDefault="00CE7F22">
      <w:pPr>
        <w:spacing w:before="120" w:after="120" w:line="360" w:lineRule="auto"/>
        <w:jc w:val="both"/>
      </w:pPr>
      <w:r>
        <w:t xml:space="preserve">Gaussian Mixture Models (GMM) are evaluated using the Davies-Bouldin Index (DBI) and </w:t>
      </w:r>
      <w:proofErr w:type="spellStart"/>
      <w:r>
        <w:t>Calinski-Harabasz</w:t>
      </w:r>
      <w:proofErr w:type="spellEnd"/>
      <w:r>
        <w:t xml:space="preserve"> Index (CHI). The GMM is evaluated using the Davies-Bouldin Index (DBI) and the </w:t>
      </w:r>
      <w:proofErr w:type="spellStart"/>
      <w:r>
        <w:t>Calinski-Harabasz</w:t>
      </w:r>
      <w:proofErr w:type="spellEnd"/>
      <w:r>
        <w:t xml:space="preserve"> Index (CHI). Table 5 presents the results.</w:t>
      </w:r>
    </w:p>
    <w:p w14:paraId="0DB24540" w14:textId="77777777" w:rsidR="0057582C" w:rsidRDefault="0057582C">
      <w:pPr>
        <w:spacing w:before="120" w:after="120" w:line="360" w:lineRule="auto"/>
        <w:jc w:val="both"/>
      </w:pPr>
    </w:p>
    <w:p w14:paraId="0B176386" w14:textId="77777777" w:rsidR="0057582C" w:rsidRDefault="00CE7F22">
      <w:pPr>
        <w:spacing w:before="120" w:after="120" w:line="360" w:lineRule="auto"/>
        <w:jc w:val="both"/>
      </w:pPr>
      <w:r>
        <w:rPr>
          <w:i/>
          <w:iCs/>
        </w:rPr>
        <w:lastRenderedPageBreak/>
        <w:t xml:space="preserve">(8)  </w:t>
      </w:r>
      <m:oMath>
        <m:r>
          <m:rPr>
            <m:nor/>
          </m:rPr>
          <w:rPr>
            <w:i/>
          </w:rPr>
          <m:t>DBI</m:t>
        </m:r>
        <m:r>
          <m:rPr>
            <m:nor/>
          </m:rPr>
          <m:t xml:space="preserve"> = </m:t>
        </m:r>
        <m:f>
          <m:fPr>
            <m:ctrlPr>
              <w:rPr>
                <w:rFonts w:ascii="Cambria Math" w:hAnsi="Cambria Math"/>
              </w:rPr>
            </m:ctrlPr>
          </m:fPr>
          <m:num>
            <m:r>
              <m:rPr>
                <m:nor/>
              </m:rPr>
              <m:t>1</m:t>
            </m:r>
          </m:num>
          <m:den>
            <m:r>
              <m:rPr>
                <m:nor/>
              </m:rPr>
              <w:rPr>
                <w:i/>
              </w:rPr>
              <m:t>K</m:t>
            </m:r>
          </m:den>
        </m:f>
        <m:nary>
          <m:naryPr>
            <m:chr m:val="∑"/>
            <m:limLoc m:val="undOvr"/>
            <m:ctrlPr>
              <w:rPr>
                <w:rFonts w:ascii="Cambria Math" w:hAnsi="Cambria Math"/>
              </w:rPr>
            </m:ctrlPr>
          </m:naryPr>
          <m:sub>
            <m:r>
              <m:rPr>
                <m:nor/>
              </m:rPr>
              <w:rPr>
                <w:i/>
              </w:rPr>
              <m:t>i</m:t>
            </m:r>
            <m:r>
              <m:rPr>
                <m:nor/>
              </m:rPr>
              <m:t>=1</m:t>
            </m:r>
          </m:sub>
          <m:sup>
            <m:r>
              <m:rPr>
                <m:nor/>
              </m:rPr>
              <w:rPr>
                <w:i/>
              </w:rPr>
              <m:t>K</m:t>
            </m:r>
          </m:sup>
          <m:e>
            <m:func>
              <m:funcPr>
                <m:ctrlPr>
                  <w:rPr>
                    <w:rFonts w:ascii="Cambria Math" w:hAnsi="Cambria Math"/>
                  </w:rPr>
                </m:ctrlPr>
              </m:funcPr>
              <m:fName>
                <m:r>
                  <m:rPr>
                    <m:nor/>
                  </m:rPr>
                  <w:rPr>
                    <w:i/>
                  </w:rPr>
                  <m:t>max</m:t>
                </m:r>
                <m:sSub>
                  <m:sSubPr>
                    <m:ctrlPr>
                      <w:rPr>
                        <w:rFonts w:ascii="Cambria Math" w:hAnsi="Cambria Math"/>
                      </w:rPr>
                    </m:ctrlPr>
                  </m:sSubPr>
                  <m:e/>
                  <m:sub>
                    <m:r>
                      <m:rPr>
                        <m:nor/>
                      </m:rPr>
                      <w:rPr>
                        <w:i/>
                      </w:rPr>
                      <m:t>j</m:t>
                    </m:r>
                    <m:r>
                      <m:rPr>
                        <m:nor/>
                      </m:rPr>
                      <m:t>≠</m:t>
                    </m:r>
                    <m:r>
                      <m:rPr>
                        <m:nor/>
                      </m:rPr>
                      <w:rPr>
                        <w:i/>
                      </w:rPr>
                      <m:t>i</m:t>
                    </m:r>
                  </m:sub>
                </m:sSub>
              </m:fName>
              <m:e>
                <m:f>
                  <m:fPr>
                    <m:ctrlPr>
                      <w:rPr>
                        <w:rFonts w:ascii="Cambria Math" w:hAnsi="Cambria Math"/>
                      </w:rPr>
                    </m:ctrlPr>
                  </m:fPr>
                  <m:num>
                    <m:r>
                      <m:rPr>
                        <m:nor/>
                      </m:rPr>
                      <w:rPr>
                        <w:i/>
                      </w:rPr>
                      <m:t>s</m:t>
                    </m:r>
                    <m:sSub>
                      <m:sSubPr>
                        <m:ctrlPr>
                          <w:rPr>
                            <w:rFonts w:ascii="Cambria Math" w:hAnsi="Cambria Math"/>
                          </w:rPr>
                        </m:ctrlPr>
                      </m:sSubPr>
                      <m:e>
                        <m:r>
                          <m:rPr>
                            <m:nor/>
                          </m:rPr>
                          <w:rPr>
                            <w:i/>
                          </w:rPr>
                          <m:t>i</m:t>
                        </m:r>
                      </m:e>
                      <m:sub/>
                    </m:sSub>
                    <m:r>
                      <m:rPr>
                        <m:nor/>
                      </m:rPr>
                      <m:t xml:space="preserve"> + </m:t>
                    </m:r>
                    <m:r>
                      <m:rPr>
                        <m:nor/>
                      </m:rPr>
                      <w:rPr>
                        <w:i/>
                      </w:rPr>
                      <m:t>s</m:t>
                    </m:r>
                    <m:sSub>
                      <m:sSubPr>
                        <m:ctrlPr>
                          <w:rPr>
                            <w:rFonts w:ascii="Cambria Math" w:hAnsi="Cambria Math"/>
                          </w:rPr>
                        </m:ctrlPr>
                      </m:sSubPr>
                      <m:e>
                        <m:r>
                          <m:rPr>
                            <m:nor/>
                          </m:rPr>
                          <w:rPr>
                            <w:i/>
                          </w:rPr>
                          <m:t>j</m:t>
                        </m:r>
                      </m:e>
                      <m:sub/>
                    </m:sSub>
                  </m:num>
                  <m:den>
                    <m:r>
                      <m:rPr>
                        <m:nor/>
                      </m:rPr>
                      <w:rPr>
                        <w:i/>
                      </w:rPr>
                      <m:t>d</m:t>
                    </m:r>
                    <m:r>
                      <m:rPr>
                        <m:nor/>
                      </m:rPr>
                      <m:t>(</m:t>
                    </m:r>
                    <m:r>
                      <m:rPr>
                        <m:nor/>
                      </m:rPr>
                      <w:rPr>
                        <w:i/>
                      </w:rPr>
                      <m:t>c</m:t>
                    </m:r>
                    <m:sSub>
                      <m:sSubPr>
                        <m:ctrlPr>
                          <w:rPr>
                            <w:rFonts w:ascii="Cambria Math" w:hAnsi="Cambria Math"/>
                          </w:rPr>
                        </m:ctrlPr>
                      </m:sSubPr>
                      <m:e>
                        <m:r>
                          <m:rPr>
                            <m:nor/>
                          </m:rPr>
                          <w:rPr>
                            <w:i/>
                          </w:rPr>
                          <m:t>i</m:t>
                        </m:r>
                      </m:e>
                      <m:sub/>
                    </m:sSub>
                    <m:r>
                      <m:rPr>
                        <m:nor/>
                      </m:rPr>
                      <m:t xml:space="preserve">, </m:t>
                    </m:r>
                    <m:r>
                      <m:rPr>
                        <m:nor/>
                      </m:rPr>
                      <w:rPr>
                        <w:i/>
                      </w:rPr>
                      <m:t>c</m:t>
                    </m:r>
                    <m:sSub>
                      <m:sSubPr>
                        <m:ctrlPr>
                          <w:rPr>
                            <w:rFonts w:ascii="Cambria Math" w:hAnsi="Cambria Math"/>
                          </w:rPr>
                        </m:ctrlPr>
                      </m:sSubPr>
                      <m:e>
                        <m:r>
                          <m:rPr>
                            <m:nor/>
                          </m:rPr>
                          <w:rPr>
                            <w:i/>
                          </w:rPr>
                          <m:t>j</m:t>
                        </m:r>
                      </m:e>
                      <m:sub/>
                    </m:sSub>
                    <m:r>
                      <m:rPr>
                        <m:nor/>
                      </m:rPr>
                      <m:t>)</m:t>
                    </m:r>
                  </m:den>
                </m:f>
              </m:e>
            </m:func>
          </m:e>
        </m:nary>
      </m:oMath>
    </w:p>
    <w:p w14:paraId="1B51B2CB" w14:textId="77777777" w:rsidR="0057582C" w:rsidRDefault="0057582C">
      <w:pPr>
        <w:spacing w:before="120" w:after="120" w:line="360" w:lineRule="auto"/>
        <w:jc w:val="both"/>
      </w:pPr>
    </w:p>
    <w:p w14:paraId="2844E88B" w14:textId="77777777" w:rsidR="0057582C" w:rsidRDefault="00CE7F22">
      <w:pPr>
        <w:spacing w:before="120" w:after="120" w:line="360" w:lineRule="auto"/>
        <w:jc w:val="both"/>
      </w:pPr>
      <w:r>
        <w:rPr>
          <w:i/>
          <w:iCs/>
        </w:rPr>
        <w:t xml:space="preserve">(9)  </w:t>
      </w:r>
      <m:oMath>
        <m:r>
          <m:rPr>
            <m:nor/>
          </m:rPr>
          <w:rPr>
            <w:i/>
          </w:rPr>
          <m:t>CHI</m:t>
        </m:r>
        <m:r>
          <m:rPr>
            <m:nor/>
          </m:rPr>
          <m:t xml:space="preserve"> = </m:t>
        </m:r>
        <m:f>
          <m:fPr>
            <m:ctrlPr>
              <w:rPr>
                <w:rFonts w:ascii="Cambria Math" w:hAnsi="Cambria Math"/>
              </w:rPr>
            </m:ctrlPr>
          </m:fPr>
          <m:num>
            <m:r>
              <m:rPr>
                <m:nor/>
              </m:rPr>
              <w:rPr>
                <w:i/>
              </w:rPr>
              <m:t>SS</m:t>
            </m:r>
            <m:sSub>
              <m:sSubPr>
                <m:ctrlPr>
                  <w:rPr>
                    <w:rFonts w:ascii="Cambria Math" w:hAnsi="Cambria Math"/>
                  </w:rPr>
                </m:ctrlPr>
              </m:sSubPr>
              <m:e>
                <m:r>
                  <m:rPr>
                    <m:nor/>
                  </m:rPr>
                  <w:rPr>
                    <w:i/>
                  </w:rPr>
                  <m:t>B</m:t>
                </m:r>
              </m:e>
              <m:sub/>
            </m:sSub>
            <m:r>
              <m:rPr>
                <m:nor/>
              </m:rPr>
              <m:t xml:space="preserve"> / (</m:t>
            </m:r>
            <m:r>
              <m:rPr>
                <m:nor/>
              </m:rPr>
              <w:rPr>
                <w:i/>
              </w:rPr>
              <m:t>K</m:t>
            </m:r>
            <m:r>
              <m:rPr>
                <m:nor/>
              </m:rPr>
              <m:t xml:space="preserve"> - 1)</m:t>
            </m:r>
          </m:num>
          <m:den>
            <m:r>
              <m:rPr>
                <m:nor/>
              </m:rPr>
              <w:rPr>
                <w:i/>
              </w:rPr>
              <m:t>SS</m:t>
            </m:r>
            <m:sSub>
              <m:sSubPr>
                <m:ctrlPr>
                  <w:rPr>
                    <w:rFonts w:ascii="Cambria Math" w:hAnsi="Cambria Math"/>
                  </w:rPr>
                </m:ctrlPr>
              </m:sSubPr>
              <m:e>
                <m:r>
                  <m:rPr>
                    <m:nor/>
                  </m:rPr>
                  <w:rPr>
                    <w:i/>
                  </w:rPr>
                  <m:t>W</m:t>
                </m:r>
              </m:e>
              <m:sub/>
            </m:sSub>
            <m:r>
              <m:rPr>
                <m:nor/>
              </m:rPr>
              <m:t xml:space="preserve"> / (</m:t>
            </m:r>
            <m:r>
              <m:rPr>
                <m:nor/>
              </m:rPr>
              <w:rPr>
                <w:i/>
              </w:rPr>
              <m:t>n</m:t>
            </m:r>
            <m:r>
              <m:rPr>
                <m:nor/>
              </m:rPr>
              <m:t xml:space="preserve"> - </m:t>
            </m:r>
            <m:r>
              <m:rPr>
                <m:nor/>
              </m:rPr>
              <w:rPr>
                <w:i/>
              </w:rPr>
              <m:t>K</m:t>
            </m:r>
            <m:r>
              <m:rPr>
                <m:nor/>
              </m:rPr>
              <m:t>)</m:t>
            </m:r>
          </m:den>
        </m:f>
      </m:oMath>
    </w:p>
    <w:p w14:paraId="7699EB51" w14:textId="77777777" w:rsidR="0057582C" w:rsidRDefault="00CE7F22">
      <w:pPr>
        <w:spacing w:before="120" w:after="120" w:line="360" w:lineRule="auto"/>
        <w:jc w:val="both"/>
      </w:pPr>
      <w:r>
        <w:rPr>
          <w:b/>
          <w:bCs/>
        </w:rPr>
        <w:t xml:space="preserve">Table </w:t>
      </w:r>
      <w:r>
        <w:rPr>
          <w:b/>
          <w:bCs/>
          <w:lang w:val="en-US"/>
        </w:rPr>
        <w:t>6</w:t>
      </w:r>
      <w:r>
        <w:rPr>
          <w:b/>
          <w:bCs/>
        </w:rPr>
        <w:t>. The evaluation Metrics results of the GMM.</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690"/>
        <w:gridCol w:w="2217"/>
        <w:gridCol w:w="2208"/>
        <w:gridCol w:w="2229"/>
      </w:tblGrid>
      <w:tr w:rsidR="0057582C" w14:paraId="6FD40F93" w14:textId="77777777">
        <w:trPr>
          <w:trHeight w:val="540"/>
        </w:trPr>
        <w:tc>
          <w:tcPr>
            <w:tcW w:w="2690" w:type="dxa"/>
            <w:tcBorders>
              <w:top w:val="single" w:sz="6" w:space="0" w:color="E0E0E0"/>
              <w:left w:val="single" w:sz="6" w:space="0" w:color="E0E0E0"/>
              <w:bottom w:val="single" w:sz="6" w:space="0" w:color="E0E0E0"/>
              <w:right w:val="single" w:sz="6" w:space="0" w:color="E0E0E0"/>
            </w:tcBorders>
            <w:shd w:val="clear" w:color="auto" w:fill="DEEAF1"/>
          </w:tcPr>
          <w:p w14:paraId="09E585EE" w14:textId="77777777" w:rsidR="0057582C" w:rsidRDefault="00CE7F22">
            <w:pPr>
              <w:spacing w:line="360" w:lineRule="auto"/>
              <w:jc w:val="both"/>
            </w:pPr>
            <w:r>
              <w:rPr>
                <w:b/>
                <w:bCs/>
              </w:rPr>
              <w:t>Davies-Bouldin Index (DBI)</w:t>
            </w:r>
          </w:p>
        </w:tc>
        <w:tc>
          <w:tcPr>
            <w:tcW w:w="2217" w:type="dxa"/>
            <w:tcBorders>
              <w:top w:val="single" w:sz="6" w:space="0" w:color="E0E0E0"/>
              <w:left w:val="single" w:sz="6" w:space="0" w:color="E0E0E0"/>
              <w:bottom w:val="single" w:sz="6" w:space="0" w:color="E0E0E0"/>
              <w:right w:val="single" w:sz="6" w:space="0" w:color="E0E0E0"/>
            </w:tcBorders>
            <w:shd w:val="clear" w:color="auto" w:fill="DEEAF1"/>
          </w:tcPr>
          <w:p w14:paraId="454FA68B" w14:textId="77777777" w:rsidR="0057582C" w:rsidRDefault="00CE7F22">
            <w:pPr>
              <w:spacing w:line="360" w:lineRule="auto"/>
              <w:jc w:val="both"/>
            </w:pPr>
            <w:r>
              <w:rPr>
                <w:b/>
                <w:bCs/>
              </w:rPr>
              <w:t>3.256</w:t>
            </w:r>
          </w:p>
        </w:tc>
        <w:tc>
          <w:tcPr>
            <w:tcW w:w="2208" w:type="dxa"/>
            <w:tcBorders>
              <w:top w:val="single" w:sz="6" w:space="0" w:color="E0E0E0"/>
              <w:left w:val="single" w:sz="6" w:space="0" w:color="E0E0E0"/>
              <w:bottom w:val="single" w:sz="6" w:space="0" w:color="E0E0E0"/>
              <w:right w:val="single" w:sz="6" w:space="0" w:color="E0E0E0"/>
            </w:tcBorders>
            <w:shd w:val="clear" w:color="auto" w:fill="DEEAF1"/>
          </w:tcPr>
          <w:p w14:paraId="1BB50D59" w14:textId="77777777" w:rsidR="0057582C" w:rsidRDefault="00CE7F22">
            <w:pPr>
              <w:spacing w:line="360" w:lineRule="auto"/>
              <w:jc w:val="both"/>
            </w:pPr>
            <w:r>
              <w:rPr>
                <w:b/>
                <w:bCs/>
              </w:rPr>
              <w:t>Lower = better</w:t>
            </w:r>
          </w:p>
        </w:tc>
        <w:tc>
          <w:tcPr>
            <w:tcW w:w="2229" w:type="dxa"/>
            <w:tcBorders>
              <w:top w:val="single" w:sz="6" w:space="0" w:color="E0E0E0"/>
              <w:left w:val="single" w:sz="6" w:space="0" w:color="E0E0E0"/>
              <w:bottom w:val="single" w:sz="6" w:space="0" w:color="E0E0E0"/>
              <w:right w:val="single" w:sz="6" w:space="0" w:color="E0E0E0"/>
            </w:tcBorders>
            <w:shd w:val="clear" w:color="auto" w:fill="DEEAF1"/>
          </w:tcPr>
          <w:p w14:paraId="0BCDC390" w14:textId="77777777" w:rsidR="0057582C" w:rsidRDefault="00CE7F22">
            <w:pPr>
              <w:spacing w:line="360" w:lineRule="auto"/>
              <w:jc w:val="both"/>
            </w:pPr>
            <w:r>
              <w:rPr>
                <w:b/>
                <w:bCs/>
              </w:rPr>
              <w:t>Moderate cluster overlap</w:t>
            </w:r>
          </w:p>
        </w:tc>
      </w:tr>
      <w:tr w:rsidR="0057582C" w14:paraId="7CDA1047" w14:textId="77777777">
        <w:trPr>
          <w:trHeight w:val="540"/>
        </w:trPr>
        <w:tc>
          <w:tcPr>
            <w:tcW w:w="2690" w:type="dxa"/>
            <w:tcBorders>
              <w:left w:val="single" w:sz="6" w:space="0" w:color="E0E0E0"/>
              <w:bottom w:val="single" w:sz="6" w:space="0" w:color="E0E0E0"/>
              <w:right w:val="single" w:sz="6" w:space="0" w:color="E0E0E0"/>
            </w:tcBorders>
          </w:tcPr>
          <w:p w14:paraId="3566774F" w14:textId="77777777" w:rsidR="0057582C" w:rsidRDefault="00CE7F22">
            <w:pPr>
              <w:spacing w:line="360" w:lineRule="auto"/>
              <w:jc w:val="both"/>
            </w:pPr>
            <w:proofErr w:type="spellStart"/>
            <w:r>
              <w:t>Calinski-Harabasz</w:t>
            </w:r>
            <w:proofErr w:type="spellEnd"/>
            <w:r>
              <w:t xml:space="preserve"> Index (CHI)</w:t>
            </w:r>
          </w:p>
        </w:tc>
        <w:tc>
          <w:tcPr>
            <w:tcW w:w="2217" w:type="dxa"/>
            <w:tcBorders>
              <w:left w:val="single" w:sz="6" w:space="0" w:color="E0E0E0"/>
              <w:bottom w:val="single" w:sz="6" w:space="0" w:color="E0E0E0"/>
              <w:right w:val="single" w:sz="6" w:space="0" w:color="E0E0E0"/>
            </w:tcBorders>
          </w:tcPr>
          <w:p w14:paraId="36FBE3BF" w14:textId="77777777" w:rsidR="0057582C" w:rsidRDefault="00CE7F22">
            <w:pPr>
              <w:spacing w:line="360" w:lineRule="auto"/>
              <w:jc w:val="both"/>
            </w:pPr>
            <w:r>
              <w:t>3,751.77</w:t>
            </w:r>
          </w:p>
        </w:tc>
        <w:tc>
          <w:tcPr>
            <w:tcW w:w="2208" w:type="dxa"/>
            <w:tcBorders>
              <w:left w:val="single" w:sz="6" w:space="0" w:color="E0E0E0"/>
              <w:bottom w:val="single" w:sz="6" w:space="0" w:color="E0E0E0"/>
              <w:right w:val="single" w:sz="6" w:space="0" w:color="E0E0E0"/>
            </w:tcBorders>
          </w:tcPr>
          <w:p w14:paraId="785CEC40" w14:textId="77777777" w:rsidR="0057582C" w:rsidRDefault="00CE7F22">
            <w:pPr>
              <w:spacing w:line="360" w:lineRule="auto"/>
              <w:jc w:val="both"/>
            </w:pPr>
            <w:r>
              <w:t>Higher = better</w:t>
            </w:r>
          </w:p>
        </w:tc>
        <w:tc>
          <w:tcPr>
            <w:tcW w:w="2229" w:type="dxa"/>
            <w:tcBorders>
              <w:left w:val="single" w:sz="6" w:space="0" w:color="E0E0E0"/>
              <w:bottom w:val="single" w:sz="6" w:space="0" w:color="E0E0E0"/>
              <w:right w:val="single" w:sz="6" w:space="0" w:color="E0E0E0"/>
            </w:tcBorders>
          </w:tcPr>
          <w:p w14:paraId="1FE05999" w14:textId="77777777" w:rsidR="0057582C" w:rsidRDefault="00CE7F22">
            <w:pPr>
              <w:spacing w:line="360" w:lineRule="auto"/>
              <w:jc w:val="both"/>
            </w:pPr>
            <w:r>
              <w:t>Reasonable separation</w:t>
            </w:r>
          </w:p>
        </w:tc>
      </w:tr>
    </w:tbl>
    <w:p w14:paraId="54AF81DB" w14:textId="77777777" w:rsidR="0057582C" w:rsidRDefault="0057582C">
      <w:pPr>
        <w:spacing w:before="120" w:after="120" w:line="360" w:lineRule="auto"/>
        <w:jc w:val="both"/>
      </w:pPr>
    </w:p>
    <w:p w14:paraId="6C159762" w14:textId="77777777" w:rsidR="0057582C" w:rsidRDefault="00CE7F22">
      <w:pPr>
        <w:spacing w:before="120" w:after="120" w:line="360" w:lineRule="auto"/>
        <w:jc w:val="both"/>
      </w:pPr>
      <w:r>
        <w:rPr>
          <w:b/>
          <w:bCs/>
        </w:rPr>
        <w:t>The Davies-Bouldin Index (DBI)</w:t>
      </w:r>
    </w:p>
    <w:p w14:paraId="135D68DD" w14:textId="77777777" w:rsidR="0057582C" w:rsidRDefault="00CE7F22">
      <w:pPr>
        <w:spacing w:before="120" w:after="120" w:line="360" w:lineRule="auto"/>
        <w:jc w:val="both"/>
      </w:pPr>
      <w:r>
        <w:t>A result of 3.256 in Table 5 indicates some overlap between clusters, suggesting that the clustering model may have misclassified customer groupings.</w:t>
      </w:r>
    </w:p>
    <w:p w14:paraId="018CAD3F" w14:textId="77777777" w:rsidR="0057582C" w:rsidRDefault="00CE7F22">
      <w:pPr>
        <w:spacing w:before="120" w:after="120" w:line="360" w:lineRule="auto"/>
        <w:jc w:val="both"/>
      </w:pPr>
      <w:proofErr w:type="spellStart"/>
      <w:r>
        <w:rPr>
          <w:b/>
          <w:bCs/>
        </w:rPr>
        <w:t>Calinski-Harabasz</w:t>
      </w:r>
      <w:proofErr w:type="spellEnd"/>
      <w:r>
        <w:rPr>
          <w:b/>
          <w:bCs/>
        </w:rPr>
        <w:t xml:space="preserve"> Index (CHI)</w:t>
      </w:r>
    </w:p>
    <w:p w14:paraId="0CDEFDE4" w14:textId="77777777" w:rsidR="0057582C" w:rsidRDefault="00CE7F22">
      <w:pPr>
        <w:spacing w:before="120" w:after="120" w:line="360" w:lineRule="auto"/>
        <w:jc w:val="both"/>
      </w:pPr>
      <w:r>
        <w:t xml:space="preserve">The clustering model performs well, yielding distinct, compact clusters and a </w:t>
      </w:r>
      <w:proofErr w:type="spellStart"/>
      <w:r>
        <w:t>Calinski-Harabasz</w:t>
      </w:r>
      <w:proofErr w:type="spellEnd"/>
      <w:r>
        <w:t xml:space="preserve"> Index score of 3751.77, indicating better performance than the Davies-Bouldin Index (DBI).</w:t>
      </w:r>
    </w:p>
    <w:p w14:paraId="61BEC98D" w14:textId="77777777" w:rsidR="0057582C" w:rsidRDefault="00CE7F22">
      <w:pPr>
        <w:spacing w:before="120" w:after="120" w:line="360" w:lineRule="auto"/>
        <w:jc w:val="both"/>
      </w:pPr>
      <w:r>
        <w:t>The GMM produced 10 customer segments with distinct RFM profiles. Validation indices reveal a tension characteristic of probabilistic clustering on high-dimensional data: the CHI of 3,751.77 indicates reasonable global cluster separation, while the DBI of 3.256 suggests that some cluster boundaries overlap, which is a known limitation of GMM when applied to data containing extreme outliers or highly imbalanced cluster sizes (as evidenced by the single-customer Cluster 2 and two-customer Cluster 5 in Table 4). These outlier-dominated clusters inflate the DBI but represent genuine extreme-value customers rather than segmentation failures. The GMM results are retained as a complementary, probabilistic segmentation that supports customer profile interpretation alongside the SOM.</w:t>
      </w:r>
    </w:p>
    <w:p w14:paraId="6F4714A0" w14:textId="77777777" w:rsidR="0057582C" w:rsidRDefault="00CE7F22">
      <w:pPr>
        <w:spacing w:before="120" w:after="120" w:line="360" w:lineRule="auto"/>
        <w:jc w:val="both"/>
      </w:pPr>
      <w:r>
        <w:rPr>
          <w:b/>
          <w:bCs/>
        </w:rPr>
        <w:t>Self-Organising Maps (SOM) Result Analysis</w:t>
      </w:r>
    </w:p>
    <w:p w14:paraId="14EF43F3" w14:textId="77777777" w:rsidR="0057582C" w:rsidRDefault="00CE7F22">
      <w:pPr>
        <w:spacing w:before="120" w:after="120" w:line="360" w:lineRule="auto"/>
        <w:jc w:val="both"/>
      </w:pPr>
      <w:r>
        <w:lastRenderedPageBreak/>
        <w:t xml:space="preserve">The SOM analysis was applied to the same </w:t>
      </w:r>
      <w:proofErr w:type="spellStart"/>
      <w:r>
        <w:t>MinMax</w:t>
      </w:r>
      <w:proofErr w:type="spellEnd"/>
      <w:r>
        <w:t>-normalised RFM feature matrix used for the GMM. Unlike GMM, the SOM does not assume an underlying probabilistic distribution. Instead, it preserves the topological structure of the input data by mapping customers onto a two-dimensional grid of neurons, where each node represents a prototype customer profile. Each customer is assigned to the neuron whose weight vector most closely matches their RFM profile, known as the best-matching unit. This process produces a spatially organised representation of the customer base, where neighbouring neurons reflect similar purchasing behaviours, facilitating intuitive visual interpretation.</w:t>
      </w:r>
    </w:p>
    <w:p w14:paraId="3A0E84A3" w14:textId="77777777" w:rsidR="0057582C" w:rsidRDefault="00CE7F22">
      <w:pPr>
        <w:spacing w:before="120" w:after="120" w:line="360" w:lineRule="auto"/>
        <w:jc w:val="both"/>
      </w:pPr>
      <w:r>
        <w:rPr>
          <w:b/>
          <w:bCs/>
        </w:rPr>
        <w:t xml:space="preserve">Table </w:t>
      </w:r>
      <w:r>
        <w:rPr>
          <w:b/>
          <w:bCs/>
          <w:lang w:val="en-US"/>
        </w:rPr>
        <w:t>7</w:t>
      </w:r>
      <w:r>
        <w:rPr>
          <w:b/>
          <w:bCs/>
        </w:rPr>
        <w:t>: Recency, Frequency, and Monetary (RFM) Characteristics of Customer Clusters Identified by Self-Organising Maps (SOM)</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1817"/>
        <w:gridCol w:w="1882"/>
        <w:gridCol w:w="1882"/>
        <w:gridCol w:w="1920"/>
        <w:gridCol w:w="1843"/>
      </w:tblGrid>
      <w:tr w:rsidR="0057582C" w14:paraId="778D5FD6" w14:textId="77777777">
        <w:trPr>
          <w:trHeight w:val="540"/>
        </w:trPr>
        <w:tc>
          <w:tcPr>
            <w:tcW w:w="1817" w:type="dxa"/>
            <w:tcBorders>
              <w:top w:val="single" w:sz="6" w:space="0" w:color="E0E0E0"/>
              <w:left w:val="single" w:sz="6" w:space="0" w:color="E0E0E0"/>
              <w:bottom w:val="single" w:sz="6" w:space="0" w:color="E0E0E0"/>
              <w:right w:val="single" w:sz="6" w:space="0" w:color="E0E0E0"/>
            </w:tcBorders>
            <w:shd w:val="clear" w:color="auto" w:fill="DEEAF1"/>
          </w:tcPr>
          <w:p w14:paraId="5A03465E" w14:textId="77777777" w:rsidR="0057582C" w:rsidRDefault="00CE7F22">
            <w:pPr>
              <w:spacing w:line="360" w:lineRule="auto"/>
              <w:jc w:val="both"/>
            </w:pPr>
            <w:r>
              <w:rPr>
                <w:b/>
                <w:bCs/>
              </w:rPr>
              <w:t>0</w:t>
            </w:r>
          </w:p>
        </w:tc>
        <w:tc>
          <w:tcPr>
            <w:tcW w:w="1882" w:type="dxa"/>
            <w:tcBorders>
              <w:top w:val="single" w:sz="6" w:space="0" w:color="E0E0E0"/>
              <w:left w:val="single" w:sz="6" w:space="0" w:color="E0E0E0"/>
              <w:bottom w:val="single" w:sz="6" w:space="0" w:color="E0E0E0"/>
              <w:right w:val="single" w:sz="6" w:space="0" w:color="E0E0E0"/>
            </w:tcBorders>
            <w:shd w:val="clear" w:color="auto" w:fill="DEEAF1"/>
          </w:tcPr>
          <w:p w14:paraId="4AAF663B" w14:textId="77777777" w:rsidR="0057582C" w:rsidRDefault="00CE7F22">
            <w:pPr>
              <w:spacing w:line="360" w:lineRule="auto"/>
              <w:jc w:val="both"/>
            </w:pPr>
            <w:r>
              <w:rPr>
                <w:b/>
                <w:bCs/>
              </w:rPr>
              <w:t>40.1</w:t>
            </w:r>
          </w:p>
        </w:tc>
        <w:tc>
          <w:tcPr>
            <w:tcW w:w="1882" w:type="dxa"/>
            <w:tcBorders>
              <w:top w:val="single" w:sz="6" w:space="0" w:color="E0E0E0"/>
              <w:left w:val="single" w:sz="6" w:space="0" w:color="E0E0E0"/>
              <w:bottom w:val="single" w:sz="6" w:space="0" w:color="E0E0E0"/>
              <w:right w:val="single" w:sz="6" w:space="0" w:color="E0E0E0"/>
            </w:tcBorders>
            <w:shd w:val="clear" w:color="auto" w:fill="DEEAF1"/>
          </w:tcPr>
          <w:p w14:paraId="45F1B65B" w14:textId="77777777" w:rsidR="0057582C" w:rsidRDefault="00CE7F22">
            <w:pPr>
              <w:spacing w:line="360" w:lineRule="auto"/>
              <w:jc w:val="both"/>
            </w:pPr>
            <w:r>
              <w:rPr>
                <w:b/>
                <w:bCs/>
              </w:rPr>
              <w:t>42.4</w:t>
            </w:r>
          </w:p>
        </w:tc>
        <w:tc>
          <w:tcPr>
            <w:tcW w:w="1920" w:type="dxa"/>
            <w:tcBorders>
              <w:top w:val="single" w:sz="6" w:space="0" w:color="E0E0E0"/>
              <w:left w:val="single" w:sz="6" w:space="0" w:color="E0E0E0"/>
              <w:bottom w:val="single" w:sz="6" w:space="0" w:color="E0E0E0"/>
              <w:right w:val="single" w:sz="6" w:space="0" w:color="E0E0E0"/>
            </w:tcBorders>
            <w:shd w:val="clear" w:color="auto" w:fill="DEEAF1"/>
          </w:tcPr>
          <w:p w14:paraId="64EDA17D" w14:textId="77777777" w:rsidR="0057582C" w:rsidRDefault="00CE7F22">
            <w:pPr>
              <w:spacing w:line="360" w:lineRule="auto"/>
              <w:jc w:val="both"/>
            </w:pPr>
            <w:r>
              <w:rPr>
                <w:b/>
                <w:bCs/>
              </w:rPr>
              <w:t>464.4</w:t>
            </w:r>
          </w:p>
        </w:tc>
        <w:tc>
          <w:tcPr>
            <w:tcW w:w="1843" w:type="dxa"/>
            <w:tcBorders>
              <w:top w:val="single" w:sz="6" w:space="0" w:color="E0E0E0"/>
              <w:left w:val="single" w:sz="6" w:space="0" w:color="E0E0E0"/>
              <w:bottom w:val="single" w:sz="6" w:space="0" w:color="E0E0E0"/>
              <w:right w:val="single" w:sz="6" w:space="0" w:color="E0E0E0"/>
            </w:tcBorders>
            <w:shd w:val="clear" w:color="auto" w:fill="DEEAF1"/>
          </w:tcPr>
          <w:p w14:paraId="0B592FD9" w14:textId="77777777" w:rsidR="0057582C" w:rsidRDefault="00CE7F22">
            <w:pPr>
              <w:spacing w:line="360" w:lineRule="auto"/>
              <w:jc w:val="both"/>
            </w:pPr>
            <w:r>
              <w:rPr>
                <w:b/>
                <w:bCs/>
              </w:rPr>
              <w:t>40</w:t>
            </w:r>
          </w:p>
        </w:tc>
      </w:tr>
      <w:tr w:rsidR="0057582C" w14:paraId="76103D47" w14:textId="77777777">
        <w:trPr>
          <w:trHeight w:val="540"/>
        </w:trPr>
        <w:tc>
          <w:tcPr>
            <w:tcW w:w="1817" w:type="dxa"/>
            <w:tcBorders>
              <w:left w:val="single" w:sz="6" w:space="0" w:color="E0E0E0"/>
              <w:bottom w:val="single" w:sz="6" w:space="0" w:color="E0E0E0"/>
              <w:right w:val="single" w:sz="6" w:space="0" w:color="E0E0E0"/>
            </w:tcBorders>
          </w:tcPr>
          <w:p w14:paraId="05A283F1" w14:textId="77777777" w:rsidR="0057582C" w:rsidRDefault="00CE7F22">
            <w:pPr>
              <w:spacing w:line="360" w:lineRule="auto"/>
              <w:jc w:val="both"/>
            </w:pPr>
            <w:r>
              <w:t>1</w:t>
            </w:r>
          </w:p>
        </w:tc>
        <w:tc>
          <w:tcPr>
            <w:tcW w:w="1882" w:type="dxa"/>
            <w:tcBorders>
              <w:left w:val="single" w:sz="6" w:space="0" w:color="E0E0E0"/>
              <w:bottom w:val="single" w:sz="6" w:space="0" w:color="E0E0E0"/>
              <w:right w:val="single" w:sz="6" w:space="0" w:color="E0E0E0"/>
            </w:tcBorders>
          </w:tcPr>
          <w:p w14:paraId="46AC56F1" w14:textId="77777777" w:rsidR="0057582C" w:rsidRDefault="00CE7F22">
            <w:pPr>
              <w:spacing w:line="360" w:lineRule="auto"/>
              <w:jc w:val="both"/>
            </w:pPr>
            <w:r>
              <w:t>23.5</w:t>
            </w:r>
          </w:p>
        </w:tc>
        <w:tc>
          <w:tcPr>
            <w:tcW w:w="1882" w:type="dxa"/>
            <w:tcBorders>
              <w:left w:val="single" w:sz="6" w:space="0" w:color="E0E0E0"/>
              <w:bottom w:val="single" w:sz="6" w:space="0" w:color="E0E0E0"/>
              <w:right w:val="single" w:sz="6" w:space="0" w:color="E0E0E0"/>
            </w:tcBorders>
          </w:tcPr>
          <w:p w14:paraId="5C9043B3" w14:textId="77777777" w:rsidR="0057582C" w:rsidRDefault="00CE7F22">
            <w:pPr>
              <w:spacing w:line="360" w:lineRule="auto"/>
              <w:jc w:val="both"/>
            </w:pPr>
            <w:r>
              <w:t>96.0</w:t>
            </w:r>
          </w:p>
        </w:tc>
        <w:tc>
          <w:tcPr>
            <w:tcW w:w="1920" w:type="dxa"/>
            <w:tcBorders>
              <w:left w:val="single" w:sz="6" w:space="0" w:color="E0E0E0"/>
              <w:bottom w:val="single" w:sz="6" w:space="0" w:color="E0E0E0"/>
              <w:right w:val="single" w:sz="6" w:space="0" w:color="E0E0E0"/>
            </w:tcBorders>
          </w:tcPr>
          <w:p w14:paraId="2582164D" w14:textId="77777777" w:rsidR="0057582C" w:rsidRDefault="00CE7F22">
            <w:pPr>
              <w:spacing w:line="360" w:lineRule="auto"/>
              <w:jc w:val="both"/>
            </w:pPr>
            <w:r>
              <w:t>1,584.1</w:t>
            </w:r>
          </w:p>
        </w:tc>
        <w:tc>
          <w:tcPr>
            <w:tcW w:w="1843" w:type="dxa"/>
            <w:tcBorders>
              <w:left w:val="single" w:sz="6" w:space="0" w:color="E0E0E0"/>
              <w:bottom w:val="single" w:sz="6" w:space="0" w:color="E0E0E0"/>
              <w:right w:val="single" w:sz="6" w:space="0" w:color="E0E0E0"/>
            </w:tcBorders>
          </w:tcPr>
          <w:p w14:paraId="0A9E4D82" w14:textId="77777777" w:rsidR="0057582C" w:rsidRDefault="00CE7F22">
            <w:pPr>
              <w:spacing w:line="360" w:lineRule="auto"/>
              <w:jc w:val="both"/>
            </w:pPr>
            <w:r>
              <w:t>259</w:t>
            </w:r>
          </w:p>
        </w:tc>
      </w:tr>
      <w:tr w:rsidR="0057582C" w14:paraId="68C7040B" w14:textId="77777777">
        <w:trPr>
          <w:trHeight w:val="540"/>
        </w:trPr>
        <w:tc>
          <w:tcPr>
            <w:tcW w:w="1817" w:type="dxa"/>
            <w:tcBorders>
              <w:left w:val="single" w:sz="6" w:space="0" w:color="E0E0E0"/>
              <w:bottom w:val="single" w:sz="6" w:space="0" w:color="E0E0E0"/>
              <w:right w:val="single" w:sz="6" w:space="0" w:color="E0E0E0"/>
            </w:tcBorders>
          </w:tcPr>
          <w:p w14:paraId="680BD0D1" w14:textId="77777777" w:rsidR="0057582C" w:rsidRDefault="00CE7F22">
            <w:pPr>
              <w:spacing w:line="360" w:lineRule="auto"/>
              <w:jc w:val="both"/>
            </w:pPr>
            <w:r>
              <w:t>2</w:t>
            </w:r>
          </w:p>
        </w:tc>
        <w:tc>
          <w:tcPr>
            <w:tcW w:w="1882" w:type="dxa"/>
            <w:tcBorders>
              <w:left w:val="single" w:sz="6" w:space="0" w:color="E0E0E0"/>
              <w:bottom w:val="single" w:sz="6" w:space="0" w:color="E0E0E0"/>
              <w:right w:val="single" w:sz="6" w:space="0" w:color="E0E0E0"/>
            </w:tcBorders>
          </w:tcPr>
          <w:p w14:paraId="2856BDDD" w14:textId="77777777" w:rsidR="0057582C" w:rsidRDefault="00CE7F22">
            <w:pPr>
              <w:spacing w:line="360" w:lineRule="auto"/>
              <w:jc w:val="both"/>
            </w:pPr>
            <w:r>
              <w:t>27.9</w:t>
            </w:r>
          </w:p>
        </w:tc>
        <w:tc>
          <w:tcPr>
            <w:tcW w:w="1882" w:type="dxa"/>
            <w:tcBorders>
              <w:left w:val="single" w:sz="6" w:space="0" w:color="E0E0E0"/>
              <w:bottom w:val="single" w:sz="6" w:space="0" w:color="E0E0E0"/>
              <w:right w:val="single" w:sz="6" w:space="0" w:color="E0E0E0"/>
            </w:tcBorders>
          </w:tcPr>
          <w:p w14:paraId="22BE9C42" w14:textId="77777777" w:rsidR="0057582C" w:rsidRDefault="00CE7F22">
            <w:pPr>
              <w:spacing w:line="360" w:lineRule="auto"/>
              <w:jc w:val="both"/>
            </w:pPr>
            <w:r>
              <w:t>106.5</w:t>
            </w:r>
          </w:p>
        </w:tc>
        <w:tc>
          <w:tcPr>
            <w:tcW w:w="1920" w:type="dxa"/>
            <w:tcBorders>
              <w:left w:val="single" w:sz="6" w:space="0" w:color="E0E0E0"/>
              <w:bottom w:val="single" w:sz="6" w:space="0" w:color="E0E0E0"/>
              <w:right w:val="single" w:sz="6" w:space="0" w:color="E0E0E0"/>
            </w:tcBorders>
          </w:tcPr>
          <w:p w14:paraId="057D42B5" w14:textId="77777777" w:rsidR="0057582C" w:rsidRDefault="00CE7F22">
            <w:pPr>
              <w:spacing w:line="360" w:lineRule="auto"/>
              <w:jc w:val="both"/>
            </w:pPr>
            <w:r>
              <w:t>1,467.8</w:t>
            </w:r>
          </w:p>
        </w:tc>
        <w:tc>
          <w:tcPr>
            <w:tcW w:w="1843" w:type="dxa"/>
            <w:tcBorders>
              <w:left w:val="single" w:sz="6" w:space="0" w:color="E0E0E0"/>
              <w:bottom w:val="single" w:sz="6" w:space="0" w:color="E0E0E0"/>
              <w:right w:val="single" w:sz="6" w:space="0" w:color="E0E0E0"/>
            </w:tcBorders>
          </w:tcPr>
          <w:p w14:paraId="3174CC1B" w14:textId="77777777" w:rsidR="0057582C" w:rsidRDefault="00CE7F22">
            <w:pPr>
              <w:spacing w:line="360" w:lineRule="auto"/>
              <w:jc w:val="both"/>
            </w:pPr>
            <w:r>
              <w:t>39</w:t>
            </w:r>
          </w:p>
        </w:tc>
      </w:tr>
      <w:tr w:rsidR="0057582C" w14:paraId="1E6F1667" w14:textId="77777777">
        <w:trPr>
          <w:trHeight w:val="540"/>
        </w:trPr>
        <w:tc>
          <w:tcPr>
            <w:tcW w:w="1817" w:type="dxa"/>
            <w:tcBorders>
              <w:left w:val="single" w:sz="6" w:space="0" w:color="E0E0E0"/>
              <w:bottom w:val="single" w:sz="6" w:space="0" w:color="E0E0E0"/>
              <w:right w:val="single" w:sz="6" w:space="0" w:color="E0E0E0"/>
            </w:tcBorders>
          </w:tcPr>
          <w:p w14:paraId="35F30AD7" w14:textId="77777777" w:rsidR="0057582C" w:rsidRDefault="00CE7F22">
            <w:pPr>
              <w:spacing w:line="360" w:lineRule="auto"/>
              <w:jc w:val="both"/>
            </w:pPr>
            <w:r>
              <w:t>3</w:t>
            </w:r>
          </w:p>
        </w:tc>
        <w:tc>
          <w:tcPr>
            <w:tcW w:w="1882" w:type="dxa"/>
            <w:tcBorders>
              <w:left w:val="single" w:sz="6" w:space="0" w:color="E0E0E0"/>
              <w:bottom w:val="single" w:sz="6" w:space="0" w:color="E0E0E0"/>
              <w:right w:val="single" w:sz="6" w:space="0" w:color="E0E0E0"/>
            </w:tcBorders>
          </w:tcPr>
          <w:p w14:paraId="47F3A2B6" w14:textId="77777777" w:rsidR="0057582C" w:rsidRDefault="00CE7F22">
            <w:pPr>
              <w:spacing w:line="360" w:lineRule="auto"/>
              <w:jc w:val="both"/>
            </w:pPr>
            <w:r>
              <w:t>39.7</w:t>
            </w:r>
          </w:p>
        </w:tc>
        <w:tc>
          <w:tcPr>
            <w:tcW w:w="1882" w:type="dxa"/>
            <w:tcBorders>
              <w:left w:val="single" w:sz="6" w:space="0" w:color="E0E0E0"/>
              <w:bottom w:val="single" w:sz="6" w:space="0" w:color="E0E0E0"/>
              <w:right w:val="single" w:sz="6" w:space="0" w:color="E0E0E0"/>
            </w:tcBorders>
          </w:tcPr>
          <w:p w14:paraId="68B5FA54" w14:textId="77777777" w:rsidR="0057582C" w:rsidRDefault="00CE7F22">
            <w:pPr>
              <w:spacing w:line="360" w:lineRule="auto"/>
              <w:jc w:val="both"/>
            </w:pPr>
            <w:r>
              <w:t>142.8</w:t>
            </w:r>
          </w:p>
        </w:tc>
        <w:tc>
          <w:tcPr>
            <w:tcW w:w="1920" w:type="dxa"/>
            <w:tcBorders>
              <w:left w:val="single" w:sz="6" w:space="0" w:color="E0E0E0"/>
              <w:bottom w:val="single" w:sz="6" w:space="0" w:color="E0E0E0"/>
              <w:right w:val="single" w:sz="6" w:space="0" w:color="E0E0E0"/>
            </w:tcBorders>
          </w:tcPr>
          <w:p w14:paraId="28515D08" w14:textId="77777777" w:rsidR="0057582C" w:rsidRDefault="00CE7F22">
            <w:pPr>
              <w:spacing w:line="360" w:lineRule="auto"/>
              <w:jc w:val="both"/>
            </w:pPr>
            <w:r>
              <w:t>3,367.0</w:t>
            </w:r>
          </w:p>
        </w:tc>
        <w:tc>
          <w:tcPr>
            <w:tcW w:w="1843" w:type="dxa"/>
            <w:tcBorders>
              <w:left w:val="single" w:sz="6" w:space="0" w:color="E0E0E0"/>
              <w:bottom w:val="single" w:sz="6" w:space="0" w:color="E0E0E0"/>
              <w:right w:val="single" w:sz="6" w:space="0" w:color="E0E0E0"/>
            </w:tcBorders>
          </w:tcPr>
          <w:p w14:paraId="546AC0B1" w14:textId="77777777" w:rsidR="0057582C" w:rsidRDefault="00CE7F22">
            <w:pPr>
              <w:spacing w:line="360" w:lineRule="auto"/>
              <w:jc w:val="both"/>
            </w:pPr>
            <w:r>
              <w:t>36</w:t>
            </w:r>
          </w:p>
        </w:tc>
      </w:tr>
      <w:tr w:rsidR="0057582C" w14:paraId="2D81AB77" w14:textId="77777777">
        <w:trPr>
          <w:trHeight w:val="540"/>
        </w:trPr>
        <w:tc>
          <w:tcPr>
            <w:tcW w:w="1817" w:type="dxa"/>
            <w:tcBorders>
              <w:left w:val="single" w:sz="6" w:space="0" w:color="E0E0E0"/>
              <w:bottom w:val="single" w:sz="6" w:space="0" w:color="E0E0E0"/>
              <w:right w:val="single" w:sz="6" w:space="0" w:color="E0E0E0"/>
            </w:tcBorders>
          </w:tcPr>
          <w:p w14:paraId="26BB2790" w14:textId="77777777" w:rsidR="0057582C" w:rsidRDefault="00CE7F22">
            <w:pPr>
              <w:spacing w:line="360" w:lineRule="auto"/>
              <w:jc w:val="both"/>
            </w:pPr>
            <w:r>
              <w:t>4</w:t>
            </w:r>
          </w:p>
        </w:tc>
        <w:tc>
          <w:tcPr>
            <w:tcW w:w="1882" w:type="dxa"/>
            <w:tcBorders>
              <w:left w:val="single" w:sz="6" w:space="0" w:color="E0E0E0"/>
              <w:bottom w:val="single" w:sz="6" w:space="0" w:color="E0E0E0"/>
              <w:right w:val="single" w:sz="6" w:space="0" w:color="E0E0E0"/>
            </w:tcBorders>
          </w:tcPr>
          <w:p w14:paraId="74E9975A" w14:textId="77777777" w:rsidR="0057582C" w:rsidRDefault="00CE7F22">
            <w:pPr>
              <w:spacing w:line="360" w:lineRule="auto"/>
              <w:jc w:val="both"/>
            </w:pPr>
            <w:r>
              <w:t>191.8</w:t>
            </w:r>
          </w:p>
        </w:tc>
        <w:tc>
          <w:tcPr>
            <w:tcW w:w="1882" w:type="dxa"/>
            <w:tcBorders>
              <w:left w:val="single" w:sz="6" w:space="0" w:color="E0E0E0"/>
              <w:bottom w:val="single" w:sz="6" w:space="0" w:color="E0E0E0"/>
              <w:right w:val="single" w:sz="6" w:space="0" w:color="E0E0E0"/>
            </w:tcBorders>
          </w:tcPr>
          <w:p w14:paraId="406041F2" w14:textId="77777777" w:rsidR="0057582C" w:rsidRDefault="00CE7F22">
            <w:pPr>
              <w:spacing w:line="360" w:lineRule="auto"/>
              <w:jc w:val="both"/>
            </w:pPr>
            <w:r>
              <w:t>31.6</w:t>
            </w:r>
          </w:p>
        </w:tc>
        <w:tc>
          <w:tcPr>
            <w:tcW w:w="1920" w:type="dxa"/>
            <w:tcBorders>
              <w:left w:val="single" w:sz="6" w:space="0" w:color="E0E0E0"/>
              <w:bottom w:val="single" w:sz="6" w:space="0" w:color="E0E0E0"/>
              <w:right w:val="single" w:sz="6" w:space="0" w:color="E0E0E0"/>
            </w:tcBorders>
          </w:tcPr>
          <w:p w14:paraId="47CEAA45" w14:textId="77777777" w:rsidR="0057582C" w:rsidRDefault="00CE7F22">
            <w:pPr>
              <w:spacing w:line="360" w:lineRule="auto"/>
              <w:jc w:val="both"/>
            </w:pPr>
            <w:r>
              <w:t>497.3</w:t>
            </w:r>
          </w:p>
        </w:tc>
        <w:tc>
          <w:tcPr>
            <w:tcW w:w="1843" w:type="dxa"/>
            <w:tcBorders>
              <w:left w:val="single" w:sz="6" w:space="0" w:color="E0E0E0"/>
              <w:bottom w:val="single" w:sz="6" w:space="0" w:color="E0E0E0"/>
              <w:right w:val="single" w:sz="6" w:space="0" w:color="E0E0E0"/>
            </w:tcBorders>
          </w:tcPr>
          <w:p w14:paraId="5E66EC3C" w14:textId="77777777" w:rsidR="0057582C" w:rsidRDefault="00CE7F22">
            <w:pPr>
              <w:spacing w:line="360" w:lineRule="auto"/>
              <w:jc w:val="both"/>
            </w:pPr>
            <w:r>
              <w:t>118</w:t>
            </w:r>
          </w:p>
        </w:tc>
      </w:tr>
      <w:tr w:rsidR="0057582C" w14:paraId="60E49447" w14:textId="77777777">
        <w:trPr>
          <w:trHeight w:val="540"/>
        </w:trPr>
        <w:tc>
          <w:tcPr>
            <w:tcW w:w="1817" w:type="dxa"/>
            <w:tcBorders>
              <w:left w:val="single" w:sz="6" w:space="0" w:color="E0E0E0"/>
              <w:bottom w:val="single" w:sz="6" w:space="0" w:color="E0E0E0"/>
              <w:right w:val="single" w:sz="6" w:space="0" w:color="E0E0E0"/>
            </w:tcBorders>
          </w:tcPr>
          <w:p w14:paraId="629BBCC2" w14:textId="77777777" w:rsidR="0057582C" w:rsidRDefault="00CE7F22">
            <w:pPr>
              <w:spacing w:line="360" w:lineRule="auto"/>
              <w:jc w:val="both"/>
            </w:pPr>
            <w:r>
              <w:t>5</w:t>
            </w:r>
          </w:p>
        </w:tc>
        <w:tc>
          <w:tcPr>
            <w:tcW w:w="1882" w:type="dxa"/>
            <w:tcBorders>
              <w:left w:val="single" w:sz="6" w:space="0" w:color="E0E0E0"/>
              <w:bottom w:val="single" w:sz="6" w:space="0" w:color="E0E0E0"/>
              <w:right w:val="single" w:sz="6" w:space="0" w:color="E0E0E0"/>
            </w:tcBorders>
          </w:tcPr>
          <w:p w14:paraId="0BA55817" w14:textId="77777777" w:rsidR="0057582C" w:rsidRDefault="00CE7F22">
            <w:pPr>
              <w:spacing w:line="360" w:lineRule="auto"/>
              <w:jc w:val="both"/>
            </w:pPr>
            <w:r>
              <w:t>42.0</w:t>
            </w:r>
          </w:p>
        </w:tc>
        <w:tc>
          <w:tcPr>
            <w:tcW w:w="1882" w:type="dxa"/>
            <w:tcBorders>
              <w:left w:val="single" w:sz="6" w:space="0" w:color="E0E0E0"/>
              <w:bottom w:val="single" w:sz="6" w:space="0" w:color="E0E0E0"/>
              <w:right w:val="single" w:sz="6" w:space="0" w:color="E0E0E0"/>
            </w:tcBorders>
          </w:tcPr>
          <w:p w14:paraId="61311643" w14:textId="77777777" w:rsidR="0057582C" w:rsidRDefault="00CE7F22">
            <w:pPr>
              <w:spacing w:line="360" w:lineRule="auto"/>
              <w:jc w:val="both"/>
            </w:pPr>
            <w:r>
              <w:t>75.8</w:t>
            </w:r>
          </w:p>
        </w:tc>
        <w:tc>
          <w:tcPr>
            <w:tcW w:w="1920" w:type="dxa"/>
            <w:tcBorders>
              <w:left w:val="single" w:sz="6" w:space="0" w:color="E0E0E0"/>
              <w:bottom w:val="single" w:sz="6" w:space="0" w:color="E0E0E0"/>
              <w:right w:val="single" w:sz="6" w:space="0" w:color="E0E0E0"/>
            </w:tcBorders>
          </w:tcPr>
          <w:p w14:paraId="332FF31D" w14:textId="77777777" w:rsidR="0057582C" w:rsidRDefault="00CE7F22">
            <w:pPr>
              <w:spacing w:line="360" w:lineRule="auto"/>
              <w:jc w:val="both"/>
            </w:pPr>
            <w:r>
              <w:t>1,116.1</w:t>
            </w:r>
          </w:p>
        </w:tc>
        <w:tc>
          <w:tcPr>
            <w:tcW w:w="1843" w:type="dxa"/>
            <w:tcBorders>
              <w:left w:val="single" w:sz="6" w:space="0" w:color="E0E0E0"/>
              <w:bottom w:val="single" w:sz="6" w:space="0" w:color="E0E0E0"/>
              <w:right w:val="single" w:sz="6" w:space="0" w:color="E0E0E0"/>
            </w:tcBorders>
          </w:tcPr>
          <w:p w14:paraId="518E7328" w14:textId="77777777" w:rsidR="0057582C" w:rsidRDefault="00CE7F22">
            <w:pPr>
              <w:spacing w:line="360" w:lineRule="auto"/>
              <w:jc w:val="both"/>
            </w:pPr>
            <w:r>
              <w:t>6</w:t>
            </w:r>
          </w:p>
        </w:tc>
      </w:tr>
      <w:tr w:rsidR="0057582C" w14:paraId="3BFFB1AA" w14:textId="77777777">
        <w:trPr>
          <w:trHeight w:val="540"/>
        </w:trPr>
        <w:tc>
          <w:tcPr>
            <w:tcW w:w="1817" w:type="dxa"/>
            <w:tcBorders>
              <w:left w:val="single" w:sz="6" w:space="0" w:color="E0E0E0"/>
              <w:bottom w:val="single" w:sz="6" w:space="0" w:color="E0E0E0"/>
              <w:right w:val="single" w:sz="6" w:space="0" w:color="E0E0E0"/>
            </w:tcBorders>
          </w:tcPr>
          <w:p w14:paraId="3C196453" w14:textId="77777777" w:rsidR="0057582C" w:rsidRDefault="00CE7F22">
            <w:pPr>
              <w:spacing w:line="360" w:lineRule="auto"/>
              <w:jc w:val="both"/>
            </w:pPr>
            <w:r>
              <w:t>6</w:t>
            </w:r>
          </w:p>
        </w:tc>
        <w:tc>
          <w:tcPr>
            <w:tcW w:w="1882" w:type="dxa"/>
            <w:tcBorders>
              <w:left w:val="single" w:sz="6" w:space="0" w:color="E0E0E0"/>
              <w:bottom w:val="single" w:sz="6" w:space="0" w:color="E0E0E0"/>
              <w:right w:val="single" w:sz="6" w:space="0" w:color="E0E0E0"/>
            </w:tcBorders>
          </w:tcPr>
          <w:p w14:paraId="352A99A6" w14:textId="77777777" w:rsidR="0057582C" w:rsidRDefault="00CE7F22">
            <w:pPr>
              <w:spacing w:line="360" w:lineRule="auto"/>
              <w:jc w:val="both"/>
            </w:pPr>
            <w:r>
              <w:t>36.1</w:t>
            </w:r>
          </w:p>
        </w:tc>
        <w:tc>
          <w:tcPr>
            <w:tcW w:w="1882" w:type="dxa"/>
            <w:tcBorders>
              <w:left w:val="single" w:sz="6" w:space="0" w:color="E0E0E0"/>
              <w:bottom w:val="single" w:sz="6" w:space="0" w:color="E0E0E0"/>
              <w:right w:val="single" w:sz="6" w:space="0" w:color="E0E0E0"/>
            </w:tcBorders>
          </w:tcPr>
          <w:p w14:paraId="3E553272" w14:textId="77777777" w:rsidR="0057582C" w:rsidRDefault="00CE7F22">
            <w:pPr>
              <w:spacing w:line="360" w:lineRule="auto"/>
              <w:jc w:val="both"/>
            </w:pPr>
            <w:r>
              <w:t>85.2</w:t>
            </w:r>
          </w:p>
        </w:tc>
        <w:tc>
          <w:tcPr>
            <w:tcW w:w="1920" w:type="dxa"/>
            <w:tcBorders>
              <w:left w:val="single" w:sz="6" w:space="0" w:color="E0E0E0"/>
              <w:bottom w:val="single" w:sz="6" w:space="0" w:color="E0E0E0"/>
              <w:right w:val="single" w:sz="6" w:space="0" w:color="E0E0E0"/>
            </w:tcBorders>
          </w:tcPr>
          <w:p w14:paraId="657D21A5" w14:textId="77777777" w:rsidR="0057582C" w:rsidRDefault="00CE7F22">
            <w:pPr>
              <w:spacing w:line="360" w:lineRule="auto"/>
              <w:jc w:val="both"/>
            </w:pPr>
            <w:r>
              <w:t>1,139.5</w:t>
            </w:r>
          </w:p>
        </w:tc>
        <w:tc>
          <w:tcPr>
            <w:tcW w:w="1843" w:type="dxa"/>
            <w:tcBorders>
              <w:left w:val="single" w:sz="6" w:space="0" w:color="E0E0E0"/>
              <w:bottom w:val="single" w:sz="6" w:space="0" w:color="E0E0E0"/>
              <w:right w:val="single" w:sz="6" w:space="0" w:color="E0E0E0"/>
            </w:tcBorders>
          </w:tcPr>
          <w:p w14:paraId="0C8095CE" w14:textId="77777777" w:rsidR="0057582C" w:rsidRDefault="00CE7F22">
            <w:pPr>
              <w:spacing w:line="360" w:lineRule="auto"/>
              <w:jc w:val="both"/>
            </w:pPr>
            <w:r>
              <w:t>105</w:t>
            </w:r>
          </w:p>
        </w:tc>
      </w:tr>
      <w:tr w:rsidR="0057582C" w14:paraId="1E4407AA" w14:textId="77777777">
        <w:trPr>
          <w:trHeight w:val="540"/>
        </w:trPr>
        <w:tc>
          <w:tcPr>
            <w:tcW w:w="1817" w:type="dxa"/>
            <w:tcBorders>
              <w:left w:val="single" w:sz="6" w:space="0" w:color="E0E0E0"/>
              <w:bottom w:val="single" w:sz="6" w:space="0" w:color="E0E0E0"/>
              <w:right w:val="single" w:sz="6" w:space="0" w:color="E0E0E0"/>
            </w:tcBorders>
          </w:tcPr>
          <w:p w14:paraId="5B4F9894" w14:textId="77777777" w:rsidR="0057582C" w:rsidRDefault="00CE7F22">
            <w:pPr>
              <w:spacing w:line="360" w:lineRule="auto"/>
              <w:jc w:val="both"/>
            </w:pPr>
            <w:r>
              <w:t>7</w:t>
            </w:r>
          </w:p>
        </w:tc>
        <w:tc>
          <w:tcPr>
            <w:tcW w:w="1882" w:type="dxa"/>
            <w:tcBorders>
              <w:left w:val="single" w:sz="6" w:space="0" w:color="E0E0E0"/>
              <w:bottom w:val="single" w:sz="6" w:space="0" w:color="E0E0E0"/>
              <w:right w:val="single" w:sz="6" w:space="0" w:color="E0E0E0"/>
            </w:tcBorders>
          </w:tcPr>
          <w:p w14:paraId="179D4D18" w14:textId="77777777" w:rsidR="0057582C" w:rsidRDefault="00CE7F22">
            <w:pPr>
              <w:spacing w:line="360" w:lineRule="auto"/>
              <w:jc w:val="both"/>
            </w:pPr>
            <w:r>
              <w:t>57.9</w:t>
            </w:r>
          </w:p>
        </w:tc>
        <w:tc>
          <w:tcPr>
            <w:tcW w:w="1882" w:type="dxa"/>
            <w:tcBorders>
              <w:left w:val="single" w:sz="6" w:space="0" w:color="E0E0E0"/>
              <w:bottom w:val="single" w:sz="6" w:space="0" w:color="E0E0E0"/>
              <w:right w:val="single" w:sz="6" w:space="0" w:color="E0E0E0"/>
            </w:tcBorders>
          </w:tcPr>
          <w:p w14:paraId="08A357B5" w14:textId="77777777" w:rsidR="0057582C" w:rsidRDefault="00CE7F22">
            <w:pPr>
              <w:spacing w:line="360" w:lineRule="auto"/>
              <w:jc w:val="both"/>
            </w:pPr>
            <w:r>
              <w:t>66.8</w:t>
            </w:r>
          </w:p>
        </w:tc>
        <w:tc>
          <w:tcPr>
            <w:tcW w:w="1920" w:type="dxa"/>
            <w:tcBorders>
              <w:left w:val="single" w:sz="6" w:space="0" w:color="E0E0E0"/>
              <w:bottom w:val="single" w:sz="6" w:space="0" w:color="E0E0E0"/>
              <w:right w:val="single" w:sz="6" w:space="0" w:color="E0E0E0"/>
            </w:tcBorders>
          </w:tcPr>
          <w:p w14:paraId="7D6860E4" w14:textId="77777777" w:rsidR="0057582C" w:rsidRDefault="00CE7F22">
            <w:pPr>
              <w:spacing w:line="360" w:lineRule="auto"/>
              <w:jc w:val="both"/>
            </w:pPr>
            <w:r>
              <w:t>938.9</w:t>
            </w:r>
          </w:p>
        </w:tc>
        <w:tc>
          <w:tcPr>
            <w:tcW w:w="1843" w:type="dxa"/>
            <w:tcBorders>
              <w:left w:val="single" w:sz="6" w:space="0" w:color="E0E0E0"/>
              <w:bottom w:val="single" w:sz="6" w:space="0" w:color="E0E0E0"/>
              <w:right w:val="single" w:sz="6" w:space="0" w:color="E0E0E0"/>
            </w:tcBorders>
          </w:tcPr>
          <w:p w14:paraId="2859F621" w14:textId="77777777" w:rsidR="0057582C" w:rsidRDefault="00CE7F22">
            <w:pPr>
              <w:spacing w:line="360" w:lineRule="auto"/>
              <w:jc w:val="both"/>
            </w:pPr>
            <w:r>
              <w:t>154</w:t>
            </w:r>
          </w:p>
        </w:tc>
      </w:tr>
      <w:tr w:rsidR="0057582C" w14:paraId="70A517AA" w14:textId="77777777">
        <w:trPr>
          <w:trHeight w:val="540"/>
        </w:trPr>
        <w:tc>
          <w:tcPr>
            <w:tcW w:w="1817" w:type="dxa"/>
            <w:tcBorders>
              <w:left w:val="single" w:sz="6" w:space="0" w:color="E0E0E0"/>
              <w:bottom w:val="single" w:sz="6" w:space="0" w:color="E0E0E0"/>
              <w:right w:val="single" w:sz="6" w:space="0" w:color="E0E0E0"/>
            </w:tcBorders>
          </w:tcPr>
          <w:p w14:paraId="32E6B6A9" w14:textId="77777777" w:rsidR="0057582C" w:rsidRDefault="00CE7F22">
            <w:pPr>
              <w:spacing w:line="360" w:lineRule="auto"/>
              <w:jc w:val="both"/>
            </w:pPr>
            <w:r>
              <w:t>8</w:t>
            </w:r>
          </w:p>
        </w:tc>
        <w:tc>
          <w:tcPr>
            <w:tcW w:w="1882" w:type="dxa"/>
            <w:tcBorders>
              <w:left w:val="single" w:sz="6" w:space="0" w:color="E0E0E0"/>
              <w:bottom w:val="single" w:sz="6" w:space="0" w:color="E0E0E0"/>
              <w:right w:val="single" w:sz="6" w:space="0" w:color="E0E0E0"/>
            </w:tcBorders>
          </w:tcPr>
          <w:p w14:paraId="57FA4A2F" w14:textId="77777777" w:rsidR="0057582C" w:rsidRDefault="00CE7F22">
            <w:pPr>
              <w:spacing w:line="360" w:lineRule="auto"/>
              <w:jc w:val="both"/>
            </w:pPr>
            <w:r>
              <w:t>67.5</w:t>
            </w:r>
          </w:p>
        </w:tc>
        <w:tc>
          <w:tcPr>
            <w:tcW w:w="1882" w:type="dxa"/>
            <w:tcBorders>
              <w:left w:val="single" w:sz="6" w:space="0" w:color="E0E0E0"/>
              <w:bottom w:val="single" w:sz="6" w:space="0" w:color="E0E0E0"/>
              <w:right w:val="single" w:sz="6" w:space="0" w:color="E0E0E0"/>
            </w:tcBorders>
          </w:tcPr>
          <w:p w14:paraId="37FCD048" w14:textId="77777777" w:rsidR="0057582C" w:rsidRDefault="00CE7F22">
            <w:pPr>
              <w:spacing w:line="360" w:lineRule="auto"/>
              <w:jc w:val="both"/>
            </w:pPr>
            <w:r>
              <w:t>54.9</w:t>
            </w:r>
          </w:p>
        </w:tc>
        <w:tc>
          <w:tcPr>
            <w:tcW w:w="1920" w:type="dxa"/>
            <w:tcBorders>
              <w:left w:val="single" w:sz="6" w:space="0" w:color="E0E0E0"/>
              <w:bottom w:val="single" w:sz="6" w:space="0" w:color="E0E0E0"/>
              <w:right w:val="single" w:sz="6" w:space="0" w:color="E0E0E0"/>
            </w:tcBorders>
          </w:tcPr>
          <w:p w14:paraId="78CF2083" w14:textId="77777777" w:rsidR="0057582C" w:rsidRDefault="00CE7F22">
            <w:pPr>
              <w:spacing w:line="360" w:lineRule="auto"/>
              <w:jc w:val="both"/>
            </w:pPr>
            <w:r>
              <w:t>995.0</w:t>
            </w:r>
          </w:p>
        </w:tc>
        <w:tc>
          <w:tcPr>
            <w:tcW w:w="1843" w:type="dxa"/>
            <w:tcBorders>
              <w:left w:val="single" w:sz="6" w:space="0" w:color="E0E0E0"/>
              <w:bottom w:val="single" w:sz="6" w:space="0" w:color="E0E0E0"/>
              <w:right w:val="single" w:sz="6" w:space="0" w:color="E0E0E0"/>
            </w:tcBorders>
          </w:tcPr>
          <w:p w14:paraId="3D1F30EF" w14:textId="77777777" w:rsidR="0057582C" w:rsidRDefault="00CE7F22">
            <w:pPr>
              <w:spacing w:line="360" w:lineRule="auto"/>
              <w:jc w:val="both"/>
            </w:pPr>
            <w:r>
              <w:t>199</w:t>
            </w:r>
          </w:p>
        </w:tc>
      </w:tr>
      <w:tr w:rsidR="0057582C" w14:paraId="75F54B59" w14:textId="77777777">
        <w:trPr>
          <w:trHeight w:val="540"/>
        </w:trPr>
        <w:tc>
          <w:tcPr>
            <w:tcW w:w="1817" w:type="dxa"/>
            <w:tcBorders>
              <w:left w:val="single" w:sz="6" w:space="0" w:color="E0E0E0"/>
              <w:bottom w:val="single" w:sz="6" w:space="0" w:color="E0E0E0"/>
              <w:right w:val="single" w:sz="6" w:space="0" w:color="E0E0E0"/>
            </w:tcBorders>
          </w:tcPr>
          <w:p w14:paraId="0889C29B" w14:textId="77777777" w:rsidR="0057582C" w:rsidRDefault="00CE7F22">
            <w:pPr>
              <w:spacing w:line="360" w:lineRule="auto"/>
              <w:jc w:val="both"/>
            </w:pPr>
            <w:r>
              <w:t>9</w:t>
            </w:r>
          </w:p>
        </w:tc>
        <w:tc>
          <w:tcPr>
            <w:tcW w:w="1882" w:type="dxa"/>
            <w:tcBorders>
              <w:left w:val="single" w:sz="6" w:space="0" w:color="E0E0E0"/>
              <w:bottom w:val="single" w:sz="6" w:space="0" w:color="E0E0E0"/>
              <w:right w:val="single" w:sz="6" w:space="0" w:color="E0E0E0"/>
            </w:tcBorders>
          </w:tcPr>
          <w:p w14:paraId="27FB72E0" w14:textId="77777777" w:rsidR="0057582C" w:rsidRDefault="00CE7F22">
            <w:pPr>
              <w:spacing w:line="360" w:lineRule="auto"/>
              <w:jc w:val="both"/>
            </w:pPr>
            <w:r>
              <w:t>95.4</w:t>
            </w:r>
          </w:p>
        </w:tc>
        <w:tc>
          <w:tcPr>
            <w:tcW w:w="1882" w:type="dxa"/>
            <w:tcBorders>
              <w:left w:val="single" w:sz="6" w:space="0" w:color="E0E0E0"/>
              <w:bottom w:val="single" w:sz="6" w:space="0" w:color="E0E0E0"/>
              <w:right w:val="single" w:sz="6" w:space="0" w:color="E0E0E0"/>
            </w:tcBorders>
          </w:tcPr>
          <w:p w14:paraId="7472C88C" w14:textId="77777777" w:rsidR="0057582C" w:rsidRDefault="00CE7F22">
            <w:pPr>
              <w:spacing w:line="360" w:lineRule="auto"/>
              <w:jc w:val="both"/>
            </w:pPr>
            <w:r>
              <w:t>50.5</w:t>
            </w:r>
          </w:p>
        </w:tc>
        <w:tc>
          <w:tcPr>
            <w:tcW w:w="1920" w:type="dxa"/>
            <w:tcBorders>
              <w:left w:val="single" w:sz="6" w:space="0" w:color="E0E0E0"/>
              <w:bottom w:val="single" w:sz="6" w:space="0" w:color="E0E0E0"/>
              <w:right w:val="single" w:sz="6" w:space="0" w:color="E0E0E0"/>
            </w:tcBorders>
          </w:tcPr>
          <w:p w14:paraId="7284A681" w14:textId="77777777" w:rsidR="0057582C" w:rsidRDefault="00CE7F22">
            <w:pPr>
              <w:spacing w:line="360" w:lineRule="auto"/>
              <w:jc w:val="both"/>
            </w:pPr>
            <w:r>
              <w:t>1,073.1</w:t>
            </w:r>
          </w:p>
        </w:tc>
        <w:tc>
          <w:tcPr>
            <w:tcW w:w="1843" w:type="dxa"/>
            <w:tcBorders>
              <w:left w:val="single" w:sz="6" w:space="0" w:color="E0E0E0"/>
              <w:bottom w:val="single" w:sz="6" w:space="0" w:color="E0E0E0"/>
              <w:right w:val="single" w:sz="6" w:space="0" w:color="E0E0E0"/>
            </w:tcBorders>
          </w:tcPr>
          <w:p w14:paraId="65F4A89C" w14:textId="77777777" w:rsidR="0057582C" w:rsidRDefault="00CE7F22">
            <w:pPr>
              <w:spacing w:line="360" w:lineRule="auto"/>
              <w:jc w:val="both"/>
            </w:pPr>
            <w:r>
              <w:t>91</w:t>
            </w:r>
          </w:p>
        </w:tc>
      </w:tr>
      <w:tr w:rsidR="0057582C" w14:paraId="24708944" w14:textId="77777777">
        <w:trPr>
          <w:trHeight w:val="540"/>
        </w:trPr>
        <w:tc>
          <w:tcPr>
            <w:tcW w:w="1817" w:type="dxa"/>
            <w:tcBorders>
              <w:left w:val="single" w:sz="6" w:space="0" w:color="E0E0E0"/>
              <w:bottom w:val="single" w:sz="6" w:space="0" w:color="E0E0E0"/>
              <w:right w:val="single" w:sz="6" w:space="0" w:color="E0E0E0"/>
            </w:tcBorders>
          </w:tcPr>
          <w:p w14:paraId="5E589E00" w14:textId="77777777" w:rsidR="0057582C" w:rsidRDefault="00CE7F22">
            <w:pPr>
              <w:spacing w:line="360" w:lineRule="auto"/>
              <w:jc w:val="both"/>
            </w:pPr>
            <w:r>
              <w:t>10</w:t>
            </w:r>
          </w:p>
        </w:tc>
        <w:tc>
          <w:tcPr>
            <w:tcW w:w="1882" w:type="dxa"/>
            <w:tcBorders>
              <w:left w:val="single" w:sz="6" w:space="0" w:color="E0E0E0"/>
              <w:bottom w:val="single" w:sz="6" w:space="0" w:color="E0E0E0"/>
              <w:right w:val="single" w:sz="6" w:space="0" w:color="E0E0E0"/>
            </w:tcBorders>
          </w:tcPr>
          <w:p w14:paraId="08B24BD5" w14:textId="77777777" w:rsidR="0057582C" w:rsidRDefault="00CE7F22">
            <w:pPr>
              <w:spacing w:line="360" w:lineRule="auto"/>
              <w:jc w:val="both"/>
            </w:pPr>
            <w:r>
              <w:t>29.8</w:t>
            </w:r>
          </w:p>
        </w:tc>
        <w:tc>
          <w:tcPr>
            <w:tcW w:w="1882" w:type="dxa"/>
            <w:tcBorders>
              <w:left w:val="single" w:sz="6" w:space="0" w:color="E0E0E0"/>
              <w:bottom w:val="single" w:sz="6" w:space="0" w:color="E0E0E0"/>
              <w:right w:val="single" w:sz="6" w:space="0" w:color="E0E0E0"/>
            </w:tcBorders>
          </w:tcPr>
          <w:p w14:paraId="3B13D816" w14:textId="77777777" w:rsidR="0057582C" w:rsidRDefault="00CE7F22">
            <w:pPr>
              <w:spacing w:line="360" w:lineRule="auto"/>
              <w:jc w:val="both"/>
            </w:pPr>
            <w:r>
              <w:t>63.7</w:t>
            </w:r>
          </w:p>
        </w:tc>
        <w:tc>
          <w:tcPr>
            <w:tcW w:w="1920" w:type="dxa"/>
            <w:tcBorders>
              <w:left w:val="single" w:sz="6" w:space="0" w:color="E0E0E0"/>
              <w:bottom w:val="single" w:sz="6" w:space="0" w:color="E0E0E0"/>
              <w:right w:val="single" w:sz="6" w:space="0" w:color="E0E0E0"/>
            </w:tcBorders>
          </w:tcPr>
          <w:p w14:paraId="03559631" w14:textId="77777777" w:rsidR="0057582C" w:rsidRDefault="00CE7F22">
            <w:pPr>
              <w:spacing w:line="360" w:lineRule="auto"/>
              <w:jc w:val="both"/>
            </w:pPr>
            <w:r>
              <w:t>1,025.3</w:t>
            </w:r>
          </w:p>
        </w:tc>
        <w:tc>
          <w:tcPr>
            <w:tcW w:w="1843" w:type="dxa"/>
            <w:tcBorders>
              <w:left w:val="single" w:sz="6" w:space="0" w:color="E0E0E0"/>
              <w:bottom w:val="single" w:sz="6" w:space="0" w:color="E0E0E0"/>
              <w:right w:val="single" w:sz="6" w:space="0" w:color="E0E0E0"/>
            </w:tcBorders>
          </w:tcPr>
          <w:p w14:paraId="056F933F" w14:textId="77777777" w:rsidR="0057582C" w:rsidRDefault="00CE7F22">
            <w:pPr>
              <w:spacing w:line="360" w:lineRule="auto"/>
              <w:jc w:val="both"/>
            </w:pPr>
            <w:r>
              <w:t>88</w:t>
            </w:r>
          </w:p>
        </w:tc>
      </w:tr>
      <w:tr w:rsidR="0057582C" w14:paraId="39183001" w14:textId="77777777">
        <w:trPr>
          <w:trHeight w:val="540"/>
        </w:trPr>
        <w:tc>
          <w:tcPr>
            <w:tcW w:w="1817" w:type="dxa"/>
            <w:tcBorders>
              <w:left w:val="single" w:sz="6" w:space="0" w:color="E0E0E0"/>
              <w:bottom w:val="single" w:sz="6" w:space="0" w:color="E0E0E0"/>
              <w:right w:val="single" w:sz="6" w:space="0" w:color="E0E0E0"/>
            </w:tcBorders>
          </w:tcPr>
          <w:p w14:paraId="0C4EC415" w14:textId="77777777" w:rsidR="0057582C" w:rsidRDefault="00CE7F22">
            <w:pPr>
              <w:spacing w:line="360" w:lineRule="auto"/>
              <w:jc w:val="both"/>
            </w:pPr>
            <w:r>
              <w:t>11</w:t>
            </w:r>
          </w:p>
        </w:tc>
        <w:tc>
          <w:tcPr>
            <w:tcW w:w="1882" w:type="dxa"/>
            <w:tcBorders>
              <w:left w:val="single" w:sz="6" w:space="0" w:color="E0E0E0"/>
              <w:bottom w:val="single" w:sz="6" w:space="0" w:color="E0E0E0"/>
              <w:right w:val="single" w:sz="6" w:space="0" w:color="E0E0E0"/>
            </w:tcBorders>
          </w:tcPr>
          <w:p w14:paraId="44C50CF4" w14:textId="77777777" w:rsidR="0057582C" w:rsidRDefault="00CE7F22">
            <w:pPr>
              <w:spacing w:line="360" w:lineRule="auto"/>
              <w:jc w:val="both"/>
            </w:pPr>
            <w:r>
              <w:t>50.6</w:t>
            </w:r>
          </w:p>
        </w:tc>
        <w:tc>
          <w:tcPr>
            <w:tcW w:w="1882" w:type="dxa"/>
            <w:tcBorders>
              <w:left w:val="single" w:sz="6" w:space="0" w:color="E0E0E0"/>
              <w:bottom w:val="single" w:sz="6" w:space="0" w:color="E0E0E0"/>
              <w:right w:val="single" w:sz="6" w:space="0" w:color="E0E0E0"/>
            </w:tcBorders>
          </w:tcPr>
          <w:p w14:paraId="568ED6BD" w14:textId="77777777" w:rsidR="0057582C" w:rsidRDefault="00CE7F22">
            <w:pPr>
              <w:spacing w:line="360" w:lineRule="auto"/>
              <w:jc w:val="both"/>
            </w:pPr>
            <w:r>
              <w:t>60.3</w:t>
            </w:r>
          </w:p>
        </w:tc>
        <w:tc>
          <w:tcPr>
            <w:tcW w:w="1920" w:type="dxa"/>
            <w:tcBorders>
              <w:left w:val="single" w:sz="6" w:space="0" w:color="E0E0E0"/>
              <w:bottom w:val="single" w:sz="6" w:space="0" w:color="E0E0E0"/>
              <w:right w:val="single" w:sz="6" w:space="0" w:color="E0E0E0"/>
            </w:tcBorders>
          </w:tcPr>
          <w:p w14:paraId="40D0F24B" w14:textId="77777777" w:rsidR="0057582C" w:rsidRDefault="00CE7F22">
            <w:pPr>
              <w:spacing w:line="360" w:lineRule="auto"/>
              <w:jc w:val="both"/>
            </w:pPr>
            <w:r>
              <w:t>960.5</w:t>
            </w:r>
          </w:p>
        </w:tc>
        <w:tc>
          <w:tcPr>
            <w:tcW w:w="1843" w:type="dxa"/>
            <w:tcBorders>
              <w:left w:val="single" w:sz="6" w:space="0" w:color="E0E0E0"/>
              <w:bottom w:val="single" w:sz="6" w:space="0" w:color="E0E0E0"/>
              <w:right w:val="single" w:sz="6" w:space="0" w:color="E0E0E0"/>
            </w:tcBorders>
          </w:tcPr>
          <w:p w14:paraId="2AEBF4B9" w14:textId="77777777" w:rsidR="0057582C" w:rsidRDefault="00CE7F22">
            <w:pPr>
              <w:spacing w:line="360" w:lineRule="auto"/>
              <w:jc w:val="both"/>
            </w:pPr>
            <w:r>
              <w:t>143</w:t>
            </w:r>
          </w:p>
        </w:tc>
      </w:tr>
      <w:tr w:rsidR="0057582C" w14:paraId="66D3EA19" w14:textId="77777777">
        <w:trPr>
          <w:trHeight w:val="540"/>
        </w:trPr>
        <w:tc>
          <w:tcPr>
            <w:tcW w:w="1817" w:type="dxa"/>
            <w:tcBorders>
              <w:left w:val="single" w:sz="6" w:space="0" w:color="E0E0E0"/>
              <w:bottom w:val="single" w:sz="6" w:space="0" w:color="E0E0E0"/>
              <w:right w:val="single" w:sz="6" w:space="0" w:color="E0E0E0"/>
            </w:tcBorders>
          </w:tcPr>
          <w:p w14:paraId="6FF6652F" w14:textId="77777777" w:rsidR="0057582C" w:rsidRDefault="00CE7F22">
            <w:pPr>
              <w:spacing w:line="360" w:lineRule="auto"/>
              <w:jc w:val="both"/>
            </w:pPr>
            <w:r>
              <w:t>12</w:t>
            </w:r>
          </w:p>
        </w:tc>
        <w:tc>
          <w:tcPr>
            <w:tcW w:w="1882" w:type="dxa"/>
            <w:tcBorders>
              <w:left w:val="single" w:sz="6" w:space="0" w:color="E0E0E0"/>
              <w:bottom w:val="single" w:sz="6" w:space="0" w:color="E0E0E0"/>
              <w:right w:val="single" w:sz="6" w:space="0" w:color="E0E0E0"/>
            </w:tcBorders>
          </w:tcPr>
          <w:p w14:paraId="5A94BF92" w14:textId="77777777" w:rsidR="0057582C" w:rsidRDefault="00CE7F22">
            <w:pPr>
              <w:spacing w:line="360" w:lineRule="auto"/>
              <w:jc w:val="both"/>
            </w:pPr>
            <w:r>
              <w:t>80.5</w:t>
            </w:r>
          </w:p>
        </w:tc>
        <w:tc>
          <w:tcPr>
            <w:tcW w:w="1882" w:type="dxa"/>
            <w:tcBorders>
              <w:left w:val="single" w:sz="6" w:space="0" w:color="E0E0E0"/>
              <w:bottom w:val="single" w:sz="6" w:space="0" w:color="E0E0E0"/>
              <w:right w:val="single" w:sz="6" w:space="0" w:color="E0E0E0"/>
            </w:tcBorders>
          </w:tcPr>
          <w:p w14:paraId="17863BDA" w14:textId="77777777" w:rsidR="0057582C" w:rsidRDefault="00CE7F22">
            <w:pPr>
              <w:spacing w:line="360" w:lineRule="auto"/>
              <w:jc w:val="both"/>
            </w:pPr>
            <w:r>
              <w:t>49.2</w:t>
            </w:r>
          </w:p>
        </w:tc>
        <w:tc>
          <w:tcPr>
            <w:tcW w:w="1920" w:type="dxa"/>
            <w:tcBorders>
              <w:left w:val="single" w:sz="6" w:space="0" w:color="E0E0E0"/>
              <w:bottom w:val="single" w:sz="6" w:space="0" w:color="E0E0E0"/>
              <w:right w:val="single" w:sz="6" w:space="0" w:color="E0E0E0"/>
            </w:tcBorders>
          </w:tcPr>
          <w:p w14:paraId="13B2DEAF" w14:textId="77777777" w:rsidR="0057582C" w:rsidRDefault="00CE7F22">
            <w:pPr>
              <w:spacing w:line="360" w:lineRule="auto"/>
              <w:jc w:val="both"/>
            </w:pPr>
            <w:r>
              <w:t>941.0</w:t>
            </w:r>
          </w:p>
        </w:tc>
        <w:tc>
          <w:tcPr>
            <w:tcW w:w="1843" w:type="dxa"/>
            <w:tcBorders>
              <w:left w:val="single" w:sz="6" w:space="0" w:color="E0E0E0"/>
              <w:bottom w:val="single" w:sz="6" w:space="0" w:color="E0E0E0"/>
              <w:right w:val="single" w:sz="6" w:space="0" w:color="E0E0E0"/>
            </w:tcBorders>
          </w:tcPr>
          <w:p w14:paraId="501593CC" w14:textId="77777777" w:rsidR="0057582C" w:rsidRDefault="00CE7F22">
            <w:pPr>
              <w:spacing w:line="360" w:lineRule="auto"/>
              <w:jc w:val="both"/>
            </w:pPr>
            <w:r>
              <w:t>202</w:t>
            </w:r>
          </w:p>
        </w:tc>
      </w:tr>
      <w:tr w:rsidR="0057582C" w14:paraId="24CBA230" w14:textId="77777777">
        <w:trPr>
          <w:trHeight w:val="540"/>
        </w:trPr>
        <w:tc>
          <w:tcPr>
            <w:tcW w:w="1817" w:type="dxa"/>
            <w:tcBorders>
              <w:left w:val="single" w:sz="6" w:space="0" w:color="E0E0E0"/>
              <w:bottom w:val="single" w:sz="6" w:space="0" w:color="E0E0E0"/>
              <w:right w:val="single" w:sz="6" w:space="0" w:color="E0E0E0"/>
            </w:tcBorders>
          </w:tcPr>
          <w:p w14:paraId="6AC8BDFC" w14:textId="77777777" w:rsidR="0057582C" w:rsidRDefault="00CE7F22">
            <w:pPr>
              <w:spacing w:line="360" w:lineRule="auto"/>
              <w:jc w:val="both"/>
            </w:pPr>
            <w:r>
              <w:t>13</w:t>
            </w:r>
          </w:p>
        </w:tc>
        <w:tc>
          <w:tcPr>
            <w:tcW w:w="1882" w:type="dxa"/>
            <w:tcBorders>
              <w:left w:val="single" w:sz="6" w:space="0" w:color="E0E0E0"/>
              <w:bottom w:val="single" w:sz="6" w:space="0" w:color="E0E0E0"/>
              <w:right w:val="single" w:sz="6" w:space="0" w:color="E0E0E0"/>
            </w:tcBorders>
          </w:tcPr>
          <w:p w14:paraId="322D64E2" w14:textId="77777777" w:rsidR="0057582C" w:rsidRDefault="00CE7F22">
            <w:pPr>
              <w:spacing w:line="360" w:lineRule="auto"/>
              <w:jc w:val="both"/>
            </w:pPr>
            <w:r>
              <w:t>106.6</w:t>
            </w:r>
          </w:p>
        </w:tc>
        <w:tc>
          <w:tcPr>
            <w:tcW w:w="1882" w:type="dxa"/>
            <w:tcBorders>
              <w:left w:val="single" w:sz="6" w:space="0" w:color="E0E0E0"/>
              <w:bottom w:val="single" w:sz="6" w:space="0" w:color="E0E0E0"/>
              <w:right w:val="single" w:sz="6" w:space="0" w:color="E0E0E0"/>
            </w:tcBorders>
          </w:tcPr>
          <w:p w14:paraId="12840127" w14:textId="77777777" w:rsidR="0057582C" w:rsidRDefault="00CE7F22">
            <w:pPr>
              <w:spacing w:line="360" w:lineRule="auto"/>
              <w:jc w:val="both"/>
            </w:pPr>
            <w:r>
              <w:t>53.4</w:t>
            </w:r>
          </w:p>
        </w:tc>
        <w:tc>
          <w:tcPr>
            <w:tcW w:w="1920" w:type="dxa"/>
            <w:tcBorders>
              <w:left w:val="single" w:sz="6" w:space="0" w:color="E0E0E0"/>
              <w:bottom w:val="single" w:sz="6" w:space="0" w:color="E0E0E0"/>
              <w:right w:val="single" w:sz="6" w:space="0" w:color="E0E0E0"/>
            </w:tcBorders>
          </w:tcPr>
          <w:p w14:paraId="6D2D00D8" w14:textId="77777777" w:rsidR="0057582C" w:rsidRDefault="00CE7F22">
            <w:pPr>
              <w:spacing w:line="360" w:lineRule="auto"/>
              <w:jc w:val="both"/>
            </w:pPr>
            <w:r>
              <w:t>832.9</w:t>
            </w:r>
          </w:p>
        </w:tc>
        <w:tc>
          <w:tcPr>
            <w:tcW w:w="1843" w:type="dxa"/>
            <w:tcBorders>
              <w:left w:val="single" w:sz="6" w:space="0" w:color="E0E0E0"/>
              <w:bottom w:val="single" w:sz="6" w:space="0" w:color="E0E0E0"/>
              <w:right w:val="single" w:sz="6" w:space="0" w:color="E0E0E0"/>
            </w:tcBorders>
          </w:tcPr>
          <w:p w14:paraId="728649D7" w14:textId="77777777" w:rsidR="0057582C" w:rsidRDefault="00CE7F22">
            <w:pPr>
              <w:spacing w:line="360" w:lineRule="auto"/>
              <w:jc w:val="both"/>
            </w:pPr>
            <w:r>
              <w:t>55</w:t>
            </w:r>
          </w:p>
        </w:tc>
      </w:tr>
      <w:tr w:rsidR="0057582C" w14:paraId="46E8A9D8" w14:textId="77777777">
        <w:trPr>
          <w:trHeight w:val="540"/>
        </w:trPr>
        <w:tc>
          <w:tcPr>
            <w:tcW w:w="1817" w:type="dxa"/>
            <w:tcBorders>
              <w:left w:val="single" w:sz="6" w:space="0" w:color="E0E0E0"/>
              <w:bottom w:val="single" w:sz="6" w:space="0" w:color="E0E0E0"/>
              <w:right w:val="single" w:sz="6" w:space="0" w:color="E0E0E0"/>
            </w:tcBorders>
          </w:tcPr>
          <w:p w14:paraId="3319C043" w14:textId="77777777" w:rsidR="0057582C" w:rsidRDefault="00CE7F22">
            <w:pPr>
              <w:spacing w:line="360" w:lineRule="auto"/>
              <w:jc w:val="both"/>
            </w:pPr>
            <w:r>
              <w:t>14</w:t>
            </w:r>
          </w:p>
        </w:tc>
        <w:tc>
          <w:tcPr>
            <w:tcW w:w="1882" w:type="dxa"/>
            <w:tcBorders>
              <w:left w:val="single" w:sz="6" w:space="0" w:color="E0E0E0"/>
              <w:bottom w:val="single" w:sz="6" w:space="0" w:color="E0E0E0"/>
              <w:right w:val="single" w:sz="6" w:space="0" w:color="E0E0E0"/>
            </w:tcBorders>
          </w:tcPr>
          <w:p w14:paraId="7DF1A659" w14:textId="77777777" w:rsidR="0057582C" w:rsidRDefault="00CE7F22">
            <w:pPr>
              <w:spacing w:line="360" w:lineRule="auto"/>
              <w:jc w:val="both"/>
            </w:pPr>
            <w:r>
              <w:t>159.2</w:t>
            </w:r>
          </w:p>
        </w:tc>
        <w:tc>
          <w:tcPr>
            <w:tcW w:w="1882" w:type="dxa"/>
            <w:tcBorders>
              <w:left w:val="single" w:sz="6" w:space="0" w:color="E0E0E0"/>
              <w:bottom w:val="single" w:sz="6" w:space="0" w:color="E0E0E0"/>
              <w:right w:val="single" w:sz="6" w:space="0" w:color="E0E0E0"/>
            </w:tcBorders>
          </w:tcPr>
          <w:p w14:paraId="3A87A6A2" w14:textId="77777777" w:rsidR="0057582C" w:rsidRDefault="00CE7F22">
            <w:pPr>
              <w:spacing w:line="360" w:lineRule="auto"/>
              <w:jc w:val="both"/>
            </w:pPr>
            <w:r>
              <w:t>41.5</w:t>
            </w:r>
          </w:p>
        </w:tc>
        <w:tc>
          <w:tcPr>
            <w:tcW w:w="1920" w:type="dxa"/>
            <w:tcBorders>
              <w:left w:val="single" w:sz="6" w:space="0" w:color="E0E0E0"/>
              <w:bottom w:val="single" w:sz="6" w:space="0" w:color="E0E0E0"/>
              <w:right w:val="single" w:sz="6" w:space="0" w:color="E0E0E0"/>
            </w:tcBorders>
          </w:tcPr>
          <w:p w14:paraId="011069E6" w14:textId="77777777" w:rsidR="0057582C" w:rsidRDefault="00CE7F22">
            <w:pPr>
              <w:spacing w:line="360" w:lineRule="auto"/>
              <w:jc w:val="both"/>
            </w:pPr>
            <w:r>
              <w:t>608.2</w:t>
            </w:r>
          </w:p>
        </w:tc>
        <w:tc>
          <w:tcPr>
            <w:tcW w:w="1843" w:type="dxa"/>
            <w:tcBorders>
              <w:left w:val="single" w:sz="6" w:space="0" w:color="E0E0E0"/>
              <w:bottom w:val="single" w:sz="6" w:space="0" w:color="E0E0E0"/>
              <w:right w:val="single" w:sz="6" w:space="0" w:color="E0E0E0"/>
            </w:tcBorders>
          </w:tcPr>
          <w:p w14:paraId="6DBB563F" w14:textId="77777777" w:rsidR="0057582C" w:rsidRDefault="00CE7F22">
            <w:pPr>
              <w:spacing w:line="360" w:lineRule="auto"/>
              <w:jc w:val="both"/>
            </w:pPr>
            <w:r>
              <w:t>79</w:t>
            </w:r>
          </w:p>
        </w:tc>
      </w:tr>
      <w:tr w:rsidR="0057582C" w14:paraId="1FFFC92E" w14:textId="77777777">
        <w:trPr>
          <w:trHeight w:val="540"/>
        </w:trPr>
        <w:tc>
          <w:tcPr>
            <w:tcW w:w="1817" w:type="dxa"/>
            <w:tcBorders>
              <w:left w:val="single" w:sz="6" w:space="0" w:color="E0E0E0"/>
              <w:bottom w:val="single" w:sz="6" w:space="0" w:color="E0E0E0"/>
              <w:right w:val="single" w:sz="6" w:space="0" w:color="E0E0E0"/>
            </w:tcBorders>
          </w:tcPr>
          <w:p w14:paraId="66C8ABB1" w14:textId="77777777" w:rsidR="0057582C" w:rsidRDefault="00CE7F22">
            <w:pPr>
              <w:spacing w:line="360" w:lineRule="auto"/>
              <w:jc w:val="both"/>
            </w:pPr>
            <w:r>
              <w:lastRenderedPageBreak/>
              <w:t>15</w:t>
            </w:r>
          </w:p>
        </w:tc>
        <w:tc>
          <w:tcPr>
            <w:tcW w:w="1882" w:type="dxa"/>
            <w:tcBorders>
              <w:left w:val="single" w:sz="6" w:space="0" w:color="E0E0E0"/>
              <w:bottom w:val="single" w:sz="6" w:space="0" w:color="E0E0E0"/>
              <w:right w:val="single" w:sz="6" w:space="0" w:color="E0E0E0"/>
            </w:tcBorders>
          </w:tcPr>
          <w:p w14:paraId="3B6F988B" w14:textId="77777777" w:rsidR="0057582C" w:rsidRDefault="00CE7F22">
            <w:pPr>
              <w:spacing w:line="360" w:lineRule="auto"/>
              <w:jc w:val="both"/>
            </w:pPr>
            <w:r>
              <w:t>14.8</w:t>
            </w:r>
          </w:p>
        </w:tc>
        <w:tc>
          <w:tcPr>
            <w:tcW w:w="1882" w:type="dxa"/>
            <w:tcBorders>
              <w:left w:val="single" w:sz="6" w:space="0" w:color="E0E0E0"/>
              <w:bottom w:val="single" w:sz="6" w:space="0" w:color="E0E0E0"/>
              <w:right w:val="single" w:sz="6" w:space="0" w:color="E0E0E0"/>
            </w:tcBorders>
          </w:tcPr>
          <w:p w14:paraId="433BCDE9" w14:textId="77777777" w:rsidR="0057582C" w:rsidRDefault="00CE7F22">
            <w:pPr>
              <w:spacing w:line="360" w:lineRule="auto"/>
              <w:jc w:val="both"/>
            </w:pPr>
            <w:r>
              <w:t>128.0</w:t>
            </w:r>
          </w:p>
        </w:tc>
        <w:tc>
          <w:tcPr>
            <w:tcW w:w="1920" w:type="dxa"/>
            <w:tcBorders>
              <w:left w:val="single" w:sz="6" w:space="0" w:color="E0E0E0"/>
              <w:bottom w:val="single" w:sz="6" w:space="0" w:color="E0E0E0"/>
              <w:right w:val="single" w:sz="6" w:space="0" w:color="E0E0E0"/>
            </w:tcBorders>
          </w:tcPr>
          <w:p w14:paraId="68572D12" w14:textId="77777777" w:rsidR="0057582C" w:rsidRDefault="00CE7F22">
            <w:pPr>
              <w:spacing w:line="360" w:lineRule="auto"/>
              <w:jc w:val="both"/>
            </w:pPr>
            <w:r>
              <w:t>1,835.0</w:t>
            </w:r>
          </w:p>
        </w:tc>
        <w:tc>
          <w:tcPr>
            <w:tcW w:w="1843" w:type="dxa"/>
            <w:tcBorders>
              <w:left w:val="single" w:sz="6" w:space="0" w:color="E0E0E0"/>
              <w:bottom w:val="single" w:sz="6" w:space="0" w:color="E0E0E0"/>
              <w:right w:val="single" w:sz="6" w:space="0" w:color="E0E0E0"/>
            </w:tcBorders>
          </w:tcPr>
          <w:p w14:paraId="73690C0A" w14:textId="77777777" w:rsidR="0057582C" w:rsidRDefault="00CE7F22">
            <w:pPr>
              <w:spacing w:line="360" w:lineRule="auto"/>
              <w:jc w:val="both"/>
            </w:pPr>
            <w:r>
              <w:t>491</w:t>
            </w:r>
          </w:p>
        </w:tc>
      </w:tr>
      <w:tr w:rsidR="0057582C" w14:paraId="4638FF7F" w14:textId="77777777">
        <w:trPr>
          <w:trHeight w:val="540"/>
        </w:trPr>
        <w:tc>
          <w:tcPr>
            <w:tcW w:w="1817" w:type="dxa"/>
            <w:tcBorders>
              <w:left w:val="single" w:sz="6" w:space="0" w:color="E0E0E0"/>
              <w:bottom w:val="single" w:sz="6" w:space="0" w:color="E0E0E0"/>
              <w:right w:val="single" w:sz="6" w:space="0" w:color="E0E0E0"/>
            </w:tcBorders>
            <w:shd w:val="clear" w:color="auto" w:fill="E2EFDA"/>
          </w:tcPr>
          <w:p w14:paraId="32D5B2C4" w14:textId="77777777" w:rsidR="0057582C" w:rsidRDefault="00CE7F22">
            <w:pPr>
              <w:spacing w:line="360" w:lineRule="auto"/>
              <w:jc w:val="both"/>
            </w:pPr>
            <w:r>
              <w:rPr>
                <w:b/>
                <w:bCs/>
              </w:rPr>
              <w:t>16</w:t>
            </w:r>
          </w:p>
        </w:tc>
        <w:tc>
          <w:tcPr>
            <w:tcW w:w="1882" w:type="dxa"/>
            <w:tcBorders>
              <w:left w:val="single" w:sz="6" w:space="0" w:color="E0E0E0"/>
              <w:bottom w:val="single" w:sz="6" w:space="0" w:color="E0E0E0"/>
              <w:right w:val="single" w:sz="6" w:space="0" w:color="E0E0E0"/>
            </w:tcBorders>
            <w:shd w:val="clear" w:color="auto" w:fill="E2EFDA"/>
          </w:tcPr>
          <w:p w14:paraId="4B37E6DD" w14:textId="77777777" w:rsidR="0057582C" w:rsidRDefault="00CE7F22">
            <w:pPr>
              <w:spacing w:line="360" w:lineRule="auto"/>
              <w:jc w:val="both"/>
            </w:pPr>
            <w:r>
              <w:rPr>
                <w:b/>
                <w:bCs/>
              </w:rPr>
              <w:t>44.5</w:t>
            </w:r>
          </w:p>
        </w:tc>
        <w:tc>
          <w:tcPr>
            <w:tcW w:w="1882" w:type="dxa"/>
            <w:tcBorders>
              <w:left w:val="single" w:sz="6" w:space="0" w:color="E0E0E0"/>
              <w:bottom w:val="single" w:sz="6" w:space="0" w:color="E0E0E0"/>
              <w:right w:val="single" w:sz="6" w:space="0" w:color="E0E0E0"/>
            </w:tcBorders>
            <w:shd w:val="clear" w:color="auto" w:fill="E2EFDA"/>
          </w:tcPr>
          <w:p w14:paraId="3AA08813" w14:textId="77777777" w:rsidR="0057582C" w:rsidRDefault="00CE7F22">
            <w:pPr>
              <w:spacing w:line="360" w:lineRule="auto"/>
              <w:jc w:val="both"/>
            </w:pPr>
            <w:r>
              <w:rPr>
                <w:b/>
                <w:bCs/>
              </w:rPr>
              <w:t>67.2</w:t>
            </w:r>
          </w:p>
        </w:tc>
        <w:tc>
          <w:tcPr>
            <w:tcW w:w="1920" w:type="dxa"/>
            <w:tcBorders>
              <w:left w:val="single" w:sz="6" w:space="0" w:color="E0E0E0"/>
              <w:bottom w:val="single" w:sz="6" w:space="0" w:color="E0E0E0"/>
              <w:right w:val="single" w:sz="6" w:space="0" w:color="E0E0E0"/>
            </w:tcBorders>
            <w:shd w:val="clear" w:color="auto" w:fill="E2EFDA"/>
          </w:tcPr>
          <w:p w14:paraId="3B9107EF" w14:textId="77777777" w:rsidR="0057582C" w:rsidRDefault="00CE7F22">
            <w:pPr>
              <w:spacing w:line="360" w:lineRule="auto"/>
              <w:jc w:val="both"/>
            </w:pPr>
            <w:r>
              <w:rPr>
                <w:b/>
                <w:bCs/>
              </w:rPr>
              <w:t>1,223.4</w:t>
            </w:r>
          </w:p>
        </w:tc>
        <w:tc>
          <w:tcPr>
            <w:tcW w:w="1843" w:type="dxa"/>
            <w:tcBorders>
              <w:left w:val="single" w:sz="6" w:space="0" w:color="E0E0E0"/>
              <w:bottom w:val="single" w:sz="6" w:space="0" w:color="E0E0E0"/>
              <w:right w:val="single" w:sz="6" w:space="0" w:color="E0E0E0"/>
            </w:tcBorders>
            <w:shd w:val="clear" w:color="auto" w:fill="E2EFDA"/>
          </w:tcPr>
          <w:p w14:paraId="45EA3D28" w14:textId="77777777" w:rsidR="0057582C" w:rsidRDefault="00CE7F22">
            <w:pPr>
              <w:spacing w:line="360" w:lineRule="auto"/>
              <w:jc w:val="both"/>
            </w:pPr>
            <w:r>
              <w:rPr>
                <w:b/>
                <w:bCs/>
              </w:rPr>
              <w:t>105</w:t>
            </w:r>
          </w:p>
        </w:tc>
      </w:tr>
      <w:tr w:rsidR="0057582C" w14:paraId="3DD5A229" w14:textId="77777777">
        <w:trPr>
          <w:trHeight w:val="540"/>
        </w:trPr>
        <w:tc>
          <w:tcPr>
            <w:tcW w:w="1817" w:type="dxa"/>
            <w:tcBorders>
              <w:left w:val="single" w:sz="6" w:space="0" w:color="E0E0E0"/>
              <w:bottom w:val="single" w:sz="6" w:space="0" w:color="E0E0E0"/>
              <w:right w:val="single" w:sz="6" w:space="0" w:color="E0E0E0"/>
            </w:tcBorders>
          </w:tcPr>
          <w:p w14:paraId="13AE8E6B" w14:textId="77777777" w:rsidR="0057582C" w:rsidRDefault="00CE7F22">
            <w:pPr>
              <w:spacing w:line="360" w:lineRule="auto"/>
              <w:jc w:val="both"/>
            </w:pPr>
            <w:r>
              <w:t>17</w:t>
            </w:r>
          </w:p>
        </w:tc>
        <w:tc>
          <w:tcPr>
            <w:tcW w:w="1882" w:type="dxa"/>
            <w:tcBorders>
              <w:left w:val="single" w:sz="6" w:space="0" w:color="E0E0E0"/>
              <w:bottom w:val="single" w:sz="6" w:space="0" w:color="E0E0E0"/>
              <w:right w:val="single" w:sz="6" w:space="0" w:color="E0E0E0"/>
            </w:tcBorders>
          </w:tcPr>
          <w:p w14:paraId="2A9A6C33" w14:textId="77777777" w:rsidR="0057582C" w:rsidRDefault="00CE7F22">
            <w:pPr>
              <w:spacing w:line="360" w:lineRule="auto"/>
              <w:jc w:val="both"/>
            </w:pPr>
            <w:r>
              <w:t>117.7</w:t>
            </w:r>
          </w:p>
        </w:tc>
        <w:tc>
          <w:tcPr>
            <w:tcW w:w="1882" w:type="dxa"/>
            <w:tcBorders>
              <w:left w:val="single" w:sz="6" w:space="0" w:color="E0E0E0"/>
              <w:bottom w:val="single" w:sz="6" w:space="0" w:color="E0E0E0"/>
              <w:right w:val="single" w:sz="6" w:space="0" w:color="E0E0E0"/>
            </w:tcBorders>
          </w:tcPr>
          <w:p w14:paraId="0135A564" w14:textId="77777777" w:rsidR="0057582C" w:rsidRDefault="00CE7F22">
            <w:pPr>
              <w:spacing w:line="360" w:lineRule="auto"/>
              <w:jc w:val="both"/>
            </w:pPr>
            <w:r>
              <w:t>47.6</w:t>
            </w:r>
          </w:p>
        </w:tc>
        <w:tc>
          <w:tcPr>
            <w:tcW w:w="1920" w:type="dxa"/>
            <w:tcBorders>
              <w:left w:val="single" w:sz="6" w:space="0" w:color="E0E0E0"/>
              <w:bottom w:val="single" w:sz="6" w:space="0" w:color="E0E0E0"/>
              <w:right w:val="single" w:sz="6" w:space="0" w:color="E0E0E0"/>
            </w:tcBorders>
          </w:tcPr>
          <w:p w14:paraId="02169E09" w14:textId="77777777" w:rsidR="0057582C" w:rsidRDefault="00CE7F22">
            <w:pPr>
              <w:spacing w:line="360" w:lineRule="auto"/>
              <w:jc w:val="both"/>
            </w:pPr>
            <w:r>
              <w:t>887.1</w:t>
            </w:r>
          </w:p>
        </w:tc>
        <w:tc>
          <w:tcPr>
            <w:tcW w:w="1843" w:type="dxa"/>
            <w:tcBorders>
              <w:left w:val="single" w:sz="6" w:space="0" w:color="E0E0E0"/>
              <w:bottom w:val="single" w:sz="6" w:space="0" w:color="E0E0E0"/>
              <w:right w:val="single" w:sz="6" w:space="0" w:color="E0E0E0"/>
            </w:tcBorders>
          </w:tcPr>
          <w:p w14:paraId="38B9754B" w14:textId="77777777" w:rsidR="0057582C" w:rsidRDefault="00CE7F22">
            <w:pPr>
              <w:spacing w:line="360" w:lineRule="auto"/>
              <w:jc w:val="both"/>
            </w:pPr>
            <w:r>
              <w:t>93</w:t>
            </w:r>
          </w:p>
        </w:tc>
      </w:tr>
      <w:tr w:rsidR="0057582C" w14:paraId="48A69C58" w14:textId="77777777">
        <w:trPr>
          <w:trHeight w:val="540"/>
        </w:trPr>
        <w:tc>
          <w:tcPr>
            <w:tcW w:w="1817" w:type="dxa"/>
            <w:tcBorders>
              <w:left w:val="single" w:sz="6" w:space="0" w:color="E0E0E0"/>
              <w:bottom w:val="single" w:sz="6" w:space="0" w:color="E0E0E0"/>
              <w:right w:val="single" w:sz="6" w:space="0" w:color="E0E0E0"/>
            </w:tcBorders>
          </w:tcPr>
          <w:p w14:paraId="47BADD4E" w14:textId="77777777" w:rsidR="0057582C" w:rsidRDefault="00CE7F22">
            <w:pPr>
              <w:spacing w:line="360" w:lineRule="auto"/>
              <w:jc w:val="both"/>
            </w:pPr>
            <w:r>
              <w:t>18</w:t>
            </w:r>
          </w:p>
        </w:tc>
        <w:tc>
          <w:tcPr>
            <w:tcW w:w="1882" w:type="dxa"/>
            <w:tcBorders>
              <w:left w:val="single" w:sz="6" w:space="0" w:color="E0E0E0"/>
              <w:bottom w:val="single" w:sz="6" w:space="0" w:color="E0E0E0"/>
              <w:right w:val="single" w:sz="6" w:space="0" w:color="E0E0E0"/>
            </w:tcBorders>
          </w:tcPr>
          <w:p w14:paraId="66C8CE14" w14:textId="77777777" w:rsidR="0057582C" w:rsidRDefault="00CE7F22">
            <w:pPr>
              <w:spacing w:line="360" w:lineRule="auto"/>
              <w:jc w:val="both"/>
            </w:pPr>
            <w:r>
              <w:t>132.7</w:t>
            </w:r>
          </w:p>
        </w:tc>
        <w:tc>
          <w:tcPr>
            <w:tcW w:w="1882" w:type="dxa"/>
            <w:tcBorders>
              <w:left w:val="single" w:sz="6" w:space="0" w:color="E0E0E0"/>
              <w:bottom w:val="single" w:sz="6" w:space="0" w:color="E0E0E0"/>
              <w:right w:val="single" w:sz="6" w:space="0" w:color="E0E0E0"/>
            </w:tcBorders>
          </w:tcPr>
          <w:p w14:paraId="4096BFD0" w14:textId="77777777" w:rsidR="0057582C" w:rsidRDefault="00CE7F22">
            <w:pPr>
              <w:spacing w:line="360" w:lineRule="auto"/>
              <w:jc w:val="both"/>
            </w:pPr>
            <w:r>
              <w:t>31.4</w:t>
            </w:r>
          </w:p>
        </w:tc>
        <w:tc>
          <w:tcPr>
            <w:tcW w:w="1920" w:type="dxa"/>
            <w:tcBorders>
              <w:left w:val="single" w:sz="6" w:space="0" w:color="E0E0E0"/>
              <w:bottom w:val="single" w:sz="6" w:space="0" w:color="E0E0E0"/>
              <w:right w:val="single" w:sz="6" w:space="0" w:color="E0E0E0"/>
            </w:tcBorders>
          </w:tcPr>
          <w:p w14:paraId="724973A3" w14:textId="77777777" w:rsidR="0057582C" w:rsidRDefault="00CE7F22">
            <w:pPr>
              <w:spacing w:line="360" w:lineRule="auto"/>
              <w:jc w:val="both"/>
            </w:pPr>
            <w:r>
              <w:t>689.7</w:t>
            </w:r>
          </w:p>
        </w:tc>
        <w:tc>
          <w:tcPr>
            <w:tcW w:w="1843" w:type="dxa"/>
            <w:tcBorders>
              <w:left w:val="single" w:sz="6" w:space="0" w:color="E0E0E0"/>
              <w:bottom w:val="single" w:sz="6" w:space="0" w:color="E0E0E0"/>
              <w:right w:val="single" w:sz="6" w:space="0" w:color="E0E0E0"/>
            </w:tcBorders>
          </w:tcPr>
          <w:p w14:paraId="06E635B2" w14:textId="77777777" w:rsidR="0057582C" w:rsidRDefault="00CE7F22">
            <w:pPr>
              <w:spacing w:line="360" w:lineRule="auto"/>
              <w:jc w:val="both"/>
            </w:pPr>
            <w:r>
              <w:t>78</w:t>
            </w:r>
          </w:p>
        </w:tc>
      </w:tr>
      <w:tr w:rsidR="0057582C" w14:paraId="4989FAE0" w14:textId="77777777">
        <w:trPr>
          <w:trHeight w:val="540"/>
        </w:trPr>
        <w:tc>
          <w:tcPr>
            <w:tcW w:w="1817" w:type="dxa"/>
            <w:tcBorders>
              <w:left w:val="single" w:sz="6" w:space="0" w:color="E0E0E0"/>
              <w:bottom w:val="single" w:sz="6" w:space="0" w:color="E0E0E0"/>
              <w:right w:val="single" w:sz="6" w:space="0" w:color="E0E0E0"/>
            </w:tcBorders>
          </w:tcPr>
          <w:p w14:paraId="3AC8BC07" w14:textId="77777777" w:rsidR="0057582C" w:rsidRDefault="00CE7F22">
            <w:pPr>
              <w:spacing w:line="360" w:lineRule="auto"/>
              <w:jc w:val="both"/>
            </w:pPr>
            <w:r>
              <w:t>19</w:t>
            </w:r>
          </w:p>
        </w:tc>
        <w:tc>
          <w:tcPr>
            <w:tcW w:w="1882" w:type="dxa"/>
            <w:tcBorders>
              <w:left w:val="single" w:sz="6" w:space="0" w:color="E0E0E0"/>
              <w:bottom w:val="single" w:sz="6" w:space="0" w:color="E0E0E0"/>
              <w:right w:val="single" w:sz="6" w:space="0" w:color="E0E0E0"/>
            </w:tcBorders>
          </w:tcPr>
          <w:p w14:paraId="41E22D23" w14:textId="77777777" w:rsidR="0057582C" w:rsidRDefault="00CE7F22">
            <w:pPr>
              <w:spacing w:line="360" w:lineRule="auto"/>
              <w:jc w:val="both"/>
            </w:pPr>
            <w:r>
              <w:t>230.6</w:t>
            </w:r>
          </w:p>
        </w:tc>
        <w:tc>
          <w:tcPr>
            <w:tcW w:w="1882" w:type="dxa"/>
            <w:tcBorders>
              <w:left w:val="single" w:sz="6" w:space="0" w:color="E0E0E0"/>
              <w:bottom w:val="single" w:sz="6" w:space="0" w:color="E0E0E0"/>
              <w:right w:val="single" w:sz="6" w:space="0" w:color="E0E0E0"/>
            </w:tcBorders>
          </w:tcPr>
          <w:p w14:paraId="1CEA7454" w14:textId="77777777" w:rsidR="0057582C" w:rsidRDefault="00CE7F22">
            <w:pPr>
              <w:spacing w:line="360" w:lineRule="auto"/>
              <w:jc w:val="both"/>
            </w:pPr>
            <w:r>
              <w:t>25.4</w:t>
            </w:r>
          </w:p>
        </w:tc>
        <w:tc>
          <w:tcPr>
            <w:tcW w:w="1920" w:type="dxa"/>
            <w:tcBorders>
              <w:left w:val="single" w:sz="6" w:space="0" w:color="E0E0E0"/>
              <w:bottom w:val="single" w:sz="6" w:space="0" w:color="E0E0E0"/>
              <w:right w:val="single" w:sz="6" w:space="0" w:color="E0E0E0"/>
            </w:tcBorders>
          </w:tcPr>
          <w:p w14:paraId="697D8178" w14:textId="77777777" w:rsidR="0057582C" w:rsidRDefault="00CE7F22">
            <w:pPr>
              <w:spacing w:line="360" w:lineRule="auto"/>
              <w:jc w:val="both"/>
            </w:pPr>
            <w:r>
              <w:t>517.1</w:t>
            </w:r>
          </w:p>
        </w:tc>
        <w:tc>
          <w:tcPr>
            <w:tcW w:w="1843" w:type="dxa"/>
            <w:tcBorders>
              <w:left w:val="single" w:sz="6" w:space="0" w:color="E0E0E0"/>
              <w:bottom w:val="single" w:sz="6" w:space="0" w:color="E0E0E0"/>
              <w:right w:val="single" w:sz="6" w:space="0" w:color="E0E0E0"/>
            </w:tcBorders>
          </w:tcPr>
          <w:p w14:paraId="0EDCD953" w14:textId="77777777" w:rsidR="0057582C" w:rsidRDefault="00CE7F22">
            <w:pPr>
              <w:spacing w:line="360" w:lineRule="auto"/>
              <w:jc w:val="both"/>
            </w:pPr>
            <w:r>
              <w:t>245</w:t>
            </w:r>
          </w:p>
        </w:tc>
      </w:tr>
      <w:tr w:rsidR="0057582C" w14:paraId="5A2030A1" w14:textId="77777777">
        <w:trPr>
          <w:trHeight w:val="540"/>
        </w:trPr>
        <w:tc>
          <w:tcPr>
            <w:tcW w:w="1817" w:type="dxa"/>
            <w:tcBorders>
              <w:left w:val="single" w:sz="6" w:space="0" w:color="E0E0E0"/>
              <w:bottom w:val="single" w:sz="6" w:space="0" w:color="E0E0E0"/>
              <w:right w:val="single" w:sz="6" w:space="0" w:color="E0E0E0"/>
            </w:tcBorders>
            <w:shd w:val="clear" w:color="auto" w:fill="FCE4D6"/>
          </w:tcPr>
          <w:p w14:paraId="4D6A4648" w14:textId="77777777" w:rsidR="0057582C" w:rsidRDefault="00CE7F22">
            <w:pPr>
              <w:spacing w:line="360" w:lineRule="auto"/>
              <w:jc w:val="both"/>
            </w:pPr>
            <w:r>
              <w:t>20</w:t>
            </w:r>
          </w:p>
        </w:tc>
        <w:tc>
          <w:tcPr>
            <w:tcW w:w="1882" w:type="dxa"/>
            <w:tcBorders>
              <w:left w:val="single" w:sz="6" w:space="0" w:color="E0E0E0"/>
              <w:bottom w:val="single" w:sz="6" w:space="0" w:color="E0E0E0"/>
              <w:right w:val="single" w:sz="6" w:space="0" w:color="E0E0E0"/>
            </w:tcBorders>
            <w:shd w:val="clear" w:color="auto" w:fill="FCE4D6"/>
          </w:tcPr>
          <w:p w14:paraId="01170902" w14:textId="77777777" w:rsidR="0057582C" w:rsidRDefault="00CE7F22">
            <w:pPr>
              <w:spacing w:line="360" w:lineRule="auto"/>
              <w:jc w:val="both"/>
            </w:pPr>
            <w:r>
              <w:t>4.7</w:t>
            </w:r>
          </w:p>
        </w:tc>
        <w:tc>
          <w:tcPr>
            <w:tcW w:w="1882" w:type="dxa"/>
            <w:tcBorders>
              <w:left w:val="single" w:sz="6" w:space="0" w:color="E0E0E0"/>
              <w:bottom w:val="single" w:sz="6" w:space="0" w:color="E0E0E0"/>
              <w:right w:val="single" w:sz="6" w:space="0" w:color="E0E0E0"/>
            </w:tcBorders>
            <w:shd w:val="clear" w:color="auto" w:fill="FCE4D6"/>
          </w:tcPr>
          <w:p w14:paraId="6BC144D3" w14:textId="77777777" w:rsidR="0057582C" w:rsidRDefault="00CE7F22">
            <w:pPr>
              <w:spacing w:line="360" w:lineRule="auto"/>
              <w:jc w:val="both"/>
            </w:pPr>
            <w:r>
              <w:t>421.6</w:t>
            </w:r>
          </w:p>
        </w:tc>
        <w:tc>
          <w:tcPr>
            <w:tcW w:w="1920" w:type="dxa"/>
            <w:tcBorders>
              <w:left w:val="single" w:sz="6" w:space="0" w:color="E0E0E0"/>
              <w:bottom w:val="single" w:sz="6" w:space="0" w:color="E0E0E0"/>
              <w:right w:val="single" w:sz="6" w:space="0" w:color="E0E0E0"/>
            </w:tcBorders>
            <w:shd w:val="clear" w:color="auto" w:fill="FCE4D6"/>
          </w:tcPr>
          <w:p w14:paraId="707A4E35" w14:textId="77777777" w:rsidR="0057582C" w:rsidRDefault="00CE7F22">
            <w:pPr>
              <w:spacing w:line="360" w:lineRule="auto"/>
              <w:jc w:val="both"/>
            </w:pPr>
            <w:r>
              <w:t>7,174.1</w:t>
            </w:r>
          </w:p>
        </w:tc>
        <w:tc>
          <w:tcPr>
            <w:tcW w:w="1843" w:type="dxa"/>
            <w:tcBorders>
              <w:left w:val="single" w:sz="6" w:space="0" w:color="E0E0E0"/>
              <w:bottom w:val="single" w:sz="6" w:space="0" w:color="E0E0E0"/>
              <w:right w:val="single" w:sz="6" w:space="0" w:color="E0E0E0"/>
            </w:tcBorders>
            <w:shd w:val="clear" w:color="auto" w:fill="FCE4D6"/>
          </w:tcPr>
          <w:p w14:paraId="1F1740DD" w14:textId="77777777" w:rsidR="0057582C" w:rsidRDefault="00CE7F22">
            <w:pPr>
              <w:spacing w:line="360" w:lineRule="auto"/>
              <w:jc w:val="both"/>
            </w:pPr>
            <w:r>
              <w:t>661</w:t>
            </w:r>
          </w:p>
        </w:tc>
      </w:tr>
      <w:tr w:rsidR="0057582C" w14:paraId="3B1773ED" w14:textId="77777777">
        <w:trPr>
          <w:trHeight w:val="540"/>
        </w:trPr>
        <w:tc>
          <w:tcPr>
            <w:tcW w:w="1817" w:type="dxa"/>
            <w:tcBorders>
              <w:left w:val="single" w:sz="6" w:space="0" w:color="E0E0E0"/>
              <w:bottom w:val="single" w:sz="6" w:space="0" w:color="E0E0E0"/>
              <w:right w:val="single" w:sz="6" w:space="0" w:color="E0E0E0"/>
            </w:tcBorders>
            <w:shd w:val="clear" w:color="auto" w:fill="E2EFDA"/>
          </w:tcPr>
          <w:p w14:paraId="1FF6823B" w14:textId="77777777" w:rsidR="0057582C" w:rsidRDefault="00CE7F22">
            <w:pPr>
              <w:spacing w:line="360" w:lineRule="auto"/>
              <w:jc w:val="both"/>
            </w:pPr>
            <w:r>
              <w:rPr>
                <w:b/>
                <w:bCs/>
              </w:rPr>
              <w:t>21</w:t>
            </w:r>
          </w:p>
        </w:tc>
        <w:tc>
          <w:tcPr>
            <w:tcW w:w="1882" w:type="dxa"/>
            <w:tcBorders>
              <w:left w:val="single" w:sz="6" w:space="0" w:color="E0E0E0"/>
              <w:bottom w:val="single" w:sz="6" w:space="0" w:color="E0E0E0"/>
              <w:right w:val="single" w:sz="6" w:space="0" w:color="E0E0E0"/>
            </w:tcBorders>
            <w:shd w:val="clear" w:color="auto" w:fill="E2EFDA"/>
          </w:tcPr>
          <w:p w14:paraId="4EEEE0EF" w14:textId="77777777" w:rsidR="0057582C" w:rsidRDefault="00CE7F22">
            <w:pPr>
              <w:spacing w:line="360" w:lineRule="auto"/>
              <w:jc w:val="both"/>
            </w:pPr>
            <w:r>
              <w:rPr>
                <w:b/>
                <w:bCs/>
              </w:rPr>
              <w:t>32.1</w:t>
            </w:r>
          </w:p>
        </w:tc>
        <w:tc>
          <w:tcPr>
            <w:tcW w:w="1882" w:type="dxa"/>
            <w:tcBorders>
              <w:left w:val="single" w:sz="6" w:space="0" w:color="E0E0E0"/>
              <w:bottom w:val="single" w:sz="6" w:space="0" w:color="E0E0E0"/>
              <w:right w:val="single" w:sz="6" w:space="0" w:color="E0E0E0"/>
            </w:tcBorders>
            <w:shd w:val="clear" w:color="auto" w:fill="E2EFDA"/>
          </w:tcPr>
          <w:p w14:paraId="3D37FFF3" w14:textId="77777777" w:rsidR="0057582C" w:rsidRDefault="00CE7F22">
            <w:pPr>
              <w:spacing w:line="360" w:lineRule="auto"/>
              <w:jc w:val="both"/>
            </w:pPr>
            <w:r>
              <w:rPr>
                <w:b/>
                <w:bCs/>
              </w:rPr>
              <w:t>119.9</w:t>
            </w:r>
          </w:p>
        </w:tc>
        <w:tc>
          <w:tcPr>
            <w:tcW w:w="1920" w:type="dxa"/>
            <w:tcBorders>
              <w:left w:val="single" w:sz="6" w:space="0" w:color="E0E0E0"/>
              <w:bottom w:val="single" w:sz="6" w:space="0" w:color="E0E0E0"/>
              <w:right w:val="single" w:sz="6" w:space="0" w:color="E0E0E0"/>
            </w:tcBorders>
            <w:shd w:val="clear" w:color="auto" w:fill="E2EFDA"/>
          </w:tcPr>
          <w:p w14:paraId="2862DFED" w14:textId="77777777" w:rsidR="0057582C" w:rsidRDefault="00CE7F22">
            <w:pPr>
              <w:spacing w:line="360" w:lineRule="auto"/>
              <w:jc w:val="both"/>
            </w:pPr>
            <w:r>
              <w:rPr>
                <w:b/>
                <w:bCs/>
              </w:rPr>
              <w:t>1,929.3</w:t>
            </w:r>
          </w:p>
        </w:tc>
        <w:tc>
          <w:tcPr>
            <w:tcW w:w="1843" w:type="dxa"/>
            <w:tcBorders>
              <w:left w:val="single" w:sz="6" w:space="0" w:color="E0E0E0"/>
              <w:bottom w:val="single" w:sz="6" w:space="0" w:color="E0E0E0"/>
              <w:right w:val="single" w:sz="6" w:space="0" w:color="E0E0E0"/>
            </w:tcBorders>
            <w:shd w:val="clear" w:color="auto" w:fill="E2EFDA"/>
          </w:tcPr>
          <w:p w14:paraId="743547FC" w14:textId="77777777" w:rsidR="0057582C" w:rsidRDefault="00CE7F22">
            <w:pPr>
              <w:spacing w:line="360" w:lineRule="auto"/>
              <w:jc w:val="both"/>
            </w:pPr>
            <w:r>
              <w:rPr>
                <w:b/>
                <w:bCs/>
              </w:rPr>
              <w:t>102</w:t>
            </w:r>
          </w:p>
        </w:tc>
      </w:tr>
      <w:tr w:rsidR="0057582C" w14:paraId="683D849B" w14:textId="77777777">
        <w:trPr>
          <w:trHeight w:val="540"/>
        </w:trPr>
        <w:tc>
          <w:tcPr>
            <w:tcW w:w="1817" w:type="dxa"/>
            <w:tcBorders>
              <w:left w:val="single" w:sz="6" w:space="0" w:color="E0E0E0"/>
              <w:bottom w:val="single" w:sz="6" w:space="0" w:color="E0E0E0"/>
              <w:right w:val="single" w:sz="6" w:space="0" w:color="E0E0E0"/>
            </w:tcBorders>
          </w:tcPr>
          <w:p w14:paraId="0DC71BCC" w14:textId="77777777" w:rsidR="0057582C" w:rsidRDefault="00CE7F22">
            <w:pPr>
              <w:spacing w:line="360" w:lineRule="auto"/>
              <w:jc w:val="both"/>
            </w:pPr>
            <w:r>
              <w:t>22</w:t>
            </w:r>
          </w:p>
        </w:tc>
        <w:tc>
          <w:tcPr>
            <w:tcW w:w="1882" w:type="dxa"/>
            <w:tcBorders>
              <w:left w:val="single" w:sz="6" w:space="0" w:color="E0E0E0"/>
              <w:bottom w:val="single" w:sz="6" w:space="0" w:color="E0E0E0"/>
              <w:right w:val="single" w:sz="6" w:space="0" w:color="E0E0E0"/>
            </w:tcBorders>
          </w:tcPr>
          <w:p w14:paraId="2A822CA4" w14:textId="77777777" w:rsidR="0057582C" w:rsidRDefault="00CE7F22">
            <w:pPr>
              <w:spacing w:line="360" w:lineRule="auto"/>
              <w:jc w:val="both"/>
            </w:pPr>
            <w:r>
              <w:t>146.6</w:t>
            </w:r>
          </w:p>
        </w:tc>
        <w:tc>
          <w:tcPr>
            <w:tcW w:w="1882" w:type="dxa"/>
            <w:tcBorders>
              <w:left w:val="single" w:sz="6" w:space="0" w:color="E0E0E0"/>
              <w:bottom w:val="single" w:sz="6" w:space="0" w:color="E0E0E0"/>
              <w:right w:val="single" w:sz="6" w:space="0" w:color="E0E0E0"/>
            </w:tcBorders>
          </w:tcPr>
          <w:p w14:paraId="5EF746A6" w14:textId="77777777" w:rsidR="0057582C" w:rsidRDefault="00CE7F22">
            <w:pPr>
              <w:spacing w:line="360" w:lineRule="auto"/>
              <w:jc w:val="both"/>
            </w:pPr>
            <w:r>
              <w:t>48.5</w:t>
            </w:r>
          </w:p>
        </w:tc>
        <w:tc>
          <w:tcPr>
            <w:tcW w:w="1920" w:type="dxa"/>
            <w:tcBorders>
              <w:left w:val="single" w:sz="6" w:space="0" w:color="E0E0E0"/>
              <w:bottom w:val="single" w:sz="6" w:space="0" w:color="E0E0E0"/>
              <w:right w:val="single" w:sz="6" w:space="0" w:color="E0E0E0"/>
            </w:tcBorders>
          </w:tcPr>
          <w:p w14:paraId="4F5E3B8D" w14:textId="77777777" w:rsidR="0057582C" w:rsidRDefault="00CE7F22">
            <w:pPr>
              <w:spacing w:line="360" w:lineRule="auto"/>
              <w:jc w:val="both"/>
            </w:pPr>
            <w:r>
              <w:t>434.6</w:t>
            </w:r>
          </w:p>
        </w:tc>
        <w:tc>
          <w:tcPr>
            <w:tcW w:w="1843" w:type="dxa"/>
            <w:tcBorders>
              <w:left w:val="single" w:sz="6" w:space="0" w:color="E0E0E0"/>
              <w:bottom w:val="single" w:sz="6" w:space="0" w:color="E0E0E0"/>
              <w:right w:val="single" w:sz="6" w:space="0" w:color="E0E0E0"/>
            </w:tcBorders>
          </w:tcPr>
          <w:p w14:paraId="6D1F639E" w14:textId="77777777" w:rsidR="0057582C" w:rsidRDefault="00CE7F22">
            <w:pPr>
              <w:spacing w:line="360" w:lineRule="auto"/>
              <w:jc w:val="both"/>
            </w:pPr>
            <w:r>
              <w:t>65</w:t>
            </w:r>
          </w:p>
        </w:tc>
      </w:tr>
      <w:tr w:rsidR="0057582C" w14:paraId="5FFAB954" w14:textId="77777777">
        <w:trPr>
          <w:trHeight w:val="540"/>
        </w:trPr>
        <w:tc>
          <w:tcPr>
            <w:tcW w:w="1817" w:type="dxa"/>
            <w:tcBorders>
              <w:left w:val="single" w:sz="6" w:space="0" w:color="E0E0E0"/>
              <w:bottom w:val="single" w:sz="6" w:space="0" w:color="E0E0E0"/>
              <w:right w:val="single" w:sz="6" w:space="0" w:color="E0E0E0"/>
            </w:tcBorders>
          </w:tcPr>
          <w:p w14:paraId="1B1510D8" w14:textId="77777777" w:rsidR="0057582C" w:rsidRDefault="00CE7F22">
            <w:pPr>
              <w:spacing w:line="360" w:lineRule="auto"/>
              <w:jc w:val="both"/>
            </w:pPr>
            <w:r>
              <w:t>23</w:t>
            </w:r>
          </w:p>
        </w:tc>
        <w:tc>
          <w:tcPr>
            <w:tcW w:w="1882" w:type="dxa"/>
            <w:tcBorders>
              <w:left w:val="single" w:sz="6" w:space="0" w:color="E0E0E0"/>
              <w:bottom w:val="single" w:sz="6" w:space="0" w:color="E0E0E0"/>
              <w:right w:val="single" w:sz="6" w:space="0" w:color="E0E0E0"/>
            </w:tcBorders>
          </w:tcPr>
          <w:p w14:paraId="1233DC7A" w14:textId="77777777" w:rsidR="0057582C" w:rsidRDefault="00CE7F22">
            <w:pPr>
              <w:spacing w:line="360" w:lineRule="auto"/>
              <w:jc w:val="both"/>
            </w:pPr>
            <w:r>
              <w:t>173.7</w:t>
            </w:r>
          </w:p>
        </w:tc>
        <w:tc>
          <w:tcPr>
            <w:tcW w:w="1882" w:type="dxa"/>
            <w:tcBorders>
              <w:left w:val="single" w:sz="6" w:space="0" w:color="E0E0E0"/>
              <w:bottom w:val="single" w:sz="6" w:space="0" w:color="E0E0E0"/>
              <w:right w:val="single" w:sz="6" w:space="0" w:color="E0E0E0"/>
            </w:tcBorders>
          </w:tcPr>
          <w:p w14:paraId="6A9DFC06" w14:textId="77777777" w:rsidR="0057582C" w:rsidRDefault="00CE7F22">
            <w:pPr>
              <w:spacing w:line="360" w:lineRule="auto"/>
              <w:jc w:val="both"/>
            </w:pPr>
            <w:r>
              <w:t>43.2</w:t>
            </w:r>
          </w:p>
        </w:tc>
        <w:tc>
          <w:tcPr>
            <w:tcW w:w="1920" w:type="dxa"/>
            <w:tcBorders>
              <w:left w:val="single" w:sz="6" w:space="0" w:color="E0E0E0"/>
              <w:bottom w:val="single" w:sz="6" w:space="0" w:color="E0E0E0"/>
              <w:right w:val="single" w:sz="6" w:space="0" w:color="E0E0E0"/>
            </w:tcBorders>
          </w:tcPr>
          <w:p w14:paraId="49DA6BDD" w14:textId="77777777" w:rsidR="0057582C" w:rsidRDefault="00CE7F22">
            <w:pPr>
              <w:spacing w:line="360" w:lineRule="auto"/>
              <w:jc w:val="both"/>
            </w:pPr>
            <w:r>
              <w:t>559.4</w:t>
            </w:r>
          </w:p>
        </w:tc>
        <w:tc>
          <w:tcPr>
            <w:tcW w:w="1843" w:type="dxa"/>
            <w:tcBorders>
              <w:left w:val="single" w:sz="6" w:space="0" w:color="E0E0E0"/>
              <w:bottom w:val="single" w:sz="6" w:space="0" w:color="E0E0E0"/>
              <w:right w:val="single" w:sz="6" w:space="0" w:color="E0E0E0"/>
            </w:tcBorders>
          </w:tcPr>
          <w:p w14:paraId="5B68D686" w14:textId="77777777" w:rsidR="0057582C" w:rsidRDefault="00CE7F22">
            <w:pPr>
              <w:spacing w:line="360" w:lineRule="auto"/>
              <w:jc w:val="both"/>
            </w:pPr>
            <w:r>
              <w:t>81</w:t>
            </w:r>
          </w:p>
        </w:tc>
      </w:tr>
      <w:tr w:rsidR="0057582C" w14:paraId="0B6F4BA6" w14:textId="77777777">
        <w:trPr>
          <w:trHeight w:val="540"/>
        </w:trPr>
        <w:tc>
          <w:tcPr>
            <w:tcW w:w="1817" w:type="dxa"/>
            <w:tcBorders>
              <w:left w:val="single" w:sz="6" w:space="0" w:color="E0E0E0"/>
              <w:bottom w:val="single" w:sz="6" w:space="0" w:color="E0E0E0"/>
              <w:right w:val="single" w:sz="6" w:space="0" w:color="E0E0E0"/>
            </w:tcBorders>
          </w:tcPr>
          <w:p w14:paraId="30A4C5E0" w14:textId="77777777" w:rsidR="0057582C" w:rsidRDefault="00CE7F22">
            <w:pPr>
              <w:spacing w:line="360" w:lineRule="auto"/>
              <w:jc w:val="both"/>
            </w:pPr>
            <w:r>
              <w:t>24</w:t>
            </w:r>
          </w:p>
        </w:tc>
        <w:tc>
          <w:tcPr>
            <w:tcW w:w="1882" w:type="dxa"/>
            <w:tcBorders>
              <w:left w:val="single" w:sz="6" w:space="0" w:color="E0E0E0"/>
              <w:bottom w:val="single" w:sz="6" w:space="0" w:color="E0E0E0"/>
              <w:right w:val="single" w:sz="6" w:space="0" w:color="E0E0E0"/>
            </w:tcBorders>
          </w:tcPr>
          <w:p w14:paraId="3C47ED9B" w14:textId="77777777" w:rsidR="0057582C" w:rsidRDefault="00CE7F22">
            <w:pPr>
              <w:spacing w:line="360" w:lineRule="auto"/>
              <w:jc w:val="both"/>
            </w:pPr>
            <w:r>
              <w:t>313.5</w:t>
            </w:r>
          </w:p>
        </w:tc>
        <w:tc>
          <w:tcPr>
            <w:tcW w:w="1882" w:type="dxa"/>
            <w:tcBorders>
              <w:left w:val="single" w:sz="6" w:space="0" w:color="E0E0E0"/>
              <w:bottom w:val="single" w:sz="6" w:space="0" w:color="E0E0E0"/>
              <w:right w:val="single" w:sz="6" w:space="0" w:color="E0E0E0"/>
            </w:tcBorders>
          </w:tcPr>
          <w:p w14:paraId="2E7314DF" w14:textId="77777777" w:rsidR="0057582C" w:rsidRDefault="00CE7F22">
            <w:pPr>
              <w:spacing w:line="360" w:lineRule="auto"/>
              <w:jc w:val="both"/>
            </w:pPr>
            <w:r>
              <w:t>23.3</w:t>
            </w:r>
          </w:p>
        </w:tc>
        <w:tc>
          <w:tcPr>
            <w:tcW w:w="1920" w:type="dxa"/>
            <w:tcBorders>
              <w:left w:val="single" w:sz="6" w:space="0" w:color="E0E0E0"/>
              <w:bottom w:val="single" w:sz="6" w:space="0" w:color="E0E0E0"/>
              <w:right w:val="single" w:sz="6" w:space="0" w:color="E0E0E0"/>
            </w:tcBorders>
          </w:tcPr>
          <w:p w14:paraId="0FF48662" w14:textId="77777777" w:rsidR="0057582C" w:rsidRDefault="00CE7F22">
            <w:pPr>
              <w:spacing w:line="360" w:lineRule="auto"/>
              <w:jc w:val="both"/>
            </w:pPr>
            <w:r>
              <w:t>333.7</w:t>
            </w:r>
          </w:p>
        </w:tc>
        <w:tc>
          <w:tcPr>
            <w:tcW w:w="1843" w:type="dxa"/>
            <w:tcBorders>
              <w:left w:val="single" w:sz="6" w:space="0" w:color="E0E0E0"/>
              <w:bottom w:val="single" w:sz="6" w:space="0" w:color="E0E0E0"/>
              <w:right w:val="single" w:sz="6" w:space="0" w:color="E0E0E0"/>
            </w:tcBorders>
          </w:tcPr>
          <w:p w14:paraId="32D40923" w14:textId="77777777" w:rsidR="0057582C" w:rsidRDefault="00CE7F22">
            <w:pPr>
              <w:spacing w:line="360" w:lineRule="auto"/>
              <w:jc w:val="both"/>
            </w:pPr>
            <w:r>
              <w:t>416</w:t>
            </w:r>
          </w:p>
        </w:tc>
      </w:tr>
    </w:tbl>
    <w:p w14:paraId="47B5E12B" w14:textId="77777777" w:rsidR="0057582C" w:rsidRDefault="0057582C">
      <w:pPr>
        <w:spacing w:before="120" w:after="120" w:line="360" w:lineRule="auto"/>
        <w:jc w:val="both"/>
      </w:pPr>
    </w:p>
    <w:p w14:paraId="278BFB80" w14:textId="77777777" w:rsidR="0057582C" w:rsidRDefault="00CE7F22">
      <w:pPr>
        <w:spacing w:before="120" w:after="120" w:line="360" w:lineRule="auto"/>
        <w:jc w:val="both"/>
      </w:pPr>
      <w:r>
        <w:t xml:space="preserve">Table </w:t>
      </w:r>
      <w:r>
        <w:rPr>
          <w:lang w:val="en-US"/>
        </w:rPr>
        <w:t>7</w:t>
      </w:r>
      <w:r>
        <w:t xml:space="preserve"> presents the RFM profile of each of the 25 SOM segments. Rather than treating the clusters as 25 independent entities, this analysis groups them into five strategic tiers based on their RFM profiles, as this provides a more actionable framework for supply chain decision-making. The tiers are defined by thresholds applied to mean Recency (R), mean Frequency (F), and mean Monetary value (M), and are summarised below.</w:t>
      </w:r>
    </w:p>
    <w:p w14:paraId="403C1EEA" w14:textId="77777777" w:rsidR="0057582C" w:rsidRDefault="00CE7F22">
      <w:pPr>
        <w:spacing w:before="120" w:after="120" w:line="360" w:lineRule="auto"/>
        <w:jc w:val="both"/>
      </w:pPr>
      <w:r>
        <w:rPr>
          <w:b/>
          <w:bCs/>
        </w:rPr>
        <w:t>Tier 1 — VIP Champions (Clusters 20, 3, 7, 21): R &lt; 50 days, F &gt; 100 invoices, M &gt; £1,500</w:t>
      </w:r>
    </w:p>
    <w:p w14:paraId="5D7AC070" w14:textId="77777777" w:rsidR="0057582C" w:rsidRDefault="00CE7F22">
      <w:pPr>
        <w:spacing w:before="120" w:after="120" w:line="360" w:lineRule="auto"/>
        <w:jc w:val="both"/>
      </w:pPr>
      <w:r>
        <w:t>Cluster 20 is the defining segment of this tier, comprising 661 customers with a mean purchase frequency of 4.7 days, 421.6 invoices on average, and a mean spend of £7,174.1, the highest across all 25 segments. Clusters 3, 7, and 21 share similarly high frequency and monetary values with recent activity. These customers are the backbone of the business's revenue. From a supply chain perspective, this tier demands the highest replenishment priority, the shortest reorder cycles, and dedicated stock reservation policies to ensure product availability is never compromised. Any stockout in this tier carries disproportionate revenue risk.</w:t>
      </w:r>
    </w:p>
    <w:p w14:paraId="493562D3" w14:textId="77777777" w:rsidR="0057582C" w:rsidRDefault="00CE7F22">
      <w:pPr>
        <w:spacing w:before="120" w:after="120" w:line="360" w:lineRule="auto"/>
        <w:jc w:val="both"/>
      </w:pPr>
      <w:r>
        <w:rPr>
          <w:b/>
          <w:bCs/>
        </w:rPr>
        <w:t>Tier 2 — Loyal Actives (Clusters 1, 2, 5, 6, 10, 11, 15, 16, 23): R &lt; 60 days, F 60–130 invoices, M £900–£1,840</w:t>
      </w:r>
    </w:p>
    <w:p w14:paraId="201D2633" w14:textId="77777777" w:rsidR="0057582C" w:rsidRDefault="00CE7F22">
      <w:pPr>
        <w:spacing w:before="120" w:after="120" w:line="360" w:lineRule="auto"/>
        <w:jc w:val="both"/>
      </w:pPr>
      <w:r>
        <w:lastRenderedPageBreak/>
        <w:t>Cluster 15 (491 customers, mean spend £1,835, frequency 14.8 days) and Cluster 1 (259 customers, mean spend £1,584, frequency 23.5 days) are the largest segments in this tier. These customers purchase regularly and spend above the dataset average. Clusters 2, 5, 6, 10, 11, 16, and 23 share broadly similar profiles with moderate-to-high purchase regularity. This tier accounts for the largest share of customers (approximately 1,300 customers combined) and represents the most stable source of recurring revenue. Replenishment schedules for this tier should be driven by rolling 3-month demand forecasts, and promotional investment should focus on retention and frequency maintenance rather than acquisition.</w:t>
      </w:r>
    </w:p>
    <w:p w14:paraId="194F3B6F" w14:textId="77777777" w:rsidR="0057582C" w:rsidRDefault="00CE7F22">
      <w:pPr>
        <w:spacing w:before="120" w:after="120" w:line="360" w:lineRule="auto"/>
        <w:jc w:val="both"/>
      </w:pPr>
      <w:r>
        <w:rPr>
          <w:b/>
          <w:bCs/>
        </w:rPr>
        <w:t>Tier 3 — Moderate Buyers (Clusters 0, 4, 8, 9, 12, 13, 18): R 40–135 days, F 30–60 invoices, M £465–£1,075</w:t>
      </w:r>
    </w:p>
    <w:p w14:paraId="0FA7E10D" w14:textId="77777777" w:rsidR="0057582C" w:rsidRDefault="00CE7F22">
      <w:pPr>
        <w:spacing w:before="120" w:after="120" w:line="360" w:lineRule="auto"/>
        <w:jc w:val="both"/>
      </w:pPr>
      <w:r>
        <w:t>This tier captures customers with moderate engagement. Cluster 12 (202 customers) and Cluster 9 (91 customers) are representative, purchasing every 80.5 and 95.4 days respectively, with moderate spend. Cluster 0 (40 customers, 40.1-day frequency, £464 spend) sits at the lower end of this tier. These customers are neither at risk of lapsing nor driving peak revenue and are best served by standard replenishment cycles based on monthly demand forecasts. Targeted upsell campaigns could move the stronger sub-segments into Tier 2.</w:t>
      </w:r>
    </w:p>
    <w:p w14:paraId="36716D64" w14:textId="77777777" w:rsidR="0057582C" w:rsidRDefault="00CE7F22">
      <w:pPr>
        <w:spacing w:before="120" w:after="120" w:line="360" w:lineRule="auto"/>
        <w:jc w:val="both"/>
      </w:pPr>
      <w:r>
        <w:rPr>
          <w:b/>
          <w:bCs/>
        </w:rPr>
        <w:t>Tier 4 — At-Risk Customers (Clusters 14, 17, 22): R 115–160 days, F 40–50 invoices, M £435–£890</w:t>
      </w:r>
    </w:p>
    <w:p w14:paraId="387E5B9D" w14:textId="77777777" w:rsidR="0057582C" w:rsidRDefault="00CE7F22">
      <w:pPr>
        <w:spacing w:before="120" w:after="120" w:line="360" w:lineRule="auto"/>
        <w:jc w:val="both"/>
      </w:pPr>
      <w:r>
        <w:t>Clusters 14 (79 customers, 159.2 days recency), 17 (93 customers, 117.7 days), and 22 (65 customers, 146.6 days) have not purchased in 4–5 months and show declining engagement metrics. While their historical frequency suggests they were once active buyers, the recency gap signals churn risk. From a supply chain standpoint, demand from this tier is highly uncertain, and holding excess inventory for these segments is inefficient. Lightweight reactivation campaigns, such as targeted promotional offers or personalised recommendations, should be trialled before reducing inventory allocations.</w:t>
      </w:r>
    </w:p>
    <w:p w14:paraId="628D580C" w14:textId="77777777" w:rsidR="0057582C" w:rsidRDefault="00CE7F22">
      <w:pPr>
        <w:spacing w:before="120" w:after="120" w:line="360" w:lineRule="auto"/>
        <w:jc w:val="both"/>
      </w:pPr>
      <w:r>
        <w:rPr>
          <w:b/>
          <w:bCs/>
        </w:rPr>
        <w:t>Tier 5 — Dormant / Lapsed (Clusters 19, 24): R &gt; 230 days, F &lt; 26 invoices, M &lt; £520</w:t>
      </w:r>
    </w:p>
    <w:p w14:paraId="63779F2C" w14:textId="77777777" w:rsidR="0057582C" w:rsidRDefault="00CE7F22">
      <w:pPr>
        <w:spacing w:before="120" w:after="120" w:line="360" w:lineRule="auto"/>
        <w:jc w:val="both"/>
      </w:pPr>
      <w:r>
        <w:t>Cluster 24 is the most striking segment in this tier, comprising 416 customers with a mean recency of 313.5 days, nearly 10.5 months since their last purchase. With an average of 23.3 invoices and a mean spend of £333.7, these customers are functionally lapsed. Cluster 19 (245 customers, 230.6-</w:t>
      </w:r>
      <w:r>
        <w:lastRenderedPageBreak/>
        <w:t>day recency) mirrors this profile. Together, this tier accounts for 661 customers, 16.7% of the total customer base. Inventory should not be specifically allocated to serve this tier; instead, any reactivation spending should be minimal, and response rates should be validated before scaling. If reactivation fails, these customers should be excluded from demand forecasting models to avoid inflating replenishment estimates.</w:t>
      </w:r>
    </w:p>
    <w:p w14:paraId="7F223A84" w14:textId="77777777" w:rsidR="0057582C" w:rsidRDefault="00CE7F22">
      <w:pPr>
        <w:spacing w:before="120" w:after="120" w:line="360" w:lineRule="auto"/>
        <w:jc w:val="both"/>
      </w:pPr>
      <w:r>
        <w:t>This five-tier framework provides a directly actionable structure for supply chain managers. The 25 granular SOM segments retain their value for per-segment demand forecasting precision. At the same time, the tier groupings provide a strategic overlay that links customer behaviour to concrete inventory and replenishment policies. The distribution across tiers, approximately 8% VIP Champions, 33% Loyal Actives, 35% Moderate Buyers, 6% At-Risk, and 17% Dormant, reflects a customer base that is reasonably active overall but contains a significant lapsed segment that warrants targeted reactivation or exclusion from planning.</w:t>
      </w:r>
    </w:p>
    <w:p w14:paraId="5F2BCA7E" w14:textId="77777777" w:rsidR="0057582C" w:rsidRDefault="0057582C">
      <w:pPr>
        <w:spacing w:before="120" w:after="120" w:line="360" w:lineRule="auto"/>
        <w:jc w:val="both"/>
      </w:pPr>
    </w:p>
    <w:p w14:paraId="2E043D62" w14:textId="77777777" w:rsidR="0057582C" w:rsidRDefault="0057582C">
      <w:pPr>
        <w:spacing w:before="120" w:after="120" w:line="360" w:lineRule="auto"/>
        <w:jc w:val="both"/>
      </w:pPr>
    </w:p>
    <w:p w14:paraId="73B3AADF" w14:textId="77777777" w:rsidR="0057582C" w:rsidRDefault="00CE7F22">
      <w:pPr>
        <w:spacing w:before="120" w:after="60" w:line="360" w:lineRule="auto"/>
        <w:jc w:val="both"/>
      </w:pPr>
      <w:r>
        <w:rPr>
          <w:noProof/>
        </w:rPr>
        <w:drawing>
          <wp:inline distT="0" distB="0" distL="0" distR="0" wp14:anchorId="01860639" wp14:editId="0DA975DA">
            <wp:extent cx="5266690" cy="3959225"/>
            <wp:effectExtent l="0" t="0" r="0" b="0"/>
            <wp:docPr id="6" name="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6"/>
                    <pic:cNvPicPr>
                      <a:picLocks noChangeAspect="1"/>
                    </pic:cNvPicPr>
                  </pic:nvPicPr>
                  <pic:blipFill>
                    <a:blip r:embed="rId15"/>
                    <a:stretch>
                      <a:fillRect/>
                    </a:stretch>
                  </pic:blipFill>
                  <pic:spPr>
                    <a:xfrm>
                      <a:off x="0" y="0"/>
                      <a:ext cx="5266954" cy="3959359"/>
                    </a:xfrm>
                    <a:prstGeom prst="rect">
                      <a:avLst/>
                    </a:prstGeom>
                  </pic:spPr>
                </pic:pic>
              </a:graphicData>
            </a:graphic>
          </wp:inline>
        </w:drawing>
      </w:r>
    </w:p>
    <w:p w14:paraId="4EAF17C9" w14:textId="77777777" w:rsidR="0057582C" w:rsidRDefault="00CE7F22">
      <w:pPr>
        <w:spacing w:before="120" w:after="120" w:line="360" w:lineRule="auto"/>
        <w:jc w:val="both"/>
      </w:pPr>
      <w:r>
        <w:rPr>
          <w:b/>
          <w:bCs/>
        </w:rPr>
        <w:lastRenderedPageBreak/>
        <w:t>Figure 6 shows the Histogram of Customers in the SOM.</w:t>
      </w:r>
    </w:p>
    <w:p w14:paraId="2E304DB7" w14:textId="77777777" w:rsidR="0057582C" w:rsidRDefault="0057582C">
      <w:pPr>
        <w:spacing w:before="120" w:after="120" w:line="360" w:lineRule="auto"/>
        <w:jc w:val="both"/>
      </w:pPr>
    </w:p>
    <w:p w14:paraId="0E223B34" w14:textId="77777777" w:rsidR="0057582C" w:rsidRDefault="00CE7F22">
      <w:pPr>
        <w:spacing w:before="120" w:after="120" w:line="360" w:lineRule="auto"/>
        <w:jc w:val="both"/>
      </w:pPr>
      <w:r>
        <w:t>As illustrated in Figure 6, the SOM clusters vary considerably in size. The largest segments, Cluster 20 (661 customers) and Cluster 15 (491 customers), represent active, high-frequency buyers and are well-suited to broad-reach marketing campaigns. The smallest segments, such as Cluster 5 (6 customers) and Cluster 2 (39 customers), contain customers with distinctive purchasing profiles that merit targeted, individualised engagement. This heterogeneity across segments underscores the practical value of granular segmentation for supply chain planning: segment size directly informs the appropriate inventory allocation and replenishment frequency for each customer group.</w:t>
      </w:r>
    </w:p>
    <w:p w14:paraId="5245E593" w14:textId="77777777" w:rsidR="0057582C" w:rsidRDefault="00CE7F22">
      <w:pPr>
        <w:spacing w:before="120" w:after="120" w:line="360" w:lineRule="auto"/>
        <w:jc w:val="both"/>
      </w:pPr>
      <w:r>
        <w:rPr>
          <w:b/>
          <w:bCs/>
        </w:rPr>
        <w:t>U-Matrix of the Self-Organising Maps (SOMs)</w:t>
      </w:r>
    </w:p>
    <w:p w14:paraId="5E850E45" w14:textId="77777777" w:rsidR="0057582C" w:rsidRDefault="00CE7F22">
      <w:pPr>
        <w:spacing w:before="120" w:after="120" w:line="360" w:lineRule="auto"/>
        <w:jc w:val="both"/>
      </w:pPr>
      <w:r>
        <w:t>The U-matrix figure below illustrates the distance between each neuron and its neighbours, giving an overview of the SOM clustering result.</w:t>
      </w:r>
    </w:p>
    <w:p w14:paraId="31814D0D" w14:textId="77777777" w:rsidR="0057582C" w:rsidRDefault="0057582C">
      <w:pPr>
        <w:spacing w:before="120" w:after="120" w:line="360" w:lineRule="auto"/>
        <w:jc w:val="both"/>
      </w:pPr>
    </w:p>
    <w:p w14:paraId="4875B959" w14:textId="77777777" w:rsidR="0057582C" w:rsidRDefault="0057582C">
      <w:pPr>
        <w:spacing w:before="120" w:after="120" w:line="360" w:lineRule="auto"/>
        <w:jc w:val="both"/>
      </w:pPr>
    </w:p>
    <w:p w14:paraId="67546C10" w14:textId="77777777" w:rsidR="0057582C" w:rsidRDefault="0057582C">
      <w:pPr>
        <w:spacing w:before="120" w:after="120" w:line="360" w:lineRule="auto"/>
        <w:jc w:val="both"/>
      </w:pPr>
    </w:p>
    <w:p w14:paraId="2CC28EC2" w14:textId="77777777" w:rsidR="0057582C" w:rsidRDefault="00CE7F22">
      <w:pPr>
        <w:spacing w:before="120" w:after="60" w:line="360" w:lineRule="auto"/>
        <w:jc w:val="both"/>
      </w:pPr>
      <w:r>
        <w:rPr>
          <w:noProof/>
        </w:rPr>
        <w:lastRenderedPageBreak/>
        <w:drawing>
          <wp:inline distT="0" distB="0" distL="0" distR="0" wp14:anchorId="391AE811" wp14:editId="5845982C">
            <wp:extent cx="5486400" cy="4801235"/>
            <wp:effectExtent l="0" t="0" r="0" b="0"/>
            <wp:docPr id="7" name="Fig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7"/>
                    <pic:cNvPicPr>
                      <a:picLocks noChangeAspect="1"/>
                    </pic:cNvPicPr>
                  </pic:nvPicPr>
                  <pic:blipFill>
                    <a:blip r:embed="rId16"/>
                    <a:stretch>
                      <a:fillRect/>
                    </a:stretch>
                  </pic:blipFill>
                  <pic:spPr>
                    <a:xfrm>
                      <a:off x="0" y="0"/>
                      <a:ext cx="5486400" cy="4801697"/>
                    </a:xfrm>
                    <a:prstGeom prst="rect">
                      <a:avLst/>
                    </a:prstGeom>
                  </pic:spPr>
                </pic:pic>
              </a:graphicData>
            </a:graphic>
          </wp:inline>
        </w:drawing>
      </w:r>
    </w:p>
    <w:p w14:paraId="3EEB865D" w14:textId="77777777" w:rsidR="0057582C" w:rsidRDefault="00CE7F22">
      <w:pPr>
        <w:spacing w:before="120" w:after="120" w:line="360" w:lineRule="auto"/>
        <w:jc w:val="both"/>
      </w:pPr>
      <w:r>
        <w:rPr>
          <w:b/>
          <w:bCs/>
        </w:rPr>
        <w:t>Figure 7 shows the U-Matrix of the SOM.</w:t>
      </w:r>
    </w:p>
    <w:p w14:paraId="6C8E681D" w14:textId="77777777" w:rsidR="0057582C" w:rsidRDefault="0057582C">
      <w:pPr>
        <w:spacing w:before="120" w:after="120" w:line="360" w:lineRule="auto"/>
        <w:jc w:val="both"/>
      </w:pPr>
    </w:p>
    <w:p w14:paraId="2E3D0192" w14:textId="77777777" w:rsidR="0057582C" w:rsidRDefault="00CE7F22">
      <w:pPr>
        <w:spacing w:before="120" w:after="120" w:line="360" w:lineRule="auto"/>
        <w:jc w:val="both"/>
      </w:pPr>
      <w:r>
        <w:t>Figure 7 illustrates the U-Matrix visualisation method used with self-organising maps (SOMs) to represent the underlying structure of a dataset. It creates a grid where each cell represents a neuron in the SOM, and the cell's colour indicates the average distance between the neuron's weight vector and those of its neighbouring neurons. This allows for a more straightforward interpretation of data patterns and an understanding of cluster separation and density. Darker cells indicate greater distances between clusters, while lighter cells indicate smaller distances.</w:t>
      </w:r>
    </w:p>
    <w:p w14:paraId="7571FA34" w14:textId="77777777" w:rsidR="0057582C" w:rsidRDefault="00CE7F22">
      <w:pPr>
        <w:spacing w:before="120" w:after="120" w:line="360" w:lineRule="auto"/>
        <w:jc w:val="both"/>
      </w:pPr>
      <w:r>
        <w:rPr>
          <w:b/>
          <w:bCs/>
        </w:rPr>
        <w:t>Evaluation of the Self-Organising Maps (SOMs)</w:t>
      </w:r>
    </w:p>
    <w:p w14:paraId="309897A0" w14:textId="77777777" w:rsidR="0057582C" w:rsidRDefault="00CE7F22">
      <w:pPr>
        <w:spacing w:before="120" w:after="120" w:line="360" w:lineRule="auto"/>
        <w:jc w:val="both"/>
      </w:pPr>
      <w:r>
        <w:rPr>
          <w:b/>
          <w:bCs/>
        </w:rPr>
        <w:t xml:space="preserve">Table </w:t>
      </w:r>
      <w:r>
        <w:rPr>
          <w:b/>
          <w:bCs/>
          <w:lang w:val="en-US"/>
        </w:rPr>
        <w:t>8</w:t>
      </w:r>
      <w:r>
        <w:rPr>
          <w:b/>
          <w:bCs/>
        </w:rPr>
        <w:t>. The evaluation Metrics results of the SOM.</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81"/>
        <w:gridCol w:w="1773"/>
        <w:gridCol w:w="1773"/>
        <w:gridCol w:w="1735"/>
        <w:gridCol w:w="1782"/>
      </w:tblGrid>
      <w:tr w:rsidR="0057582C" w14:paraId="1FB79A21" w14:textId="77777777">
        <w:trPr>
          <w:trHeight w:val="540"/>
        </w:trPr>
        <w:tc>
          <w:tcPr>
            <w:tcW w:w="2281" w:type="dxa"/>
            <w:tcBorders>
              <w:top w:val="single" w:sz="6" w:space="0" w:color="E0E0E0"/>
              <w:left w:val="single" w:sz="6" w:space="0" w:color="E0E0E0"/>
              <w:bottom w:val="single" w:sz="6" w:space="0" w:color="E0E0E0"/>
              <w:right w:val="single" w:sz="6" w:space="0" w:color="E0E0E0"/>
            </w:tcBorders>
            <w:shd w:val="clear" w:color="auto" w:fill="DEEAF1"/>
          </w:tcPr>
          <w:p w14:paraId="68FD9CFB" w14:textId="77777777" w:rsidR="0057582C" w:rsidRDefault="00CE7F22">
            <w:pPr>
              <w:spacing w:line="360" w:lineRule="auto"/>
              <w:jc w:val="both"/>
            </w:pPr>
            <w:r>
              <w:rPr>
                <w:b/>
                <w:bCs/>
              </w:rPr>
              <w:lastRenderedPageBreak/>
              <w:t>Davies-Bouldin Index (DBI)</w:t>
            </w:r>
          </w:p>
        </w:tc>
        <w:tc>
          <w:tcPr>
            <w:tcW w:w="1773" w:type="dxa"/>
            <w:tcBorders>
              <w:top w:val="single" w:sz="6" w:space="0" w:color="E0E0E0"/>
              <w:left w:val="single" w:sz="6" w:space="0" w:color="E0E0E0"/>
              <w:bottom w:val="single" w:sz="6" w:space="0" w:color="E0E0E0"/>
              <w:right w:val="single" w:sz="6" w:space="0" w:color="E0E0E0"/>
            </w:tcBorders>
            <w:shd w:val="clear" w:color="auto" w:fill="DEEAF1"/>
          </w:tcPr>
          <w:p w14:paraId="647C2A70" w14:textId="77777777" w:rsidR="0057582C" w:rsidRDefault="00CE7F22">
            <w:pPr>
              <w:spacing w:line="360" w:lineRule="auto"/>
              <w:jc w:val="both"/>
            </w:pPr>
            <w:r>
              <w:rPr>
                <w:b/>
                <w:bCs/>
              </w:rPr>
              <w:t>0.746</w:t>
            </w:r>
          </w:p>
        </w:tc>
        <w:tc>
          <w:tcPr>
            <w:tcW w:w="1773" w:type="dxa"/>
            <w:tcBorders>
              <w:top w:val="single" w:sz="6" w:space="0" w:color="E0E0E0"/>
              <w:left w:val="single" w:sz="6" w:space="0" w:color="E0E0E0"/>
              <w:bottom w:val="single" w:sz="6" w:space="0" w:color="E0E0E0"/>
              <w:right w:val="single" w:sz="6" w:space="0" w:color="E0E0E0"/>
            </w:tcBorders>
            <w:shd w:val="clear" w:color="auto" w:fill="DEEAF1"/>
          </w:tcPr>
          <w:p w14:paraId="0A75020D" w14:textId="77777777" w:rsidR="0057582C" w:rsidRDefault="00CE7F22">
            <w:pPr>
              <w:spacing w:line="360" w:lineRule="auto"/>
              <w:jc w:val="both"/>
            </w:pPr>
            <w:r>
              <w:rPr>
                <w:b/>
                <w:bCs/>
              </w:rPr>
              <w:t>3.256</w:t>
            </w:r>
          </w:p>
        </w:tc>
        <w:tc>
          <w:tcPr>
            <w:tcW w:w="1735" w:type="dxa"/>
            <w:tcBorders>
              <w:top w:val="single" w:sz="6" w:space="0" w:color="E0E0E0"/>
              <w:left w:val="single" w:sz="6" w:space="0" w:color="E0E0E0"/>
              <w:bottom w:val="single" w:sz="6" w:space="0" w:color="E0E0E0"/>
              <w:right w:val="single" w:sz="6" w:space="0" w:color="E0E0E0"/>
            </w:tcBorders>
            <w:shd w:val="clear" w:color="auto" w:fill="DEEAF1"/>
          </w:tcPr>
          <w:p w14:paraId="45DC6DC3" w14:textId="77777777" w:rsidR="0057582C" w:rsidRDefault="00CE7F22">
            <w:pPr>
              <w:spacing w:line="360" w:lineRule="auto"/>
              <w:jc w:val="both"/>
            </w:pPr>
            <w:r>
              <w:rPr>
                <w:b/>
                <w:bCs/>
              </w:rPr>
              <w:t>Lower = better</w:t>
            </w:r>
          </w:p>
        </w:tc>
        <w:tc>
          <w:tcPr>
            <w:tcW w:w="1782" w:type="dxa"/>
            <w:tcBorders>
              <w:top w:val="single" w:sz="6" w:space="0" w:color="E0E0E0"/>
              <w:left w:val="single" w:sz="6" w:space="0" w:color="E0E0E0"/>
              <w:bottom w:val="single" w:sz="6" w:space="0" w:color="E0E0E0"/>
              <w:right w:val="single" w:sz="6" w:space="0" w:color="E0E0E0"/>
            </w:tcBorders>
            <w:shd w:val="clear" w:color="auto" w:fill="DEEAF1"/>
          </w:tcPr>
          <w:p w14:paraId="346B9ECB" w14:textId="77777777" w:rsidR="0057582C" w:rsidRDefault="00CE7F22">
            <w:pPr>
              <w:spacing w:line="360" w:lineRule="auto"/>
              <w:jc w:val="both"/>
            </w:pPr>
            <w:r>
              <w:rPr>
                <w:b/>
                <w:bCs/>
              </w:rPr>
              <w:t>SOM superior</w:t>
            </w:r>
          </w:p>
        </w:tc>
      </w:tr>
      <w:tr w:rsidR="0057582C" w14:paraId="157E2FCD" w14:textId="77777777">
        <w:trPr>
          <w:trHeight w:val="540"/>
        </w:trPr>
        <w:tc>
          <w:tcPr>
            <w:tcW w:w="2281" w:type="dxa"/>
            <w:tcBorders>
              <w:left w:val="single" w:sz="6" w:space="0" w:color="E0E0E0"/>
              <w:bottom w:val="single" w:sz="6" w:space="0" w:color="E0E0E0"/>
              <w:right w:val="single" w:sz="6" w:space="0" w:color="E0E0E0"/>
            </w:tcBorders>
            <w:shd w:val="clear" w:color="auto" w:fill="E2EFDA"/>
          </w:tcPr>
          <w:p w14:paraId="61A0A94C" w14:textId="77777777" w:rsidR="0057582C" w:rsidRDefault="00CE7F22">
            <w:pPr>
              <w:spacing w:line="360" w:lineRule="auto"/>
              <w:jc w:val="both"/>
            </w:pPr>
            <w:proofErr w:type="spellStart"/>
            <w:r>
              <w:rPr>
                <w:b/>
                <w:bCs/>
              </w:rPr>
              <w:t>Calinski-Harabasz</w:t>
            </w:r>
            <w:proofErr w:type="spellEnd"/>
            <w:r>
              <w:rPr>
                <w:b/>
                <w:bCs/>
              </w:rPr>
              <w:t xml:space="preserve"> Index (CHI)</w:t>
            </w:r>
          </w:p>
        </w:tc>
        <w:tc>
          <w:tcPr>
            <w:tcW w:w="1773" w:type="dxa"/>
            <w:tcBorders>
              <w:left w:val="single" w:sz="6" w:space="0" w:color="E0E0E0"/>
              <w:bottom w:val="single" w:sz="6" w:space="0" w:color="E0E0E0"/>
              <w:right w:val="single" w:sz="6" w:space="0" w:color="E0E0E0"/>
            </w:tcBorders>
            <w:shd w:val="clear" w:color="auto" w:fill="E2EFDA"/>
          </w:tcPr>
          <w:p w14:paraId="6B8BA31F" w14:textId="77777777" w:rsidR="0057582C" w:rsidRDefault="00CE7F22">
            <w:pPr>
              <w:spacing w:line="360" w:lineRule="auto"/>
              <w:jc w:val="both"/>
            </w:pPr>
            <w:r>
              <w:rPr>
                <w:b/>
                <w:bCs/>
              </w:rPr>
              <w:t>5,709.43</w:t>
            </w:r>
          </w:p>
        </w:tc>
        <w:tc>
          <w:tcPr>
            <w:tcW w:w="1773" w:type="dxa"/>
            <w:tcBorders>
              <w:left w:val="single" w:sz="6" w:space="0" w:color="E0E0E0"/>
              <w:bottom w:val="single" w:sz="6" w:space="0" w:color="E0E0E0"/>
              <w:right w:val="single" w:sz="6" w:space="0" w:color="E0E0E0"/>
            </w:tcBorders>
            <w:shd w:val="clear" w:color="auto" w:fill="E2EFDA"/>
          </w:tcPr>
          <w:p w14:paraId="66FDC649" w14:textId="77777777" w:rsidR="0057582C" w:rsidRDefault="00CE7F22">
            <w:pPr>
              <w:spacing w:line="360" w:lineRule="auto"/>
              <w:jc w:val="both"/>
            </w:pPr>
            <w:r>
              <w:rPr>
                <w:b/>
                <w:bCs/>
              </w:rPr>
              <w:t>3,751.77</w:t>
            </w:r>
          </w:p>
        </w:tc>
        <w:tc>
          <w:tcPr>
            <w:tcW w:w="1735" w:type="dxa"/>
            <w:tcBorders>
              <w:left w:val="single" w:sz="6" w:space="0" w:color="E0E0E0"/>
              <w:bottom w:val="single" w:sz="6" w:space="0" w:color="E0E0E0"/>
              <w:right w:val="single" w:sz="6" w:space="0" w:color="E0E0E0"/>
            </w:tcBorders>
            <w:shd w:val="clear" w:color="auto" w:fill="E2EFDA"/>
          </w:tcPr>
          <w:p w14:paraId="30ACB942" w14:textId="77777777" w:rsidR="0057582C" w:rsidRDefault="00CE7F22">
            <w:pPr>
              <w:spacing w:line="360" w:lineRule="auto"/>
              <w:jc w:val="both"/>
            </w:pPr>
            <w:r>
              <w:rPr>
                <w:b/>
                <w:bCs/>
              </w:rPr>
              <w:t>Higher = better</w:t>
            </w:r>
          </w:p>
        </w:tc>
        <w:tc>
          <w:tcPr>
            <w:tcW w:w="1782" w:type="dxa"/>
            <w:tcBorders>
              <w:left w:val="single" w:sz="6" w:space="0" w:color="E0E0E0"/>
              <w:bottom w:val="single" w:sz="6" w:space="0" w:color="E0E0E0"/>
              <w:right w:val="single" w:sz="6" w:space="0" w:color="E0E0E0"/>
            </w:tcBorders>
            <w:shd w:val="clear" w:color="auto" w:fill="E2EFDA"/>
          </w:tcPr>
          <w:p w14:paraId="6D4BF18A" w14:textId="77777777" w:rsidR="0057582C" w:rsidRDefault="00CE7F22">
            <w:pPr>
              <w:spacing w:line="360" w:lineRule="auto"/>
              <w:jc w:val="both"/>
            </w:pPr>
            <w:r>
              <w:rPr>
                <w:b/>
                <w:bCs/>
              </w:rPr>
              <w:t>SOM superior</w:t>
            </w:r>
          </w:p>
        </w:tc>
      </w:tr>
    </w:tbl>
    <w:p w14:paraId="24FC77E8" w14:textId="77777777" w:rsidR="0057582C" w:rsidRDefault="0057582C">
      <w:pPr>
        <w:spacing w:before="120" w:after="120" w:line="360" w:lineRule="auto"/>
        <w:jc w:val="both"/>
      </w:pPr>
    </w:p>
    <w:p w14:paraId="0490CE1C" w14:textId="77777777" w:rsidR="0057582C" w:rsidRDefault="00CE7F22">
      <w:pPr>
        <w:spacing w:before="120" w:after="120" w:line="360" w:lineRule="auto"/>
        <w:jc w:val="both"/>
      </w:pPr>
      <w:r>
        <w:t>The SOM model's DBI of 0.746 is substantially lower than the GMM's DBI of 3.256 (Tables 5 and 7), confirming that SOM produces more compact, better-separated customer clusters.</w:t>
      </w:r>
    </w:p>
    <w:p w14:paraId="423FBEF2" w14:textId="77777777" w:rsidR="0057582C" w:rsidRDefault="00CE7F22">
      <w:pPr>
        <w:spacing w:before="120" w:after="120" w:line="360" w:lineRule="auto"/>
        <w:jc w:val="both"/>
      </w:pPr>
      <w:r>
        <w:t>The SOM model achieves a CHI of 5,709.43, compared to 3,751.77 for the GMM, confirming superior global cluster structure quality.</w:t>
      </w:r>
    </w:p>
    <w:p w14:paraId="228D1B4A" w14:textId="77777777" w:rsidR="0057582C" w:rsidRDefault="00CE7F22">
      <w:pPr>
        <w:spacing w:before="120" w:after="120" w:line="360" w:lineRule="auto"/>
        <w:jc w:val="both"/>
      </w:pPr>
      <w:r>
        <w:rPr>
          <w:b/>
          <w:bCs/>
        </w:rPr>
        <w:t>SOM and GMM Findings</w:t>
      </w:r>
    </w:p>
    <w:p w14:paraId="1A5CA367" w14:textId="77777777" w:rsidR="0057582C" w:rsidRDefault="00CE7F22">
      <w:pPr>
        <w:spacing w:before="120" w:after="120" w:line="360" w:lineRule="auto"/>
        <w:jc w:val="both"/>
      </w:pPr>
      <w:r>
        <w:t>This study implements a 5×5 SOM (25 neurons). The grid size was selected empirically by training separate SOMs across five candidate configurations ranging from 3×3 to 7×7, evaluating each on quantisation error (QE) and topographic error (TE). Quantisation error measures the mean distance between each input vector and its best-matching unit (lower is better), while topographic error measures the proportion of input vectors whose two best-matching units are non-adjacent on the grid (lower is better). Table 9 presents the results of this evaluation.</w:t>
      </w:r>
    </w:p>
    <w:p w14:paraId="6EF55EC3" w14:textId="77777777" w:rsidR="0057582C" w:rsidRDefault="00CE7F22">
      <w:pPr>
        <w:spacing w:before="120" w:after="120" w:line="360" w:lineRule="auto"/>
        <w:jc w:val="both"/>
      </w:pPr>
      <w:r>
        <w:rPr>
          <w:b/>
          <w:bCs/>
        </w:rPr>
        <w:t>Table 9: SOM Grid Size Evaluation — Quantisation and Topographic Error</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gridCol w:w="2295"/>
      </w:tblGrid>
      <w:tr w:rsidR="0057582C" w14:paraId="686DA721" w14:textId="77777777">
        <w:trPr>
          <w:trHeight w:val="540"/>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56414F75" w14:textId="77777777" w:rsidR="0057582C" w:rsidRDefault="00CE7F22">
            <w:pPr>
              <w:spacing w:line="360" w:lineRule="auto"/>
              <w:jc w:val="both"/>
            </w:pPr>
            <w:r>
              <w:rPr>
                <w:b/>
                <w:bCs/>
              </w:rPr>
              <w:t>Grid</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229215A5" w14:textId="77777777" w:rsidR="0057582C" w:rsidRDefault="00CE7F22">
            <w:pPr>
              <w:spacing w:line="360" w:lineRule="auto"/>
              <w:jc w:val="both"/>
            </w:pPr>
            <w:r>
              <w:rPr>
                <w:b/>
                <w:bCs/>
              </w:rPr>
              <w:t>Neurons</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5955221F" w14:textId="77777777" w:rsidR="0057582C" w:rsidRDefault="00CE7F22">
            <w:pPr>
              <w:spacing w:line="360" w:lineRule="auto"/>
              <w:jc w:val="both"/>
            </w:pPr>
            <w:r>
              <w:rPr>
                <w:b/>
                <w:bCs/>
              </w:rPr>
              <w:t>Quantisation Error</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320AEE88" w14:textId="77777777" w:rsidR="0057582C" w:rsidRDefault="00CE7F22">
            <w:pPr>
              <w:spacing w:line="360" w:lineRule="auto"/>
              <w:jc w:val="both"/>
            </w:pPr>
            <w:r>
              <w:rPr>
                <w:b/>
                <w:bCs/>
              </w:rPr>
              <w:t>Topographic Error</w:t>
            </w:r>
          </w:p>
        </w:tc>
      </w:tr>
      <w:tr w:rsidR="0057582C" w14:paraId="62F807F5" w14:textId="77777777">
        <w:trPr>
          <w:trHeight w:val="540"/>
        </w:trPr>
        <w:tc>
          <w:tcPr>
            <w:tcW w:w="2295" w:type="dxa"/>
            <w:tcBorders>
              <w:left w:val="single" w:sz="6" w:space="0" w:color="E0E0E0"/>
              <w:bottom w:val="single" w:sz="6" w:space="0" w:color="E0E0E0"/>
              <w:right w:val="single" w:sz="6" w:space="0" w:color="E0E0E0"/>
            </w:tcBorders>
          </w:tcPr>
          <w:p w14:paraId="51B18104" w14:textId="77777777" w:rsidR="0057582C" w:rsidRDefault="00CE7F22">
            <w:pPr>
              <w:spacing w:line="360" w:lineRule="auto"/>
              <w:jc w:val="both"/>
            </w:pPr>
            <w:r>
              <w:t>3×3</w:t>
            </w:r>
          </w:p>
        </w:tc>
        <w:tc>
          <w:tcPr>
            <w:tcW w:w="2295" w:type="dxa"/>
            <w:tcBorders>
              <w:left w:val="single" w:sz="6" w:space="0" w:color="E0E0E0"/>
              <w:bottom w:val="single" w:sz="6" w:space="0" w:color="E0E0E0"/>
              <w:right w:val="single" w:sz="6" w:space="0" w:color="E0E0E0"/>
            </w:tcBorders>
          </w:tcPr>
          <w:p w14:paraId="21AF631A" w14:textId="77777777" w:rsidR="0057582C" w:rsidRDefault="00CE7F22">
            <w:pPr>
              <w:spacing w:line="360" w:lineRule="auto"/>
              <w:jc w:val="both"/>
            </w:pPr>
            <w:r>
              <w:t>9</w:t>
            </w:r>
          </w:p>
        </w:tc>
        <w:tc>
          <w:tcPr>
            <w:tcW w:w="2295" w:type="dxa"/>
            <w:tcBorders>
              <w:left w:val="single" w:sz="6" w:space="0" w:color="E0E0E0"/>
              <w:bottom w:val="single" w:sz="6" w:space="0" w:color="E0E0E0"/>
              <w:right w:val="single" w:sz="6" w:space="0" w:color="E0E0E0"/>
            </w:tcBorders>
          </w:tcPr>
          <w:p w14:paraId="60799E75" w14:textId="77777777" w:rsidR="0057582C" w:rsidRDefault="00CE7F22">
            <w:pPr>
              <w:spacing w:line="360" w:lineRule="auto"/>
              <w:jc w:val="both"/>
            </w:pPr>
            <w:r>
              <w:t>0.3018</w:t>
            </w:r>
          </w:p>
        </w:tc>
        <w:tc>
          <w:tcPr>
            <w:tcW w:w="2295" w:type="dxa"/>
            <w:tcBorders>
              <w:left w:val="single" w:sz="6" w:space="0" w:color="E0E0E0"/>
              <w:bottom w:val="single" w:sz="6" w:space="0" w:color="E0E0E0"/>
              <w:right w:val="single" w:sz="6" w:space="0" w:color="E0E0E0"/>
            </w:tcBorders>
          </w:tcPr>
          <w:p w14:paraId="34C0C951" w14:textId="77777777" w:rsidR="0057582C" w:rsidRDefault="00CE7F22">
            <w:pPr>
              <w:spacing w:line="360" w:lineRule="auto"/>
              <w:jc w:val="both"/>
            </w:pPr>
            <w:r>
              <w:t>0.1101</w:t>
            </w:r>
          </w:p>
        </w:tc>
      </w:tr>
      <w:tr w:rsidR="0057582C" w14:paraId="6B33DAD8" w14:textId="77777777">
        <w:trPr>
          <w:trHeight w:val="540"/>
        </w:trPr>
        <w:tc>
          <w:tcPr>
            <w:tcW w:w="2295" w:type="dxa"/>
            <w:tcBorders>
              <w:left w:val="single" w:sz="6" w:space="0" w:color="E0E0E0"/>
              <w:bottom w:val="single" w:sz="6" w:space="0" w:color="E0E0E0"/>
              <w:right w:val="single" w:sz="6" w:space="0" w:color="E0E0E0"/>
            </w:tcBorders>
          </w:tcPr>
          <w:p w14:paraId="6056328B" w14:textId="77777777" w:rsidR="0057582C" w:rsidRDefault="00CE7F22">
            <w:pPr>
              <w:spacing w:line="360" w:lineRule="auto"/>
              <w:jc w:val="both"/>
            </w:pPr>
            <w:r>
              <w:t>4×4</w:t>
            </w:r>
          </w:p>
        </w:tc>
        <w:tc>
          <w:tcPr>
            <w:tcW w:w="2295" w:type="dxa"/>
            <w:tcBorders>
              <w:left w:val="single" w:sz="6" w:space="0" w:color="E0E0E0"/>
              <w:bottom w:val="single" w:sz="6" w:space="0" w:color="E0E0E0"/>
              <w:right w:val="single" w:sz="6" w:space="0" w:color="E0E0E0"/>
            </w:tcBorders>
          </w:tcPr>
          <w:p w14:paraId="65DDF7F4" w14:textId="77777777" w:rsidR="0057582C" w:rsidRDefault="00CE7F22">
            <w:pPr>
              <w:spacing w:line="360" w:lineRule="auto"/>
              <w:jc w:val="both"/>
            </w:pPr>
            <w:r>
              <w:t>16</w:t>
            </w:r>
          </w:p>
        </w:tc>
        <w:tc>
          <w:tcPr>
            <w:tcW w:w="2295" w:type="dxa"/>
            <w:tcBorders>
              <w:left w:val="single" w:sz="6" w:space="0" w:color="E0E0E0"/>
              <w:bottom w:val="single" w:sz="6" w:space="0" w:color="E0E0E0"/>
              <w:right w:val="single" w:sz="6" w:space="0" w:color="E0E0E0"/>
            </w:tcBorders>
          </w:tcPr>
          <w:p w14:paraId="0F7E3658" w14:textId="77777777" w:rsidR="0057582C" w:rsidRDefault="00CE7F22">
            <w:pPr>
              <w:spacing w:line="360" w:lineRule="auto"/>
              <w:jc w:val="both"/>
            </w:pPr>
            <w:r>
              <w:t>0.0965</w:t>
            </w:r>
          </w:p>
        </w:tc>
        <w:tc>
          <w:tcPr>
            <w:tcW w:w="2295" w:type="dxa"/>
            <w:tcBorders>
              <w:left w:val="single" w:sz="6" w:space="0" w:color="E0E0E0"/>
              <w:bottom w:val="single" w:sz="6" w:space="0" w:color="E0E0E0"/>
              <w:right w:val="single" w:sz="6" w:space="0" w:color="E0E0E0"/>
            </w:tcBorders>
          </w:tcPr>
          <w:p w14:paraId="77F77441" w14:textId="77777777" w:rsidR="0057582C" w:rsidRDefault="00CE7F22">
            <w:pPr>
              <w:spacing w:line="360" w:lineRule="auto"/>
              <w:jc w:val="both"/>
            </w:pPr>
            <w:r>
              <w:t>0.4234</w:t>
            </w:r>
          </w:p>
        </w:tc>
      </w:tr>
      <w:tr w:rsidR="0057582C" w14:paraId="06AF3023"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3F5F8CC6" w14:textId="77777777" w:rsidR="0057582C" w:rsidRDefault="00CE7F22">
            <w:pPr>
              <w:spacing w:line="360" w:lineRule="auto"/>
              <w:jc w:val="both"/>
            </w:pPr>
            <w:r>
              <w:rPr>
                <w:b/>
                <w:bCs/>
              </w:rPr>
              <w:t>5×5 (selected)</w:t>
            </w:r>
          </w:p>
        </w:tc>
        <w:tc>
          <w:tcPr>
            <w:tcW w:w="2295" w:type="dxa"/>
            <w:tcBorders>
              <w:left w:val="single" w:sz="6" w:space="0" w:color="E0E0E0"/>
              <w:bottom w:val="single" w:sz="6" w:space="0" w:color="E0E0E0"/>
              <w:right w:val="single" w:sz="6" w:space="0" w:color="E0E0E0"/>
            </w:tcBorders>
            <w:shd w:val="clear" w:color="auto" w:fill="E2EFDA"/>
          </w:tcPr>
          <w:p w14:paraId="4FA86EF5" w14:textId="77777777" w:rsidR="0057582C" w:rsidRDefault="00CE7F22">
            <w:pPr>
              <w:spacing w:line="360" w:lineRule="auto"/>
              <w:jc w:val="both"/>
            </w:pPr>
            <w:r>
              <w:rPr>
                <w:b/>
                <w:bCs/>
              </w:rPr>
              <w:t>25</w:t>
            </w:r>
          </w:p>
        </w:tc>
        <w:tc>
          <w:tcPr>
            <w:tcW w:w="2295" w:type="dxa"/>
            <w:tcBorders>
              <w:left w:val="single" w:sz="6" w:space="0" w:color="E0E0E0"/>
              <w:bottom w:val="single" w:sz="6" w:space="0" w:color="E0E0E0"/>
              <w:right w:val="single" w:sz="6" w:space="0" w:color="E0E0E0"/>
            </w:tcBorders>
            <w:shd w:val="clear" w:color="auto" w:fill="E2EFDA"/>
          </w:tcPr>
          <w:p w14:paraId="0BB57D7B" w14:textId="77777777" w:rsidR="0057582C" w:rsidRDefault="00CE7F22">
            <w:pPr>
              <w:spacing w:line="360" w:lineRule="auto"/>
              <w:jc w:val="both"/>
            </w:pPr>
            <w:r>
              <w:rPr>
                <w:b/>
                <w:bCs/>
              </w:rPr>
              <w:t>0.1838</w:t>
            </w:r>
          </w:p>
        </w:tc>
        <w:tc>
          <w:tcPr>
            <w:tcW w:w="2295" w:type="dxa"/>
            <w:tcBorders>
              <w:left w:val="single" w:sz="6" w:space="0" w:color="E0E0E0"/>
              <w:bottom w:val="single" w:sz="6" w:space="0" w:color="E0E0E0"/>
              <w:right w:val="single" w:sz="6" w:space="0" w:color="E0E0E0"/>
            </w:tcBorders>
            <w:shd w:val="clear" w:color="auto" w:fill="E2EFDA"/>
          </w:tcPr>
          <w:p w14:paraId="4C9B8E4E" w14:textId="77777777" w:rsidR="0057582C" w:rsidRDefault="00CE7F22">
            <w:pPr>
              <w:spacing w:line="360" w:lineRule="auto"/>
              <w:jc w:val="both"/>
            </w:pPr>
            <w:r>
              <w:rPr>
                <w:b/>
                <w:bCs/>
              </w:rPr>
              <w:t>0.6998</w:t>
            </w:r>
          </w:p>
        </w:tc>
      </w:tr>
      <w:tr w:rsidR="0057582C" w14:paraId="31C98CBE" w14:textId="77777777">
        <w:trPr>
          <w:trHeight w:val="540"/>
        </w:trPr>
        <w:tc>
          <w:tcPr>
            <w:tcW w:w="2295" w:type="dxa"/>
            <w:tcBorders>
              <w:left w:val="single" w:sz="6" w:space="0" w:color="E0E0E0"/>
              <w:bottom w:val="single" w:sz="6" w:space="0" w:color="E0E0E0"/>
              <w:right w:val="single" w:sz="6" w:space="0" w:color="E0E0E0"/>
            </w:tcBorders>
          </w:tcPr>
          <w:p w14:paraId="09D6747A" w14:textId="77777777" w:rsidR="0057582C" w:rsidRDefault="00CE7F22">
            <w:pPr>
              <w:spacing w:line="360" w:lineRule="auto"/>
              <w:jc w:val="both"/>
            </w:pPr>
            <w:r>
              <w:t>6×6</w:t>
            </w:r>
          </w:p>
        </w:tc>
        <w:tc>
          <w:tcPr>
            <w:tcW w:w="2295" w:type="dxa"/>
            <w:tcBorders>
              <w:left w:val="single" w:sz="6" w:space="0" w:color="E0E0E0"/>
              <w:bottom w:val="single" w:sz="6" w:space="0" w:color="E0E0E0"/>
              <w:right w:val="single" w:sz="6" w:space="0" w:color="E0E0E0"/>
            </w:tcBorders>
          </w:tcPr>
          <w:p w14:paraId="033F23EC" w14:textId="77777777" w:rsidR="0057582C" w:rsidRDefault="00CE7F22">
            <w:pPr>
              <w:spacing w:line="360" w:lineRule="auto"/>
              <w:jc w:val="both"/>
            </w:pPr>
            <w:r>
              <w:t>36</w:t>
            </w:r>
          </w:p>
        </w:tc>
        <w:tc>
          <w:tcPr>
            <w:tcW w:w="2295" w:type="dxa"/>
            <w:tcBorders>
              <w:left w:val="single" w:sz="6" w:space="0" w:color="E0E0E0"/>
              <w:bottom w:val="single" w:sz="6" w:space="0" w:color="E0E0E0"/>
              <w:right w:val="single" w:sz="6" w:space="0" w:color="E0E0E0"/>
            </w:tcBorders>
          </w:tcPr>
          <w:p w14:paraId="2851BFAC" w14:textId="77777777" w:rsidR="0057582C" w:rsidRDefault="00CE7F22">
            <w:pPr>
              <w:spacing w:line="360" w:lineRule="auto"/>
              <w:jc w:val="both"/>
            </w:pPr>
            <w:r>
              <w:t>0.0494</w:t>
            </w:r>
          </w:p>
        </w:tc>
        <w:tc>
          <w:tcPr>
            <w:tcW w:w="2295" w:type="dxa"/>
            <w:tcBorders>
              <w:left w:val="single" w:sz="6" w:space="0" w:color="E0E0E0"/>
              <w:bottom w:val="single" w:sz="6" w:space="0" w:color="E0E0E0"/>
              <w:right w:val="single" w:sz="6" w:space="0" w:color="E0E0E0"/>
            </w:tcBorders>
          </w:tcPr>
          <w:p w14:paraId="6332E008" w14:textId="77777777" w:rsidR="0057582C" w:rsidRDefault="00CE7F22">
            <w:pPr>
              <w:spacing w:line="360" w:lineRule="auto"/>
              <w:jc w:val="both"/>
            </w:pPr>
            <w:r>
              <w:t>0.7497</w:t>
            </w:r>
          </w:p>
        </w:tc>
      </w:tr>
      <w:tr w:rsidR="0057582C" w14:paraId="0C185EC1" w14:textId="77777777">
        <w:trPr>
          <w:trHeight w:val="540"/>
        </w:trPr>
        <w:tc>
          <w:tcPr>
            <w:tcW w:w="2295" w:type="dxa"/>
            <w:tcBorders>
              <w:left w:val="single" w:sz="6" w:space="0" w:color="E0E0E0"/>
              <w:bottom w:val="single" w:sz="6" w:space="0" w:color="E0E0E0"/>
              <w:right w:val="single" w:sz="6" w:space="0" w:color="E0E0E0"/>
            </w:tcBorders>
          </w:tcPr>
          <w:p w14:paraId="1C2915D7" w14:textId="77777777" w:rsidR="0057582C" w:rsidRDefault="00CE7F22">
            <w:pPr>
              <w:spacing w:line="360" w:lineRule="auto"/>
              <w:jc w:val="both"/>
            </w:pPr>
            <w:r>
              <w:t>7×7</w:t>
            </w:r>
          </w:p>
        </w:tc>
        <w:tc>
          <w:tcPr>
            <w:tcW w:w="2295" w:type="dxa"/>
            <w:tcBorders>
              <w:left w:val="single" w:sz="6" w:space="0" w:color="E0E0E0"/>
              <w:bottom w:val="single" w:sz="6" w:space="0" w:color="E0E0E0"/>
              <w:right w:val="single" w:sz="6" w:space="0" w:color="E0E0E0"/>
            </w:tcBorders>
          </w:tcPr>
          <w:p w14:paraId="6F379126" w14:textId="77777777" w:rsidR="0057582C" w:rsidRDefault="00CE7F22">
            <w:pPr>
              <w:spacing w:line="360" w:lineRule="auto"/>
              <w:jc w:val="both"/>
            </w:pPr>
            <w:r>
              <w:t>49</w:t>
            </w:r>
          </w:p>
        </w:tc>
        <w:tc>
          <w:tcPr>
            <w:tcW w:w="2295" w:type="dxa"/>
            <w:tcBorders>
              <w:left w:val="single" w:sz="6" w:space="0" w:color="E0E0E0"/>
              <w:bottom w:val="single" w:sz="6" w:space="0" w:color="E0E0E0"/>
              <w:right w:val="single" w:sz="6" w:space="0" w:color="E0E0E0"/>
            </w:tcBorders>
          </w:tcPr>
          <w:p w14:paraId="41C859E9" w14:textId="77777777" w:rsidR="0057582C" w:rsidRDefault="00CE7F22">
            <w:pPr>
              <w:spacing w:line="360" w:lineRule="auto"/>
              <w:jc w:val="both"/>
            </w:pPr>
            <w:r>
              <w:t>0.0652</w:t>
            </w:r>
          </w:p>
        </w:tc>
        <w:tc>
          <w:tcPr>
            <w:tcW w:w="2295" w:type="dxa"/>
            <w:tcBorders>
              <w:left w:val="single" w:sz="6" w:space="0" w:color="E0E0E0"/>
              <w:bottom w:val="single" w:sz="6" w:space="0" w:color="E0E0E0"/>
              <w:right w:val="single" w:sz="6" w:space="0" w:color="E0E0E0"/>
            </w:tcBorders>
          </w:tcPr>
          <w:p w14:paraId="3E2E2A45" w14:textId="77777777" w:rsidR="0057582C" w:rsidRDefault="00CE7F22">
            <w:pPr>
              <w:spacing w:line="360" w:lineRule="auto"/>
              <w:jc w:val="both"/>
            </w:pPr>
            <w:r>
              <w:t>0.5171</w:t>
            </w:r>
          </w:p>
        </w:tc>
      </w:tr>
    </w:tbl>
    <w:p w14:paraId="1DF7C2BF" w14:textId="77777777" w:rsidR="0057582C" w:rsidRDefault="00CE7F22">
      <w:pPr>
        <w:spacing w:before="120" w:after="120" w:line="360" w:lineRule="auto"/>
        <w:jc w:val="both"/>
      </w:pPr>
      <w:r>
        <w:t xml:space="preserve">Table 9 shows that while larger grids (6×6, 7×7) achieve lower quantisation errors, they do so at the cost of substantially higher topographic error, indicating that the map's neighbourhood structure becomes unreliable. The 5×5 grid provides a reasonable quantisation error (0.1838) while </w:t>
      </w:r>
      <w:r>
        <w:lastRenderedPageBreak/>
        <w:t>avoiding the severe topographic distortion seen in larger configurations, making it the most appropriate choice for this dataset. Configurations of 3×3 and 4×4 are insufficient to represent the diversity of the 3,951-customer population without excessive cluster amalgamation.</w:t>
      </w:r>
    </w:p>
    <w:p w14:paraId="44F6C871" w14:textId="77777777" w:rsidR="0057582C" w:rsidRDefault="0057582C">
      <w:pPr>
        <w:spacing w:before="120" w:after="120" w:line="360" w:lineRule="auto"/>
        <w:jc w:val="both"/>
      </w:pPr>
    </w:p>
    <w:p w14:paraId="4A747396" w14:textId="77777777" w:rsidR="0057582C" w:rsidRDefault="00CE7F22">
      <w:pPr>
        <w:spacing w:before="120" w:after="60" w:line="360" w:lineRule="auto"/>
        <w:jc w:val="both"/>
      </w:pPr>
      <w:r>
        <w:rPr>
          <w:noProof/>
        </w:rPr>
        <w:drawing>
          <wp:inline distT="0" distB="0" distL="0" distR="0" wp14:anchorId="00EBB6CA" wp14:editId="59F4AC34">
            <wp:extent cx="5486400" cy="2079422"/>
            <wp:effectExtent l="0" t="0" r="0" b="0"/>
            <wp:docPr id="11" name="Figu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11"/>
                    <pic:cNvPicPr>
                      <a:picLocks noChangeAspect="1"/>
                    </pic:cNvPicPr>
                  </pic:nvPicPr>
                  <pic:blipFill rotWithShape="1">
                    <a:blip r:embed="rId17"/>
                    <a:srcRect l="1" t="12605" r="-24"/>
                    <a:stretch>
                      <a:fillRect/>
                    </a:stretch>
                  </pic:blipFill>
                  <pic:spPr bwMode="auto">
                    <a:xfrm>
                      <a:off x="0" y="0"/>
                      <a:ext cx="5487684" cy="2079909"/>
                    </a:xfrm>
                    <a:prstGeom prst="rect">
                      <a:avLst/>
                    </a:prstGeom>
                    <a:ln>
                      <a:noFill/>
                    </a:ln>
                    <a:extLst>
                      <a:ext uri="{53640926-AAD7-44D8-BBD7-CCE9431645EC}">
                        <a14:shadowObscured xmlns:a14="http://schemas.microsoft.com/office/drawing/2010/main"/>
                      </a:ext>
                    </a:extLst>
                  </pic:spPr>
                </pic:pic>
              </a:graphicData>
            </a:graphic>
          </wp:inline>
        </w:drawing>
      </w:r>
    </w:p>
    <w:p w14:paraId="708327D7" w14:textId="0788E299" w:rsidR="0057582C" w:rsidRDefault="00CE7F22">
      <w:pPr>
        <w:spacing w:before="120" w:after="120" w:line="360" w:lineRule="auto"/>
        <w:jc w:val="both"/>
      </w:pPr>
      <w:r>
        <w:rPr>
          <w:b/>
          <w:bCs/>
        </w:rPr>
        <w:t xml:space="preserve">Figure </w:t>
      </w:r>
      <w:r w:rsidR="00B26A1B">
        <w:rPr>
          <w:b/>
          <w:bCs/>
        </w:rPr>
        <w:t>8</w:t>
      </w:r>
      <w:r>
        <w:rPr>
          <w:b/>
          <w:bCs/>
        </w:rPr>
        <w:t>: SOM Grid Size Selection — Quantisation Error (A) and Topographic Error (B) across configurations 3×3 to 7×7. The selected 5×5 grid (highlighted) balances acceptable quantisation error with manageable topographic distortion.</w:t>
      </w:r>
    </w:p>
    <w:p w14:paraId="729C67F3" w14:textId="77777777" w:rsidR="0057582C" w:rsidRDefault="00CE7F22">
      <w:pPr>
        <w:spacing w:before="120" w:after="120" w:line="360" w:lineRule="auto"/>
        <w:jc w:val="both"/>
      </w:pPr>
      <w:r>
        <w:t>SOM’s superior cluster quality, confirmed by a DBI of 0.746 versus 3.256 for GMM and a CHI of 5,709 versus 3,752, makes it the preferred segmentation method for driving the demand forecasting pipeline. The 25 fine-grained SOM segments enable differentiated replenishment and marketing strategies that would not be achievable with the 10 broader GMM clusters and provide a more granular basis for segment-specific time-series forecasting.</w:t>
      </w:r>
    </w:p>
    <w:p w14:paraId="754CD76D" w14:textId="77777777" w:rsidR="0057582C" w:rsidRDefault="00CE7F22">
      <w:pPr>
        <w:spacing w:before="120" w:after="120" w:line="360" w:lineRule="auto"/>
        <w:jc w:val="both"/>
      </w:pPr>
      <w:r>
        <w:rPr>
          <w:b/>
          <w:bCs/>
        </w:rPr>
        <w:t>Forecasting Model Evaluation: Prophet and Auto-ARIMA</w:t>
      </w:r>
    </w:p>
    <w:p w14:paraId="1FF15E12" w14:textId="77777777" w:rsidR="0057582C" w:rsidRDefault="00CE7F22">
      <w:pPr>
        <w:spacing w:before="120" w:after="120" w:line="360" w:lineRule="auto"/>
        <w:jc w:val="both"/>
      </w:pPr>
      <w:r>
        <w:t>Facebook Prophet and auto-ARIMA (</w:t>
      </w:r>
      <w:proofErr w:type="spellStart"/>
      <w:r>
        <w:t>pmdarima</w:t>
      </w:r>
      <w:proofErr w:type="spellEnd"/>
      <w:r>
        <w:t xml:space="preserve">, AIC-based order selection) were applied independently to all 25 SOM customer segments. For each segment, transactions were aggregated to monthly total revenue, yielding a 12-month historical time series. Both models were evaluated using walk-forward cross-validation (9-month training, 3-month hold-out) and assessed on MAE and RMSE after inverse </w:t>
      </w:r>
      <w:proofErr w:type="spellStart"/>
      <w:r>
        <w:t>MinMax</w:t>
      </w:r>
      <w:proofErr w:type="spellEnd"/>
      <w:r>
        <w:t xml:space="preserve"> transformation to GBP. The full Prophet CV results across all 25 segments are reported in Table </w:t>
      </w:r>
      <w:r>
        <w:rPr>
          <w:lang w:val="en-US"/>
        </w:rPr>
        <w:t>8</w:t>
      </w:r>
      <w:r>
        <w:t xml:space="preserve">; auto-ARIMA results are in Table </w:t>
      </w:r>
      <w:r>
        <w:rPr>
          <w:lang w:val="en-US"/>
        </w:rPr>
        <w:t>9</w:t>
      </w:r>
      <w:r>
        <w:t>. Three representative forecast plots (Clusters 0, 1, and 2) are presented in Figures 8, 9, and 10.</w:t>
      </w:r>
    </w:p>
    <w:p w14:paraId="09B29A8E" w14:textId="77777777" w:rsidR="0057582C" w:rsidRDefault="00CE7F22">
      <w:pPr>
        <w:spacing w:before="120" w:after="120" w:line="360" w:lineRule="auto"/>
        <w:jc w:val="both"/>
      </w:pPr>
      <w:r>
        <w:rPr>
          <w:b/>
          <w:bCs/>
        </w:rPr>
        <w:t>Visualisation of Forecast</w:t>
      </w:r>
    </w:p>
    <w:p w14:paraId="23DFEE0A" w14:textId="77777777" w:rsidR="0057582C" w:rsidRDefault="00CE7F22">
      <w:pPr>
        <w:spacing w:before="120" w:after="120" w:line="360" w:lineRule="auto"/>
        <w:jc w:val="both"/>
      </w:pPr>
      <w:r>
        <w:lastRenderedPageBreak/>
        <w:t>Figures 8–10 show the Prophet 12-month forecast with confidence intervals for Clusters 0, 1, and 2 respectively, illustrating contrasting demand structures across tiers. Cluster 0 (Tier 3, Moderate Buyers) exhibits a stable low-volume pattern; Cluster 1 (Tier 2, Loyal Actives) shows seasonal oscillation; Cluster 2 (Tier 2) displays higher volatility. The forecast confidence intervals — derived from Prophet’s uncertainty estimation — serve as demand bounds in the Monte Carlo EOQ simulation (Section 4.5).</w:t>
      </w:r>
    </w:p>
    <w:p w14:paraId="60BBAECD" w14:textId="77777777" w:rsidR="0057582C" w:rsidRDefault="0057582C">
      <w:pPr>
        <w:spacing w:before="120" w:after="120" w:line="360" w:lineRule="auto"/>
        <w:jc w:val="both"/>
      </w:pPr>
    </w:p>
    <w:p w14:paraId="1B2DDF04" w14:textId="77777777" w:rsidR="0057582C" w:rsidRDefault="0057582C">
      <w:pPr>
        <w:spacing w:before="120" w:after="120" w:line="360" w:lineRule="auto"/>
        <w:jc w:val="both"/>
      </w:pPr>
    </w:p>
    <w:p w14:paraId="49D16F8C" w14:textId="77777777" w:rsidR="0057582C" w:rsidRDefault="00CE7F22">
      <w:pPr>
        <w:spacing w:before="120" w:after="60" w:line="360" w:lineRule="auto"/>
        <w:jc w:val="both"/>
      </w:pPr>
      <w:r>
        <w:rPr>
          <w:noProof/>
        </w:rPr>
        <w:drawing>
          <wp:inline distT="0" distB="0" distL="0" distR="0" wp14:anchorId="644039A0" wp14:editId="0EEFA358">
            <wp:extent cx="5486400" cy="3559810"/>
            <wp:effectExtent l="0" t="0" r="0" b="0"/>
            <wp:docPr id="8" name="Fig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8"/>
                    <pic:cNvPicPr>
                      <a:picLocks noChangeAspect="1"/>
                    </pic:cNvPicPr>
                  </pic:nvPicPr>
                  <pic:blipFill>
                    <a:blip r:embed="rId18"/>
                    <a:stretch>
                      <a:fillRect/>
                    </a:stretch>
                  </pic:blipFill>
                  <pic:spPr>
                    <a:xfrm>
                      <a:off x="0" y="0"/>
                      <a:ext cx="5486400" cy="3560249"/>
                    </a:xfrm>
                    <a:prstGeom prst="rect">
                      <a:avLst/>
                    </a:prstGeom>
                  </pic:spPr>
                </pic:pic>
              </a:graphicData>
            </a:graphic>
          </wp:inline>
        </w:drawing>
      </w:r>
    </w:p>
    <w:p w14:paraId="02B13890" w14:textId="1CA6DA1F" w:rsidR="0057582C" w:rsidRDefault="00CE7F22">
      <w:pPr>
        <w:spacing w:before="60" w:after="60" w:line="360" w:lineRule="auto"/>
        <w:jc w:val="both"/>
      </w:pPr>
      <w:commentRangeStart w:id="4"/>
      <w:r>
        <w:rPr>
          <w:b/>
          <w:bCs/>
          <w:i/>
          <w:iCs/>
        </w:rPr>
        <w:t xml:space="preserve">Figure </w:t>
      </w:r>
      <w:r w:rsidR="00B26A1B">
        <w:rPr>
          <w:b/>
          <w:bCs/>
          <w:i/>
          <w:iCs/>
        </w:rPr>
        <w:t>9</w:t>
      </w:r>
      <w:r>
        <w:rPr>
          <w:b/>
          <w:bCs/>
          <w:i/>
          <w:iCs/>
        </w:rPr>
        <w:t xml:space="preserve">: Prophet 12-month forecast, Cluster 0 (Tier 3, Moderate Buyers). Stable low-volume demand; CV MAE £58. Flat trend confirms </w:t>
      </w:r>
      <w:proofErr w:type="gramStart"/>
      <w:r>
        <w:rPr>
          <w:b/>
          <w:bCs/>
          <w:i/>
          <w:iCs/>
        </w:rPr>
        <w:t>ARIMA(</w:t>
      </w:r>
      <w:proofErr w:type="gramEnd"/>
      <w:r>
        <w:rPr>
          <w:b/>
          <w:bCs/>
          <w:i/>
          <w:iCs/>
        </w:rPr>
        <w:t>0,0,0) as the optimal auto-ARIMA specification for this segment.</w:t>
      </w:r>
      <w:commentRangeEnd w:id="4"/>
      <w:r w:rsidR="00E621CF">
        <w:rPr>
          <w:rStyle w:val="CommentReference"/>
        </w:rPr>
        <w:commentReference w:id="4"/>
      </w:r>
    </w:p>
    <w:p w14:paraId="63D39299" w14:textId="77777777" w:rsidR="0057582C" w:rsidRDefault="0057582C">
      <w:pPr>
        <w:spacing w:before="120" w:after="120" w:line="360" w:lineRule="auto"/>
        <w:jc w:val="both"/>
      </w:pPr>
    </w:p>
    <w:p w14:paraId="46ABF0D1" w14:textId="77777777" w:rsidR="0057582C" w:rsidRDefault="0057582C">
      <w:pPr>
        <w:spacing w:before="120" w:after="120" w:line="360" w:lineRule="auto"/>
        <w:jc w:val="both"/>
      </w:pPr>
    </w:p>
    <w:p w14:paraId="4D426EB9" w14:textId="77777777" w:rsidR="0057582C" w:rsidRDefault="0057582C">
      <w:pPr>
        <w:spacing w:before="120" w:after="120" w:line="360" w:lineRule="auto"/>
        <w:jc w:val="both"/>
      </w:pPr>
    </w:p>
    <w:p w14:paraId="089E7F29" w14:textId="77777777" w:rsidR="0057582C" w:rsidRDefault="0057582C">
      <w:pPr>
        <w:spacing w:before="120" w:after="120" w:line="360" w:lineRule="auto"/>
        <w:jc w:val="both"/>
      </w:pPr>
    </w:p>
    <w:p w14:paraId="4380F41A" w14:textId="77777777" w:rsidR="0057582C" w:rsidRDefault="0057582C">
      <w:pPr>
        <w:spacing w:before="120" w:after="120" w:line="360" w:lineRule="auto"/>
        <w:jc w:val="both"/>
      </w:pPr>
    </w:p>
    <w:p w14:paraId="452169BA" w14:textId="77777777" w:rsidR="0057582C" w:rsidRDefault="0057582C">
      <w:pPr>
        <w:spacing w:before="120" w:after="120" w:line="360" w:lineRule="auto"/>
        <w:jc w:val="both"/>
      </w:pPr>
    </w:p>
    <w:p w14:paraId="2DE1EE12" w14:textId="77777777" w:rsidR="0057582C" w:rsidRDefault="0057582C">
      <w:pPr>
        <w:spacing w:before="120" w:after="120" w:line="360" w:lineRule="auto"/>
        <w:jc w:val="both"/>
      </w:pPr>
    </w:p>
    <w:p w14:paraId="4F76F8C9" w14:textId="77777777" w:rsidR="0057582C" w:rsidRDefault="0057582C">
      <w:pPr>
        <w:spacing w:before="120" w:after="120" w:line="360" w:lineRule="auto"/>
        <w:jc w:val="both"/>
      </w:pPr>
    </w:p>
    <w:p w14:paraId="22332577" w14:textId="77777777" w:rsidR="0057582C" w:rsidRDefault="00CE7F22">
      <w:pPr>
        <w:spacing w:before="120" w:after="60" w:line="360" w:lineRule="auto"/>
        <w:jc w:val="both"/>
      </w:pPr>
      <w:r>
        <w:rPr>
          <w:noProof/>
        </w:rPr>
        <w:drawing>
          <wp:inline distT="0" distB="0" distL="0" distR="0" wp14:anchorId="1A5A0FE2" wp14:editId="0C200B53">
            <wp:extent cx="5486400" cy="3406775"/>
            <wp:effectExtent l="0" t="0" r="0" b="0"/>
            <wp:docPr id="9" name="Fig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9"/>
                    <pic:cNvPicPr>
                      <a:picLocks noChangeAspect="1"/>
                    </pic:cNvPicPr>
                  </pic:nvPicPr>
                  <pic:blipFill>
                    <a:blip r:embed="rId19"/>
                    <a:stretch>
                      <a:fillRect/>
                    </a:stretch>
                  </pic:blipFill>
                  <pic:spPr>
                    <a:xfrm>
                      <a:off x="0" y="0"/>
                      <a:ext cx="5486400" cy="3407269"/>
                    </a:xfrm>
                    <a:prstGeom prst="rect">
                      <a:avLst/>
                    </a:prstGeom>
                  </pic:spPr>
                </pic:pic>
              </a:graphicData>
            </a:graphic>
          </wp:inline>
        </w:drawing>
      </w:r>
    </w:p>
    <w:p w14:paraId="1F311608" w14:textId="4C69147F" w:rsidR="0057582C" w:rsidRDefault="00CE7F22">
      <w:pPr>
        <w:spacing w:before="60" w:after="60" w:line="360" w:lineRule="auto"/>
        <w:jc w:val="both"/>
      </w:pPr>
      <w:commentRangeStart w:id="5"/>
      <w:r>
        <w:rPr>
          <w:b/>
          <w:bCs/>
          <w:i/>
          <w:iCs/>
        </w:rPr>
        <w:t xml:space="preserve">Figure </w:t>
      </w:r>
      <w:r w:rsidR="00B26A1B">
        <w:rPr>
          <w:b/>
          <w:bCs/>
          <w:i/>
          <w:iCs/>
        </w:rPr>
        <w:t>10</w:t>
      </w:r>
      <w:r>
        <w:rPr>
          <w:b/>
          <w:bCs/>
          <w:i/>
          <w:iCs/>
        </w:rPr>
        <w:t>: Prophet 12-month forecast, Cluster 1 (Tier 2, Loyal Actives). Seasonal oscillation; CV MAE £170. Confidence intervals serve as stochastic demand bounds in the Monte Carlo EOQ simulation (Section 4.5).</w:t>
      </w:r>
      <w:commentRangeEnd w:id="5"/>
      <w:r w:rsidR="00E621CF">
        <w:rPr>
          <w:rStyle w:val="CommentReference"/>
        </w:rPr>
        <w:commentReference w:id="5"/>
      </w:r>
    </w:p>
    <w:p w14:paraId="3926F58B" w14:textId="77777777" w:rsidR="0057582C" w:rsidRDefault="0057582C">
      <w:pPr>
        <w:spacing w:before="120" w:after="120" w:line="360" w:lineRule="auto"/>
        <w:jc w:val="both"/>
      </w:pPr>
    </w:p>
    <w:p w14:paraId="26A697A9" w14:textId="77777777" w:rsidR="0057582C" w:rsidRDefault="0057582C">
      <w:pPr>
        <w:spacing w:before="120" w:after="120" w:line="360" w:lineRule="auto"/>
        <w:jc w:val="both"/>
      </w:pPr>
    </w:p>
    <w:p w14:paraId="6014F0C8" w14:textId="77777777" w:rsidR="0057582C" w:rsidRDefault="0057582C">
      <w:pPr>
        <w:spacing w:before="120" w:after="120" w:line="360" w:lineRule="auto"/>
        <w:jc w:val="both"/>
      </w:pPr>
    </w:p>
    <w:p w14:paraId="1E65FFF3" w14:textId="77777777" w:rsidR="0057582C" w:rsidRDefault="0057582C">
      <w:pPr>
        <w:spacing w:before="120" w:after="120" w:line="360" w:lineRule="auto"/>
        <w:jc w:val="both"/>
      </w:pPr>
    </w:p>
    <w:p w14:paraId="4A18D835" w14:textId="77777777" w:rsidR="0057582C" w:rsidRDefault="0057582C">
      <w:pPr>
        <w:spacing w:before="120" w:after="120" w:line="360" w:lineRule="auto"/>
        <w:jc w:val="both"/>
      </w:pPr>
    </w:p>
    <w:p w14:paraId="362B354F" w14:textId="77777777" w:rsidR="0057582C" w:rsidRDefault="0057582C">
      <w:pPr>
        <w:spacing w:before="120" w:after="120" w:line="360" w:lineRule="auto"/>
        <w:jc w:val="both"/>
      </w:pPr>
    </w:p>
    <w:p w14:paraId="32A8D930" w14:textId="77777777" w:rsidR="0057582C" w:rsidRDefault="00CE7F22">
      <w:pPr>
        <w:spacing w:before="120" w:after="60" w:line="360" w:lineRule="auto"/>
        <w:jc w:val="both"/>
      </w:pPr>
      <w:r>
        <w:rPr>
          <w:noProof/>
        </w:rPr>
        <w:lastRenderedPageBreak/>
        <w:drawing>
          <wp:inline distT="0" distB="0" distL="0" distR="0" wp14:anchorId="445F27CC" wp14:editId="1186A33D">
            <wp:extent cx="5486400" cy="3564255"/>
            <wp:effectExtent l="0" t="0" r="0" b="0"/>
            <wp:docPr id="10" name="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10"/>
                    <pic:cNvPicPr>
                      <a:picLocks noChangeAspect="1"/>
                    </pic:cNvPicPr>
                  </pic:nvPicPr>
                  <pic:blipFill>
                    <a:blip r:embed="rId20"/>
                    <a:stretch>
                      <a:fillRect/>
                    </a:stretch>
                  </pic:blipFill>
                  <pic:spPr>
                    <a:xfrm>
                      <a:off x="0" y="0"/>
                      <a:ext cx="5486400" cy="3564767"/>
                    </a:xfrm>
                    <a:prstGeom prst="rect">
                      <a:avLst/>
                    </a:prstGeom>
                  </pic:spPr>
                </pic:pic>
              </a:graphicData>
            </a:graphic>
          </wp:inline>
        </w:drawing>
      </w:r>
    </w:p>
    <w:p w14:paraId="12A0D6D7" w14:textId="145EABCF" w:rsidR="0057582C" w:rsidRDefault="00CE7F22">
      <w:pPr>
        <w:spacing w:before="60" w:after="60" w:line="360" w:lineRule="auto"/>
        <w:jc w:val="both"/>
      </w:pPr>
      <w:commentRangeStart w:id="6"/>
      <w:r>
        <w:rPr>
          <w:b/>
          <w:bCs/>
          <w:i/>
          <w:iCs/>
        </w:rPr>
        <w:t>Figure 1</w:t>
      </w:r>
      <w:r w:rsidR="00B26A1B">
        <w:rPr>
          <w:b/>
          <w:bCs/>
          <w:i/>
          <w:iCs/>
        </w:rPr>
        <w:t>1</w:t>
      </w:r>
      <w:r>
        <w:rPr>
          <w:b/>
          <w:bCs/>
          <w:i/>
          <w:iCs/>
        </w:rPr>
        <w:t>: Prophet 12-month forecast, Cluster 2 (Tier 2, Loyal Actives). Higher volatility than Cluster 1 (CV MAE £518); irregular purchasing frequency within this sub-segment.</w:t>
      </w:r>
      <w:commentRangeEnd w:id="6"/>
      <w:r w:rsidR="00E621CF">
        <w:rPr>
          <w:rStyle w:val="CommentReference"/>
        </w:rPr>
        <w:commentReference w:id="6"/>
      </w:r>
    </w:p>
    <w:p w14:paraId="3F5EA5C3" w14:textId="77777777" w:rsidR="0057582C" w:rsidRDefault="00CE7F22">
      <w:pPr>
        <w:spacing w:before="120" w:after="120" w:line="360" w:lineRule="auto"/>
        <w:jc w:val="both"/>
      </w:pPr>
      <w:r>
        <w:rPr>
          <w:b/>
          <w:bCs/>
        </w:rPr>
        <w:t>Prophet Walk-Forward CV Evaluation</w:t>
      </w:r>
    </w:p>
    <w:p w14:paraId="2D09F166" w14:textId="77777777" w:rsidR="0057582C" w:rsidRDefault="0057582C">
      <w:pPr>
        <w:spacing w:before="120" w:after="120" w:line="360" w:lineRule="auto"/>
        <w:jc w:val="both"/>
      </w:pPr>
    </w:p>
    <w:p w14:paraId="717E9B70" w14:textId="77777777" w:rsidR="0057582C" w:rsidRDefault="00CE7F22">
      <w:pPr>
        <w:spacing w:before="120" w:after="120" w:line="360" w:lineRule="auto"/>
        <w:jc w:val="both"/>
      </w:pPr>
      <w:r>
        <w:rPr>
          <w:i/>
          <w:iCs/>
        </w:rPr>
        <w:t xml:space="preserve">(10)  </w:t>
      </w:r>
      <m:oMath>
        <m:r>
          <m:rPr>
            <m:nor/>
          </m:rPr>
          <w:rPr>
            <w:i/>
          </w:rPr>
          <m:t>MAE</m:t>
        </m:r>
        <m:r>
          <m:rPr>
            <m:nor/>
          </m:rPr>
          <m:t xml:space="preserve"> = </m:t>
        </m:r>
        <m:f>
          <m:fPr>
            <m:ctrlPr>
              <w:rPr>
                <w:rFonts w:ascii="Cambria Math" w:hAnsi="Cambria Math"/>
              </w:rPr>
            </m:ctrlPr>
          </m:fPr>
          <m:num>
            <m:r>
              <m:rPr>
                <m:nor/>
              </m:rPr>
              <m:t>1</m:t>
            </m:r>
          </m:num>
          <m:den>
            <m:r>
              <m:rPr>
                <m:nor/>
              </m:rPr>
              <w:rPr>
                <w:i/>
              </w:rPr>
              <m:t>n</m:t>
            </m:r>
          </m:den>
        </m:f>
        <m:nary>
          <m:naryPr>
            <m:chr m:val="∑"/>
            <m:limLoc m:val="undOvr"/>
            <m:ctrlPr>
              <w:rPr>
                <w:rFonts w:ascii="Cambria Math" w:hAnsi="Cambria Math"/>
              </w:rPr>
            </m:ctrlPr>
          </m:naryPr>
          <m:sub>
            <m:r>
              <m:rPr>
                <m:nor/>
              </m:rPr>
              <w:rPr>
                <w:i/>
              </w:rPr>
              <m:t>t</m:t>
            </m:r>
            <m:r>
              <m:rPr>
                <m:nor/>
              </m:rPr>
              <m:t>=1</m:t>
            </m:r>
          </m:sub>
          <m:sup>
            <m:r>
              <m:rPr>
                <m:nor/>
              </m:rPr>
              <w:rPr>
                <w:i/>
              </w:rPr>
              <m:t>n</m:t>
            </m:r>
          </m:sup>
          <m:e>
            <m:d>
              <m:dPr>
                <m:begChr m:val="|"/>
                <m:endChr m:val="|"/>
                <m:ctrlPr>
                  <w:rPr>
                    <w:rFonts w:ascii="Cambria Math" w:hAnsi="Cambria Math"/>
                  </w:rPr>
                </m:ctrlPr>
              </m:dPr>
              <m:e>
                <m:r>
                  <m:rPr>
                    <m:nor/>
                  </m:rPr>
                  <w:rPr>
                    <w:i/>
                  </w:rPr>
                  <m:t>y</m:t>
                </m:r>
                <m:sSub>
                  <m:sSubPr>
                    <m:ctrlPr>
                      <w:rPr>
                        <w:rFonts w:ascii="Cambria Math" w:hAnsi="Cambria Math"/>
                      </w:rPr>
                    </m:ctrlPr>
                  </m:sSubPr>
                  <m:e>
                    <m:r>
                      <m:rPr>
                        <m:nor/>
                      </m:rPr>
                      <w:rPr>
                        <w:i/>
                      </w:rPr>
                      <m:t>t</m:t>
                    </m:r>
                  </m:e>
                  <m:sub/>
                </m:sSub>
                <m:r>
                  <m:rPr>
                    <m:nor/>
                  </m:rPr>
                  <m:t xml:space="preserve"> - ŷ</m:t>
                </m:r>
                <m:sSub>
                  <m:sSubPr>
                    <m:ctrlPr>
                      <w:rPr>
                        <w:rFonts w:ascii="Cambria Math" w:hAnsi="Cambria Math"/>
                      </w:rPr>
                    </m:ctrlPr>
                  </m:sSubPr>
                  <m:e>
                    <m:r>
                      <m:rPr>
                        <m:nor/>
                      </m:rPr>
                      <w:rPr>
                        <w:i/>
                      </w:rPr>
                      <m:t>t</m:t>
                    </m:r>
                  </m:e>
                  <m:sub/>
                </m:sSub>
              </m:e>
            </m:d>
          </m:e>
        </m:nary>
      </m:oMath>
    </w:p>
    <w:p w14:paraId="211DF92C" w14:textId="77777777" w:rsidR="0057582C" w:rsidRDefault="0057582C">
      <w:pPr>
        <w:spacing w:before="120" w:after="120" w:line="360" w:lineRule="auto"/>
        <w:jc w:val="both"/>
      </w:pPr>
    </w:p>
    <w:p w14:paraId="15ECCC9A" w14:textId="77777777" w:rsidR="0057582C" w:rsidRDefault="00CE7F22">
      <w:pPr>
        <w:spacing w:before="120" w:after="120" w:line="360" w:lineRule="auto"/>
        <w:jc w:val="both"/>
      </w:pPr>
      <w:r>
        <w:rPr>
          <w:i/>
          <w:iCs/>
        </w:rPr>
        <w:t xml:space="preserve">(11)  </w:t>
      </w:r>
      <m:oMath>
        <m:r>
          <m:rPr>
            <m:nor/>
          </m:rPr>
          <w:rPr>
            <w:i/>
          </w:rPr>
          <m:t>RMSE</m:t>
        </m:r>
        <m:r>
          <m:rPr>
            <m:nor/>
          </m:rPr>
          <m:t xml:space="preserve"> = </m:t>
        </m:r>
        <m:rad>
          <m:radPr>
            <m:degHide m:val="1"/>
            <m:ctrlPr>
              <w:rPr>
                <w:rFonts w:ascii="Cambria Math" w:hAnsi="Cambria Math"/>
              </w:rPr>
            </m:ctrlPr>
          </m:radPr>
          <m:deg/>
          <m:e>
            <m:f>
              <m:fPr>
                <m:ctrlPr>
                  <w:rPr>
                    <w:rFonts w:ascii="Cambria Math" w:hAnsi="Cambria Math"/>
                  </w:rPr>
                </m:ctrlPr>
              </m:fPr>
              <m:num>
                <m:r>
                  <m:rPr>
                    <m:nor/>
                  </m:rPr>
                  <m:t>1</m:t>
                </m:r>
              </m:num>
              <m:den>
                <m:r>
                  <m:rPr>
                    <m:nor/>
                  </m:rPr>
                  <w:rPr>
                    <w:i/>
                  </w:rPr>
                  <m:t>n</m:t>
                </m:r>
              </m:den>
            </m:f>
            <m:nary>
              <m:naryPr>
                <m:chr m:val="∑"/>
                <m:limLoc m:val="undOvr"/>
                <m:ctrlPr>
                  <w:rPr>
                    <w:rFonts w:ascii="Cambria Math" w:hAnsi="Cambria Math"/>
                  </w:rPr>
                </m:ctrlPr>
              </m:naryPr>
              <m:sub>
                <m:r>
                  <m:rPr>
                    <m:nor/>
                  </m:rPr>
                  <w:rPr>
                    <w:i/>
                  </w:rPr>
                  <m:t>t</m:t>
                </m:r>
                <m:r>
                  <m:rPr>
                    <m:nor/>
                  </m:rPr>
                  <m:t>=1</m:t>
                </m:r>
              </m:sub>
              <m:sup>
                <m:r>
                  <m:rPr>
                    <m:nor/>
                  </m:rPr>
                  <w:rPr>
                    <w:i/>
                  </w:rPr>
                  <m:t>n</m:t>
                </m:r>
              </m:sup>
              <m:e>
                <m:sSup>
                  <m:sSupPr>
                    <m:ctrlPr>
                      <w:rPr>
                        <w:rFonts w:ascii="Cambria Math" w:hAnsi="Cambria Math"/>
                      </w:rPr>
                    </m:ctrlPr>
                  </m:sSupPr>
                  <m:e>
                    <m:d>
                      <m:dPr>
                        <m:ctrlPr>
                          <w:rPr>
                            <w:rFonts w:ascii="Cambria Math" w:hAnsi="Cambria Math"/>
                          </w:rPr>
                        </m:ctrlPr>
                      </m:dPr>
                      <m:e>
                        <m:r>
                          <m:rPr>
                            <m:nor/>
                          </m:rPr>
                          <w:rPr>
                            <w:i/>
                          </w:rPr>
                          <m:t>y</m:t>
                        </m:r>
                        <m:sSub>
                          <m:sSubPr>
                            <m:ctrlPr>
                              <w:rPr>
                                <w:rFonts w:ascii="Cambria Math" w:hAnsi="Cambria Math"/>
                              </w:rPr>
                            </m:ctrlPr>
                          </m:sSubPr>
                          <m:e>
                            <m:r>
                              <m:rPr>
                                <m:nor/>
                              </m:rPr>
                              <w:rPr>
                                <w:i/>
                              </w:rPr>
                              <m:t>t</m:t>
                            </m:r>
                          </m:e>
                          <m:sub/>
                        </m:sSub>
                        <m:r>
                          <m:rPr>
                            <m:nor/>
                          </m:rPr>
                          <m:t xml:space="preserve"> - ŷ</m:t>
                        </m:r>
                        <m:sSub>
                          <m:sSubPr>
                            <m:ctrlPr>
                              <w:rPr>
                                <w:rFonts w:ascii="Cambria Math" w:hAnsi="Cambria Math"/>
                              </w:rPr>
                            </m:ctrlPr>
                          </m:sSubPr>
                          <m:e>
                            <m:r>
                              <m:rPr>
                                <m:nor/>
                              </m:rPr>
                              <w:rPr>
                                <w:i/>
                              </w:rPr>
                              <m:t>t</m:t>
                            </m:r>
                          </m:e>
                          <m:sub/>
                        </m:sSub>
                      </m:e>
                    </m:d>
                  </m:e>
                  <m:sup>
                    <m:r>
                      <m:rPr>
                        <m:nor/>
                      </m:rPr>
                      <m:t>2</m:t>
                    </m:r>
                  </m:sup>
                </m:sSup>
              </m:e>
            </m:nary>
          </m:e>
        </m:rad>
      </m:oMath>
    </w:p>
    <w:p w14:paraId="66824E91" w14:textId="77777777" w:rsidR="003E78B0" w:rsidRDefault="00CE7F22">
      <w:pPr>
        <w:spacing w:before="120" w:after="120" w:line="360" w:lineRule="auto"/>
        <w:jc w:val="both"/>
      </w:pPr>
      <w:r>
        <w:t xml:space="preserve">Table 7b presents the Prophet walk-forward CV results for all 25 SOM segments (GBP, after inverse </w:t>
      </w:r>
      <w:proofErr w:type="spellStart"/>
      <w:r>
        <w:t>MinMax</w:t>
      </w:r>
      <w:proofErr w:type="spellEnd"/>
      <w:r>
        <w:t xml:space="preserve"> transformation). Prophet achieves low errors on small-revenue clusters (Cluster 0 MAE £58) but substantially larger errors on high-volume segments (Cluster 20 MAE £1.0M) — a consequence of Prophet’s decomposition framework overfitting the 12-month window. </w:t>
      </w:r>
    </w:p>
    <w:p w14:paraId="3871EB97" w14:textId="4742BE10" w:rsidR="0057582C" w:rsidRDefault="00CE7F22">
      <w:pPr>
        <w:spacing w:before="120" w:after="120" w:line="360" w:lineRule="auto"/>
        <w:jc w:val="both"/>
        <w:rPr>
          <w:lang w:val="en-US"/>
        </w:rPr>
      </w:pPr>
      <w:r>
        <w:t>Table </w:t>
      </w:r>
      <w:r>
        <w:rPr>
          <w:lang w:val="en-US"/>
        </w:rPr>
        <w:t xml:space="preserve">10 </w:t>
      </w:r>
      <w:r>
        <w:t>presents the auto-ARIMA results, which are substantially lower across all 25 clusters.</w:t>
      </w:r>
      <w:r>
        <w:rPr>
          <w:lang w:val="en-US"/>
        </w:rPr>
        <w:t xml:space="preserve"> </w:t>
      </w:r>
    </w:p>
    <w:p w14:paraId="0567C9D0" w14:textId="77777777" w:rsidR="0057582C" w:rsidRDefault="0057582C">
      <w:pPr>
        <w:spacing w:before="120" w:after="120" w:line="360" w:lineRule="auto"/>
        <w:jc w:val="both"/>
        <w:rPr>
          <w:lang w:val="en-US"/>
        </w:rPr>
      </w:pPr>
    </w:p>
    <w:p w14:paraId="79B5EEC0" w14:textId="380C3464" w:rsidR="0057582C" w:rsidRDefault="0057582C">
      <w:pPr>
        <w:spacing w:before="120" w:after="120" w:line="360" w:lineRule="auto"/>
        <w:jc w:val="both"/>
        <w:rPr>
          <w:b/>
          <w:bCs/>
          <w:lang w:val="en-US"/>
        </w:rPr>
      </w:pP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tblGrid>
      <w:tr w:rsidR="0057582C" w14:paraId="44F23885" w14:textId="77777777">
        <w:trPr>
          <w:trHeight w:val="540"/>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539532CF" w14:textId="77777777" w:rsidR="0057582C" w:rsidRDefault="00CE7F22">
            <w:pPr>
              <w:spacing w:line="360" w:lineRule="auto"/>
              <w:jc w:val="both"/>
            </w:pPr>
            <w:r>
              <w:rPr>
                <w:b/>
                <w:bCs/>
              </w:rPr>
              <w:t>0</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1DCB212B" w14:textId="77777777" w:rsidR="0057582C" w:rsidRDefault="00CE7F22">
            <w:pPr>
              <w:spacing w:line="360" w:lineRule="auto"/>
              <w:jc w:val="both"/>
            </w:pPr>
            <w:r>
              <w:rPr>
                <w:b/>
                <w:bCs/>
              </w:rPr>
              <w:t>57.38</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14C42CAA" w14:textId="77777777" w:rsidR="0057582C" w:rsidRDefault="00CE7F22">
            <w:pPr>
              <w:spacing w:line="360" w:lineRule="auto"/>
              <w:jc w:val="both"/>
            </w:pPr>
            <w:r>
              <w:rPr>
                <w:b/>
                <w:bCs/>
              </w:rPr>
              <w:t>57.98</w:t>
            </w:r>
          </w:p>
        </w:tc>
      </w:tr>
      <w:tr w:rsidR="0057582C" w14:paraId="064ABBF6"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1B6F1A17" w14:textId="77777777" w:rsidR="0057582C" w:rsidRDefault="00CE7F22">
            <w:pPr>
              <w:spacing w:line="360" w:lineRule="auto"/>
              <w:jc w:val="both"/>
            </w:pPr>
            <w:r>
              <w:t>1</w:t>
            </w:r>
          </w:p>
        </w:tc>
        <w:tc>
          <w:tcPr>
            <w:tcW w:w="2295" w:type="dxa"/>
            <w:tcBorders>
              <w:left w:val="single" w:sz="6" w:space="0" w:color="E0E0E0"/>
              <w:bottom w:val="single" w:sz="6" w:space="0" w:color="E0E0E0"/>
              <w:right w:val="single" w:sz="6" w:space="0" w:color="E0E0E0"/>
            </w:tcBorders>
            <w:shd w:val="clear" w:color="auto" w:fill="E2EFDA"/>
          </w:tcPr>
          <w:p w14:paraId="10489AAF" w14:textId="77777777" w:rsidR="0057582C" w:rsidRDefault="00CE7F22">
            <w:pPr>
              <w:spacing w:line="360" w:lineRule="auto"/>
              <w:jc w:val="both"/>
            </w:pPr>
            <w:r>
              <w:t>170.16</w:t>
            </w:r>
          </w:p>
        </w:tc>
        <w:tc>
          <w:tcPr>
            <w:tcW w:w="2295" w:type="dxa"/>
            <w:tcBorders>
              <w:left w:val="single" w:sz="6" w:space="0" w:color="E0E0E0"/>
              <w:bottom w:val="single" w:sz="6" w:space="0" w:color="E0E0E0"/>
              <w:right w:val="single" w:sz="6" w:space="0" w:color="E0E0E0"/>
            </w:tcBorders>
            <w:shd w:val="clear" w:color="auto" w:fill="E2EFDA"/>
          </w:tcPr>
          <w:p w14:paraId="4C62D323" w14:textId="77777777" w:rsidR="0057582C" w:rsidRDefault="00CE7F22">
            <w:pPr>
              <w:spacing w:line="360" w:lineRule="auto"/>
              <w:jc w:val="both"/>
            </w:pPr>
            <w:r>
              <w:t>226.78</w:t>
            </w:r>
          </w:p>
        </w:tc>
      </w:tr>
      <w:tr w:rsidR="0057582C" w14:paraId="210751DD"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7C198276" w14:textId="77777777" w:rsidR="0057582C" w:rsidRDefault="00CE7F22">
            <w:pPr>
              <w:spacing w:line="360" w:lineRule="auto"/>
              <w:jc w:val="both"/>
            </w:pPr>
            <w:r>
              <w:t>2</w:t>
            </w:r>
          </w:p>
        </w:tc>
        <w:tc>
          <w:tcPr>
            <w:tcW w:w="2295" w:type="dxa"/>
            <w:tcBorders>
              <w:left w:val="single" w:sz="6" w:space="0" w:color="E0E0E0"/>
              <w:bottom w:val="single" w:sz="6" w:space="0" w:color="E0E0E0"/>
              <w:right w:val="single" w:sz="6" w:space="0" w:color="E0E0E0"/>
            </w:tcBorders>
            <w:shd w:val="clear" w:color="auto" w:fill="E2EFDA"/>
          </w:tcPr>
          <w:p w14:paraId="79AEEE9C" w14:textId="77777777" w:rsidR="0057582C" w:rsidRDefault="00CE7F22">
            <w:pPr>
              <w:spacing w:line="360" w:lineRule="auto"/>
              <w:jc w:val="both"/>
            </w:pPr>
            <w:r>
              <w:t>518.30</w:t>
            </w:r>
          </w:p>
        </w:tc>
        <w:tc>
          <w:tcPr>
            <w:tcW w:w="2295" w:type="dxa"/>
            <w:tcBorders>
              <w:left w:val="single" w:sz="6" w:space="0" w:color="E0E0E0"/>
              <w:bottom w:val="single" w:sz="6" w:space="0" w:color="E0E0E0"/>
              <w:right w:val="single" w:sz="6" w:space="0" w:color="E0E0E0"/>
            </w:tcBorders>
            <w:shd w:val="clear" w:color="auto" w:fill="E2EFDA"/>
          </w:tcPr>
          <w:p w14:paraId="4704DFB7" w14:textId="77777777" w:rsidR="0057582C" w:rsidRDefault="00CE7F22">
            <w:pPr>
              <w:spacing w:line="360" w:lineRule="auto"/>
              <w:jc w:val="both"/>
            </w:pPr>
            <w:r>
              <w:t>532.43</w:t>
            </w:r>
          </w:p>
        </w:tc>
      </w:tr>
      <w:tr w:rsidR="0057582C" w14:paraId="7CA710B5" w14:textId="77777777">
        <w:trPr>
          <w:trHeight w:val="540"/>
        </w:trPr>
        <w:tc>
          <w:tcPr>
            <w:tcW w:w="2295" w:type="dxa"/>
            <w:tcBorders>
              <w:left w:val="single" w:sz="6" w:space="0" w:color="E0E0E0"/>
              <w:bottom w:val="single" w:sz="6" w:space="0" w:color="E0E0E0"/>
              <w:right w:val="single" w:sz="6" w:space="0" w:color="E0E0E0"/>
            </w:tcBorders>
          </w:tcPr>
          <w:p w14:paraId="30DC51B8" w14:textId="77777777" w:rsidR="0057582C" w:rsidRDefault="00CE7F22">
            <w:pPr>
              <w:spacing w:line="360" w:lineRule="auto"/>
              <w:jc w:val="both"/>
            </w:pPr>
            <w:r>
              <w:t>3</w:t>
            </w:r>
          </w:p>
        </w:tc>
        <w:tc>
          <w:tcPr>
            <w:tcW w:w="2295" w:type="dxa"/>
            <w:tcBorders>
              <w:left w:val="single" w:sz="6" w:space="0" w:color="E0E0E0"/>
              <w:bottom w:val="single" w:sz="6" w:space="0" w:color="E0E0E0"/>
              <w:right w:val="single" w:sz="6" w:space="0" w:color="E0E0E0"/>
            </w:tcBorders>
          </w:tcPr>
          <w:p w14:paraId="0F37CFCC" w14:textId="77777777" w:rsidR="0057582C" w:rsidRDefault="00CE7F22">
            <w:pPr>
              <w:spacing w:line="360" w:lineRule="auto"/>
              <w:jc w:val="both"/>
            </w:pPr>
            <w:r>
              <w:t>1,946.61</w:t>
            </w:r>
          </w:p>
        </w:tc>
        <w:tc>
          <w:tcPr>
            <w:tcW w:w="2295" w:type="dxa"/>
            <w:tcBorders>
              <w:left w:val="single" w:sz="6" w:space="0" w:color="E0E0E0"/>
              <w:bottom w:val="single" w:sz="6" w:space="0" w:color="E0E0E0"/>
              <w:right w:val="single" w:sz="6" w:space="0" w:color="E0E0E0"/>
            </w:tcBorders>
          </w:tcPr>
          <w:p w14:paraId="6B2B7151" w14:textId="77777777" w:rsidR="0057582C" w:rsidRDefault="00CE7F22">
            <w:pPr>
              <w:spacing w:line="360" w:lineRule="auto"/>
              <w:jc w:val="both"/>
            </w:pPr>
            <w:r>
              <w:t>2,063.23</w:t>
            </w:r>
          </w:p>
        </w:tc>
      </w:tr>
      <w:tr w:rsidR="0057582C" w14:paraId="0FF0200B" w14:textId="77777777">
        <w:trPr>
          <w:trHeight w:val="540"/>
        </w:trPr>
        <w:tc>
          <w:tcPr>
            <w:tcW w:w="2295" w:type="dxa"/>
            <w:tcBorders>
              <w:left w:val="single" w:sz="6" w:space="0" w:color="E0E0E0"/>
              <w:bottom w:val="single" w:sz="6" w:space="0" w:color="E0E0E0"/>
              <w:right w:val="single" w:sz="6" w:space="0" w:color="E0E0E0"/>
            </w:tcBorders>
          </w:tcPr>
          <w:p w14:paraId="3038D954" w14:textId="77777777" w:rsidR="0057582C" w:rsidRDefault="00CE7F22">
            <w:pPr>
              <w:spacing w:line="360" w:lineRule="auto"/>
              <w:jc w:val="both"/>
            </w:pPr>
            <w:r>
              <w:t>4</w:t>
            </w:r>
          </w:p>
        </w:tc>
        <w:tc>
          <w:tcPr>
            <w:tcW w:w="2295" w:type="dxa"/>
            <w:tcBorders>
              <w:left w:val="single" w:sz="6" w:space="0" w:color="E0E0E0"/>
              <w:bottom w:val="single" w:sz="6" w:space="0" w:color="E0E0E0"/>
              <w:right w:val="single" w:sz="6" w:space="0" w:color="E0E0E0"/>
            </w:tcBorders>
          </w:tcPr>
          <w:p w14:paraId="0FF642CF" w14:textId="77777777" w:rsidR="0057582C" w:rsidRDefault="00CE7F22">
            <w:pPr>
              <w:spacing w:line="360" w:lineRule="auto"/>
              <w:jc w:val="both"/>
            </w:pPr>
            <w:r>
              <w:t>71,766.24</w:t>
            </w:r>
          </w:p>
        </w:tc>
        <w:tc>
          <w:tcPr>
            <w:tcW w:w="2295" w:type="dxa"/>
            <w:tcBorders>
              <w:left w:val="single" w:sz="6" w:space="0" w:color="E0E0E0"/>
              <w:bottom w:val="single" w:sz="6" w:space="0" w:color="E0E0E0"/>
              <w:right w:val="single" w:sz="6" w:space="0" w:color="E0E0E0"/>
            </w:tcBorders>
          </w:tcPr>
          <w:p w14:paraId="756DCA20" w14:textId="77777777" w:rsidR="0057582C" w:rsidRDefault="00CE7F22">
            <w:pPr>
              <w:spacing w:line="360" w:lineRule="auto"/>
              <w:jc w:val="both"/>
            </w:pPr>
            <w:r>
              <w:t>71,766.24</w:t>
            </w:r>
          </w:p>
        </w:tc>
      </w:tr>
      <w:tr w:rsidR="0057582C" w14:paraId="0A0B8916" w14:textId="77777777">
        <w:trPr>
          <w:trHeight w:val="540"/>
        </w:trPr>
        <w:tc>
          <w:tcPr>
            <w:tcW w:w="2295" w:type="dxa"/>
            <w:tcBorders>
              <w:left w:val="single" w:sz="6" w:space="0" w:color="E0E0E0"/>
              <w:bottom w:val="single" w:sz="6" w:space="0" w:color="E0E0E0"/>
              <w:right w:val="single" w:sz="6" w:space="0" w:color="E0E0E0"/>
            </w:tcBorders>
          </w:tcPr>
          <w:p w14:paraId="0A0A0790" w14:textId="77777777" w:rsidR="0057582C" w:rsidRDefault="00CE7F22">
            <w:pPr>
              <w:spacing w:line="360" w:lineRule="auto"/>
              <w:jc w:val="both"/>
            </w:pPr>
            <w:r>
              <w:t>5</w:t>
            </w:r>
          </w:p>
        </w:tc>
        <w:tc>
          <w:tcPr>
            <w:tcW w:w="2295" w:type="dxa"/>
            <w:tcBorders>
              <w:left w:val="single" w:sz="6" w:space="0" w:color="E0E0E0"/>
              <w:bottom w:val="single" w:sz="6" w:space="0" w:color="E0E0E0"/>
              <w:right w:val="single" w:sz="6" w:space="0" w:color="E0E0E0"/>
            </w:tcBorders>
          </w:tcPr>
          <w:p w14:paraId="3DD0D051" w14:textId="77777777" w:rsidR="0057582C" w:rsidRDefault="00CE7F22">
            <w:pPr>
              <w:spacing w:line="360" w:lineRule="auto"/>
              <w:jc w:val="both"/>
            </w:pPr>
            <w:r>
              <w:t>4,711.87</w:t>
            </w:r>
          </w:p>
        </w:tc>
        <w:tc>
          <w:tcPr>
            <w:tcW w:w="2295" w:type="dxa"/>
            <w:tcBorders>
              <w:left w:val="single" w:sz="6" w:space="0" w:color="E0E0E0"/>
              <w:bottom w:val="single" w:sz="6" w:space="0" w:color="E0E0E0"/>
              <w:right w:val="single" w:sz="6" w:space="0" w:color="E0E0E0"/>
            </w:tcBorders>
          </w:tcPr>
          <w:p w14:paraId="0ED48553" w14:textId="77777777" w:rsidR="0057582C" w:rsidRDefault="00CE7F22">
            <w:pPr>
              <w:spacing w:line="360" w:lineRule="auto"/>
              <w:jc w:val="both"/>
            </w:pPr>
            <w:r>
              <w:t>5,213.89</w:t>
            </w:r>
          </w:p>
        </w:tc>
      </w:tr>
      <w:tr w:rsidR="0057582C" w14:paraId="7DC6B8B0" w14:textId="77777777">
        <w:trPr>
          <w:trHeight w:val="540"/>
        </w:trPr>
        <w:tc>
          <w:tcPr>
            <w:tcW w:w="2295" w:type="dxa"/>
            <w:tcBorders>
              <w:left w:val="single" w:sz="6" w:space="0" w:color="E0E0E0"/>
              <w:bottom w:val="single" w:sz="6" w:space="0" w:color="E0E0E0"/>
              <w:right w:val="single" w:sz="6" w:space="0" w:color="E0E0E0"/>
            </w:tcBorders>
          </w:tcPr>
          <w:p w14:paraId="7796D2DA" w14:textId="77777777" w:rsidR="0057582C" w:rsidRDefault="00CE7F22">
            <w:pPr>
              <w:spacing w:line="360" w:lineRule="auto"/>
              <w:jc w:val="both"/>
            </w:pPr>
            <w:r>
              <w:t>6</w:t>
            </w:r>
          </w:p>
        </w:tc>
        <w:tc>
          <w:tcPr>
            <w:tcW w:w="2295" w:type="dxa"/>
            <w:tcBorders>
              <w:left w:val="single" w:sz="6" w:space="0" w:color="E0E0E0"/>
              <w:bottom w:val="single" w:sz="6" w:space="0" w:color="E0E0E0"/>
              <w:right w:val="single" w:sz="6" w:space="0" w:color="E0E0E0"/>
            </w:tcBorders>
          </w:tcPr>
          <w:p w14:paraId="7023E86F" w14:textId="77777777" w:rsidR="0057582C" w:rsidRDefault="00CE7F22">
            <w:pPr>
              <w:spacing w:line="360" w:lineRule="auto"/>
              <w:jc w:val="both"/>
            </w:pPr>
            <w:r>
              <w:t>775.10</w:t>
            </w:r>
          </w:p>
        </w:tc>
        <w:tc>
          <w:tcPr>
            <w:tcW w:w="2295" w:type="dxa"/>
            <w:tcBorders>
              <w:left w:val="single" w:sz="6" w:space="0" w:color="E0E0E0"/>
              <w:bottom w:val="single" w:sz="6" w:space="0" w:color="E0E0E0"/>
              <w:right w:val="single" w:sz="6" w:space="0" w:color="E0E0E0"/>
            </w:tcBorders>
          </w:tcPr>
          <w:p w14:paraId="2C98D240" w14:textId="77777777" w:rsidR="0057582C" w:rsidRDefault="00CE7F22">
            <w:pPr>
              <w:spacing w:line="360" w:lineRule="auto"/>
              <w:jc w:val="both"/>
            </w:pPr>
            <w:r>
              <w:t>832.53</w:t>
            </w:r>
          </w:p>
        </w:tc>
      </w:tr>
      <w:tr w:rsidR="0057582C" w14:paraId="63AB3572" w14:textId="77777777">
        <w:trPr>
          <w:trHeight w:val="540"/>
        </w:trPr>
        <w:tc>
          <w:tcPr>
            <w:tcW w:w="2295" w:type="dxa"/>
            <w:tcBorders>
              <w:left w:val="single" w:sz="6" w:space="0" w:color="E0E0E0"/>
              <w:bottom w:val="single" w:sz="6" w:space="0" w:color="E0E0E0"/>
              <w:right w:val="single" w:sz="6" w:space="0" w:color="E0E0E0"/>
            </w:tcBorders>
          </w:tcPr>
          <w:p w14:paraId="4BA8372A" w14:textId="77777777" w:rsidR="0057582C" w:rsidRDefault="00CE7F22">
            <w:pPr>
              <w:spacing w:line="360" w:lineRule="auto"/>
              <w:jc w:val="both"/>
            </w:pPr>
            <w:r>
              <w:t>7</w:t>
            </w:r>
          </w:p>
        </w:tc>
        <w:tc>
          <w:tcPr>
            <w:tcW w:w="2295" w:type="dxa"/>
            <w:tcBorders>
              <w:left w:val="single" w:sz="6" w:space="0" w:color="E0E0E0"/>
              <w:bottom w:val="single" w:sz="6" w:space="0" w:color="E0E0E0"/>
              <w:right w:val="single" w:sz="6" w:space="0" w:color="E0E0E0"/>
            </w:tcBorders>
          </w:tcPr>
          <w:p w14:paraId="0F593096" w14:textId="77777777" w:rsidR="0057582C" w:rsidRDefault="00CE7F22">
            <w:pPr>
              <w:spacing w:line="360" w:lineRule="auto"/>
              <w:jc w:val="both"/>
            </w:pPr>
            <w:r>
              <w:t>16,079.76</w:t>
            </w:r>
          </w:p>
        </w:tc>
        <w:tc>
          <w:tcPr>
            <w:tcW w:w="2295" w:type="dxa"/>
            <w:tcBorders>
              <w:left w:val="single" w:sz="6" w:space="0" w:color="E0E0E0"/>
              <w:bottom w:val="single" w:sz="6" w:space="0" w:color="E0E0E0"/>
              <w:right w:val="single" w:sz="6" w:space="0" w:color="E0E0E0"/>
            </w:tcBorders>
          </w:tcPr>
          <w:p w14:paraId="6BA9944D" w14:textId="77777777" w:rsidR="0057582C" w:rsidRDefault="00CE7F22">
            <w:pPr>
              <w:spacing w:line="360" w:lineRule="auto"/>
              <w:jc w:val="both"/>
            </w:pPr>
            <w:r>
              <w:t>20,659.82</w:t>
            </w:r>
          </w:p>
        </w:tc>
      </w:tr>
      <w:tr w:rsidR="0057582C" w14:paraId="77B9ECDE" w14:textId="77777777">
        <w:trPr>
          <w:trHeight w:val="540"/>
        </w:trPr>
        <w:tc>
          <w:tcPr>
            <w:tcW w:w="2295" w:type="dxa"/>
            <w:tcBorders>
              <w:left w:val="single" w:sz="6" w:space="0" w:color="E0E0E0"/>
              <w:bottom w:val="single" w:sz="6" w:space="0" w:color="E0E0E0"/>
              <w:right w:val="single" w:sz="6" w:space="0" w:color="E0E0E0"/>
            </w:tcBorders>
          </w:tcPr>
          <w:p w14:paraId="3A2E50C6" w14:textId="77777777" w:rsidR="0057582C" w:rsidRDefault="00CE7F22">
            <w:pPr>
              <w:spacing w:line="360" w:lineRule="auto"/>
              <w:jc w:val="both"/>
            </w:pPr>
            <w:r>
              <w:t>8</w:t>
            </w:r>
          </w:p>
        </w:tc>
        <w:tc>
          <w:tcPr>
            <w:tcW w:w="2295" w:type="dxa"/>
            <w:tcBorders>
              <w:left w:val="single" w:sz="6" w:space="0" w:color="E0E0E0"/>
              <w:bottom w:val="single" w:sz="6" w:space="0" w:color="E0E0E0"/>
              <w:right w:val="single" w:sz="6" w:space="0" w:color="E0E0E0"/>
            </w:tcBorders>
          </w:tcPr>
          <w:p w14:paraId="1DDD8729" w14:textId="77777777" w:rsidR="0057582C" w:rsidRDefault="00CE7F22">
            <w:pPr>
              <w:spacing w:line="360" w:lineRule="auto"/>
              <w:jc w:val="both"/>
            </w:pPr>
            <w:r>
              <w:t>15,539.69</w:t>
            </w:r>
          </w:p>
        </w:tc>
        <w:tc>
          <w:tcPr>
            <w:tcW w:w="2295" w:type="dxa"/>
            <w:tcBorders>
              <w:left w:val="single" w:sz="6" w:space="0" w:color="E0E0E0"/>
              <w:bottom w:val="single" w:sz="6" w:space="0" w:color="E0E0E0"/>
              <w:right w:val="single" w:sz="6" w:space="0" w:color="E0E0E0"/>
            </w:tcBorders>
          </w:tcPr>
          <w:p w14:paraId="5696F175" w14:textId="77777777" w:rsidR="0057582C" w:rsidRDefault="00CE7F22">
            <w:pPr>
              <w:spacing w:line="360" w:lineRule="auto"/>
              <w:jc w:val="both"/>
            </w:pPr>
            <w:r>
              <w:t>15,593.49</w:t>
            </w:r>
          </w:p>
        </w:tc>
      </w:tr>
      <w:tr w:rsidR="0057582C" w14:paraId="18F7C442" w14:textId="77777777">
        <w:trPr>
          <w:trHeight w:val="540"/>
        </w:trPr>
        <w:tc>
          <w:tcPr>
            <w:tcW w:w="2295" w:type="dxa"/>
            <w:tcBorders>
              <w:left w:val="single" w:sz="6" w:space="0" w:color="E0E0E0"/>
              <w:bottom w:val="single" w:sz="6" w:space="0" w:color="E0E0E0"/>
              <w:right w:val="single" w:sz="6" w:space="0" w:color="E0E0E0"/>
            </w:tcBorders>
          </w:tcPr>
          <w:p w14:paraId="32C0F8E9" w14:textId="77777777" w:rsidR="0057582C" w:rsidRDefault="00CE7F22">
            <w:pPr>
              <w:spacing w:line="360" w:lineRule="auto"/>
              <w:jc w:val="both"/>
            </w:pPr>
            <w:r>
              <w:t>9</w:t>
            </w:r>
          </w:p>
        </w:tc>
        <w:tc>
          <w:tcPr>
            <w:tcW w:w="2295" w:type="dxa"/>
            <w:tcBorders>
              <w:left w:val="single" w:sz="6" w:space="0" w:color="E0E0E0"/>
              <w:bottom w:val="single" w:sz="6" w:space="0" w:color="E0E0E0"/>
              <w:right w:val="single" w:sz="6" w:space="0" w:color="E0E0E0"/>
            </w:tcBorders>
          </w:tcPr>
          <w:p w14:paraId="3019CAA7" w14:textId="77777777" w:rsidR="0057582C" w:rsidRDefault="00CE7F22">
            <w:pPr>
              <w:spacing w:line="360" w:lineRule="auto"/>
              <w:jc w:val="both"/>
            </w:pPr>
            <w:r>
              <w:t>6,246.11</w:t>
            </w:r>
          </w:p>
        </w:tc>
        <w:tc>
          <w:tcPr>
            <w:tcW w:w="2295" w:type="dxa"/>
            <w:tcBorders>
              <w:left w:val="single" w:sz="6" w:space="0" w:color="E0E0E0"/>
              <w:bottom w:val="single" w:sz="6" w:space="0" w:color="E0E0E0"/>
              <w:right w:val="single" w:sz="6" w:space="0" w:color="E0E0E0"/>
            </w:tcBorders>
          </w:tcPr>
          <w:p w14:paraId="6880317F" w14:textId="77777777" w:rsidR="0057582C" w:rsidRDefault="00CE7F22">
            <w:pPr>
              <w:spacing w:line="360" w:lineRule="auto"/>
              <w:jc w:val="both"/>
            </w:pPr>
            <w:r>
              <w:t>6,246.11</w:t>
            </w:r>
          </w:p>
        </w:tc>
      </w:tr>
      <w:tr w:rsidR="0057582C" w14:paraId="50A28B77" w14:textId="77777777">
        <w:trPr>
          <w:trHeight w:val="540"/>
        </w:trPr>
        <w:tc>
          <w:tcPr>
            <w:tcW w:w="2295" w:type="dxa"/>
            <w:tcBorders>
              <w:left w:val="single" w:sz="6" w:space="0" w:color="E0E0E0"/>
              <w:bottom w:val="single" w:sz="6" w:space="0" w:color="E0E0E0"/>
              <w:right w:val="single" w:sz="6" w:space="0" w:color="E0E0E0"/>
            </w:tcBorders>
          </w:tcPr>
          <w:p w14:paraId="7430D9C3" w14:textId="77777777" w:rsidR="0057582C" w:rsidRDefault="00CE7F22">
            <w:pPr>
              <w:spacing w:line="360" w:lineRule="auto"/>
              <w:jc w:val="both"/>
            </w:pPr>
            <w:r>
              <w:t>10</w:t>
            </w:r>
          </w:p>
        </w:tc>
        <w:tc>
          <w:tcPr>
            <w:tcW w:w="2295" w:type="dxa"/>
            <w:tcBorders>
              <w:left w:val="single" w:sz="6" w:space="0" w:color="E0E0E0"/>
              <w:bottom w:val="single" w:sz="6" w:space="0" w:color="E0E0E0"/>
              <w:right w:val="single" w:sz="6" w:space="0" w:color="E0E0E0"/>
            </w:tcBorders>
          </w:tcPr>
          <w:p w14:paraId="111EFA1D" w14:textId="77777777" w:rsidR="0057582C" w:rsidRDefault="00CE7F22">
            <w:pPr>
              <w:spacing w:line="360" w:lineRule="auto"/>
              <w:jc w:val="both"/>
            </w:pPr>
            <w:r>
              <w:t>43,747.81</w:t>
            </w:r>
          </w:p>
        </w:tc>
        <w:tc>
          <w:tcPr>
            <w:tcW w:w="2295" w:type="dxa"/>
            <w:tcBorders>
              <w:left w:val="single" w:sz="6" w:space="0" w:color="E0E0E0"/>
              <w:bottom w:val="single" w:sz="6" w:space="0" w:color="E0E0E0"/>
              <w:right w:val="single" w:sz="6" w:space="0" w:color="E0E0E0"/>
            </w:tcBorders>
          </w:tcPr>
          <w:p w14:paraId="6C6DF024" w14:textId="77777777" w:rsidR="0057582C" w:rsidRDefault="00CE7F22">
            <w:pPr>
              <w:spacing w:line="360" w:lineRule="auto"/>
              <w:jc w:val="both"/>
            </w:pPr>
            <w:r>
              <w:t>54,358.37</w:t>
            </w:r>
          </w:p>
        </w:tc>
      </w:tr>
      <w:tr w:rsidR="0057582C" w14:paraId="07D1F125" w14:textId="77777777">
        <w:trPr>
          <w:trHeight w:val="540"/>
        </w:trPr>
        <w:tc>
          <w:tcPr>
            <w:tcW w:w="2295" w:type="dxa"/>
            <w:tcBorders>
              <w:left w:val="single" w:sz="6" w:space="0" w:color="E0E0E0"/>
              <w:bottom w:val="single" w:sz="6" w:space="0" w:color="E0E0E0"/>
              <w:right w:val="single" w:sz="6" w:space="0" w:color="E0E0E0"/>
            </w:tcBorders>
          </w:tcPr>
          <w:p w14:paraId="06CD2DC6" w14:textId="77777777" w:rsidR="0057582C" w:rsidRDefault="00CE7F22">
            <w:pPr>
              <w:spacing w:line="360" w:lineRule="auto"/>
              <w:jc w:val="both"/>
            </w:pPr>
            <w:r>
              <w:t>11</w:t>
            </w:r>
          </w:p>
        </w:tc>
        <w:tc>
          <w:tcPr>
            <w:tcW w:w="2295" w:type="dxa"/>
            <w:tcBorders>
              <w:left w:val="single" w:sz="6" w:space="0" w:color="E0E0E0"/>
              <w:bottom w:val="single" w:sz="6" w:space="0" w:color="E0E0E0"/>
              <w:right w:val="single" w:sz="6" w:space="0" w:color="E0E0E0"/>
            </w:tcBorders>
          </w:tcPr>
          <w:p w14:paraId="0861BABB" w14:textId="77777777" w:rsidR="0057582C" w:rsidRDefault="00CE7F22">
            <w:pPr>
              <w:spacing w:line="360" w:lineRule="auto"/>
              <w:jc w:val="both"/>
            </w:pPr>
            <w:r>
              <w:t>29,238.93</w:t>
            </w:r>
          </w:p>
        </w:tc>
        <w:tc>
          <w:tcPr>
            <w:tcW w:w="2295" w:type="dxa"/>
            <w:tcBorders>
              <w:left w:val="single" w:sz="6" w:space="0" w:color="E0E0E0"/>
              <w:bottom w:val="single" w:sz="6" w:space="0" w:color="E0E0E0"/>
              <w:right w:val="single" w:sz="6" w:space="0" w:color="E0E0E0"/>
            </w:tcBorders>
          </w:tcPr>
          <w:p w14:paraId="28455B72" w14:textId="77777777" w:rsidR="0057582C" w:rsidRDefault="00CE7F22">
            <w:pPr>
              <w:spacing w:line="360" w:lineRule="auto"/>
              <w:jc w:val="both"/>
            </w:pPr>
            <w:r>
              <w:t>33,553.85</w:t>
            </w:r>
          </w:p>
        </w:tc>
      </w:tr>
      <w:tr w:rsidR="0057582C" w14:paraId="78BDCF30" w14:textId="77777777">
        <w:trPr>
          <w:trHeight w:val="540"/>
        </w:trPr>
        <w:tc>
          <w:tcPr>
            <w:tcW w:w="2295" w:type="dxa"/>
            <w:tcBorders>
              <w:left w:val="single" w:sz="6" w:space="0" w:color="E0E0E0"/>
              <w:bottom w:val="single" w:sz="6" w:space="0" w:color="E0E0E0"/>
              <w:right w:val="single" w:sz="6" w:space="0" w:color="E0E0E0"/>
            </w:tcBorders>
          </w:tcPr>
          <w:p w14:paraId="1C1CCBEB" w14:textId="77777777" w:rsidR="0057582C" w:rsidRDefault="00CE7F22">
            <w:pPr>
              <w:spacing w:line="360" w:lineRule="auto"/>
              <w:jc w:val="both"/>
            </w:pPr>
            <w:r>
              <w:t>12</w:t>
            </w:r>
          </w:p>
        </w:tc>
        <w:tc>
          <w:tcPr>
            <w:tcW w:w="2295" w:type="dxa"/>
            <w:tcBorders>
              <w:left w:val="single" w:sz="6" w:space="0" w:color="E0E0E0"/>
              <w:bottom w:val="single" w:sz="6" w:space="0" w:color="E0E0E0"/>
              <w:right w:val="single" w:sz="6" w:space="0" w:color="E0E0E0"/>
            </w:tcBorders>
          </w:tcPr>
          <w:p w14:paraId="17C7C80C" w14:textId="77777777" w:rsidR="0057582C" w:rsidRDefault="00CE7F22">
            <w:pPr>
              <w:spacing w:line="360" w:lineRule="auto"/>
              <w:jc w:val="both"/>
            </w:pPr>
            <w:r>
              <w:t>46,175.82</w:t>
            </w:r>
          </w:p>
        </w:tc>
        <w:tc>
          <w:tcPr>
            <w:tcW w:w="2295" w:type="dxa"/>
            <w:tcBorders>
              <w:left w:val="single" w:sz="6" w:space="0" w:color="E0E0E0"/>
              <w:bottom w:val="single" w:sz="6" w:space="0" w:color="E0E0E0"/>
              <w:right w:val="single" w:sz="6" w:space="0" w:color="E0E0E0"/>
            </w:tcBorders>
          </w:tcPr>
          <w:p w14:paraId="66522762" w14:textId="77777777" w:rsidR="0057582C" w:rsidRDefault="00CE7F22">
            <w:pPr>
              <w:spacing w:line="360" w:lineRule="auto"/>
              <w:jc w:val="both"/>
            </w:pPr>
            <w:r>
              <w:t>53,009.75</w:t>
            </w:r>
          </w:p>
        </w:tc>
      </w:tr>
      <w:tr w:rsidR="0057582C" w14:paraId="1200D694" w14:textId="77777777">
        <w:trPr>
          <w:trHeight w:val="540"/>
        </w:trPr>
        <w:tc>
          <w:tcPr>
            <w:tcW w:w="2295" w:type="dxa"/>
            <w:tcBorders>
              <w:left w:val="single" w:sz="6" w:space="0" w:color="E0E0E0"/>
              <w:bottom w:val="single" w:sz="6" w:space="0" w:color="E0E0E0"/>
              <w:right w:val="single" w:sz="6" w:space="0" w:color="E0E0E0"/>
            </w:tcBorders>
          </w:tcPr>
          <w:p w14:paraId="24C2568E" w14:textId="77777777" w:rsidR="0057582C" w:rsidRDefault="00CE7F22">
            <w:pPr>
              <w:spacing w:line="360" w:lineRule="auto"/>
              <w:jc w:val="both"/>
            </w:pPr>
            <w:r>
              <w:t>13</w:t>
            </w:r>
          </w:p>
        </w:tc>
        <w:tc>
          <w:tcPr>
            <w:tcW w:w="2295" w:type="dxa"/>
            <w:tcBorders>
              <w:left w:val="single" w:sz="6" w:space="0" w:color="E0E0E0"/>
              <w:bottom w:val="single" w:sz="6" w:space="0" w:color="E0E0E0"/>
              <w:right w:val="single" w:sz="6" w:space="0" w:color="E0E0E0"/>
            </w:tcBorders>
          </w:tcPr>
          <w:p w14:paraId="4E7F51A3" w14:textId="77777777" w:rsidR="0057582C" w:rsidRDefault="00CE7F22">
            <w:pPr>
              <w:spacing w:line="360" w:lineRule="auto"/>
              <w:jc w:val="both"/>
            </w:pPr>
            <w:r>
              <w:t>30,849.67</w:t>
            </w:r>
          </w:p>
        </w:tc>
        <w:tc>
          <w:tcPr>
            <w:tcW w:w="2295" w:type="dxa"/>
            <w:tcBorders>
              <w:left w:val="single" w:sz="6" w:space="0" w:color="E0E0E0"/>
              <w:bottom w:val="single" w:sz="6" w:space="0" w:color="E0E0E0"/>
              <w:right w:val="single" w:sz="6" w:space="0" w:color="E0E0E0"/>
            </w:tcBorders>
          </w:tcPr>
          <w:p w14:paraId="056BC212" w14:textId="77777777" w:rsidR="0057582C" w:rsidRDefault="00CE7F22">
            <w:pPr>
              <w:spacing w:line="360" w:lineRule="auto"/>
              <w:jc w:val="both"/>
            </w:pPr>
            <w:r>
              <w:t>36,137.20</w:t>
            </w:r>
          </w:p>
        </w:tc>
      </w:tr>
      <w:tr w:rsidR="0057582C" w14:paraId="4C82CD78" w14:textId="77777777">
        <w:trPr>
          <w:trHeight w:val="540"/>
        </w:trPr>
        <w:tc>
          <w:tcPr>
            <w:tcW w:w="2295" w:type="dxa"/>
            <w:tcBorders>
              <w:left w:val="single" w:sz="6" w:space="0" w:color="E0E0E0"/>
              <w:bottom w:val="single" w:sz="6" w:space="0" w:color="E0E0E0"/>
              <w:right w:val="single" w:sz="6" w:space="0" w:color="E0E0E0"/>
            </w:tcBorders>
          </w:tcPr>
          <w:p w14:paraId="45349B6C" w14:textId="77777777" w:rsidR="0057582C" w:rsidRDefault="00CE7F22">
            <w:pPr>
              <w:spacing w:line="360" w:lineRule="auto"/>
              <w:jc w:val="both"/>
            </w:pPr>
            <w:r>
              <w:t>14</w:t>
            </w:r>
          </w:p>
        </w:tc>
        <w:tc>
          <w:tcPr>
            <w:tcW w:w="2295" w:type="dxa"/>
            <w:tcBorders>
              <w:left w:val="single" w:sz="6" w:space="0" w:color="E0E0E0"/>
              <w:bottom w:val="single" w:sz="6" w:space="0" w:color="E0E0E0"/>
              <w:right w:val="single" w:sz="6" w:space="0" w:color="E0E0E0"/>
            </w:tcBorders>
          </w:tcPr>
          <w:p w14:paraId="0E3B45CB" w14:textId="77777777" w:rsidR="0057582C" w:rsidRDefault="00CE7F22">
            <w:pPr>
              <w:spacing w:line="360" w:lineRule="auto"/>
              <w:jc w:val="both"/>
            </w:pPr>
            <w:r>
              <w:t>179.56</w:t>
            </w:r>
          </w:p>
        </w:tc>
        <w:tc>
          <w:tcPr>
            <w:tcW w:w="2295" w:type="dxa"/>
            <w:tcBorders>
              <w:left w:val="single" w:sz="6" w:space="0" w:color="E0E0E0"/>
              <w:bottom w:val="single" w:sz="6" w:space="0" w:color="E0E0E0"/>
              <w:right w:val="single" w:sz="6" w:space="0" w:color="E0E0E0"/>
            </w:tcBorders>
          </w:tcPr>
          <w:p w14:paraId="12F14222" w14:textId="77777777" w:rsidR="0057582C" w:rsidRDefault="00CE7F22">
            <w:pPr>
              <w:spacing w:line="360" w:lineRule="auto"/>
              <w:jc w:val="both"/>
            </w:pPr>
            <w:r>
              <w:t>179.56</w:t>
            </w:r>
          </w:p>
        </w:tc>
      </w:tr>
      <w:tr w:rsidR="0057582C" w14:paraId="5D45EC69"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51115A7F" w14:textId="77777777" w:rsidR="0057582C" w:rsidRDefault="00CE7F22">
            <w:pPr>
              <w:spacing w:line="360" w:lineRule="auto"/>
              <w:jc w:val="both"/>
            </w:pPr>
            <w:r>
              <w:t>15</w:t>
            </w:r>
          </w:p>
        </w:tc>
        <w:tc>
          <w:tcPr>
            <w:tcW w:w="2295" w:type="dxa"/>
            <w:tcBorders>
              <w:left w:val="single" w:sz="6" w:space="0" w:color="E0E0E0"/>
              <w:bottom w:val="single" w:sz="6" w:space="0" w:color="E0E0E0"/>
              <w:right w:val="single" w:sz="6" w:space="0" w:color="E0E0E0"/>
            </w:tcBorders>
            <w:shd w:val="clear" w:color="auto" w:fill="E2EFDA"/>
          </w:tcPr>
          <w:p w14:paraId="21C9952D" w14:textId="77777777" w:rsidR="0057582C" w:rsidRDefault="00CE7F22">
            <w:pPr>
              <w:spacing w:line="360" w:lineRule="auto"/>
              <w:jc w:val="both"/>
            </w:pPr>
            <w:r>
              <w:t>10,777.81</w:t>
            </w:r>
          </w:p>
        </w:tc>
        <w:tc>
          <w:tcPr>
            <w:tcW w:w="2295" w:type="dxa"/>
            <w:tcBorders>
              <w:left w:val="single" w:sz="6" w:space="0" w:color="E0E0E0"/>
              <w:bottom w:val="single" w:sz="6" w:space="0" w:color="E0E0E0"/>
              <w:right w:val="single" w:sz="6" w:space="0" w:color="E0E0E0"/>
            </w:tcBorders>
            <w:shd w:val="clear" w:color="auto" w:fill="E2EFDA"/>
          </w:tcPr>
          <w:p w14:paraId="4D6CAD6C" w14:textId="77777777" w:rsidR="0057582C" w:rsidRDefault="00CE7F22">
            <w:pPr>
              <w:spacing w:line="360" w:lineRule="auto"/>
              <w:jc w:val="both"/>
            </w:pPr>
            <w:r>
              <w:t>12,435.62</w:t>
            </w:r>
          </w:p>
        </w:tc>
      </w:tr>
      <w:tr w:rsidR="0057582C" w14:paraId="0AEB9E22" w14:textId="77777777">
        <w:trPr>
          <w:trHeight w:val="540"/>
        </w:trPr>
        <w:tc>
          <w:tcPr>
            <w:tcW w:w="2295" w:type="dxa"/>
            <w:tcBorders>
              <w:left w:val="single" w:sz="6" w:space="0" w:color="E0E0E0"/>
              <w:bottom w:val="single" w:sz="6" w:space="0" w:color="E0E0E0"/>
              <w:right w:val="single" w:sz="6" w:space="0" w:color="E0E0E0"/>
            </w:tcBorders>
          </w:tcPr>
          <w:p w14:paraId="5E8B72BA" w14:textId="77777777" w:rsidR="0057582C" w:rsidRDefault="00CE7F22">
            <w:pPr>
              <w:spacing w:line="360" w:lineRule="auto"/>
              <w:jc w:val="both"/>
            </w:pPr>
            <w:r>
              <w:t>16</w:t>
            </w:r>
          </w:p>
        </w:tc>
        <w:tc>
          <w:tcPr>
            <w:tcW w:w="2295" w:type="dxa"/>
            <w:tcBorders>
              <w:left w:val="single" w:sz="6" w:space="0" w:color="E0E0E0"/>
              <w:bottom w:val="single" w:sz="6" w:space="0" w:color="E0E0E0"/>
              <w:right w:val="single" w:sz="6" w:space="0" w:color="E0E0E0"/>
            </w:tcBorders>
          </w:tcPr>
          <w:p w14:paraId="26BD29B5" w14:textId="77777777" w:rsidR="0057582C" w:rsidRDefault="00CE7F22">
            <w:pPr>
              <w:spacing w:line="360" w:lineRule="auto"/>
              <w:jc w:val="both"/>
            </w:pPr>
            <w:r>
              <w:t>137,737.54</w:t>
            </w:r>
          </w:p>
        </w:tc>
        <w:tc>
          <w:tcPr>
            <w:tcW w:w="2295" w:type="dxa"/>
            <w:tcBorders>
              <w:left w:val="single" w:sz="6" w:space="0" w:color="E0E0E0"/>
              <w:bottom w:val="single" w:sz="6" w:space="0" w:color="E0E0E0"/>
              <w:right w:val="single" w:sz="6" w:space="0" w:color="E0E0E0"/>
            </w:tcBorders>
          </w:tcPr>
          <w:p w14:paraId="41F5B9F4" w14:textId="77777777" w:rsidR="0057582C" w:rsidRDefault="00CE7F22">
            <w:pPr>
              <w:spacing w:line="360" w:lineRule="auto"/>
              <w:jc w:val="both"/>
            </w:pPr>
            <w:r>
              <w:t>162,064.21</w:t>
            </w:r>
          </w:p>
        </w:tc>
      </w:tr>
      <w:tr w:rsidR="0057582C" w14:paraId="156CDA7A" w14:textId="77777777">
        <w:trPr>
          <w:trHeight w:val="540"/>
        </w:trPr>
        <w:tc>
          <w:tcPr>
            <w:tcW w:w="2295" w:type="dxa"/>
            <w:tcBorders>
              <w:left w:val="single" w:sz="6" w:space="0" w:color="E0E0E0"/>
              <w:bottom w:val="single" w:sz="6" w:space="0" w:color="E0E0E0"/>
              <w:right w:val="single" w:sz="6" w:space="0" w:color="E0E0E0"/>
            </w:tcBorders>
            <w:shd w:val="clear" w:color="auto" w:fill="FCE4D6"/>
          </w:tcPr>
          <w:p w14:paraId="0C1E45B0" w14:textId="77777777" w:rsidR="0057582C" w:rsidRDefault="00CE7F22">
            <w:pPr>
              <w:spacing w:line="360" w:lineRule="auto"/>
              <w:jc w:val="both"/>
            </w:pPr>
            <w:r>
              <w:t>17</w:t>
            </w:r>
          </w:p>
        </w:tc>
        <w:tc>
          <w:tcPr>
            <w:tcW w:w="2295" w:type="dxa"/>
            <w:tcBorders>
              <w:left w:val="single" w:sz="6" w:space="0" w:color="E0E0E0"/>
              <w:bottom w:val="single" w:sz="6" w:space="0" w:color="E0E0E0"/>
              <w:right w:val="single" w:sz="6" w:space="0" w:color="E0E0E0"/>
            </w:tcBorders>
            <w:shd w:val="clear" w:color="auto" w:fill="FCE4D6"/>
          </w:tcPr>
          <w:p w14:paraId="0064216C" w14:textId="77777777" w:rsidR="0057582C" w:rsidRDefault="00CE7F22">
            <w:pPr>
              <w:spacing w:line="360" w:lineRule="auto"/>
              <w:jc w:val="both"/>
            </w:pPr>
            <w:r>
              <w:t>5,138.92</w:t>
            </w:r>
          </w:p>
        </w:tc>
        <w:tc>
          <w:tcPr>
            <w:tcW w:w="2295" w:type="dxa"/>
            <w:tcBorders>
              <w:left w:val="single" w:sz="6" w:space="0" w:color="E0E0E0"/>
              <w:bottom w:val="single" w:sz="6" w:space="0" w:color="E0E0E0"/>
              <w:right w:val="single" w:sz="6" w:space="0" w:color="E0E0E0"/>
            </w:tcBorders>
            <w:shd w:val="clear" w:color="auto" w:fill="FCE4D6"/>
          </w:tcPr>
          <w:p w14:paraId="1C62CD5B" w14:textId="77777777" w:rsidR="0057582C" w:rsidRDefault="00CE7F22">
            <w:pPr>
              <w:spacing w:line="360" w:lineRule="auto"/>
              <w:jc w:val="both"/>
            </w:pPr>
            <w:r>
              <w:t>5,588.63</w:t>
            </w:r>
          </w:p>
        </w:tc>
      </w:tr>
      <w:tr w:rsidR="0057582C" w14:paraId="3440D75A" w14:textId="77777777">
        <w:trPr>
          <w:trHeight w:val="540"/>
        </w:trPr>
        <w:tc>
          <w:tcPr>
            <w:tcW w:w="2295" w:type="dxa"/>
            <w:tcBorders>
              <w:left w:val="single" w:sz="6" w:space="0" w:color="E0E0E0"/>
              <w:bottom w:val="single" w:sz="6" w:space="0" w:color="E0E0E0"/>
              <w:right w:val="single" w:sz="6" w:space="0" w:color="E0E0E0"/>
            </w:tcBorders>
          </w:tcPr>
          <w:p w14:paraId="0C0647F3" w14:textId="77777777" w:rsidR="0057582C" w:rsidRDefault="00CE7F22">
            <w:pPr>
              <w:spacing w:line="360" w:lineRule="auto"/>
              <w:jc w:val="both"/>
            </w:pPr>
            <w:r>
              <w:t>18</w:t>
            </w:r>
          </w:p>
        </w:tc>
        <w:tc>
          <w:tcPr>
            <w:tcW w:w="2295" w:type="dxa"/>
            <w:tcBorders>
              <w:left w:val="single" w:sz="6" w:space="0" w:color="E0E0E0"/>
              <w:bottom w:val="single" w:sz="6" w:space="0" w:color="E0E0E0"/>
              <w:right w:val="single" w:sz="6" w:space="0" w:color="E0E0E0"/>
            </w:tcBorders>
          </w:tcPr>
          <w:p w14:paraId="6802EFA5" w14:textId="77777777" w:rsidR="0057582C" w:rsidRDefault="00CE7F22">
            <w:pPr>
              <w:spacing w:line="360" w:lineRule="auto"/>
              <w:jc w:val="both"/>
            </w:pPr>
            <w:r>
              <w:t>204.29</w:t>
            </w:r>
          </w:p>
        </w:tc>
        <w:tc>
          <w:tcPr>
            <w:tcW w:w="2295" w:type="dxa"/>
            <w:tcBorders>
              <w:left w:val="single" w:sz="6" w:space="0" w:color="E0E0E0"/>
              <w:bottom w:val="single" w:sz="6" w:space="0" w:color="E0E0E0"/>
              <w:right w:val="single" w:sz="6" w:space="0" w:color="E0E0E0"/>
            </w:tcBorders>
          </w:tcPr>
          <w:p w14:paraId="53B079E3" w14:textId="77777777" w:rsidR="0057582C" w:rsidRDefault="00CE7F22">
            <w:pPr>
              <w:spacing w:line="360" w:lineRule="auto"/>
              <w:jc w:val="both"/>
            </w:pPr>
            <w:r>
              <w:t>210.58</w:t>
            </w:r>
          </w:p>
        </w:tc>
      </w:tr>
      <w:tr w:rsidR="0057582C" w14:paraId="24F2A14E"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36926206" w14:textId="77777777" w:rsidR="0057582C" w:rsidRDefault="00CE7F22">
            <w:pPr>
              <w:spacing w:line="360" w:lineRule="auto"/>
              <w:jc w:val="both"/>
            </w:pPr>
            <w:r>
              <w:t>19</w:t>
            </w:r>
          </w:p>
        </w:tc>
        <w:tc>
          <w:tcPr>
            <w:tcW w:w="2295" w:type="dxa"/>
            <w:tcBorders>
              <w:left w:val="single" w:sz="6" w:space="0" w:color="E0E0E0"/>
              <w:bottom w:val="single" w:sz="6" w:space="0" w:color="E0E0E0"/>
              <w:right w:val="single" w:sz="6" w:space="0" w:color="E0E0E0"/>
            </w:tcBorders>
            <w:shd w:val="clear" w:color="auto" w:fill="E2EFDA"/>
          </w:tcPr>
          <w:p w14:paraId="28C76137" w14:textId="77777777" w:rsidR="0057582C" w:rsidRDefault="00CE7F22">
            <w:pPr>
              <w:spacing w:line="360" w:lineRule="auto"/>
              <w:jc w:val="both"/>
            </w:pPr>
            <w:r>
              <w:t>1,525.15</w:t>
            </w:r>
          </w:p>
        </w:tc>
        <w:tc>
          <w:tcPr>
            <w:tcW w:w="2295" w:type="dxa"/>
            <w:tcBorders>
              <w:left w:val="single" w:sz="6" w:space="0" w:color="E0E0E0"/>
              <w:bottom w:val="single" w:sz="6" w:space="0" w:color="E0E0E0"/>
              <w:right w:val="single" w:sz="6" w:space="0" w:color="E0E0E0"/>
            </w:tcBorders>
            <w:shd w:val="clear" w:color="auto" w:fill="E2EFDA"/>
          </w:tcPr>
          <w:p w14:paraId="03E93714" w14:textId="77777777" w:rsidR="0057582C" w:rsidRDefault="00CE7F22">
            <w:pPr>
              <w:spacing w:line="360" w:lineRule="auto"/>
              <w:jc w:val="both"/>
            </w:pPr>
            <w:r>
              <w:t>1,527.48</w:t>
            </w:r>
          </w:p>
        </w:tc>
      </w:tr>
      <w:tr w:rsidR="0057582C" w14:paraId="08CFF191" w14:textId="77777777">
        <w:trPr>
          <w:trHeight w:val="540"/>
        </w:trPr>
        <w:tc>
          <w:tcPr>
            <w:tcW w:w="2295" w:type="dxa"/>
            <w:tcBorders>
              <w:left w:val="single" w:sz="6" w:space="0" w:color="E0E0E0"/>
              <w:bottom w:val="single" w:sz="6" w:space="0" w:color="E0E0E0"/>
              <w:right w:val="single" w:sz="6" w:space="0" w:color="E0E0E0"/>
            </w:tcBorders>
          </w:tcPr>
          <w:p w14:paraId="0B22F92B" w14:textId="77777777" w:rsidR="0057582C" w:rsidRDefault="00CE7F22">
            <w:pPr>
              <w:spacing w:line="360" w:lineRule="auto"/>
              <w:jc w:val="both"/>
            </w:pPr>
            <w:r>
              <w:t>20</w:t>
            </w:r>
          </w:p>
        </w:tc>
        <w:tc>
          <w:tcPr>
            <w:tcW w:w="2295" w:type="dxa"/>
            <w:tcBorders>
              <w:left w:val="single" w:sz="6" w:space="0" w:color="E0E0E0"/>
              <w:bottom w:val="single" w:sz="6" w:space="0" w:color="E0E0E0"/>
              <w:right w:val="single" w:sz="6" w:space="0" w:color="E0E0E0"/>
            </w:tcBorders>
          </w:tcPr>
          <w:p w14:paraId="57BD9334" w14:textId="77777777" w:rsidR="0057582C" w:rsidRDefault="00CE7F22">
            <w:pPr>
              <w:spacing w:line="360" w:lineRule="auto"/>
              <w:jc w:val="both"/>
            </w:pPr>
            <w:r>
              <w:t>2,823.61</w:t>
            </w:r>
          </w:p>
        </w:tc>
        <w:tc>
          <w:tcPr>
            <w:tcW w:w="2295" w:type="dxa"/>
            <w:tcBorders>
              <w:left w:val="single" w:sz="6" w:space="0" w:color="E0E0E0"/>
              <w:bottom w:val="single" w:sz="6" w:space="0" w:color="E0E0E0"/>
              <w:right w:val="single" w:sz="6" w:space="0" w:color="E0E0E0"/>
            </w:tcBorders>
          </w:tcPr>
          <w:p w14:paraId="1EC50EA7" w14:textId="77777777" w:rsidR="0057582C" w:rsidRDefault="00CE7F22">
            <w:pPr>
              <w:spacing w:line="360" w:lineRule="auto"/>
              <w:jc w:val="both"/>
            </w:pPr>
            <w:r>
              <w:t>3,213.49</w:t>
            </w:r>
          </w:p>
        </w:tc>
      </w:tr>
      <w:tr w:rsidR="0057582C" w14:paraId="0A13567B" w14:textId="77777777">
        <w:trPr>
          <w:trHeight w:val="540"/>
        </w:trPr>
        <w:tc>
          <w:tcPr>
            <w:tcW w:w="2295" w:type="dxa"/>
            <w:tcBorders>
              <w:left w:val="single" w:sz="6" w:space="0" w:color="E0E0E0"/>
              <w:bottom w:val="single" w:sz="6" w:space="0" w:color="E0E0E0"/>
              <w:right w:val="single" w:sz="6" w:space="0" w:color="E0E0E0"/>
            </w:tcBorders>
          </w:tcPr>
          <w:p w14:paraId="2C72F36F" w14:textId="77777777" w:rsidR="0057582C" w:rsidRDefault="00CE7F22">
            <w:pPr>
              <w:spacing w:line="360" w:lineRule="auto"/>
              <w:jc w:val="both"/>
            </w:pPr>
            <w:r>
              <w:lastRenderedPageBreak/>
              <w:t>21</w:t>
            </w:r>
          </w:p>
        </w:tc>
        <w:tc>
          <w:tcPr>
            <w:tcW w:w="2295" w:type="dxa"/>
            <w:tcBorders>
              <w:left w:val="single" w:sz="6" w:space="0" w:color="E0E0E0"/>
              <w:bottom w:val="single" w:sz="6" w:space="0" w:color="E0E0E0"/>
              <w:right w:val="single" w:sz="6" w:space="0" w:color="E0E0E0"/>
            </w:tcBorders>
          </w:tcPr>
          <w:p w14:paraId="50F1C629" w14:textId="77777777" w:rsidR="0057582C" w:rsidRDefault="00CE7F22">
            <w:pPr>
              <w:spacing w:line="360" w:lineRule="auto"/>
              <w:jc w:val="both"/>
            </w:pPr>
            <w:r>
              <w:t>29,752.14</w:t>
            </w:r>
          </w:p>
        </w:tc>
        <w:tc>
          <w:tcPr>
            <w:tcW w:w="2295" w:type="dxa"/>
            <w:tcBorders>
              <w:left w:val="single" w:sz="6" w:space="0" w:color="E0E0E0"/>
              <w:bottom w:val="single" w:sz="6" w:space="0" w:color="E0E0E0"/>
              <w:right w:val="single" w:sz="6" w:space="0" w:color="E0E0E0"/>
            </w:tcBorders>
          </w:tcPr>
          <w:p w14:paraId="664BEEC1" w14:textId="77777777" w:rsidR="0057582C" w:rsidRDefault="00CE7F22">
            <w:pPr>
              <w:spacing w:line="360" w:lineRule="auto"/>
              <w:jc w:val="both"/>
            </w:pPr>
            <w:r>
              <w:t>30,735.05</w:t>
            </w:r>
          </w:p>
        </w:tc>
      </w:tr>
      <w:tr w:rsidR="0057582C" w14:paraId="1A113DAE" w14:textId="77777777">
        <w:trPr>
          <w:trHeight w:val="540"/>
        </w:trPr>
        <w:tc>
          <w:tcPr>
            <w:tcW w:w="2295" w:type="dxa"/>
            <w:tcBorders>
              <w:left w:val="single" w:sz="6" w:space="0" w:color="E0E0E0"/>
              <w:bottom w:val="single" w:sz="6" w:space="0" w:color="E0E0E0"/>
              <w:right w:val="single" w:sz="6" w:space="0" w:color="E0E0E0"/>
            </w:tcBorders>
          </w:tcPr>
          <w:p w14:paraId="22E96389" w14:textId="77777777" w:rsidR="0057582C" w:rsidRDefault="00CE7F22">
            <w:pPr>
              <w:spacing w:line="360" w:lineRule="auto"/>
              <w:jc w:val="both"/>
            </w:pPr>
            <w:r>
              <w:t>22</w:t>
            </w:r>
          </w:p>
        </w:tc>
        <w:tc>
          <w:tcPr>
            <w:tcW w:w="2295" w:type="dxa"/>
            <w:tcBorders>
              <w:left w:val="single" w:sz="6" w:space="0" w:color="E0E0E0"/>
              <w:bottom w:val="single" w:sz="6" w:space="0" w:color="E0E0E0"/>
              <w:right w:val="single" w:sz="6" w:space="0" w:color="E0E0E0"/>
            </w:tcBorders>
          </w:tcPr>
          <w:p w14:paraId="6E9C30BF" w14:textId="77777777" w:rsidR="0057582C" w:rsidRDefault="00CE7F22">
            <w:pPr>
              <w:spacing w:line="360" w:lineRule="auto"/>
              <w:jc w:val="both"/>
            </w:pPr>
            <w:r>
              <w:t>53,888.14</w:t>
            </w:r>
          </w:p>
        </w:tc>
        <w:tc>
          <w:tcPr>
            <w:tcW w:w="2295" w:type="dxa"/>
            <w:tcBorders>
              <w:left w:val="single" w:sz="6" w:space="0" w:color="E0E0E0"/>
              <w:bottom w:val="single" w:sz="6" w:space="0" w:color="E0E0E0"/>
              <w:right w:val="single" w:sz="6" w:space="0" w:color="E0E0E0"/>
            </w:tcBorders>
          </w:tcPr>
          <w:p w14:paraId="7906EF24" w14:textId="77777777" w:rsidR="0057582C" w:rsidRDefault="00CE7F22">
            <w:pPr>
              <w:spacing w:line="360" w:lineRule="auto"/>
              <w:jc w:val="both"/>
            </w:pPr>
            <w:r>
              <w:t>65,269.76</w:t>
            </w:r>
          </w:p>
        </w:tc>
      </w:tr>
      <w:tr w:rsidR="0057582C" w14:paraId="23911C54" w14:textId="77777777">
        <w:trPr>
          <w:trHeight w:val="540"/>
        </w:trPr>
        <w:tc>
          <w:tcPr>
            <w:tcW w:w="2295" w:type="dxa"/>
            <w:tcBorders>
              <w:left w:val="single" w:sz="6" w:space="0" w:color="E0E0E0"/>
              <w:bottom w:val="single" w:sz="6" w:space="0" w:color="E0E0E0"/>
              <w:right w:val="single" w:sz="6" w:space="0" w:color="E0E0E0"/>
            </w:tcBorders>
          </w:tcPr>
          <w:p w14:paraId="2277EA98" w14:textId="77777777" w:rsidR="0057582C" w:rsidRDefault="00CE7F22">
            <w:pPr>
              <w:spacing w:line="360" w:lineRule="auto"/>
              <w:jc w:val="both"/>
            </w:pPr>
            <w:r>
              <w:t>23</w:t>
            </w:r>
          </w:p>
        </w:tc>
        <w:tc>
          <w:tcPr>
            <w:tcW w:w="2295" w:type="dxa"/>
            <w:tcBorders>
              <w:left w:val="single" w:sz="6" w:space="0" w:color="E0E0E0"/>
              <w:bottom w:val="single" w:sz="6" w:space="0" w:color="E0E0E0"/>
              <w:right w:val="single" w:sz="6" w:space="0" w:color="E0E0E0"/>
            </w:tcBorders>
          </w:tcPr>
          <w:p w14:paraId="6D6F8D67" w14:textId="77777777" w:rsidR="0057582C" w:rsidRDefault="00CE7F22">
            <w:pPr>
              <w:spacing w:line="360" w:lineRule="auto"/>
              <w:jc w:val="both"/>
            </w:pPr>
            <w:r>
              <w:t>541.47</w:t>
            </w:r>
          </w:p>
        </w:tc>
        <w:tc>
          <w:tcPr>
            <w:tcW w:w="2295" w:type="dxa"/>
            <w:tcBorders>
              <w:left w:val="single" w:sz="6" w:space="0" w:color="E0E0E0"/>
              <w:bottom w:val="single" w:sz="6" w:space="0" w:color="E0E0E0"/>
              <w:right w:val="single" w:sz="6" w:space="0" w:color="E0E0E0"/>
            </w:tcBorders>
          </w:tcPr>
          <w:p w14:paraId="6B908D7E" w14:textId="77777777" w:rsidR="0057582C" w:rsidRDefault="00CE7F22">
            <w:pPr>
              <w:spacing w:line="360" w:lineRule="auto"/>
              <w:jc w:val="both"/>
            </w:pPr>
            <w:r>
              <w:t>606.12</w:t>
            </w:r>
          </w:p>
        </w:tc>
      </w:tr>
      <w:tr w:rsidR="0057582C" w14:paraId="52815FA5" w14:textId="77777777">
        <w:trPr>
          <w:trHeight w:val="540"/>
        </w:trPr>
        <w:tc>
          <w:tcPr>
            <w:tcW w:w="2295" w:type="dxa"/>
            <w:tcBorders>
              <w:left w:val="single" w:sz="6" w:space="0" w:color="E0E0E0"/>
              <w:bottom w:val="single" w:sz="6" w:space="0" w:color="E0E0E0"/>
              <w:right w:val="single" w:sz="6" w:space="0" w:color="E0E0E0"/>
            </w:tcBorders>
          </w:tcPr>
          <w:p w14:paraId="10F8783E" w14:textId="77777777" w:rsidR="0057582C" w:rsidRDefault="00CE7F22">
            <w:pPr>
              <w:spacing w:line="360" w:lineRule="auto"/>
              <w:jc w:val="both"/>
            </w:pPr>
            <w:r>
              <w:t>24</w:t>
            </w:r>
          </w:p>
        </w:tc>
        <w:tc>
          <w:tcPr>
            <w:tcW w:w="2295" w:type="dxa"/>
            <w:tcBorders>
              <w:left w:val="single" w:sz="6" w:space="0" w:color="E0E0E0"/>
              <w:bottom w:val="single" w:sz="6" w:space="0" w:color="E0E0E0"/>
              <w:right w:val="single" w:sz="6" w:space="0" w:color="E0E0E0"/>
            </w:tcBorders>
          </w:tcPr>
          <w:p w14:paraId="27299F11" w14:textId="77777777" w:rsidR="0057582C" w:rsidRDefault="00CE7F22">
            <w:pPr>
              <w:spacing w:line="360" w:lineRule="auto"/>
              <w:jc w:val="both"/>
            </w:pPr>
            <w:r>
              <w:t>254.67</w:t>
            </w:r>
          </w:p>
        </w:tc>
        <w:tc>
          <w:tcPr>
            <w:tcW w:w="2295" w:type="dxa"/>
            <w:tcBorders>
              <w:left w:val="single" w:sz="6" w:space="0" w:color="E0E0E0"/>
              <w:bottom w:val="single" w:sz="6" w:space="0" w:color="E0E0E0"/>
              <w:right w:val="single" w:sz="6" w:space="0" w:color="E0E0E0"/>
            </w:tcBorders>
          </w:tcPr>
          <w:p w14:paraId="02C82007" w14:textId="77777777" w:rsidR="0057582C" w:rsidRDefault="00CE7F22">
            <w:pPr>
              <w:spacing w:line="360" w:lineRule="auto"/>
              <w:jc w:val="both"/>
            </w:pPr>
            <w:r>
              <w:t>300.89</w:t>
            </w:r>
          </w:p>
        </w:tc>
      </w:tr>
    </w:tbl>
    <w:p w14:paraId="483F1223" w14:textId="77777777" w:rsidR="0057582C" w:rsidRDefault="0057582C">
      <w:pPr>
        <w:spacing w:before="120" w:after="120" w:line="360" w:lineRule="auto"/>
        <w:jc w:val="both"/>
      </w:pPr>
    </w:p>
    <w:p w14:paraId="36A7A75A" w14:textId="77777777" w:rsidR="0057582C" w:rsidRDefault="0057582C">
      <w:pPr>
        <w:spacing w:before="120" w:after="120" w:line="360" w:lineRule="auto"/>
        <w:jc w:val="both"/>
      </w:pPr>
    </w:p>
    <w:p w14:paraId="58CBEAFB" w14:textId="77777777" w:rsidR="0057582C" w:rsidRDefault="00CE7F22">
      <w:pPr>
        <w:spacing w:before="120" w:after="120" w:line="360" w:lineRule="auto"/>
        <w:jc w:val="both"/>
      </w:pPr>
      <w:r>
        <w:rPr>
          <w:b/>
          <w:bCs/>
        </w:rPr>
        <w:t>Auto-ARIMA Model Analysis (AIC-Based Order Selection)</w:t>
      </w:r>
    </w:p>
    <w:p w14:paraId="22027D5F" w14:textId="77777777" w:rsidR="0057582C" w:rsidRDefault="00CE7F22">
      <w:pPr>
        <w:spacing w:before="120" w:after="120" w:line="360" w:lineRule="auto"/>
        <w:jc w:val="both"/>
      </w:pPr>
      <w:r>
        <w:t>The upgraded forecasting pipeline uses auto-ARIMA (</w:t>
      </w:r>
      <w:proofErr w:type="spellStart"/>
      <w:r>
        <w:t>pmdarima</w:t>
      </w:r>
      <w:proofErr w:type="spellEnd"/>
      <w:r>
        <w:t xml:space="preserve">) with AIC-based order selection, replacing fixed </w:t>
      </w:r>
      <w:proofErr w:type="gramStart"/>
      <w:r>
        <w:t>ARIMA(</w:t>
      </w:r>
      <w:proofErr w:type="gramEnd"/>
      <w:r>
        <w:t>1,1,1). For each segment, auto-ARIMA selects the optimal (</w:t>
      </w:r>
      <w:proofErr w:type="spellStart"/>
      <w:proofErr w:type="gramStart"/>
      <w:r>
        <w:t>p,d</w:t>
      </w:r>
      <w:proofErr w:type="gramEnd"/>
      <w:r>
        <w:t>,q</w:t>
      </w:r>
      <w:proofErr w:type="spellEnd"/>
      <w:r>
        <w:t xml:space="preserve">) order from ARIMA(0,0,0) through ARIMA(4,1,4). Non-seasonal specification is used throughout because the 12-month training window is insufficient for seasonal ARIMA (requires ≥2×m training points). </w:t>
      </w:r>
    </w:p>
    <w:p w14:paraId="5490655A" w14:textId="77777777" w:rsidR="0057582C" w:rsidRDefault="00CE7F22">
      <w:pPr>
        <w:spacing w:before="120" w:after="120" w:line="360" w:lineRule="auto"/>
        <w:jc w:val="both"/>
      </w:pPr>
      <w:r>
        <w:rPr>
          <w:b/>
          <w:bCs/>
        </w:rPr>
        <w:t>Visualising the Auto-ARIMA Forecasts</w:t>
      </w:r>
    </w:p>
    <w:p w14:paraId="428CFE3E" w14:textId="77777777" w:rsidR="0057582C" w:rsidRDefault="00CE7F22">
      <w:pPr>
        <w:spacing w:before="120" w:after="120" w:line="360" w:lineRule="auto"/>
        <w:jc w:val="both"/>
      </w:pPr>
      <w:r>
        <w:t>Auto-ARIMA was fitted independently for all 25 SOM segments using walk-forward cross-validation; results for all segments are in Table 8. Figures 8–10 present the Prophet 12-month forecasts for Clusters 0, 1, and 2, illustrating the contrasting demand structures across customer tiers. Whilst these plots are generated by the Prophet model, the Prophet forecast confidence intervals serve a second role: they provide the stochastic demand bounds (μ ± 15%) used as inputs to the Monte Carlo EOQ simulation in Section 4.5.</w:t>
      </w:r>
    </w:p>
    <w:p w14:paraId="3602747B" w14:textId="77777777" w:rsidR="0057582C" w:rsidRDefault="00CE7F22">
      <w:pPr>
        <w:spacing w:before="120" w:after="120" w:line="360" w:lineRule="auto"/>
        <w:jc w:val="both"/>
      </w:pPr>
      <w:r>
        <w:t>These per-segment forecasts identify which customer groups will drive the highest future demand, enabling differentiated inventory allocation and procurement scheduling. The confidence intervals from Prophet (Figures 8–10) serve as stochastic demand bounds in the Monte Carlo EOQ simulation (Section 4.5, Equation 12).</w:t>
      </w:r>
    </w:p>
    <w:p w14:paraId="173B5200" w14:textId="77777777" w:rsidR="0057582C" w:rsidRDefault="00CE7F22">
      <w:pPr>
        <w:spacing w:before="120" w:after="120" w:line="360" w:lineRule="auto"/>
        <w:jc w:val="both"/>
      </w:pPr>
      <w:r>
        <w:rPr>
          <w:b/>
          <w:bCs/>
        </w:rPr>
        <w:t>Auto-ARIMA Evaluation and Comparison with Prophet</w:t>
      </w:r>
    </w:p>
    <w:p w14:paraId="59C59022" w14:textId="77777777" w:rsidR="0057582C" w:rsidRDefault="00CE7F22">
      <w:pPr>
        <w:spacing w:before="120" w:after="120" w:line="360" w:lineRule="auto"/>
        <w:jc w:val="both"/>
      </w:pPr>
      <w:r>
        <w:t xml:space="preserve">Table 8 presents auto-ARIMA evaluation metrics for all 25 clusters. The key finding is striking: auto-ARIMA achieves substantially lower MAE than Prophet in all 25 segments (median MAE £810 vs Prophet’s £22,680). Auto-ARIMA is 20× more accurate on the median cluster. The </w:t>
      </w:r>
      <w:r>
        <w:lastRenderedPageBreak/>
        <w:t>explanation is structural: with only 12 monthly observations, Prophet’s additive decomposition overfits the training window. Auto-ARIMA’s parsimonious specifications (ARIMA(0,0,0)–</w:t>
      </w:r>
      <w:proofErr w:type="gramStart"/>
      <w:r>
        <w:t>ARIMA(</w:t>
      </w:r>
      <w:proofErr w:type="gramEnd"/>
      <w:r>
        <w:t>2,0,1)) fit the data without overfitting. This is the paper’s most important methodological finding: the common assumption that Prophet outperforms ARIMA is training-window-dependent. Prophet’s advantage emerges with 24+ months of data; for shorter series, parsimonious auto-ARIMA is the correct default.</w:t>
      </w:r>
    </w:p>
    <w:p w14:paraId="0B3742CB" w14:textId="77777777" w:rsidR="0057582C" w:rsidRDefault="00CE7F22">
      <w:pPr>
        <w:spacing w:before="180" w:after="80" w:line="360" w:lineRule="auto"/>
        <w:jc w:val="both"/>
      </w:pPr>
      <w:r>
        <w:rPr>
          <w:b/>
          <w:bCs/>
        </w:rPr>
        <w:t xml:space="preserve">Table </w:t>
      </w:r>
      <w:r>
        <w:rPr>
          <w:b/>
          <w:bCs/>
          <w:lang w:val="en-US"/>
        </w:rPr>
        <w:t>11</w:t>
      </w:r>
      <w:r>
        <w:rPr>
          <w:b/>
          <w:bCs/>
        </w:rPr>
        <w:t>: Auto-ARIMA Walk-Forward CV Evaluation — Per-Cluster Order, MAE and RMSE vs Prophet. Green rows: auto-ARIMA achieves lower MAE than Prophet (all 25 clusters). Bold values: auto-ARIMA MAE.</w:t>
      </w:r>
    </w:p>
    <w:tbl>
      <w:tblPr>
        <w:tblW w:w="72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976"/>
        <w:gridCol w:w="1482"/>
        <w:gridCol w:w="1579"/>
        <w:gridCol w:w="1579"/>
        <w:gridCol w:w="1584"/>
      </w:tblGrid>
      <w:tr w:rsidR="0057582C" w14:paraId="721B5043" w14:textId="77777777">
        <w:trPr>
          <w:tblHeader/>
        </w:trPr>
        <w:tc>
          <w:tcPr>
            <w:tcW w:w="900" w:type="dxa"/>
            <w:shd w:val="clear" w:color="auto" w:fill="DEEAF1"/>
          </w:tcPr>
          <w:p w14:paraId="620A2270" w14:textId="77777777" w:rsidR="0057582C" w:rsidRDefault="00CE7F22">
            <w:pPr>
              <w:spacing w:line="360" w:lineRule="auto"/>
              <w:jc w:val="both"/>
            </w:pPr>
            <w:r>
              <w:rPr>
                <w:b/>
                <w:bCs/>
              </w:rPr>
              <w:t>Cluster</w:t>
            </w:r>
          </w:p>
        </w:tc>
        <w:tc>
          <w:tcPr>
            <w:tcW w:w="1500" w:type="dxa"/>
            <w:shd w:val="clear" w:color="auto" w:fill="DEEAF1"/>
          </w:tcPr>
          <w:p w14:paraId="39D80179" w14:textId="77777777" w:rsidR="0057582C" w:rsidRDefault="00CE7F22">
            <w:pPr>
              <w:spacing w:line="360" w:lineRule="auto"/>
              <w:jc w:val="both"/>
            </w:pPr>
            <w:r>
              <w:rPr>
                <w:b/>
                <w:bCs/>
              </w:rPr>
              <w:t>ARIMA Order</w:t>
            </w:r>
          </w:p>
        </w:tc>
        <w:tc>
          <w:tcPr>
            <w:tcW w:w="1600" w:type="dxa"/>
            <w:shd w:val="clear" w:color="auto" w:fill="DEEAF1"/>
          </w:tcPr>
          <w:p w14:paraId="2EBD502E" w14:textId="77777777" w:rsidR="0057582C" w:rsidRDefault="00CE7F22">
            <w:pPr>
              <w:spacing w:line="360" w:lineRule="auto"/>
              <w:jc w:val="both"/>
            </w:pPr>
            <w:r>
              <w:rPr>
                <w:b/>
                <w:bCs/>
              </w:rPr>
              <w:t>auto-ARIMA MAE (£)</w:t>
            </w:r>
          </w:p>
        </w:tc>
        <w:tc>
          <w:tcPr>
            <w:tcW w:w="1600" w:type="dxa"/>
            <w:shd w:val="clear" w:color="auto" w:fill="DEEAF1"/>
          </w:tcPr>
          <w:p w14:paraId="2FB9CAA8" w14:textId="77777777" w:rsidR="0057582C" w:rsidRDefault="00CE7F22">
            <w:pPr>
              <w:spacing w:line="360" w:lineRule="auto"/>
              <w:jc w:val="both"/>
            </w:pPr>
            <w:r>
              <w:rPr>
                <w:b/>
                <w:bCs/>
              </w:rPr>
              <w:t>auto-ARIMA RMSE (£)</w:t>
            </w:r>
          </w:p>
        </w:tc>
        <w:tc>
          <w:tcPr>
            <w:tcW w:w="1600" w:type="dxa"/>
            <w:shd w:val="clear" w:color="auto" w:fill="DEEAF1"/>
          </w:tcPr>
          <w:p w14:paraId="05A04FA0" w14:textId="77777777" w:rsidR="0057582C" w:rsidRDefault="00CE7F22">
            <w:pPr>
              <w:spacing w:line="360" w:lineRule="auto"/>
              <w:jc w:val="both"/>
            </w:pPr>
            <w:r>
              <w:rPr>
                <w:b/>
                <w:bCs/>
              </w:rPr>
              <w:t>Prophet MAE (£)</w:t>
            </w:r>
          </w:p>
        </w:tc>
      </w:tr>
      <w:tr w:rsidR="0057582C" w14:paraId="2755D58F" w14:textId="77777777">
        <w:tc>
          <w:tcPr>
            <w:tcW w:w="900" w:type="dxa"/>
            <w:shd w:val="clear" w:color="auto" w:fill="E2EFDA"/>
          </w:tcPr>
          <w:p w14:paraId="1CE321D0" w14:textId="77777777" w:rsidR="0057582C" w:rsidRDefault="00CE7F22">
            <w:pPr>
              <w:spacing w:line="360" w:lineRule="auto"/>
              <w:jc w:val="both"/>
            </w:pPr>
            <w:r>
              <w:t>0</w:t>
            </w:r>
          </w:p>
        </w:tc>
        <w:tc>
          <w:tcPr>
            <w:tcW w:w="1500" w:type="dxa"/>
            <w:shd w:val="clear" w:color="auto" w:fill="E2EFDA"/>
          </w:tcPr>
          <w:p w14:paraId="5094EB9F" w14:textId="77777777" w:rsidR="0057582C" w:rsidRDefault="00CE7F22">
            <w:pPr>
              <w:spacing w:line="360" w:lineRule="auto"/>
              <w:jc w:val="both"/>
            </w:pPr>
            <w:r>
              <w:t>(0, 0, 0)</w:t>
            </w:r>
          </w:p>
        </w:tc>
        <w:tc>
          <w:tcPr>
            <w:tcW w:w="1600" w:type="dxa"/>
            <w:shd w:val="clear" w:color="auto" w:fill="E2EFDA"/>
          </w:tcPr>
          <w:p w14:paraId="7C202267" w14:textId="77777777" w:rsidR="0057582C" w:rsidRDefault="00CE7F22">
            <w:pPr>
              <w:spacing w:line="360" w:lineRule="auto"/>
              <w:jc w:val="both"/>
            </w:pPr>
            <w:r>
              <w:rPr>
                <w:b/>
                <w:bCs/>
              </w:rPr>
              <w:t>60</w:t>
            </w:r>
          </w:p>
        </w:tc>
        <w:tc>
          <w:tcPr>
            <w:tcW w:w="1600" w:type="dxa"/>
            <w:shd w:val="clear" w:color="auto" w:fill="E2EFDA"/>
          </w:tcPr>
          <w:p w14:paraId="77D4BBFB" w14:textId="77777777" w:rsidR="0057582C" w:rsidRDefault="00CE7F22">
            <w:pPr>
              <w:spacing w:line="360" w:lineRule="auto"/>
              <w:jc w:val="both"/>
            </w:pPr>
            <w:r>
              <w:t>60</w:t>
            </w:r>
          </w:p>
        </w:tc>
        <w:tc>
          <w:tcPr>
            <w:tcW w:w="1600" w:type="dxa"/>
            <w:shd w:val="clear" w:color="auto" w:fill="E2EFDA"/>
          </w:tcPr>
          <w:p w14:paraId="373C820C" w14:textId="77777777" w:rsidR="0057582C" w:rsidRDefault="00CE7F22">
            <w:pPr>
              <w:spacing w:line="360" w:lineRule="auto"/>
              <w:jc w:val="both"/>
            </w:pPr>
            <w:r>
              <w:t>18,483</w:t>
            </w:r>
          </w:p>
        </w:tc>
      </w:tr>
      <w:tr w:rsidR="0057582C" w14:paraId="225BC74C" w14:textId="77777777">
        <w:tc>
          <w:tcPr>
            <w:tcW w:w="900" w:type="dxa"/>
            <w:shd w:val="clear" w:color="auto" w:fill="E2EFDA"/>
          </w:tcPr>
          <w:p w14:paraId="22EEA891" w14:textId="77777777" w:rsidR="0057582C" w:rsidRDefault="00CE7F22">
            <w:pPr>
              <w:spacing w:line="360" w:lineRule="auto"/>
              <w:jc w:val="both"/>
            </w:pPr>
            <w:r>
              <w:t>1</w:t>
            </w:r>
          </w:p>
        </w:tc>
        <w:tc>
          <w:tcPr>
            <w:tcW w:w="1500" w:type="dxa"/>
            <w:shd w:val="clear" w:color="auto" w:fill="E2EFDA"/>
          </w:tcPr>
          <w:p w14:paraId="38C57F72" w14:textId="77777777" w:rsidR="0057582C" w:rsidRDefault="00CE7F22">
            <w:pPr>
              <w:spacing w:line="360" w:lineRule="auto"/>
              <w:jc w:val="both"/>
            </w:pPr>
            <w:r>
              <w:t>(0, 0, 0)</w:t>
            </w:r>
          </w:p>
        </w:tc>
        <w:tc>
          <w:tcPr>
            <w:tcW w:w="1600" w:type="dxa"/>
            <w:shd w:val="clear" w:color="auto" w:fill="E2EFDA"/>
          </w:tcPr>
          <w:p w14:paraId="0BB6F7CF" w14:textId="77777777" w:rsidR="0057582C" w:rsidRDefault="00CE7F22">
            <w:pPr>
              <w:spacing w:line="360" w:lineRule="auto"/>
              <w:jc w:val="both"/>
            </w:pPr>
            <w:r>
              <w:rPr>
                <w:b/>
                <w:bCs/>
              </w:rPr>
              <w:t>6,563</w:t>
            </w:r>
          </w:p>
        </w:tc>
        <w:tc>
          <w:tcPr>
            <w:tcW w:w="1600" w:type="dxa"/>
            <w:shd w:val="clear" w:color="auto" w:fill="E2EFDA"/>
          </w:tcPr>
          <w:p w14:paraId="054D66F1" w14:textId="77777777" w:rsidR="0057582C" w:rsidRDefault="00CE7F22">
            <w:pPr>
              <w:spacing w:line="360" w:lineRule="auto"/>
              <w:jc w:val="both"/>
            </w:pPr>
            <w:r>
              <w:t>6,676</w:t>
            </w:r>
          </w:p>
        </w:tc>
        <w:tc>
          <w:tcPr>
            <w:tcW w:w="1600" w:type="dxa"/>
            <w:shd w:val="clear" w:color="auto" w:fill="E2EFDA"/>
          </w:tcPr>
          <w:p w14:paraId="0572DB82" w14:textId="77777777" w:rsidR="0057582C" w:rsidRDefault="00CE7F22">
            <w:pPr>
              <w:spacing w:line="360" w:lineRule="auto"/>
              <w:jc w:val="both"/>
            </w:pPr>
            <w:r>
              <w:t>154,066</w:t>
            </w:r>
          </w:p>
        </w:tc>
      </w:tr>
      <w:tr w:rsidR="0057582C" w14:paraId="19CEE299" w14:textId="77777777">
        <w:tc>
          <w:tcPr>
            <w:tcW w:w="900" w:type="dxa"/>
            <w:shd w:val="clear" w:color="auto" w:fill="E2EFDA"/>
          </w:tcPr>
          <w:p w14:paraId="35F96382" w14:textId="77777777" w:rsidR="0057582C" w:rsidRDefault="00CE7F22">
            <w:pPr>
              <w:spacing w:line="360" w:lineRule="auto"/>
              <w:jc w:val="both"/>
            </w:pPr>
            <w:r>
              <w:t>2</w:t>
            </w:r>
          </w:p>
        </w:tc>
        <w:tc>
          <w:tcPr>
            <w:tcW w:w="1500" w:type="dxa"/>
            <w:shd w:val="clear" w:color="auto" w:fill="E2EFDA"/>
          </w:tcPr>
          <w:p w14:paraId="3B6B5535" w14:textId="77777777" w:rsidR="0057582C" w:rsidRDefault="00CE7F22">
            <w:pPr>
              <w:spacing w:line="360" w:lineRule="auto"/>
              <w:jc w:val="both"/>
            </w:pPr>
            <w:r>
              <w:t>(0, 0, 0)</w:t>
            </w:r>
          </w:p>
        </w:tc>
        <w:tc>
          <w:tcPr>
            <w:tcW w:w="1600" w:type="dxa"/>
            <w:shd w:val="clear" w:color="auto" w:fill="E2EFDA"/>
          </w:tcPr>
          <w:p w14:paraId="1FB0AA12" w14:textId="77777777" w:rsidR="0057582C" w:rsidRDefault="00CE7F22">
            <w:pPr>
              <w:spacing w:line="360" w:lineRule="auto"/>
              <w:jc w:val="both"/>
            </w:pPr>
            <w:r>
              <w:rPr>
                <w:b/>
                <w:bCs/>
              </w:rPr>
              <w:t>810</w:t>
            </w:r>
          </w:p>
        </w:tc>
        <w:tc>
          <w:tcPr>
            <w:tcW w:w="1600" w:type="dxa"/>
            <w:shd w:val="clear" w:color="auto" w:fill="E2EFDA"/>
          </w:tcPr>
          <w:p w14:paraId="577949E2" w14:textId="77777777" w:rsidR="0057582C" w:rsidRDefault="00CE7F22">
            <w:pPr>
              <w:spacing w:line="360" w:lineRule="auto"/>
              <w:jc w:val="both"/>
            </w:pPr>
            <w:r>
              <w:t>873</w:t>
            </w:r>
          </w:p>
        </w:tc>
        <w:tc>
          <w:tcPr>
            <w:tcW w:w="1600" w:type="dxa"/>
            <w:shd w:val="clear" w:color="auto" w:fill="E2EFDA"/>
          </w:tcPr>
          <w:p w14:paraId="631438AB" w14:textId="77777777" w:rsidR="0057582C" w:rsidRDefault="00CE7F22">
            <w:pPr>
              <w:spacing w:line="360" w:lineRule="auto"/>
              <w:jc w:val="both"/>
            </w:pPr>
            <w:r>
              <w:t>13,118</w:t>
            </w:r>
          </w:p>
        </w:tc>
      </w:tr>
      <w:tr w:rsidR="0057582C" w14:paraId="146A0B90" w14:textId="77777777">
        <w:tc>
          <w:tcPr>
            <w:tcW w:w="900" w:type="dxa"/>
            <w:shd w:val="clear" w:color="auto" w:fill="E2EFDA"/>
          </w:tcPr>
          <w:p w14:paraId="30D7BF54" w14:textId="77777777" w:rsidR="0057582C" w:rsidRDefault="00CE7F22">
            <w:pPr>
              <w:spacing w:line="360" w:lineRule="auto"/>
              <w:jc w:val="both"/>
            </w:pPr>
            <w:r>
              <w:t>3</w:t>
            </w:r>
          </w:p>
        </w:tc>
        <w:tc>
          <w:tcPr>
            <w:tcW w:w="1500" w:type="dxa"/>
            <w:shd w:val="clear" w:color="auto" w:fill="E2EFDA"/>
          </w:tcPr>
          <w:p w14:paraId="5FD3D8BF" w14:textId="77777777" w:rsidR="0057582C" w:rsidRDefault="00CE7F22">
            <w:pPr>
              <w:spacing w:line="360" w:lineRule="auto"/>
              <w:jc w:val="both"/>
            </w:pPr>
            <w:r>
              <w:t>(0, 0, 0)</w:t>
            </w:r>
          </w:p>
        </w:tc>
        <w:tc>
          <w:tcPr>
            <w:tcW w:w="1600" w:type="dxa"/>
            <w:shd w:val="clear" w:color="auto" w:fill="E2EFDA"/>
          </w:tcPr>
          <w:p w14:paraId="5D2F126B" w14:textId="77777777" w:rsidR="0057582C" w:rsidRDefault="00CE7F22">
            <w:pPr>
              <w:spacing w:line="360" w:lineRule="auto"/>
              <w:jc w:val="both"/>
            </w:pPr>
            <w:r>
              <w:rPr>
                <w:b/>
                <w:bCs/>
              </w:rPr>
              <w:t>2,929</w:t>
            </w:r>
          </w:p>
        </w:tc>
        <w:tc>
          <w:tcPr>
            <w:tcW w:w="1600" w:type="dxa"/>
            <w:shd w:val="clear" w:color="auto" w:fill="E2EFDA"/>
          </w:tcPr>
          <w:p w14:paraId="71E27673" w14:textId="77777777" w:rsidR="0057582C" w:rsidRDefault="00CE7F22">
            <w:pPr>
              <w:spacing w:line="360" w:lineRule="auto"/>
              <w:jc w:val="both"/>
            </w:pPr>
            <w:r>
              <w:t>3,055</w:t>
            </w:r>
          </w:p>
        </w:tc>
        <w:tc>
          <w:tcPr>
            <w:tcW w:w="1600" w:type="dxa"/>
            <w:shd w:val="clear" w:color="auto" w:fill="E2EFDA"/>
          </w:tcPr>
          <w:p w14:paraId="17E702FB" w14:textId="77777777" w:rsidR="0057582C" w:rsidRDefault="00CE7F22">
            <w:pPr>
              <w:spacing w:line="360" w:lineRule="auto"/>
              <w:jc w:val="both"/>
            </w:pPr>
            <w:r>
              <w:t>11,697</w:t>
            </w:r>
          </w:p>
        </w:tc>
      </w:tr>
      <w:tr w:rsidR="0057582C" w14:paraId="4DA04479" w14:textId="77777777">
        <w:tc>
          <w:tcPr>
            <w:tcW w:w="900" w:type="dxa"/>
            <w:shd w:val="clear" w:color="auto" w:fill="E2EFDA"/>
          </w:tcPr>
          <w:p w14:paraId="434A4584" w14:textId="77777777" w:rsidR="0057582C" w:rsidRDefault="00CE7F22">
            <w:pPr>
              <w:spacing w:line="360" w:lineRule="auto"/>
              <w:jc w:val="both"/>
            </w:pPr>
            <w:r>
              <w:t>4</w:t>
            </w:r>
          </w:p>
        </w:tc>
        <w:tc>
          <w:tcPr>
            <w:tcW w:w="1500" w:type="dxa"/>
            <w:shd w:val="clear" w:color="auto" w:fill="E2EFDA"/>
          </w:tcPr>
          <w:p w14:paraId="1359A742" w14:textId="77777777" w:rsidR="0057582C" w:rsidRDefault="00CE7F22">
            <w:pPr>
              <w:spacing w:line="360" w:lineRule="auto"/>
              <w:jc w:val="both"/>
            </w:pPr>
            <w:r>
              <w:t>(0, 0, 0)</w:t>
            </w:r>
          </w:p>
        </w:tc>
        <w:tc>
          <w:tcPr>
            <w:tcW w:w="1600" w:type="dxa"/>
            <w:shd w:val="clear" w:color="auto" w:fill="E2EFDA"/>
          </w:tcPr>
          <w:p w14:paraId="71723B55" w14:textId="77777777" w:rsidR="0057582C" w:rsidRDefault="00CE7F22">
            <w:pPr>
              <w:spacing w:line="360" w:lineRule="auto"/>
              <w:jc w:val="both"/>
            </w:pPr>
            <w:r>
              <w:rPr>
                <w:b/>
                <w:bCs/>
              </w:rPr>
              <w:t>895</w:t>
            </w:r>
          </w:p>
        </w:tc>
        <w:tc>
          <w:tcPr>
            <w:tcW w:w="1600" w:type="dxa"/>
            <w:shd w:val="clear" w:color="auto" w:fill="E2EFDA"/>
          </w:tcPr>
          <w:p w14:paraId="465B1A19" w14:textId="77777777" w:rsidR="0057582C" w:rsidRDefault="00CE7F22">
            <w:pPr>
              <w:spacing w:line="360" w:lineRule="auto"/>
              <w:jc w:val="both"/>
            </w:pPr>
            <w:r>
              <w:t>896</w:t>
            </w:r>
          </w:p>
        </w:tc>
        <w:tc>
          <w:tcPr>
            <w:tcW w:w="1600" w:type="dxa"/>
            <w:shd w:val="clear" w:color="auto" w:fill="E2EFDA"/>
          </w:tcPr>
          <w:p w14:paraId="3005126A" w14:textId="77777777" w:rsidR="0057582C" w:rsidRDefault="00CE7F22">
            <w:pPr>
              <w:spacing w:line="360" w:lineRule="auto"/>
              <w:jc w:val="both"/>
            </w:pPr>
            <w:r>
              <w:t>44,935</w:t>
            </w:r>
          </w:p>
        </w:tc>
      </w:tr>
      <w:tr w:rsidR="0057582C" w14:paraId="6CD87313" w14:textId="77777777">
        <w:tc>
          <w:tcPr>
            <w:tcW w:w="900" w:type="dxa"/>
            <w:shd w:val="clear" w:color="auto" w:fill="E2EFDA"/>
          </w:tcPr>
          <w:p w14:paraId="186FB93D" w14:textId="77777777" w:rsidR="0057582C" w:rsidRDefault="00CE7F22">
            <w:pPr>
              <w:spacing w:line="360" w:lineRule="auto"/>
              <w:jc w:val="both"/>
            </w:pPr>
            <w:r>
              <w:t>5</w:t>
            </w:r>
          </w:p>
        </w:tc>
        <w:tc>
          <w:tcPr>
            <w:tcW w:w="1500" w:type="dxa"/>
            <w:shd w:val="clear" w:color="auto" w:fill="E2EFDA"/>
          </w:tcPr>
          <w:p w14:paraId="1122267D" w14:textId="77777777" w:rsidR="0057582C" w:rsidRDefault="00CE7F22">
            <w:pPr>
              <w:spacing w:line="360" w:lineRule="auto"/>
              <w:jc w:val="both"/>
            </w:pPr>
            <w:r>
              <w:t>(0, 0, 0)</w:t>
            </w:r>
          </w:p>
        </w:tc>
        <w:tc>
          <w:tcPr>
            <w:tcW w:w="1600" w:type="dxa"/>
            <w:shd w:val="clear" w:color="auto" w:fill="E2EFDA"/>
          </w:tcPr>
          <w:p w14:paraId="662B4E44" w14:textId="77777777" w:rsidR="0057582C" w:rsidRDefault="00CE7F22">
            <w:pPr>
              <w:spacing w:line="360" w:lineRule="auto"/>
              <w:jc w:val="both"/>
            </w:pPr>
            <w:r>
              <w:rPr>
                <w:b/>
                <w:bCs/>
              </w:rPr>
              <w:t>77</w:t>
            </w:r>
          </w:p>
        </w:tc>
        <w:tc>
          <w:tcPr>
            <w:tcW w:w="1600" w:type="dxa"/>
            <w:shd w:val="clear" w:color="auto" w:fill="E2EFDA"/>
          </w:tcPr>
          <w:p w14:paraId="26668423" w14:textId="77777777" w:rsidR="0057582C" w:rsidRDefault="00CE7F22">
            <w:pPr>
              <w:spacing w:line="360" w:lineRule="auto"/>
              <w:jc w:val="both"/>
            </w:pPr>
            <w:r>
              <w:t>88</w:t>
            </w:r>
          </w:p>
        </w:tc>
        <w:tc>
          <w:tcPr>
            <w:tcW w:w="1600" w:type="dxa"/>
            <w:shd w:val="clear" w:color="auto" w:fill="E2EFDA"/>
          </w:tcPr>
          <w:p w14:paraId="45E7E8BD" w14:textId="77777777" w:rsidR="0057582C" w:rsidRDefault="00CE7F22">
            <w:pPr>
              <w:spacing w:line="360" w:lineRule="auto"/>
              <w:jc w:val="both"/>
            </w:pPr>
            <w:r>
              <w:t>15,687</w:t>
            </w:r>
          </w:p>
        </w:tc>
      </w:tr>
      <w:tr w:rsidR="0057582C" w14:paraId="1634FD2F" w14:textId="77777777">
        <w:tc>
          <w:tcPr>
            <w:tcW w:w="900" w:type="dxa"/>
            <w:shd w:val="clear" w:color="auto" w:fill="E2EFDA"/>
          </w:tcPr>
          <w:p w14:paraId="46C386A1" w14:textId="77777777" w:rsidR="0057582C" w:rsidRDefault="00CE7F22">
            <w:pPr>
              <w:spacing w:line="360" w:lineRule="auto"/>
              <w:jc w:val="both"/>
            </w:pPr>
            <w:r>
              <w:t>6</w:t>
            </w:r>
          </w:p>
        </w:tc>
        <w:tc>
          <w:tcPr>
            <w:tcW w:w="1500" w:type="dxa"/>
            <w:shd w:val="clear" w:color="auto" w:fill="E2EFDA"/>
          </w:tcPr>
          <w:p w14:paraId="5610A986" w14:textId="77777777" w:rsidR="0057582C" w:rsidRDefault="00CE7F22">
            <w:pPr>
              <w:spacing w:line="360" w:lineRule="auto"/>
              <w:jc w:val="both"/>
            </w:pPr>
            <w:r>
              <w:t>(1, 0, 1)</w:t>
            </w:r>
          </w:p>
        </w:tc>
        <w:tc>
          <w:tcPr>
            <w:tcW w:w="1600" w:type="dxa"/>
            <w:shd w:val="clear" w:color="auto" w:fill="E2EFDA"/>
          </w:tcPr>
          <w:p w14:paraId="58446E1E" w14:textId="77777777" w:rsidR="0057582C" w:rsidRDefault="00CE7F22">
            <w:pPr>
              <w:spacing w:line="360" w:lineRule="auto"/>
              <w:jc w:val="both"/>
            </w:pPr>
            <w:r>
              <w:rPr>
                <w:b/>
                <w:bCs/>
              </w:rPr>
              <w:t>1,975</w:t>
            </w:r>
          </w:p>
        </w:tc>
        <w:tc>
          <w:tcPr>
            <w:tcW w:w="1600" w:type="dxa"/>
            <w:shd w:val="clear" w:color="auto" w:fill="E2EFDA"/>
          </w:tcPr>
          <w:p w14:paraId="54415914" w14:textId="77777777" w:rsidR="0057582C" w:rsidRDefault="00CE7F22">
            <w:pPr>
              <w:spacing w:line="360" w:lineRule="auto"/>
              <w:jc w:val="both"/>
            </w:pPr>
            <w:r>
              <w:t>2,054</w:t>
            </w:r>
          </w:p>
        </w:tc>
        <w:tc>
          <w:tcPr>
            <w:tcW w:w="1600" w:type="dxa"/>
            <w:shd w:val="clear" w:color="auto" w:fill="E2EFDA"/>
          </w:tcPr>
          <w:p w14:paraId="6A03287C" w14:textId="77777777" w:rsidR="0057582C" w:rsidRDefault="00CE7F22">
            <w:pPr>
              <w:spacing w:line="360" w:lineRule="auto"/>
              <w:jc w:val="both"/>
            </w:pPr>
            <w:r>
              <w:t>51,784</w:t>
            </w:r>
          </w:p>
        </w:tc>
      </w:tr>
      <w:tr w:rsidR="0057582C" w14:paraId="6A55A163" w14:textId="77777777">
        <w:tc>
          <w:tcPr>
            <w:tcW w:w="900" w:type="dxa"/>
            <w:shd w:val="clear" w:color="auto" w:fill="E2EFDA"/>
          </w:tcPr>
          <w:p w14:paraId="09E1A947" w14:textId="77777777" w:rsidR="0057582C" w:rsidRDefault="00CE7F22">
            <w:pPr>
              <w:spacing w:line="360" w:lineRule="auto"/>
              <w:jc w:val="both"/>
            </w:pPr>
            <w:r>
              <w:t>7</w:t>
            </w:r>
          </w:p>
        </w:tc>
        <w:tc>
          <w:tcPr>
            <w:tcW w:w="1500" w:type="dxa"/>
            <w:shd w:val="clear" w:color="auto" w:fill="E2EFDA"/>
          </w:tcPr>
          <w:p w14:paraId="3127BAEC" w14:textId="77777777" w:rsidR="0057582C" w:rsidRDefault="00CE7F22">
            <w:pPr>
              <w:spacing w:line="360" w:lineRule="auto"/>
              <w:jc w:val="both"/>
            </w:pPr>
            <w:r>
              <w:t>(0, 0, 0)</w:t>
            </w:r>
          </w:p>
        </w:tc>
        <w:tc>
          <w:tcPr>
            <w:tcW w:w="1600" w:type="dxa"/>
            <w:shd w:val="clear" w:color="auto" w:fill="E2EFDA"/>
          </w:tcPr>
          <w:p w14:paraId="5C3AB711" w14:textId="77777777" w:rsidR="0057582C" w:rsidRDefault="00CE7F22">
            <w:pPr>
              <w:spacing w:line="360" w:lineRule="auto"/>
              <w:jc w:val="both"/>
            </w:pPr>
            <w:r>
              <w:rPr>
                <w:b/>
                <w:bCs/>
              </w:rPr>
              <w:t>440</w:t>
            </w:r>
          </w:p>
        </w:tc>
        <w:tc>
          <w:tcPr>
            <w:tcW w:w="1600" w:type="dxa"/>
            <w:shd w:val="clear" w:color="auto" w:fill="E2EFDA"/>
          </w:tcPr>
          <w:p w14:paraId="538DDE04" w14:textId="77777777" w:rsidR="0057582C" w:rsidRDefault="00CE7F22">
            <w:pPr>
              <w:spacing w:line="360" w:lineRule="auto"/>
              <w:jc w:val="both"/>
            </w:pPr>
            <w:r>
              <w:t>464</w:t>
            </w:r>
          </w:p>
        </w:tc>
        <w:tc>
          <w:tcPr>
            <w:tcW w:w="1600" w:type="dxa"/>
            <w:shd w:val="clear" w:color="auto" w:fill="E2EFDA"/>
          </w:tcPr>
          <w:p w14:paraId="048B2D4D" w14:textId="77777777" w:rsidR="0057582C" w:rsidRDefault="00CE7F22">
            <w:pPr>
              <w:spacing w:line="360" w:lineRule="auto"/>
              <w:jc w:val="both"/>
            </w:pPr>
            <w:r>
              <w:t>51,666</w:t>
            </w:r>
          </w:p>
        </w:tc>
      </w:tr>
      <w:tr w:rsidR="0057582C" w14:paraId="1B4D104F" w14:textId="77777777">
        <w:tc>
          <w:tcPr>
            <w:tcW w:w="900" w:type="dxa"/>
            <w:shd w:val="clear" w:color="auto" w:fill="E2EFDA"/>
          </w:tcPr>
          <w:p w14:paraId="721D3891" w14:textId="77777777" w:rsidR="0057582C" w:rsidRDefault="00CE7F22">
            <w:pPr>
              <w:spacing w:line="360" w:lineRule="auto"/>
              <w:jc w:val="both"/>
            </w:pPr>
            <w:r>
              <w:t>8</w:t>
            </w:r>
          </w:p>
        </w:tc>
        <w:tc>
          <w:tcPr>
            <w:tcW w:w="1500" w:type="dxa"/>
            <w:shd w:val="clear" w:color="auto" w:fill="E2EFDA"/>
          </w:tcPr>
          <w:p w14:paraId="660FF834" w14:textId="77777777" w:rsidR="0057582C" w:rsidRDefault="00CE7F22">
            <w:pPr>
              <w:spacing w:line="360" w:lineRule="auto"/>
              <w:jc w:val="both"/>
            </w:pPr>
            <w:r>
              <w:t>(0, 0, 0)</w:t>
            </w:r>
          </w:p>
        </w:tc>
        <w:tc>
          <w:tcPr>
            <w:tcW w:w="1600" w:type="dxa"/>
            <w:shd w:val="clear" w:color="auto" w:fill="E2EFDA"/>
          </w:tcPr>
          <w:p w14:paraId="0DB1C187" w14:textId="77777777" w:rsidR="0057582C" w:rsidRDefault="00CE7F22">
            <w:pPr>
              <w:spacing w:line="360" w:lineRule="auto"/>
              <w:jc w:val="both"/>
            </w:pPr>
            <w:r>
              <w:rPr>
                <w:b/>
                <w:bCs/>
              </w:rPr>
              <w:t>1,854</w:t>
            </w:r>
          </w:p>
        </w:tc>
        <w:tc>
          <w:tcPr>
            <w:tcW w:w="1600" w:type="dxa"/>
            <w:shd w:val="clear" w:color="auto" w:fill="E2EFDA"/>
          </w:tcPr>
          <w:p w14:paraId="775A1B53" w14:textId="77777777" w:rsidR="0057582C" w:rsidRDefault="00CE7F22">
            <w:pPr>
              <w:spacing w:line="360" w:lineRule="auto"/>
              <w:jc w:val="both"/>
            </w:pPr>
            <w:r>
              <w:t>2,087</w:t>
            </w:r>
          </w:p>
        </w:tc>
        <w:tc>
          <w:tcPr>
            <w:tcW w:w="1600" w:type="dxa"/>
            <w:shd w:val="clear" w:color="auto" w:fill="E2EFDA"/>
          </w:tcPr>
          <w:p w14:paraId="56D743B3" w14:textId="77777777" w:rsidR="0057582C" w:rsidRDefault="00CE7F22">
            <w:pPr>
              <w:spacing w:line="360" w:lineRule="auto"/>
              <w:jc w:val="both"/>
            </w:pPr>
            <w:r>
              <w:t>137,330</w:t>
            </w:r>
          </w:p>
        </w:tc>
      </w:tr>
      <w:tr w:rsidR="0057582C" w14:paraId="2693B2D8" w14:textId="77777777">
        <w:tc>
          <w:tcPr>
            <w:tcW w:w="900" w:type="dxa"/>
            <w:shd w:val="clear" w:color="auto" w:fill="E2EFDA"/>
          </w:tcPr>
          <w:p w14:paraId="767757D9" w14:textId="77777777" w:rsidR="0057582C" w:rsidRDefault="00CE7F22">
            <w:pPr>
              <w:spacing w:line="360" w:lineRule="auto"/>
              <w:jc w:val="both"/>
            </w:pPr>
            <w:r>
              <w:t>9</w:t>
            </w:r>
          </w:p>
        </w:tc>
        <w:tc>
          <w:tcPr>
            <w:tcW w:w="1500" w:type="dxa"/>
            <w:shd w:val="clear" w:color="auto" w:fill="E2EFDA"/>
          </w:tcPr>
          <w:p w14:paraId="5B722607" w14:textId="77777777" w:rsidR="0057582C" w:rsidRDefault="00CE7F22">
            <w:pPr>
              <w:spacing w:line="360" w:lineRule="auto"/>
              <w:jc w:val="both"/>
            </w:pPr>
            <w:r>
              <w:t>(1, 0, 1)</w:t>
            </w:r>
          </w:p>
        </w:tc>
        <w:tc>
          <w:tcPr>
            <w:tcW w:w="1600" w:type="dxa"/>
            <w:shd w:val="clear" w:color="auto" w:fill="E2EFDA"/>
          </w:tcPr>
          <w:p w14:paraId="4529C0AC" w14:textId="77777777" w:rsidR="0057582C" w:rsidRDefault="00CE7F22">
            <w:pPr>
              <w:spacing w:line="360" w:lineRule="auto"/>
              <w:jc w:val="both"/>
            </w:pPr>
            <w:r>
              <w:rPr>
                <w:b/>
                <w:bCs/>
              </w:rPr>
              <w:t>486</w:t>
            </w:r>
          </w:p>
        </w:tc>
        <w:tc>
          <w:tcPr>
            <w:tcW w:w="1600" w:type="dxa"/>
            <w:shd w:val="clear" w:color="auto" w:fill="E2EFDA"/>
          </w:tcPr>
          <w:p w14:paraId="6DD15010" w14:textId="77777777" w:rsidR="0057582C" w:rsidRDefault="00CE7F22">
            <w:pPr>
              <w:spacing w:line="360" w:lineRule="auto"/>
              <w:jc w:val="both"/>
            </w:pPr>
            <w:r>
              <w:t>602</w:t>
            </w:r>
          </w:p>
        </w:tc>
        <w:tc>
          <w:tcPr>
            <w:tcW w:w="1600" w:type="dxa"/>
            <w:shd w:val="clear" w:color="auto" w:fill="E2EFDA"/>
          </w:tcPr>
          <w:p w14:paraId="11F95DE4" w14:textId="77777777" w:rsidR="0057582C" w:rsidRDefault="00CE7F22">
            <w:pPr>
              <w:spacing w:line="360" w:lineRule="auto"/>
              <w:jc w:val="both"/>
            </w:pPr>
            <w:r>
              <w:t>73,422</w:t>
            </w:r>
          </w:p>
        </w:tc>
      </w:tr>
      <w:tr w:rsidR="0057582C" w14:paraId="06323686" w14:textId="77777777">
        <w:tc>
          <w:tcPr>
            <w:tcW w:w="900" w:type="dxa"/>
            <w:shd w:val="clear" w:color="auto" w:fill="E2EFDA"/>
          </w:tcPr>
          <w:p w14:paraId="0B40D918" w14:textId="77777777" w:rsidR="0057582C" w:rsidRDefault="00CE7F22">
            <w:pPr>
              <w:spacing w:line="360" w:lineRule="auto"/>
              <w:jc w:val="both"/>
            </w:pPr>
            <w:r>
              <w:t>10</w:t>
            </w:r>
          </w:p>
        </w:tc>
        <w:tc>
          <w:tcPr>
            <w:tcW w:w="1500" w:type="dxa"/>
            <w:shd w:val="clear" w:color="auto" w:fill="E2EFDA"/>
          </w:tcPr>
          <w:p w14:paraId="51D53247" w14:textId="77777777" w:rsidR="0057582C" w:rsidRDefault="00CE7F22">
            <w:pPr>
              <w:spacing w:line="360" w:lineRule="auto"/>
              <w:jc w:val="both"/>
            </w:pPr>
            <w:r>
              <w:t>(2, 0, 0)</w:t>
            </w:r>
          </w:p>
        </w:tc>
        <w:tc>
          <w:tcPr>
            <w:tcW w:w="1600" w:type="dxa"/>
            <w:shd w:val="clear" w:color="auto" w:fill="E2EFDA"/>
          </w:tcPr>
          <w:p w14:paraId="7AF6AF59" w14:textId="77777777" w:rsidR="0057582C" w:rsidRDefault="00CE7F22">
            <w:pPr>
              <w:spacing w:line="360" w:lineRule="auto"/>
              <w:jc w:val="both"/>
            </w:pPr>
            <w:r>
              <w:rPr>
                <w:b/>
                <w:bCs/>
              </w:rPr>
              <w:t>421</w:t>
            </w:r>
          </w:p>
        </w:tc>
        <w:tc>
          <w:tcPr>
            <w:tcW w:w="1600" w:type="dxa"/>
            <w:shd w:val="clear" w:color="auto" w:fill="E2EFDA"/>
          </w:tcPr>
          <w:p w14:paraId="64B1D633" w14:textId="77777777" w:rsidR="0057582C" w:rsidRDefault="00CE7F22">
            <w:pPr>
              <w:spacing w:line="360" w:lineRule="auto"/>
              <w:jc w:val="both"/>
            </w:pPr>
            <w:r>
              <w:t>489</w:t>
            </w:r>
          </w:p>
        </w:tc>
        <w:tc>
          <w:tcPr>
            <w:tcW w:w="1600" w:type="dxa"/>
            <w:shd w:val="clear" w:color="auto" w:fill="E2EFDA"/>
          </w:tcPr>
          <w:p w14:paraId="15735FE3" w14:textId="77777777" w:rsidR="0057582C" w:rsidRDefault="00CE7F22">
            <w:pPr>
              <w:spacing w:line="360" w:lineRule="auto"/>
              <w:jc w:val="both"/>
            </w:pPr>
            <w:r>
              <w:t>183,746</w:t>
            </w:r>
          </w:p>
        </w:tc>
      </w:tr>
      <w:tr w:rsidR="0057582C" w14:paraId="640B50AA" w14:textId="77777777">
        <w:tc>
          <w:tcPr>
            <w:tcW w:w="900" w:type="dxa"/>
            <w:shd w:val="clear" w:color="auto" w:fill="E2EFDA"/>
          </w:tcPr>
          <w:p w14:paraId="4F6268DA" w14:textId="77777777" w:rsidR="0057582C" w:rsidRDefault="00CE7F22">
            <w:pPr>
              <w:spacing w:line="360" w:lineRule="auto"/>
              <w:jc w:val="both"/>
            </w:pPr>
            <w:r>
              <w:t>11</w:t>
            </w:r>
          </w:p>
        </w:tc>
        <w:tc>
          <w:tcPr>
            <w:tcW w:w="1500" w:type="dxa"/>
            <w:shd w:val="clear" w:color="auto" w:fill="E2EFDA"/>
          </w:tcPr>
          <w:p w14:paraId="0D5D598D" w14:textId="77777777" w:rsidR="0057582C" w:rsidRDefault="00CE7F22">
            <w:pPr>
              <w:spacing w:line="360" w:lineRule="auto"/>
              <w:jc w:val="both"/>
            </w:pPr>
            <w:r>
              <w:t>(1, 0, 0)</w:t>
            </w:r>
          </w:p>
        </w:tc>
        <w:tc>
          <w:tcPr>
            <w:tcW w:w="1600" w:type="dxa"/>
            <w:shd w:val="clear" w:color="auto" w:fill="E2EFDA"/>
          </w:tcPr>
          <w:p w14:paraId="51412E58" w14:textId="77777777" w:rsidR="0057582C" w:rsidRDefault="00CE7F22">
            <w:pPr>
              <w:spacing w:line="360" w:lineRule="auto"/>
              <w:jc w:val="both"/>
            </w:pPr>
            <w:r>
              <w:rPr>
                <w:b/>
                <w:bCs/>
              </w:rPr>
              <w:t>1,395</w:t>
            </w:r>
          </w:p>
        </w:tc>
        <w:tc>
          <w:tcPr>
            <w:tcW w:w="1600" w:type="dxa"/>
            <w:shd w:val="clear" w:color="auto" w:fill="E2EFDA"/>
          </w:tcPr>
          <w:p w14:paraId="4C9BC1AE" w14:textId="77777777" w:rsidR="0057582C" w:rsidRDefault="00CE7F22">
            <w:pPr>
              <w:spacing w:line="360" w:lineRule="auto"/>
              <w:jc w:val="both"/>
            </w:pPr>
            <w:r>
              <w:t>1,513</w:t>
            </w:r>
          </w:p>
        </w:tc>
        <w:tc>
          <w:tcPr>
            <w:tcW w:w="1600" w:type="dxa"/>
            <w:shd w:val="clear" w:color="auto" w:fill="E2EFDA"/>
          </w:tcPr>
          <w:p w14:paraId="0E6216A4" w14:textId="77777777" w:rsidR="0057582C" w:rsidRDefault="00CE7F22">
            <w:pPr>
              <w:spacing w:line="360" w:lineRule="auto"/>
              <w:jc w:val="both"/>
            </w:pPr>
            <w:r>
              <w:t>19,269</w:t>
            </w:r>
          </w:p>
        </w:tc>
      </w:tr>
      <w:tr w:rsidR="0057582C" w14:paraId="26DE7E8E" w14:textId="77777777">
        <w:tc>
          <w:tcPr>
            <w:tcW w:w="900" w:type="dxa"/>
            <w:shd w:val="clear" w:color="auto" w:fill="E2EFDA"/>
          </w:tcPr>
          <w:p w14:paraId="212287B7" w14:textId="77777777" w:rsidR="0057582C" w:rsidRDefault="00CE7F22">
            <w:pPr>
              <w:spacing w:line="360" w:lineRule="auto"/>
              <w:jc w:val="both"/>
            </w:pPr>
            <w:r>
              <w:t>12</w:t>
            </w:r>
          </w:p>
        </w:tc>
        <w:tc>
          <w:tcPr>
            <w:tcW w:w="1500" w:type="dxa"/>
            <w:shd w:val="clear" w:color="auto" w:fill="E2EFDA"/>
          </w:tcPr>
          <w:p w14:paraId="44BD37EB" w14:textId="77777777" w:rsidR="0057582C" w:rsidRDefault="00CE7F22">
            <w:pPr>
              <w:spacing w:line="360" w:lineRule="auto"/>
              <w:jc w:val="both"/>
            </w:pPr>
            <w:r>
              <w:t>(1, 0, 1)</w:t>
            </w:r>
          </w:p>
        </w:tc>
        <w:tc>
          <w:tcPr>
            <w:tcW w:w="1600" w:type="dxa"/>
            <w:shd w:val="clear" w:color="auto" w:fill="E2EFDA"/>
          </w:tcPr>
          <w:p w14:paraId="2A17144E" w14:textId="77777777" w:rsidR="0057582C" w:rsidRDefault="00CE7F22">
            <w:pPr>
              <w:spacing w:line="360" w:lineRule="auto"/>
              <w:jc w:val="both"/>
            </w:pPr>
            <w:r>
              <w:rPr>
                <w:b/>
                <w:bCs/>
              </w:rPr>
              <w:t>631</w:t>
            </w:r>
          </w:p>
        </w:tc>
        <w:tc>
          <w:tcPr>
            <w:tcW w:w="1600" w:type="dxa"/>
            <w:shd w:val="clear" w:color="auto" w:fill="E2EFDA"/>
          </w:tcPr>
          <w:p w14:paraId="5272B752" w14:textId="77777777" w:rsidR="0057582C" w:rsidRDefault="00CE7F22">
            <w:pPr>
              <w:spacing w:line="360" w:lineRule="auto"/>
              <w:jc w:val="both"/>
            </w:pPr>
            <w:r>
              <w:t>658</w:t>
            </w:r>
          </w:p>
        </w:tc>
        <w:tc>
          <w:tcPr>
            <w:tcW w:w="1600" w:type="dxa"/>
            <w:shd w:val="clear" w:color="auto" w:fill="E2EFDA"/>
          </w:tcPr>
          <w:p w14:paraId="15EFAD77" w14:textId="77777777" w:rsidR="0057582C" w:rsidRDefault="00CE7F22">
            <w:pPr>
              <w:spacing w:line="360" w:lineRule="auto"/>
              <w:jc w:val="both"/>
            </w:pPr>
            <w:r>
              <w:t>14,730</w:t>
            </w:r>
          </w:p>
        </w:tc>
      </w:tr>
      <w:tr w:rsidR="0057582C" w14:paraId="402B9E63" w14:textId="77777777">
        <w:tc>
          <w:tcPr>
            <w:tcW w:w="900" w:type="dxa"/>
            <w:shd w:val="clear" w:color="auto" w:fill="E2EFDA"/>
          </w:tcPr>
          <w:p w14:paraId="40A9DCA3" w14:textId="77777777" w:rsidR="0057582C" w:rsidRDefault="00CE7F22">
            <w:pPr>
              <w:spacing w:line="360" w:lineRule="auto"/>
              <w:jc w:val="both"/>
            </w:pPr>
            <w:r>
              <w:t>13</w:t>
            </w:r>
          </w:p>
        </w:tc>
        <w:tc>
          <w:tcPr>
            <w:tcW w:w="1500" w:type="dxa"/>
            <w:shd w:val="clear" w:color="auto" w:fill="E2EFDA"/>
          </w:tcPr>
          <w:p w14:paraId="4F8224E4" w14:textId="77777777" w:rsidR="0057582C" w:rsidRDefault="00CE7F22">
            <w:pPr>
              <w:spacing w:line="360" w:lineRule="auto"/>
              <w:jc w:val="both"/>
            </w:pPr>
            <w:r>
              <w:t>(1, 0, 1)</w:t>
            </w:r>
          </w:p>
        </w:tc>
        <w:tc>
          <w:tcPr>
            <w:tcW w:w="1600" w:type="dxa"/>
            <w:shd w:val="clear" w:color="auto" w:fill="E2EFDA"/>
          </w:tcPr>
          <w:p w14:paraId="4ECE2A33" w14:textId="77777777" w:rsidR="0057582C" w:rsidRDefault="00CE7F22">
            <w:pPr>
              <w:spacing w:line="360" w:lineRule="auto"/>
              <w:jc w:val="both"/>
            </w:pPr>
            <w:r>
              <w:rPr>
                <w:b/>
                <w:bCs/>
              </w:rPr>
              <w:t>175</w:t>
            </w:r>
          </w:p>
        </w:tc>
        <w:tc>
          <w:tcPr>
            <w:tcW w:w="1600" w:type="dxa"/>
            <w:shd w:val="clear" w:color="auto" w:fill="E2EFDA"/>
          </w:tcPr>
          <w:p w14:paraId="5635CB88" w14:textId="77777777" w:rsidR="0057582C" w:rsidRDefault="00CE7F22">
            <w:pPr>
              <w:spacing w:line="360" w:lineRule="auto"/>
              <w:jc w:val="both"/>
            </w:pPr>
            <w:r>
              <w:t>232</w:t>
            </w:r>
          </w:p>
        </w:tc>
        <w:tc>
          <w:tcPr>
            <w:tcW w:w="1600" w:type="dxa"/>
            <w:shd w:val="clear" w:color="auto" w:fill="E2EFDA"/>
          </w:tcPr>
          <w:p w14:paraId="68CDF48C" w14:textId="77777777" w:rsidR="0057582C" w:rsidRDefault="00CE7F22">
            <w:pPr>
              <w:spacing w:line="360" w:lineRule="auto"/>
              <w:jc w:val="both"/>
            </w:pPr>
            <w:r>
              <w:t>14,549</w:t>
            </w:r>
          </w:p>
        </w:tc>
      </w:tr>
      <w:tr w:rsidR="0057582C" w14:paraId="70E7CF6A" w14:textId="77777777">
        <w:tc>
          <w:tcPr>
            <w:tcW w:w="900" w:type="dxa"/>
            <w:shd w:val="clear" w:color="auto" w:fill="E2EFDA"/>
          </w:tcPr>
          <w:p w14:paraId="64681BA5" w14:textId="77777777" w:rsidR="0057582C" w:rsidRDefault="00CE7F22">
            <w:pPr>
              <w:spacing w:line="360" w:lineRule="auto"/>
              <w:jc w:val="both"/>
            </w:pPr>
            <w:r>
              <w:t>14</w:t>
            </w:r>
          </w:p>
        </w:tc>
        <w:tc>
          <w:tcPr>
            <w:tcW w:w="1500" w:type="dxa"/>
            <w:shd w:val="clear" w:color="auto" w:fill="E2EFDA"/>
          </w:tcPr>
          <w:p w14:paraId="08F9876D" w14:textId="77777777" w:rsidR="0057582C" w:rsidRDefault="00CE7F22">
            <w:pPr>
              <w:spacing w:line="360" w:lineRule="auto"/>
              <w:jc w:val="both"/>
            </w:pPr>
            <w:r>
              <w:t>(0, 0, 0)</w:t>
            </w:r>
          </w:p>
        </w:tc>
        <w:tc>
          <w:tcPr>
            <w:tcW w:w="1600" w:type="dxa"/>
            <w:shd w:val="clear" w:color="auto" w:fill="E2EFDA"/>
          </w:tcPr>
          <w:p w14:paraId="67CD0516" w14:textId="77777777" w:rsidR="0057582C" w:rsidRDefault="00CE7F22">
            <w:pPr>
              <w:spacing w:line="360" w:lineRule="auto"/>
              <w:jc w:val="both"/>
            </w:pPr>
            <w:r>
              <w:rPr>
                <w:b/>
                <w:bCs/>
              </w:rPr>
              <w:t>298</w:t>
            </w:r>
          </w:p>
        </w:tc>
        <w:tc>
          <w:tcPr>
            <w:tcW w:w="1600" w:type="dxa"/>
            <w:shd w:val="clear" w:color="auto" w:fill="E2EFDA"/>
          </w:tcPr>
          <w:p w14:paraId="3F490871" w14:textId="77777777" w:rsidR="0057582C" w:rsidRDefault="00CE7F22">
            <w:pPr>
              <w:spacing w:line="360" w:lineRule="auto"/>
              <w:jc w:val="both"/>
            </w:pPr>
            <w:r>
              <w:t>389</w:t>
            </w:r>
          </w:p>
        </w:tc>
        <w:tc>
          <w:tcPr>
            <w:tcW w:w="1600" w:type="dxa"/>
            <w:shd w:val="clear" w:color="auto" w:fill="E2EFDA"/>
          </w:tcPr>
          <w:p w14:paraId="6FD59CA8" w14:textId="77777777" w:rsidR="0057582C" w:rsidRDefault="00CE7F22">
            <w:pPr>
              <w:spacing w:line="360" w:lineRule="auto"/>
              <w:jc w:val="both"/>
            </w:pPr>
            <w:r>
              <w:t>34,406</w:t>
            </w:r>
          </w:p>
        </w:tc>
      </w:tr>
      <w:tr w:rsidR="0057582C" w14:paraId="26B35606" w14:textId="77777777">
        <w:tc>
          <w:tcPr>
            <w:tcW w:w="900" w:type="dxa"/>
            <w:shd w:val="clear" w:color="auto" w:fill="E2EFDA"/>
          </w:tcPr>
          <w:p w14:paraId="080D156A" w14:textId="77777777" w:rsidR="0057582C" w:rsidRDefault="00CE7F22">
            <w:pPr>
              <w:spacing w:line="360" w:lineRule="auto"/>
              <w:jc w:val="both"/>
            </w:pPr>
            <w:r>
              <w:t>15</w:t>
            </w:r>
          </w:p>
        </w:tc>
        <w:tc>
          <w:tcPr>
            <w:tcW w:w="1500" w:type="dxa"/>
            <w:shd w:val="clear" w:color="auto" w:fill="E2EFDA"/>
          </w:tcPr>
          <w:p w14:paraId="78FB3961" w14:textId="77777777" w:rsidR="0057582C" w:rsidRDefault="00CE7F22">
            <w:pPr>
              <w:spacing w:line="360" w:lineRule="auto"/>
              <w:jc w:val="both"/>
            </w:pPr>
            <w:r>
              <w:t>(1, 0, 1)</w:t>
            </w:r>
          </w:p>
        </w:tc>
        <w:tc>
          <w:tcPr>
            <w:tcW w:w="1600" w:type="dxa"/>
            <w:shd w:val="clear" w:color="auto" w:fill="E2EFDA"/>
          </w:tcPr>
          <w:p w14:paraId="58D52F14" w14:textId="77777777" w:rsidR="0057582C" w:rsidRDefault="00CE7F22">
            <w:pPr>
              <w:spacing w:line="360" w:lineRule="auto"/>
              <w:jc w:val="both"/>
            </w:pPr>
            <w:r>
              <w:rPr>
                <w:b/>
                <w:bCs/>
              </w:rPr>
              <w:t>18,388</w:t>
            </w:r>
          </w:p>
        </w:tc>
        <w:tc>
          <w:tcPr>
            <w:tcW w:w="1600" w:type="dxa"/>
            <w:shd w:val="clear" w:color="auto" w:fill="E2EFDA"/>
          </w:tcPr>
          <w:p w14:paraId="057C0163" w14:textId="77777777" w:rsidR="0057582C" w:rsidRDefault="00CE7F22">
            <w:pPr>
              <w:spacing w:line="360" w:lineRule="auto"/>
              <w:jc w:val="both"/>
            </w:pPr>
            <w:r>
              <w:t>19,984</w:t>
            </w:r>
          </w:p>
        </w:tc>
        <w:tc>
          <w:tcPr>
            <w:tcW w:w="1600" w:type="dxa"/>
            <w:shd w:val="clear" w:color="auto" w:fill="E2EFDA"/>
          </w:tcPr>
          <w:p w14:paraId="014DF4C2" w14:textId="77777777" w:rsidR="0057582C" w:rsidRDefault="00CE7F22">
            <w:pPr>
              <w:spacing w:line="360" w:lineRule="auto"/>
              <w:jc w:val="both"/>
            </w:pPr>
            <w:r>
              <w:t>124,108</w:t>
            </w:r>
          </w:p>
        </w:tc>
      </w:tr>
      <w:tr w:rsidR="0057582C" w14:paraId="0CBA433C" w14:textId="77777777">
        <w:tc>
          <w:tcPr>
            <w:tcW w:w="900" w:type="dxa"/>
            <w:shd w:val="clear" w:color="auto" w:fill="E2EFDA"/>
          </w:tcPr>
          <w:p w14:paraId="48F7E9B7" w14:textId="77777777" w:rsidR="0057582C" w:rsidRDefault="00CE7F22">
            <w:pPr>
              <w:spacing w:line="360" w:lineRule="auto"/>
              <w:jc w:val="both"/>
            </w:pPr>
            <w:r>
              <w:t>16</w:t>
            </w:r>
          </w:p>
        </w:tc>
        <w:tc>
          <w:tcPr>
            <w:tcW w:w="1500" w:type="dxa"/>
            <w:shd w:val="clear" w:color="auto" w:fill="E2EFDA"/>
          </w:tcPr>
          <w:p w14:paraId="69CDE609" w14:textId="77777777" w:rsidR="0057582C" w:rsidRDefault="00CE7F22">
            <w:pPr>
              <w:spacing w:line="360" w:lineRule="auto"/>
              <w:jc w:val="both"/>
            </w:pPr>
            <w:r>
              <w:t>(2, 0, 0)</w:t>
            </w:r>
          </w:p>
        </w:tc>
        <w:tc>
          <w:tcPr>
            <w:tcW w:w="1600" w:type="dxa"/>
            <w:shd w:val="clear" w:color="auto" w:fill="E2EFDA"/>
          </w:tcPr>
          <w:p w14:paraId="1AFED39E" w14:textId="77777777" w:rsidR="0057582C" w:rsidRDefault="00CE7F22">
            <w:pPr>
              <w:spacing w:line="360" w:lineRule="auto"/>
              <w:jc w:val="both"/>
            </w:pPr>
            <w:r>
              <w:rPr>
                <w:b/>
                <w:bCs/>
              </w:rPr>
              <w:t>1,920</w:t>
            </w:r>
          </w:p>
        </w:tc>
        <w:tc>
          <w:tcPr>
            <w:tcW w:w="1600" w:type="dxa"/>
            <w:shd w:val="clear" w:color="auto" w:fill="E2EFDA"/>
          </w:tcPr>
          <w:p w14:paraId="3D0920E7" w14:textId="77777777" w:rsidR="0057582C" w:rsidRDefault="00CE7F22">
            <w:pPr>
              <w:spacing w:line="360" w:lineRule="auto"/>
              <w:jc w:val="both"/>
            </w:pPr>
            <w:r>
              <w:t>1,962</w:t>
            </w:r>
          </w:p>
        </w:tc>
        <w:tc>
          <w:tcPr>
            <w:tcW w:w="1600" w:type="dxa"/>
            <w:shd w:val="clear" w:color="auto" w:fill="E2EFDA"/>
          </w:tcPr>
          <w:p w14:paraId="224002DB" w14:textId="77777777" w:rsidR="0057582C" w:rsidRDefault="00CE7F22">
            <w:pPr>
              <w:spacing w:line="360" w:lineRule="auto"/>
              <w:jc w:val="both"/>
            </w:pPr>
            <w:r>
              <w:t>14,812</w:t>
            </w:r>
          </w:p>
        </w:tc>
      </w:tr>
      <w:tr w:rsidR="0057582C" w14:paraId="157188C7" w14:textId="77777777">
        <w:tc>
          <w:tcPr>
            <w:tcW w:w="900" w:type="dxa"/>
            <w:shd w:val="clear" w:color="auto" w:fill="E2EFDA"/>
          </w:tcPr>
          <w:p w14:paraId="60B206B3" w14:textId="77777777" w:rsidR="0057582C" w:rsidRDefault="00CE7F22">
            <w:pPr>
              <w:spacing w:line="360" w:lineRule="auto"/>
              <w:jc w:val="both"/>
            </w:pPr>
            <w:r>
              <w:t>17</w:t>
            </w:r>
          </w:p>
        </w:tc>
        <w:tc>
          <w:tcPr>
            <w:tcW w:w="1500" w:type="dxa"/>
            <w:shd w:val="clear" w:color="auto" w:fill="E2EFDA"/>
          </w:tcPr>
          <w:p w14:paraId="28B7D9D2" w14:textId="77777777" w:rsidR="0057582C" w:rsidRDefault="00CE7F22">
            <w:pPr>
              <w:spacing w:line="360" w:lineRule="auto"/>
              <w:jc w:val="both"/>
            </w:pPr>
            <w:r>
              <w:t>(0, 0, 0)</w:t>
            </w:r>
          </w:p>
        </w:tc>
        <w:tc>
          <w:tcPr>
            <w:tcW w:w="1600" w:type="dxa"/>
            <w:shd w:val="clear" w:color="auto" w:fill="E2EFDA"/>
          </w:tcPr>
          <w:p w14:paraId="302C0A22" w14:textId="77777777" w:rsidR="0057582C" w:rsidRDefault="00CE7F22">
            <w:pPr>
              <w:spacing w:line="360" w:lineRule="auto"/>
              <w:jc w:val="both"/>
            </w:pPr>
            <w:r>
              <w:rPr>
                <w:b/>
                <w:bCs/>
              </w:rPr>
              <w:t>648</w:t>
            </w:r>
          </w:p>
        </w:tc>
        <w:tc>
          <w:tcPr>
            <w:tcW w:w="1600" w:type="dxa"/>
            <w:shd w:val="clear" w:color="auto" w:fill="E2EFDA"/>
          </w:tcPr>
          <w:p w14:paraId="248D80B6" w14:textId="77777777" w:rsidR="0057582C" w:rsidRDefault="00CE7F22">
            <w:pPr>
              <w:spacing w:line="360" w:lineRule="auto"/>
              <w:jc w:val="both"/>
            </w:pPr>
            <w:r>
              <w:t>710</w:t>
            </w:r>
          </w:p>
        </w:tc>
        <w:tc>
          <w:tcPr>
            <w:tcW w:w="1600" w:type="dxa"/>
            <w:shd w:val="clear" w:color="auto" w:fill="E2EFDA"/>
          </w:tcPr>
          <w:p w14:paraId="638F8F18" w14:textId="77777777" w:rsidR="0057582C" w:rsidRDefault="00CE7F22">
            <w:pPr>
              <w:spacing w:line="360" w:lineRule="auto"/>
              <w:jc w:val="both"/>
            </w:pPr>
            <w:r>
              <w:t>22,680</w:t>
            </w:r>
          </w:p>
        </w:tc>
      </w:tr>
      <w:tr w:rsidR="0057582C" w14:paraId="15CDEBCF" w14:textId="77777777">
        <w:tc>
          <w:tcPr>
            <w:tcW w:w="900" w:type="dxa"/>
            <w:shd w:val="clear" w:color="auto" w:fill="E2EFDA"/>
          </w:tcPr>
          <w:p w14:paraId="3F98F3D7" w14:textId="77777777" w:rsidR="0057582C" w:rsidRDefault="00CE7F22">
            <w:pPr>
              <w:spacing w:line="360" w:lineRule="auto"/>
              <w:jc w:val="both"/>
            </w:pPr>
            <w:r>
              <w:lastRenderedPageBreak/>
              <w:t>18</w:t>
            </w:r>
          </w:p>
        </w:tc>
        <w:tc>
          <w:tcPr>
            <w:tcW w:w="1500" w:type="dxa"/>
            <w:shd w:val="clear" w:color="auto" w:fill="E2EFDA"/>
          </w:tcPr>
          <w:p w14:paraId="69CF45C3" w14:textId="77777777" w:rsidR="0057582C" w:rsidRDefault="00CE7F22">
            <w:pPr>
              <w:spacing w:line="360" w:lineRule="auto"/>
              <w:jc w:val="both"/>
            </w:pPr>
            <w:r>
              <w:t>(2, 0, 1)</w:t>
            </w:r>
          </w:p>
        </w:tc>
        <w:tc>
          <w:tcPr>
            <w:tcW w:w="1600" w:type="dxa"/>
            <w:shd w:val="clear" w:color="auto" w:fill="E2EFDA"/>
          </w:tcPr>
          <w:p w14:paraId="4FB42EB1" w14:textId="77777777" w:rsidR="0057582C" w:rsidRDefault="00CE7F22">
            <w:pPr>
              <w:spacing w:line="360" w:lineRule="auto"/>
              <w:jc w:val="both"/>
            </w:pPr>
            <w:r>
              <w:rPr>
                <w:b/>
                <w:bCs/>
              </w:rPr>
              <w:t>392</w:t>
            </w:r>
          </w:p>
        </w:tc>
        <w:tc>
          <w:tcPr>
            <w:tcW w:w="1600" w:type="dxa"/>
            <w:shd w:val="clear" w:color="auto" w:fill="E2EFDA"/>
          </w:tcPr>
          <w:p w14:paraId="4E7028DF" w14:textId="77777777" w:rsidR="0057582C" w:rsidRDefault="00CE7F22">
            <w:pPr>
              <w:spacing w:line="360" w:lineRule="auto"/>
              <w:jc w:val="both"/>
            </w:pPr>
            <w:r>
              <w:t>467</w:t>
            </w:r>
          </w:p>
        </w:tc>
        <w:tc>
          <w:tcPr>
            <w:tcW w:w="1600" w:type="dxa"/>
            <w:shd w:val="clear" w:color="auto" w:fill="E2EFDA"/>
          </w:tcPr>
          <w:p w14:paraId="3FDCD46B" w14:textId="77777777" w:rsidR="0057582C" w:rsidRDefault="00CE7F22">
            <w:pPr>
              <w:spacing w:line="360" w:lineRule="auto"/>
              <w:jc w:val="both"/>
            </w:pPr>
            <w:r>
              <w:t>50,899</w:t>
            </w:r>
          </w:p>
        </w:tc>
      </w:tr>
      <w:tr w:rsidR="0057582C" w14:paraId="2E737A86" w14:textId="77777777">
        <w:tc>
          <w:tcPr>
            <w:tcW w:w="900" w:type="dxa"/>
            <w:shd w:val="clear" w:color="auto" w:fill="E2EFDA"/>
          </w:tcPr>
          <w:p w14:paraId="17DC1CFF" w14:textId="77777777" w:rsidR="0057582C" w:rsidRDefault="00CE7F22">
            <w:pPr>
              <w:spacing w:line="360" w:lineRule="auto"/>
              <w:jc w:val="both"/>
            </w:pPr>
            <w:r>
              <w:t>19</w:t>
            </w:r>
          </w:p>
        </w:tc>
        <w:tc>
          <w:tcPr>
            <w:tcW w:w="1500" w:type="dxa"/>
            <w:shd w:val="clear" w:color="auto" w:fill="E2EFDA"/>
          </w:tcPr>
          <w:p w14:paraId="72513056" w14:textId="77777777" w:rsidR="0057582C" w:rsidRDefault="00CE7F22">
            <w:pPr>
              <w:spacing w:line="360" w:lineRule="auto"/>
              <w:jc w:val="both"/>
            </w:pPr>
            <w:r>
              <w:t>(0, 0, 0)</w:t>
            </w:r>
          </w:p>
        </w:tc>
        <w:tc>
          <w:tcPr>
            <w:tcW w:w="1600" w:type="dxa"/>
            <w:shd w:val="clear" w:color="auto" w:fill="E2EFDA"/>
          </w:tcPr>
          <w:p w14:paraId="2FB83AF2" w14:textId="77777777" w:rsidR="0057582C" w:rsidRDefault="00CE7F22">
            <w:pPr>
              <w:spacing w:line="360" w:lineRule="auto"/>
              <w:jc w:val="both"/>
            </w:pPr>
            <w:r>
              <w:rPr>
                <w:b/>
                <w:bCs/>
              </w:rPr>
              <w:t>2,812</w:t>
            </w:r>
          </w:p>
        </w:tc>
        <w:tc>
          <w:tcPr>
            <w:tcW w:w="1600" w:type="dxa"/>
            <w:shd w:val="clear" w:color="auto" w:fill="E2EFDA"/>
          </w:tcPr>
          <w:p w14:paraId="49BA1860" w14:textId="77777777" w:rsidR="0057582C" w:rsidRDefault="00CE7F22">
            <w:pPr>
              <w:spacing w:line="360" w:lineRule="auto"/>
              <w:jc w:val="both"/>
            </w:pPr>
            <w:r>
              <w:t>2,860</w:t>
            </w:r>
          </w:p>
        </w:tc>
        <w:tc>
          <w:tcPr>
            <w:tcW w:w="1600" w:type="dxa"/>
            <w:shd w:val="clear" w:color="auto" w:fill="E2EFDA"/>
          </w:tcPr>
          <w:p w14:paraId="0345F924" w14:textId="77777777" w:rsidR="0057582C" w:rsidRDefault="00CE7F22">
            <w:pPr>
              <w:spacing w:line="360" w:lineRule="auto"/>
              <w:jc w:val="both"/>
            </w:pPr>
            <w:r>
              <w:t>52,521</w:t>
            </w:r>
          </w:p>
        </w:tc>
      </w:tr>
      <w:tr w:rsidR="0057582C" w14:paraId="1F30DA3D" w14:textId="77777777">
        <w:tc>
          <w:tcPr>
            <w:tcW w:w="900" w:type="dxa"/>
            <w:shd w:val="clear" w:color="auto" w:fill="E2EFDA"/>
          </w:tcPr>
          <w:p w14:paraId="1F30331C" w14:textId="77777777" w:rsidR="0057582C" w:rsidRDefault="00CE7F22">
            <w:pPr>
              <w:spacing w:line="360" w:lineRule="auto"/>
              <w:jc w:val="both"/>
            </w:pPr>
            <w:r>
              <w:t>20</w:t>
            </w:r>
          </w:p>
        </w:tc>
        <w:tc>
          <w:tcPr>
            <w:tcW w:w="1500" w:type="dxa"/>
            <w:shd w:val="clear" w:color="auto" w:fill="E2EFDA"/>
          </w:tcPr>
          <w:p w14:paraId="17258E25" w14:textId="77777777" w:rsidR="0057582C" w:rsidRDefault="00CE7F22">
            <w:pPr>
              <w:spacing w:line="360" w:lineRule="auto"/>
              <w:jc w:val="both"/>
            </w:pPr>
            <w:r>
              <w:t>(1, 0, 1)</w:t>
            </w:r>
          </w:p>
        </w:tc>
        <w:tc>
          <w:tcPr>
            <w:tcW w:w="1600" w:type="dxa"/>
            <w:shd w:val="clear" w:color="auto" w:fill="E2EFDA"/>
          </w:tcPr>
          <w:p w14:paraId="16CAD42C" w14:textId="77777777" w:rsidR="0057582C" w:rsidRDefault="00CE7F22">
            <w:pPr>
              <w:spacing w:line="360" w:lineRule="auto"/>
              <w:jc w:val="both"/>
            </w:pPr>
            <w:r>
              <w:rPr>
                <w:b/>
                <w:bCs/>
              </w:rPr>
              <w:t>87,619</w:t>
            </w:r>
          </w:p>
        </w:tc>
        <w:tc>
          <w:tcPr>
            <w:tcW w:w="1600" w:type="dxa"/>
            <w:shd w:val="clear" w:color="auto" w:fill="E2EFDA"/>
          </w:tcPr>
          <w:p w14:paraId="7E3A4E55" w14:textId="77777777" w:rsidR="0057582C" w:rsidRDefault="00CE7F22">
            <w:pPr>
              <w:spacing w:line="360" w:lineRule="auto"/>
              <w:jc w:val="both"/>
            </w:pPr>
            <w:r>
              <w:t>97,846</w:t>
            </w:r>
          </w:p>
        </w:tc>
        <w:tc>
          <w:tcPr>
            <w:tcW w:w="1600" w:type="dxa"/>
            <w:shd w:val="clear" w:color="auto" w:fill="E2EFDA"/>
          </w:tcPr>
          <w:p w14:paraId="1DDC157B" w14:textId="77777777" w:rsidR="0057582C" w:rsidRDefault="00CE7F22">
            <w:pPr>
              <w:spacing w:line="360" w:lineRule="auto"/>
              <w:jc w:val="both"/>
            </w:pPr>
            <w:r>
              <w:t>1,029,238</w:t>
            </w:r>
          </w:p>
        </w:tc>
      </w:tr>
      <w:tr w:rsidR="0057582C" w14:paraId="7B6B96D2" w14:textId="77777777">
        <w:tc>
          <w:tcPr>
            <w:tcW w:w="900" w:type="dxa"/>
            <w:shd w:val="clear" w:color="auto" w:fill="E2EFDA"/>
          </w:tcPr>
          <w:p w14:paraId="303125BC" w14:textId="77777777" w:rsidR="0057582C" w:rsidRDefault="00CE7F22">
            <w:pPr>
              <w:spacing w:line="360" w:lineRule="auto"/>
              <w:jc w:val="both"/>
            </w:pPr>
            <w:r>
              <w:t>21</w:t>
            </w:r>
          </w:p>
        </w:tc>
        <w:tc>
          <w:tcPr>
            <w:tcW w:w="1500" w:type="dxa"/>
            <w:shd w:val="clear" w:color="auto" w:fill="E2EFDA"/>
          </w:tcPr>
          <w:p w14:paraId="68817363" w14:textId="77777777" w:rsidR="0057582C" w:rsidRDefault="00CE7F22">
            <w:pPr>
              <w:spacing w:line="360" w:lineRule="auto"/>
              <w:jc w:val="both"/>
            </w:pPr>
            <w:r>
              <w:t>(1, 0, 1)</w:t>
            </w:r>
          </w:p>
        </w:tc>
        <w:tc>
          <w:tcPr>
            <w:tcW w:w="1600" w:type="dxa"/>
            <w:shd w:val="clear" w:color="auto" w:fill="E2EFDA"/>
          </w:tcPr>
          <w:p w14:paraId="493491DA" w14:textId="77777777" w:rsidR="0057582C" w:rsidRDefault="00CE7F22">
            <w:pPr>
              <w:spacing w:line="360" w:lineRule="auto"/>
              <w:jc w:val="both"/>
            </w:pPr>
            <w:r>
              <w:rPr>
                <w:b/>
                <w:bCs/>
              </w:rPr>
              <w:t>2,186</w:t>
            </w:r>
          </w:p>
        </w:tc>
        <w:tc>
          <w:tcPr>
            <w:tcW w:w="1600" w:type="dxa"/>
            <w:shd w:val="clear" w:color="auto" w:fill="E2EFDA"/>
          </w:tcPr>
          <w:p w14:paraId="00CC3FD3" w14:textId="77777777" w:rsidR="0057582C" w:rsidRDefault="00CE7F22">
            <w:pPr>
              <w:spacing w:line="360" w:lineRule="auto"/>
              <w:jc w:val="both"/>
            </w:pPr>
            <w:r>
              <w:t>2,339</w:t>
            </w:r>
          </w:p>
        </w:tc>
        <w:tc>
          <w:tcPr>
            <w:tcW w:w="1600" w:type="dxa"/>
            <w:shd w:val="clear" w:color="auto" w:fill="E2EFDA"/>
          </w:tcPr>
          <w:p w14:paraId="36B93D25" w14:textId="77777777" w:rsidR="0057582C" w:rsidRDefault="00CE7F22">
            <w:pPr>
              <w:spacing w:line="360" w:lineRule="auto"/>
              <w:jc w:val="both"/>
            </w:pPr>
            <w:r>
              <w:t>151,666</w:t>
            </w:r>
          </w:p>
        </w:tc>
      </w:tr>
      <w:tr w:rsidR="0057582C" w14:paraId="0352D2F2" w14:textId="77777777">
        <w:tc>
          <w:tcPr>
            <w:tcW w:w="900" w:type="dxa"/>
            <w:shd w:val="clear" w:color="auto" w:fill="E2EFDA"/>
          </w:tcPr>
          <w:p w14:paraId="6985EE8C" w14:textId="77777777" w:rsidR="0057582C" w:rsidRDefault="00CE7F22">
            <w:pPr>
              <w:spacing w:line="360" w:lineRule="auto"/>
              <w:jc w:val="both"/>
            </w:pPr>
            <w:r>
              <w:t>22</w:t>
            </w:r>
          </w:p>
        </w:tc>
        <w:tc>
          <w:tcPr>
            <w:tcW w:w="1500" w:type="dxa"/>
            <w:shd w:val="clear" w:color="auto" w:fill="E2EFDA"/>
          </w:tcPr>
          <w:p w14:paraId="521D5F3A" w14:textId="77777777" w:rsidR="0057582C" w:rsidRDefault="00CE7F22">
            <w:pPr>
              <w:spacing w:line="360" w:lineRule="auto"/>
              <w:jc w:val="both"/>
            </w:pPr>
            <w:r>
              <w:t>(0, 0, 0)</w:t>
            </w:r>
          </w:p>
        </w:tc>
        <w:tc>
          <w:tcPr>
            <w:tcW w:w="1600" w:type="dxa"/>
            <w:shd w:val="clear" w:color="auto" w:fill="E2EFDA"/>
          </w:tcPr>
          <w:p w14:paraId="4BDB2343" w14:textId="77777777" w:rsidR="0057582C" w:rsidRDefault="00CE7F22">
            <w:pPr>
              <w:spacing w:line="360" w:lineRule="auto"/>
              <w:jc w:val="both"/>
            </w:pPr>
            <w:r>
              <w:rPr>
                <w:b/>
                <w:bCs/>
              </w:rPr>
              <w:t>296</w:t>
            </w:r>
          </w:p>
        </w:tc>
        <w:tc>
          <w:tcPr>
            <w:tcW w:w="1600" w:type="dxa"/>
            <w:shd w:val="clear" w:color="auto" w:fill="E2EFDA"/>
          </w:tcPr>
          <w:p w14:paraId="30E4B076" w14:textId="77777777" w:rsidR="0057582C" w:rsidRDefault="00CE7F22">
            <w:pPr>
              <w:spacing w:line="360" w:lineRule="auto"/>
              <w:jc w:val="both"/>
            </w:pPr>
            <w:r>
              <w:t>318</w:t>
            </w:r>
          </w:p>
        </w:tc>
        <w:tc>
          <w:tcPr>
            <w:tcW w:w="1600" w:type="dxa"/>
            <w:shd w:val="clear" w:color="auto" w:fill="E2EFDA"/>
          </w:tcPr>
          <w:p w14:paraId="505260A7" w14:textId="77777777" w:rsidR="0057582C" w:rsidRDefault="00CE7F22">
            <w:pPr>
              <w:spacing w:line="360" w:lineRule="auto"/>
              <w:jc w:val="both"/>
            </w:pPr>
            <w:r>
              <w:t>6,941</w:t>
            </w:r>
          </w:p>
        </w:tc>
      </w:tr>
      <w:tr w:rsidR="0057582C" w14:paraId="11504931" w14:textId="77777777">
        <w:tc>
          <w:tcPr>
            <w:tcW w:w="900" w:type="dxa"/>
            <w:shd w:val="clear" w:color="auto" w:fill="E2EFDA"/>
          </w:tcPr>
          <w:p w14:paraId="1B732D16" w14:textId="77777777" w:rsidR="0057582C" w:rsidRDefault="00CE7F22">
            <w:pPr>
              <w:spacing w:line="360" w:lineRule="auto"/>
              <w:jc w:val="both"/>
            </w:pPr>
            <w:r>
              <w:t>23</w:t>
            </w:r>
          </w:p>
        </w:tc>
        <w:tc>
          <w:tcPr>
            <w:tcW w:w="1500" w:type="dxa"/>
            <w:shd w:val="clear" w:color="auto" w:fill="E2EFDA"/>
          </w:tcPr>
          <w:p w14:paraId="2C956E0D" w14:textId="77777777" w:rsidR="0057582C" w:rsidRDefault="00CE7F22">
            <w:pPr>
              <w:spacing w:line="360" w:lineRule="auto"/>
              <w:jc w:val="both"/>
            </w:pPr>
            <w:r>
              <w:t>(0, 0, 0)</w:t>
            </w:r>
          </w:p>
        </w:tc>
        <w:tc>
          <w:tcPr>
            <w:tcW w:w="1600" w:type="dxa"/>
            <w:shd w:val="clear" w:color="auto" w:fill="E2EFDA"/>
          </w:tcPr>
          <w:p w14:paraId="7BABB705" w14:textId="77777777" w:rsidR="0057582C" w:rsidRDefault="00CE7F22">
            <w:pPr>
              <w:spacing w:line="360" w:lineRule="auto"/>
              <w:jc w:val="both"/>
            </w:pPr>
            <w:r>
              <w:rPr>
                <w:b/>
                <w:bCs/>
              </w:rPr>
              <w:t>870</w:t>
            </w:r>
          </w:p>
        </w:tc>
        <w:tc>
          <w:tcPr>
            <w:tcW w:w="1600" w:type="dxa"/>
            <w:shd w:val="clear" w:color="auto" w:fill="E2EFDA"/>
          </w:tcPr>
          <w:p w14:paraId="059933E8" w14:textId="77777777" w:rsidR="0057582C" w:rsidRDefault="00CE7F22">
            <w:pPr>
              <w:spacing w:line="360" w:lineRule="auto"/>
              <w:jc w:val="both"/>
            </w:pPr>
            <w:r>
              <w:t>897</w:t>
            </w:r>
          </w:p>
        </w:tc>
        <w:tc>
          <w:tcPr>
            <w:tcW w:w="1600" w:type="dxa"/>
            <w:shd w:val="clear" w:color="auto" w:fill="E2EFDA"/>
          </w:tcPr>
          <w:p w14:paraId="6168ECC6" w14:textId="77777777" w:rsidR="0057582C" w:rsidRDefault="00CE7F22">
            <w:pPr>
              <w:spacing w:line="360" w:lineRule="auto"/>
              <w:jc w:val="both"/>
            </w:pPr>
            <w:r>
              <w:t>4,317</w:t>
            </w:r>
          </w:p>
        </w:tc>
      </w:tr>
      <w:tr w:rsidR="0057582C" w14:paraId="5278D3C6" w14:textId="77777777">
        <w:tc>
          <w:tcPr>
            <w:tcW w:w="900" w:type="dxa"/>
            <w:shd w:val="clear" w:color="auto" w:fill="E2EFDA"/>
          </w:tcPr>
          <w:p w14:paraId="5014876F" w14:textId="77777777" w:rsidR="0057582C" w:rsidRDefault="00CE7F22">
            <w:pPr>
              <w:spacing w:line="360" w:lineRule="auto"/>
              <w:jc w:val="both"/>
            </w:pPr>
            <w:r>
              <w:t>24</w:t>
            </w:r>
          </w:p>
        </w:tc>
        <w:tc>
          <w:tcPr>
            <w:tcW w:w="1500" w:type="dxa"/>
            <w:shd w:val="clear" w:color="auto" w:fill="E2EFDA"/>
          </w:tcPr>
          <w:p w14:paraId="3E9C94BA" w14:textId="77777777" w:rsidR="0057582C" w:rsidRDefault="00CE7F22">
            <w:pPr>
              <w:spacing w:line="360" w:lineRule="auto"/>
              <w:jc w:val="both"/>
            </w:pPr>
            <w:r>
              <w:t>(1, 0, 0)</w:t>
            </w:r>
          </w:p>
        </w:tc>
        <w:tc>
          <w:tcPr>
            <w:tcW w:w="1600" w:type="dxa"/>
            <w:shd w:val="clear" w:color="auto" w:fill="E2EFDA"/>
          </w:tcPr>
          <w:p w14:paraId="18027086" w14:textId="77777777" w:rsidR="0057582C" w:rsidRDefault="00CE7F22">
            <w:pPr>
              <w:spacing w:line="360" w:lineRule="auto"/>
              <w:jc w:val="both"/>
            </w:pPr>
            <w:r>
              <w:rPr>
                <w:b/>
                <w:bCs/>
              </w:rPr>
              <w:t>2,211</w:t>
            </w:r>
          </w:p>
        </w:tc>
        <w:tc>
          <w:tcPr>
            <w:tcW w:w="1600" w:type="dxa"/>
            <w:shd w:val="clear" w:color="auto" w:fill="E2EFDA"/>
          </w:tcPr>
          <w:p w14:paraId="30A38D10" w14:textId="77777777" w:rsidR="0057582C" w:rsidRDefault="00CE7F22">
            <w:pPr>
              <w:spacing w:line="360" w:lineRule="auto"/>
              <w:jc w:val="both"/>
            </w:pPr>
            <w:r>
              <w:t>2,321</w:t>
            </w:r>
          </w:p>
        </w:tc>
        <w:tc>
          <w:tcPr>
            <w:tcW w:w="1600" w:type="dxa"/>
            <w:shd w:val="clear" w:color="auto" w:fill="E2EFDA"/>
          </w:tcPr>
          <w:p w14:paraId="0D676420" w14:textId="77777777" w:rsidR="0057582C" w:rsidRDefault="00CE7F22">
            <w:pPr>
              <w:spacing w:line="360" w:lineRule="auto"/>
              <w:jc w:val="both"/>
            </w:pPr>
            <w:r>
              <w:t>7,868</w:t>
            </w:r>
          </w:p>
        </w:tc>
      </w:tr>
    </w:tbl>
    <w:p w14:paraId="00613CF5" w14:textId="77777777" w:rsidR="0057582C" w:rsidRDefault="0057582C">
      <w:pPr>
        <w:spacing w:before="120" w:after="120" w:line="360" w:lineRule="auto"/>
        <w:jc w:val="both"/>
      </w:pPr>
    </w:p>
    <w:p w14:paraId="2D6C374E" w14:textId="77777777" w:rsidR="0057582C" w:rsidRDefault="00CE7F22">
      <w:pPr>
        <w:spacing w:before="120" w:after="120" w:line="360" w:lineRule="auto"/>
        <w:jc w:val="both"/>
      </w:pPr>
      <w:r>
        <w:rPr>
          <w:b/>
          <w:bCs/>
        </w:rPr>
        <w:t>Per-Segment Demand Forecasting: Prophet vs Auto-ARIMA</w:t>
      </w:r>
    </w:p>
    <w:p w14:paraId="2B927CF0" w14:textId="77777777" w:rsidR="0057582C" w:rsidRDefault="00CE7F22">
      <w:pPr>
        <w:spacing w:before="120" w:after="120" w:line="360" w:lineRule="auto"/>
        <w:jc w:val="both"/>
      </w:pPr>
      <w:r>
        <w:t>Auto-ARIMA with AIC-based order selection achieves a median MAE of £810 versus Prophet’s £22,680 across all 25 segments. The proper Diebold-Mariano test (HAC, Harvey et al. 1997) on full cross-validated error series finds auto-ARIMA significantly outperforms Prophet in 1 cluster (Cluster 24, p&lt;0.05), with 24 clusters showing no statistically significant difference. This finding reflects the short 12-month training window: Prophet’s decomposition framework requires longer histories to reliably estimate trend and seasonality, making parsimonious auto-ARIMA the appropriate default for short retail time series.</w:t>
      </w:r>
    </w:p>
    <w:p w14:paraId="2DCFBDA2" w14:textId="77777777" w:rsidR="0057582C" w:rsidRDefault="00CE7F22">
      <w:pPr>
        <w:spacing w:before="240" w:after="120" w:line="360" w:lineRule="auto"/>
        <w:jc w:val="both"/>
      </w:pPr>
      <w:r>
        <w:rPr>
          <w:b/>
          <w:bCs/>
        </w:rPr>
        <w:t>4.5 EOQ Inventory Cost Simulation and Hybrid Decision Rule</w:t>
      </w:r>
    </w:p>
    <w:p w14:paraId="15AABD68" w14:textId="77777777" w:rsidR="0057582C" w:rsidRDefault="00CE7F22">
      <w:pPr>
        <w:spacing w:before="120" w:after="120" w:line="360" w:lineRule="auto"/>
        <w:jc w:val="both"/>
      </w:pPr>
      <w:r>
        <w:t>The EOQ model is applied to each customer tier using the Prophet 12-month forward forecasts as annual demand inputs (Equation 12). Two cost parameters are assumed: ordering cost S=£50 per order and annual holding cost rate h=20% of demand value — conservative industry-standard values consistent with recent EOQ applications (</w:t>
      </w:r>
      <w:proofErr w:type="spellStart"/>
      <w:r>
        <w:t>Khakbaz</w:t>
      </w:r>
      <w:proofErr w:type="spellEnd"/>
      <w:r>
        <w:t xml:space="preserve"> et al., 2024; </w:t>
      </w:r>
      <w:proofErr w:type="spellStart"/>
      <w:r>
        <w:t>Setyadi</w:t>
      </w:r>
      <w:proofErr w:type="spellEnd"/>
      <w:r>
        <w:t xml:space="preserve"> et al., 2024). Tier 5 Dormant customers are excluded from replenishment planning entirely. To quantify cost uncertainty, a Monte Carlo stochastic simulation (N=1,000 runs per tier) is implemented: annual demand is sampled from </w:t>
      </w:r>
      <w:proofErr w:type="gramStart"/>
      <w:r>
        <w:t>Normal(</w:t>
      </w:r>
      <w:proofErr w:type="gramEnd"/>
      <w:r>
        <w:t>μ, 0.15μ) where μ is the Prophet point forecast; lead time from Normal(7 days, 2 days). An (</w:t>
      </w:r>
      <w:proofErr w:type="gramStart"/>
      <w:r>
        <w:t>R,Q</w:t>
      </w:r>
      <w:proofErr w:type="gramEnd"/>
      <w:r>
        <w:t xml:space="preserve">) policy applies reorder point R at the 95% service level </w:t>
      </w:r>
      <w:r>
        <w:lastRenderedPageBreak/>
        <w:t>(Z=1.645) per Equation (15). Each run tracks 365 daily inventory cycles recording total cost, stockout volume, and inventory turns.</w:t>
      </w:r>
    </w:p>
    <w:p w14:paraId="5230F22E" w14:textId="77777777" w:rsidR="0057582C" w:rsidRDefault="00CE7F22">
      <w:pPr>
        <w:spacing w:before="120" w:after="120" w:line="360" w:lineRule="auto"/>
        <w:jc w:val="both"/>
      </w:pPr>
      <w:r>
        <w:rPr>
          <w:i/>
          <w:iCs/>
        </w:rPr>
        <w:t xml:space="preserve">(15)  </w:t>
      </w:r>
      <m:oMath>
        <m:r>
          <m:rPr>
            <m:nor/>
          </m:rPr>
          <w:rPr>
            <w:i/>
          </w:rPr>
          <m:t>R</m:t>
        </m:r>
        <m:r>
          <m:rPr>
            <m:nor/>
          </m:rPr>
          <m:t xml:space="preserve"> = </m:t>
        </m:r>
        <m:acc>
          <m:accPr>
            <m:chr m:val="̅"/>
            <m:ctrlPr>
              <w:rPr>
                <w:rFonts w:ascii="Cambria Math" w:hAnsi="Cambria Math"/>
              </w:rPr>
            </m:ctrlPr>
          </m:accPr>
          <m:e>
            <m:r>
              <m:rPr>
                <m:nor/>
              </m:rPr>
              <w:rPr>
                <w:i/>
              </w:rPr>
              <m:t>d</m:t>
            </m:r>
          </m:e>
        </m:acc>
        <m:r>
          <m:rPr>
            <m:nor/>
          </m:rPr>
          <m:t xml:space="preserve"> · </m:t>
        </m:r>
        <m:r>
          <m:rPr>
            <m:nor/>
          </m:rPr>
          <w:rPr>
            <w:i/>
          </w:rPr>
          <m:t>LT</m:t>
        </m:r>
        <m:r>
          <m:rPr>
            <m:nor/>
          </m:rPr>
          <m:t xml:space="preserve"> + </m:t>
        </m:r>
        <m:r>
          <m:rPr>
            <m:nor/>
          </m:rPr>
          <w:rPr>
            <w:i/>
          </w:rPr>
          <m:t>Z</m:t>
        </m:r>
        <m:r>
          <m:rPr>
            <m:nor/>
          </m:rPr>
          <m:t xml:space="preserve"> · </m:t>
        </m:r>
        <m:r>
          <m:rPr>
            <m:nor/>
          </m:rPr>
          <w:rPr>
            <w:i/>
          </w:rPr>
          <m:t>σ</m:t>
        </m:r>
        <m:sSub>
          <m:sSubPr>
            <m:ctrlPr>
              <w:rPr>
                <w:rFonts w:ascii="Cambria Math" w:hAnsi="Cambria Math"/>
              </w:rPr>
            </m:ctrlPr>
          </m:sSubPr>
          <m:e/>
          <m:sub>
            <m:r>
              <m:rPr>
                <m:nor/>
              </m:rPr>
              <w:rPr>
                <w:i/>
              </w:rPr>
              <m:t>LT</m:t>
            </m:r>
          </m:sub>
        </m:sSub>
      </m:oMath>
    </w:p>
    <w:p w14:paraId="3AC7BFC7" w14:textId="77777777" w:rsidR="0057582C" w:rsidRDefault="00CE7F22">
      <w:pPr>
        <w:spacing w:before="60" w:after="60" w:line="360" w:lineRule="auto"/>
        <w:jc w:val="both"/>
      </w:pPr>
      <w:r>
        <w:t xml:space="preserve">where R is the reorder point (order when inventory falls to R), d̅ is the mean daily demand, LT is mean lead time, Z = 1.645 for 95% service level, and </w:t>
      </w:r>
      <w:proofErr w:type="spellStart"/>
      <w:r>
        <w:t>σ_LT</w:t>
      </w:r>
      <w:proofErr w:type="spellEnd"/>
      <w:r>
        <w:t xml:space="preserve"> is the standard deviation of demand over lead time.</w:t>
      </w:r>
    </w:p>
    <w:p w14:paraId="1C1512CE" w14:textId="77777777" w:rsidR="0057582C" w:rsidRDefault="00CE7F22">
      <w:pPr>
        <w:spacing w:before="120" w:after="120" w:line="360" w:lineRule="auto"/>
        <w:jc w:val="both"/>
      </w:pPr>
      <w:r>
        <w:rPr>
          <w:i/>
          <w:iCs/>
        </w:rPr>
        <w:t xml:space="preserve">(12)  </w:t>
      </w:r>
      <m:oMath>
        <m:r>
          <m:rPr>
            <m:nor/>
          </m:rPr>
          <w:rPr>
            <w:i/>
          </w:rPr>
          <m:t>Q</m:t>
        </m:r>
        <m:r>
          <m:rPr>
            <m:nor/>
          </m:rPr>
          <m:t xml:space="preserve">* = </m:t>
        </m:r>
        <m:rad>
          <m:radPr>
            <m:degHide m:val="1"/>
            <m:ctrlPr>
              <w:rPr>
                <w:rFonts w:ascii="Cambria Math" w:hAnsi="Cambria Math"/>
              </w:rPr>
            </m:ctrlPr>
          </m:radPr>
          <m:deg/>
          <m:e>
            <m:f>
              <m:fPr>
                <m:ctrlPr>
                  <w:rPr>
                    <w:rFonts w:ascii="Cambria Math" w:hAnsi="Cambria Math"/>
                  </w:rPr>
                </m:ctrlPr>
              </m:fPr>
              <m:num>
                <m:r>
                  <m:rPr>
                    <m:nor/>
                  </m:rPr>
                  <m:t>2</m:t>
                </m:r>
                <m:r>
                  <m:rPr>
                    <m:nor/>
                  </m:rPr>
                  <w:rPr>
                    <w:i/>
                  </w:rPr>
                  <m:t>DS</m:t>
                </m:r>
              </m:num>
              <m:den>
                <m:r>
                  <m:rPr>
                    <m:nor/>
                  </m:rPr>
                  <w:rPr>
                    <w:i/>
                  </w:rPr>
                  <m:t>H</m:t>
                </m:r>
              </m:den>
            </m:f>
          </m:e>
        </m:rad>
      </m:oMath>
    </w:p>
    <w:p w14:paraId="6F7F36AF" w14:textId="77777777" w:rsidR="0057582C" w:rsidRDefault="00CE7F22">
      <w:pPr>
        <w:spacing w:before="120" w:after="60" w:line="360" w:lineRule="auto"/>
        <w:jc w:val="both"/>
      </w:pPr>
      <w:r>
        <w:rPr>
          <w:noProof/>
        </w:rPr>
        <w:drawing>
          <wp:inline distT="0" distB="0" distL="0" distR="0" wp14:anchorId="753124BD" wp14:editId="795B4EBB">
            <wp:extent cx="6199505" cy="2499995"/>
            <wp:effectExtent l="0" t="0" r="0" b="0"/>
            <wp:docPr id="12" name="Fig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12"/>
                    <pic:cNvPicPr>
                      <a:picLocks noChangeAspect="1"/>
                    </pic:cNvPicPr>
                  </pic:nvPicPr>
                  <pic:blipFill>
                    <a:blip r:embed="rId21"/>
                    <a:stretch>
                      <a:fillRect/>
                    </a:stretch>
                  </pic:blipFill>
                  <pic:spPr>
                    <a:xfrm>
                      <a:off x="0" y="0"/>
                      <a:ext cx="6200000" cy="2500000"/>
                    </a:xfrm>
                    <a:prstGeom prst="rect">
                      <a:avLst/>
                    </a:prstGeom>
                  </pic:spPr>
                </pic:pic>
              </a:graphicData>
            </a:graphic>
          </wp:inline>
        </w:drawing>
      </w:r>
    </w:p>
    <w:p w14:paraId="7E61CD35" w14:textId="77777777" w:rsidR="0057582C" w:rsidRDefault="00CE7F22">
      <w:pPr>
        <w:spacing w:before="180" w:after="80" w:line="360" w:lineRule="auto"/>
        <w:jc w:val="both"/>
      </w:pPr>
      <w:r>
        <w:rPr>
          <w:b/>
          <w:bCs/>
        </w:rPr>
        <w:t>Table 1</w:t>
      </w:r>
      <w:r>
        <w:rPr>
          <w:b/>
          <w:bCs/>
          <w:lang w:val="en-US"/>
        </w:rPr>
        <w:t>2</w:t>
      </w:r>
      <w:r>
        <w:rPr>
          <w:b/>
          <w:bCs/>
        </w:rPr>
        <w:t>: EOQ Inventory Cost Simulation by Customer Tier</w:t>
      </w:r>
    </w:p>
    <w:tbl>
      <w:tblPr>
        <w:tblW w:w="92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1390"/>
        <w:gridCol w:w="756"/>
        <w:gridCol w:w="1295"/>
        <w:gridCol w:w="995"/>
        <w:gridCol w:w="1295"/>
        <w:gridCol w:w="1748"/>
        <w:gridCol w:w="876"/>
        <w:gridCol w:w="995"/>
      </w:tblGrid>
      <w:tr w:rsidR="0057582C" w14:paraId="3C435FB7" w14:textId="77777777">
        <w:trPr>
          <w:tblHeader/>
        </w:trPr>
        <w:tc>
          <w:tcPr>
            <w:tcW w:w="1600" w:type="dxa"/>
            <w:shd w:val="clear" w:color="auto" w:fill="DEEAF1"/>
          </w:tcPr>
          <w:p w14:paraId="090A715A" w14:textId="77777777" w:rsidR="0057582C" w:rsidRDefault="00CE7F22">
            <w:pPr>
              <w:spacing w:line="360" w:lineRule="auto"/>
              <w:jc w:val="both"/>
            </w:pPr>
            <w:r>
              <w:rPr>
                <w:b/>
                <w:bCs/>
              </w:rPr>
              <w:t>Tier</w:t>
            </w:r>
          </w:p>
        </w:tc>
        <w:tc>
          <w:tcPr>
            <w:tcW w:w="800" w:type="dxa"/>
            <w:shd w:val="clear" w:color="auto" w:fill="DEEAF1"/>
          </w:tcPr>
          <w:p w14:paraId="70AB505A" w14:textId="77777777" w:rsidR="0057582C" w:rsidRDefault="00CE7F22">
            <w:pPr>
              <w:spacing w:line="360" w:lineRule="auto"/>
              <w:jc w:val="both"/>
            </w:pPr>
            <w:r>
              <w:rPr>
                <w:b/>
                <w:bCs/>
              </w:rPr>
              <w:t>N</w:t>
            </w:r>
          </w:p>
        </w:tc>
        <w:tc>
          <w:tcPr>
            <w:tcW w:w="1200" w:type="dxa"/>
            <w:shd w:val="clear" w:color="auto" w:fill="DEEAF1"/>
          </w:tcPr>
          <w:p w14:paraId="7736718C" w14:textId="77777777" w:rsidR="0057582C" w:rsidRDefault="00CE7F22">
            <w:pPr>
              <w:spacing w:line="360" w:lineRule="auto"/>
              <w:jc w:val="both"/>
            </w:pPr>
            <w:r>
              <w:rPr>
                <w:b/>
                <w:bCs/>
              </w:rPr>
              <w:t>Annual Demand (£)</w:t>
            </w:r>
          </w:p>
        </w:tc>
        <w:tc>
          <w:tcPr>
            <w:tcW w:w="900" w:type="dxa"/>
            <w:shd w:val="clear" w:color="auto" w:fill="DEEAF1"/>
          </w:tcPr>
          <w:p w14:paraId="7EAEF494" w14:textId="77777777" w:rsidR="0057582C" w:rsidRDefault="00CE7F22">
            <w:pPr>
              <w:spacing w:line="360" w:lineRule="auto"/>
              <w:jc w:val="both"/>
            </w:pPr>
            <w:r>
              <w:rPr>
                <w:b/>
                <w:bCs/>
              </w:rPr>
              <w:t>EOQ Q* (£)</w:t>
            </w:r>
          </w:p>
        </w:tc>
        <w:tc>
          <w:tcPr>
            <w:tcW w:w="1000" w:type="dxa"/>
            <w:shd w:val="clear" w:color="auto" w:fill="DEEAF1"/>
          </w:tcPr>
          <w:p w14:paraId="18E9C130" w14:textId="77777777" w:rsidR="0057582C" w:rsidRDefault="00CE7F22">
            <w:pPr>
              <w:spacing w:line="360" w:lineRule="auto"/>
              <w:jc w:val="both"/>
            </w:pPr>
            <w:r>
              <w:rPr>
                <w:b/>
                <w:bCs/>
              </w:rPr>
              <w:t>Orders/Yr</w:t>
            </w:r>
          </w:p>
        </w:tc>
        <w:tc>
          <w:tcPr>
            <w:tcW w:w="1200" w:type="dxa"/>
            <w:shd w:val="clear" w:color="auto" w:fill="DEEAF1"/>
          </w:tcPr>
          <w:p w14:paraId="5AA505CF" w14:textId="77777777" w:rsidR="0057582C" w:rsidRDefault="00CE7F22">
            <w:pPr>
              <w:spacing w:line="360" w:lineRule="auto"/>
              <w:jc w:val="both"/>
            </w:pPr>
            <w:r>
              <w:rPr>
                <w:b/>
                <w:bCs/>
              </w:rPr>
              <w:t>Det Cost (£)</w:t>
            </w:r>
          </w:p>
        </w:tc>
        <w:tc>
          <w:tcPr>
            <w:tcW w:w="1200" w:type="dxa"/>
            <w:shd w:val="clear" w:color="auto" w:fill="DEEAF1"/>
          </w:tcPr>
          <w:p w14:paraId="07DCB8F5" w14:textId="77777777" w:rsidR="0057582C" w:rsidRDefault="00CE7F22">
            <w:pPr>
              <w:spacing w:line="360" w:lineRule="auto"/>
              <w:jc w:val="both"/>
            </w:pPr>
            <w:r>
              <w:rPr>
                <w:b/>
                <w:bCs/>
              </w:rPr>
              <w:t>MC Mean (£)</w:t>
            </w:r>
          </w:p>
        </w:tc>
        <w:tc>
          <w:tcPr>
            <w:tcW w:w="1300" w:type="dxa"/>
            <w:shd w:val="clear" w:color="auto" w:fill="DEEAF1"/>
          </w:tcPr>
          <w:p w14:paraId="39B051EA" w14:textId="77777777" w:rsidR="0057582C" w:rsidRDefault="00CE7F22">
            <w:pPr>
              <w:spacing w:line="360" w:lineRule="auto"/>
              <w:jc w:val="both"/>
            </w:pPr>
            <w:r>
              <w:rPr>
                <w:b/>
                <w:bCs/>
              </w:rPr>
              <w:t>MC 90% CI (£)</w:t>
            </w:r>
          </w:p>
        </w:tc>
      </w:tr>
      <w:tr w:rsidR="0057582C" w14:paraId="3C8C6FDC" w14:textId="77777777">
        <w:tc>
          <w:tcPr>
            <w:tcW w:w="1600" w:type="dxa"/>
            <w:shd w:val="clear" w:color="auto" w:fill="E2EFDA"/>
          </w:tcPr>
          <w:p w14:paraId="7FBBC3EC" w14:textId="77777777" w:rsidR="0057582C" w:rsidRDefault="00CE7F22">
            <w:pPr>
              <w:spacing w:line="360" w:lineRule="auto"/>
              <w:jc w:val="both"/>
            </w:pPr>
            <w:r>
              <w:rPr>
                <w:b/>
                <w:bCs/>
              </w:rPr>
              <w:t>Tier 1 — VIP Champions</w:t>
            </w:r>
          </w:p>
        </w:tc>
        <w:tc>
          <w:tcPr>
            <w:tcW w:w="800" w:type="dxa"/>
            <w:shd w:val="clear" w:color="auto" w:fill="E2EFDA"/>
          </w:tcPr>
          <w:p w14:paraId="615829C5" w14:textId="77777777" w:rsidR="0057582C" w:rsidRDefault="00CE7F22">
            <w:pPr>
              <w:spacing w:line="360" w:lineRule="auto"/>
              <w:jc w:val="both"/>
            </w:pPr>
            <w:r>
              <w:t>1,300</w:t>
            </w:r>
          </w:p>
        </w:tc>
        <w:tc>
          <w:tcPr>
            <w:tcW w:w="1200" w:type="dxa"/>
            <w:shd w:val="clear" w:color="auto" w:fill="E2EFDA"/>
          </w:tcPr>
          <w:p w14:paraId="0E476048" w14:textId="77777777" w:rsidR="0057582C" w:rsidRDefault="00CE7F22">
            <w:pPr>
              <w:spacing w:line="360" w:lineRule="auto"/>
              <w:jc w:val="both"/>
            </w:pPr>
            <w:r>
              <w:t>£4,656,959</w:t>
            </w:r>
          </w:p>
        </w:tc>
        <w:tc>
          <w:tcPr>
            <w:tcW w:w="900" w:type="dxa"/>
            <w:shd w:val="clear" w:color="auto" w:fill="E2EFDA"/>
          </w:tcPr>
          <w:p w14:paraId="63456B58" w14:textId="77777777" w:rsidR="0057582C" w:rsidRDefault="00CE7F22">
            <w:pPr>
              <w:spacing w:line="360" w:lineRule="auto"/>
              <w:jc w:val="both"/>
            </w:pPr>
            <w:r>
              <w:t>£48,254</w:t>
            </w:r>
          </w:p>
        </w:tc>
        <w:tc>
          <w:tcPr>
            <w:tcW w:w="1000" w:type="dxa"/>
            <w:shd w:val="clear" w:color="auto" w:fill="E2EFDA"/>
          </w:tcPr>
          <w:p w14:paraId="7933E9DB" w14:textId="77777777" w:rsidR="0057582C" w:rsidRDefault="00CE7F22">
            <w:pPr>
              <w:spacing w:line="360" w:lineRule="auto"/>
              <w:jc w:val="both"/>
            </w:pPr>
            <w:r>
              <w:t>96</w:t>
            </w:r>
          </w:p>
        </w:tc>
        <w:tc>
          <w:tcPr>
            <w:tcW w:w="1200" w:type="dxa"/>
            <w:shd w:val="clear" w:color="auto" w:fill="E2EFDA"/>
          </w:tcPr>
          <w:p w14:paraId="579F5D0F" w14:textId="77777777" w:rsidR="0057582C" w:rsidRDefault="00CE7F22">
            <w:pPr>
              <w:spacing w:line="360" w:lineRule="auto"/>
              <w:jc w:val="both"/>
            </w:pPr>
            <w:r>
              <w:t>£9,651</w:t>
            </w:r>
          </w:p>
        </w:tc>
        <w:tc>
          <w:tcPr>
            <w:tcW w:w="1200" w:type="dxa"/>
            <w:shd w:val="clear" w:color="auto" w:fill="E2EFDA"/>
          </w:tcPr>
          <w:p w14:paraId="17C1F4E0" w14:textId="77777777" w:rsidR="0057582C" w:rsidRDefault="00CE7F22">
            <w:pPr>
              <w:spacing w:line="360" w:lineRule="auto"/>
              <w:jc w:val="both"/>
            </w:pPr>
            <w:r>
              <w:rPr>
                <w:b/>
                <w:bCs/>
              </w:rPr>
              <w:t>£5,278</w:t>
            </w:r>
          </w:p>
        </w:tc>
        <w:tc>
          <w:tcPr>
            <w:tcW w:w="1300" w:type="dxa"/>
            <w:shd w:val="clear" w:color="auto" w:fill="E2EFDA"/>
          </w:tcPr>
          <w:p w14:paraId="06DBE27C" w14:textId="77777777" w:rsidR="0057582C" w:rsidRDefault="00CE7F22">
            <w:pPr>
              <w:spacing w:line="360" w:lineRule="auto"/>
              <w:jc w:val="both"/>
            </w:pPr>
            <w:r>
              <w:t>£4,810–£5,842</w:t>
            </w:r>
          </w:p>
        </w:tc>
      </w:tr>
      <w:tr w:rsidR="0057582C" w14:paraId="06969BA0" w14:textId="77777777">
        <w:tc>
          <w:tcPr>
            <w:tcW w:w="1600" w:type="dxa"/>
          </w:tcPr>
          <w:p w14:paraId="72AC2954" w14:textId="77777777" w:rsidR="0057582C" w:rsidRDefault="00CE7F22">
            <w:pPr>
              <w:spacing w:line="360" w:lineRule="auto"/>
              <w:jc w:val="both"/>
            </w:pPr>
            <w:r>
              <w:t>Tier 2 — Loyal Actives</w:t>
            </w:r>
          </w:p>
        </w:tc>
        <w:tc>
          <w:tcPr>
            <w:tcW w:w="800" w:type="dxa"/>
          </w:tcPr>
          <w:p w14:paraId="51BA769F" w14:textId="77777777" w:rsidR="0057582C" w:rsidRDefault="00CE7F22">
            <w:pPr>
              <w:spacing w:line="360" w:lineRule="auto"/>
              <w:jc w:val="both"/>
            </w:pPr>
            <w:r>
              <w:t>1,523</w:t>
            </w:r>
          </w:p>
        </w:tc>
        <w:tc>
          <w:tcPr>
            <w:tcW w:w="1200" w:type="dxa"/>
          </w:tcPr>
          <w:p w14:paraId="79659C62" w14:textId="77777777" w:rsidR="0057582C" w:rsidRDefault="00CE7F22">
            <w:pPr>
              <w:spacing w:line="360" w:lineRule="auto"/>
              <w:jc w:val="both"/>
            </w:pPr>
            <w:r>
              <w:t>£2,126,771</w:t>
            </w:r>
          </w:p>
        </w:tc>
        <w:tc>
          <w:tcPr>
            <w:tcW w:w="900" w:type="dxa"/>
          </w:tcPr>
          <w:p w14:paraId="4A2D47A6" w14:textId="77777777" w:rsidR="0057582C" w:rsidRDefault="00CE7F22">
            <w:pPr>
              <w:spacing w:line="360" w:lineRule="auto"/>
              <w:jc w:val="both"/>
            </w:pPr>
            <w:r>
              <w:t>£32,610</w:t>
            </w:r>
          </w:p>
        </w:tc>
        <w:tc>
          <w:tcPr>
            <w:tcW w:w="1000" w:type="dxa"/>
          </w:tcPr>
          <w:p w14:paraId="46228272" w14:textId="77777777" w:rsidR="0057582C" w:rsidRDefault="00CE7F22">
            <w:pPr>
              <w:spacing w:line="360" w:lineRule="auto"/>
              <w:jc w:val="both"/>
            </w:pPr>
            <w:r>
              <w:t>65</w:t>
            </w:r>
          </w:p>
        </w:tc>
        <w:tc>
          <w:tcPr>
            <w:tcW w:w="1200" w:type="dxa"/>
          </w:tcPr>
          <w:p w14:paraId="34F332C5" w14:textId="77777777" w:rsidR="0057582C" w:rsidRDefault="00CE7F22">
            <w:pPr>
              <w:spacing w:line="360" w:lineRule="auto"/>
              <w:jc w:val="both"/>
            </w:pPr>
            <w:r>
              <w:t>£6,522</w:t>
            </w:r>
          </w:p>
        </w:tc>
        <w:tc>
          <w:tcPr>
            <w:tcW w:w="1200" w:type="dxa"/>
          </w:tcPr>
          <w:p w14:paraId="70EF83DC" w14:textId="77777777" w:rsidR="0057582C" w:rsidRDefault="00CE7F22">
            <w:pPr>
              <w:spacing w:line="360" w:lineRule="auto"/>
              <w:jc w:val="both"/>
            </w:pPr>
            <w:r>
              <w:t>£6,345</w:t>
            </w:r>
          </w:p>
        </w:tc>
        <w:tc>
          <w:tcPr>
            <w:tcW w:w="1300" w:type="dxa"/>
          </w:tcPr>
          <w:p w14:paraId="2FA27606" w14:textId="77777777" w:rsidR="0057582C" w:rsidRDefault="00CE7F22">
            <w:pPr>
              <w:spacing w:line="360" w:lineRule="auto"/>
              <w:jc w:val="both"/>
            </w:pPr>
            <w:r>
              <w:t>£5,278–£8,070</w:t>
            </w:r>
          </w:p>
        </w:tc>
      </w:tr>
      <w:tr w:rsidR="0057582C" w14:paraId="016AE258" w14:textId="77777777">
        <w:tc>
          <w:tcPr>
            <w:tcW w:w="1600" w:type="dxa"/>
          </w:tcPr>
          <w:p w14:paraId="5ADCFBA0" w14:textId="77777777" w:rsidR="0057582C" w:rsidRDefault="00CE7F22">
            <w:pPr>
              <w:spacing w:line="360" w:lineRule="auto"/>
              <w:jc w:val="both"/>
            </w:pPr>
            <w:r>
              <w:lastRenderedPageBreak/>
              <w:t>Tier 3 — Moderate Buyers</w:t>
            </w:r>
          </w:p>
        </w:tc>
        <w:tc>
          <w:tcPr>
            <w:tcW w:w="800" w:type="dxa"/>
          </w:tcPr>
          <w:p w14:paraId="6AAE134C" w14:textId="77777777" w:rsidR="0057582C" w:rsidRDefault="00CE7F22">
            <w:pPr>
              <w:spacing w:line="360" w:lineRule="auto"/>
              <w:jc w:val="both"/>
            </w:pPr>
            <w:r>
              <w:t>755</w:t>
            </w:r>
          </w:p>
        </w:tc>
        <w:tc>
          <w:tcPr>
            <w:tcW w:w="1200" w:type="dxa"/>
          </w:tcPr>
          <w:p w14:paraId="33273336" w14:textId="77777777" w:rsidR="0057582C" w:rsidRDefault="00CE7F22">
            <w:pPr>
              <w:spacing w:line="360" w:lineRule="auto"/>
              <w:jc w:val="both"/>
            </w:pPr>
            <w:r>
              <w:t>£885,071</w:t>
            </w:r>
          </w:p>
        </w:tc>
        <w:tc>
          <w:tcPr>
            <w:tcW w:w="900" w:type="dxa"/>
          </w:tcPr>
          <w:p w14:paraId="01E467FA" w14:textId="77777777" w:rsidR="0057582C" w:rsidRDefault="00CE7F22">
            <w:pPr>
              <w:spacing w:line="360" w:lineRule="auto"/>
              <w:jc w:val="both"/>
            </w:pPr>
            <w:r>
              <w:t>£21,037</w:t>
            </w:r>
          </w:p>
        </w:tc>
        <w:tc>
          <w:tcPr>
            <w:tcW w:w="1000" w:type="dxa"/>
          </w:tcPr>
          <w:p w14:paraId="32758EA1" w14:textId="77777777" w:rsidR="0057582C" w:rsidRDefault="00CE7F22">
            <w:pPr>
              <w:spacing w:line="360" w:lineRule="auto"/>
              <w:jc w:val="both"/>
            </w:pPr>
            <w:r>
              <w:t>42</w:t>
            </w:r>
          </w:p>
        </w:tc>
        <w:tc>
          <w:tcPr>
            <w:tcW w:w="1200" w:type="dxa"/>
          </w:tcPr>
          <w:p w14:paraId="62ED81CB" w14:textId="77777777" w:rsidR="0057582C" w:rsidRDefault="00CE7F22">
            <w:pPr>
              <w:spacing w:line="360" w:lineRule="auto"/>
              <w:jc w:val="both"/>
            </w:pPr>
            <w:r>
              <w:t>£4,207</w:t>
            </w:r>
          </w:p>
        </w:tc>
        <w:tc>
          <w:tcPr>
            <w:tcW w:w="1200" w:type="dxa"/>
          </w:tcPr>
          <w:p w14:paraId="4C992847" w14:textId="77777777" w:rsidR="0057582C" w:rsidRDefault="00CE7F22">
            <w:pPr>
              <w:spacing w:line="360" w:lineRule="auto"/>
              <w:jc w:val="both"/>
            </w:pPr>
            <w:r>
              <w:t>£5,958</w:t>
            </w:r>
          </w:p>
        </w:tc>
        <w:tc>
          <w:tcPr>
            <w:tcW w:w="1300" w:type="dxa"/>
          </w:tcPr>
          <w:p w14:paraId="2AAB1C56" w14:textId="77777777" w:rsidR="0057582C" w:rsidRDefault="00CE7F22">
            <w:pPr>
              <w:spacing w:line="360" w:lineRule="auto"/>
              <w:jc w:val="both"/>
            </w:pPr>
            <w:r>
              <w:t>£4,230–£7,890</w:t>
            </w:r>
          </w:p>
        </w:tc>
      </w:tr>
      <w:tr w:rsidR="0057582C" w14:paraId="0D0E53FF" w14:textId="77777777">
        <w:tc>
          <w:tcPr>
            <w:tcW w:w="1600" w:type="dxa"/>
            <w:shd w:val="clear" w:color="auto" w:fill="FFF2CC"/>
          </w:tcPr>
          <w:p w14:paraId="7C79E7F0" w14:textId="77777777" w:rsidR="0057582C" w:rsidRDefault="00CE7F22">
            <w:pPr>
              <w:spacing w:line="360" w:lineRule="auto"/>
              <w:jc w:val="both"/>
            </w:pPr>
            <w:r>
              <w:t>Tier 4 — At-Risk</w:t>
            </w:r>
          </w:p>
        </w:tc>
        <w:tc>
          <w:tcPr>
            <w:tcW w:w="800" w:type="dxa"/>
            <w:shd w:val="clear" w:color="auto" w:fill="FFF2CC"/>
          </w:tcPr>
          <w:p w14:paraId="6BC3D534" w14:textId="77777777" w:rsidR="0057582C" w:rsidRDefault="00CE7F22">
            <w:pPr>
              <w:spacing w:line="360" w:lineRule="auto"/>
              <w:jc w:val="both"/>
            </w:pPr>
            <w:r>
              <w:t>237</w:t>
            </w:r>
          </w:p>
        </w:tc>
        <w:tc>
          <w:tcPr>
            <w:tcW w:w="1200" w:type="dxa"/>
            <w:shd w:val="clear" w:color="auto" w:fill="FFF2CC"/>
          </w:tcPr>
          <w:p w14:paraId="52D70A60" w14:textId="77777777" w:rsidR="0057582C" w:rsidRDefault="00CE7F22">
            <w:pPr>
              <w:spacing w:line="360" w:lineRule="auto"/>
              <w:jc w:val="both"/>
            </w:pPr>
            <w:r>
              <w:t>£94,968</w:t>
            </w:r>
          </w:p>
        </w:tc>
        <w:tc>
          <w:tcPr>
            <w:tcW w:w="900" w:type="dxa"/>
            <w:shd w:val="clear" w:color="auto" w:fill="FFF2CC"/>
          </w:tcPr>
          <w:p w14:paraId="1EB5E0AA" w14:textId="77777777" w:rsidR="0057582C" w:rsidRDefault="00CE7F22">
            <w:pPr>
              <w:spacing w:line="360" w:lineRule="auto"/>
              <w:jc w:val="both"/>
            </w:pPr>
            <w:r>
              <w:t>£6,891</w:t>
            </w:r>
          </w:p>
        </w:tc>
        <w:tc>
          <w:tcPr>
            <w:tcW w:w="1000" w:type="dxa"/>
            <w:shd w:val="clear" w:color="auto" w:fill="FFF2CC"/>
          </w:tcPr>
          <w:p w14:paraId="4278A0CA" w14:textId="77777777" w:rsidR="0057582C" w:rsidRDefault="00CE7F22">
            <w:pPr>
              <w:spacing w:line="360" w:lineRule="auto"/>
              <w:jc w:val="both"/>
            </w:pPr>
            <w:r>
              <w:t>14</w:t>
            </w:r>
          </w:p>
        </w:tc>
        <w:tc>
          <w:tcPr>
            <w:tcW w:w="1200" w:type="dxa"/>
            <w:shd w:val="clear" w:color="auto" w:fill="FFF2CC"/>
          </w:tcPr>
          <w:p w14:paraId="28BD46B7" w14:textId="77777777" w:rsidR="0057582C" w:rsidRDefault="00CE7F22">
            <w:pPr>
              <w:spacing w:line="360" w:lineRule="auto"/>
              <w:jc w:val="both"/>
            </w:pPr>
            <w:r>
              <w:t>£1,378</w:t>
            </w:r>
          </w:p>
        </w:tc>
        <w:tc>
          <w:tcPr>
            <w:tcW w:w="1200" w:type="dxa"/>
            <w:shd w:val="clear" w:color="auto" w:fill="FFF2CC"/>
          </w:tcPr>
          <w:p w14:paraId="004EB273" w14:textId="77777777" w:rsidR="0057582C" w:rsidRDefault="00CE7F22">
            <w:pPr>
              <w:spacing w:line="360" w:lineRule="auto"/>
              <w:jc w:val="both"/>
            </w:pPr>
            <w:r>
              <w:t>£1,564</w:t>
            </w:r>
          </w:p>
        </w:tc>
        <w:tc>
          <w:tcPr>
            <w:tcW w:w="1300" w:type="dxa"/>
            <w:shd w:val="clear" w:color="auto" w:fill="FFF2CC"/>
          </w:tcPr>
          <w:p w14:paraId="6620A2B1" w14:textId="77777777" w:rsidR="0057582C" w:rsidRDefault="00CE7F22">
            <w:pPr>
              <w:spacing w:line="360" w:lineRule="auto"/>
              <w:jc w:val="both"/>
            </w:pPr>
            <w:r>
              <w:t>£1,278–£1,851</w:t>
            </w:r>
          </w:p>
        </w:tc>
      </w:tr>
      <w:tr w:rsidR="0057582C" w14:paraId="17FD0449" w14:textId="77777777">
        <w:tc>
          <w:tcPr>
            <w:tcW w:w="1600" w:type="dxa"/>
            <w:shd w:val="clear" w:color="auto" w:fill="FCE4D6"/>
          </w:tcPr>
          <w:p w14:paraId="79B90A84" w14:textId="77777777" w:rsidR="0057582C" w:rsidRDefault="00CE7F22">
            <w:pPr>
              <w:spacing w:line="360" w:lineRule="auto"/>
              <w:jc w:val="both"/>
            </w:pPr>
            <w:r>
              <w:rPr>
                <w:b/>
                <w:bCs/>
              </w:rPr>
              <w:t>Tier 5 — Dormant (Excl.)</w:t>
            </w:r>
          </w:p>
        </w:tc>
        <w:tc>
          <w:tcPr>
            <w:tcW w:w="800" w:type="dxa"/>
            <w:shd w:val="clear" w:color="auto" w:fill="FCE4D6"/>
          </w:tcPr>
          <w:p w14:paraId="4AD56296" w14:textId="77777777" w:rsidR="0057582C" w:rsidRDefault="00CE7F22">
            <w:pPr>
              <w:spacing w:line="360" w:lineRule="auto"/>
              <w:jc w:val="both"/>
            </w:pPr>
            <w:r>
              <w:t>661</w:t>
            </w:r>
          </w:p>
        </w:tc>
        <w:tc>
          <w:tcPr>
            <w:tcW w:w="1200" w:type="dxa"/>
            <w:shd w:val="clear" w:color="auto" w:fill="FCE4D6"/>
          </w:tcPr>
          <w:p w14:paraId="7733FF69" w14:textId="77777777" w:rsidR="0057582C" w:rsidRDefault="00CE7F22">
            <w:pPr>
              <w:spacing w:line="360" w:lineRule="auto"/>
              <w:jc w:val="both"/>
            </w:pPr>
            <w:r>
              <w:t>£195,344</w:t>
            </w:r>
          </w:p>
        </w:tc>
        <w:tc>
          <w:tcPr>
            <w:tcW w:w="900" w:type="dxa"/>
            <w:shd w:val="clear" w:color="auto" w:fill="FCE4D6"/>
          </w:tcPr>
          <w:p w14:paraId="20DA6711" w14:textId="77777777" w:rsidR="0057582C" w:rsidRDefault="00CE7F22">
            <w:pPr>
              <w:spacing w:line="360" w:lineRule="auto"/>
              <w:jc w:val="both"/>
            </w:pPr>
            <w:r>
              <w:t>—</w:t>
            </w:r>
          </w:p>
        </w:tc>
        <w:tc>
          <w:tcPr>
            <w:tcW w:w="1000" w:type="dxa"/>
            <w:shd w:val="clear" w:color="auto" w:fill="FCE4D6"/>
          </w:tcPr>
          <w:p w14:paraId="75B0BDD5" w14:textId="77777777" w:rsidR="0057582C" w:rsidRDefault="00CE7F22">
            <w:pPr>
              <w:spacing w:line="360" w:lineRule="auto"/>
              <w:jc w:val="both"/>
            </w:pPr>
            <w:r>
              <w:t>0</w:t>
            </w:r>
          </w:p>
        </w:tc>
        <w:tc>
          <w:tcPr>
            <w:tcW w:w="1200" w:type="dxa"/>
            <w:shd w:val="clear" w:color="auto" w:fill="FCE4D6"/>
          </w:tcPr>
          <w:p w14:paraId="186F793C" w14:textId="77777777" w:rsidR="0057582C" w:rsidRDefault="00CE7F22">
            <w:pPr>
              <w:spacing w:line="360" w:lineRule="auto"/>
              <w:jc w:val="both"/>
            </w:pPr>
            <w:r>
              <w:t>£1,977 (counterfactual)</w:t>
            </w:r>
          </w:p>
        </w:tc>
        <w:tc>
          <w:tcPr>
            <w:tcW w:w="1200" w:type="dxa"/>
            <w:shd w:val="clear" w:color="auto" w:fill="FCE4D6"/>
          </w:tcPr>
          <w:p w14:paraId="078AB929" w14:textId="77777777" w:rsidR="0057582C" w:rsidRDefault="00CE7F22">
            <w:pPr>
              <w:spacing w:line="360" w:lineRule="auto"/>
              <w:jc w:val="both"/>
            </w:pPr>
            <w:r>
              <w:rPr>
                <w:b/>
                <w:bCs/>
              </w:rPr>
              <w:t>—</w:t>
            </w:r>
          </w:p>
        </w:tc>
        <w:tc>
          <w:tcPr>
            <w:tcW w:w="1300" w:type="dxa"/>
            <w:shd w:val="clear" w:color="auto" w:fill="FCE4D6"/>
          </w:tcPr>
          <w:p w14:paraId="6FEDFC82" w14:textId="77777777" w:rsidR="0057582C" w:rsidRDefault="00CE7F22">
            <w:pPr>
              <w:spacing w:line="360" w:lineRule="auto"/>
              <w:jc w:val="both"/>
            </w:pPr>
            <w:r>
              <w:t>Excl.</w:t>
            </w:r>
          </w:p>
        </w:tc>
      </w:tr>
    </w:tbl>
    <w:p w14:paraId="609A1E23" w14:textId="77777777" w:rsidR="0057582C" w:rsidRDefault="00CE7F22">
      <w:pPr>
        <w:spacing w:before="120" w:after="120" w:line="360" w:lineRule="auto"/>
        <w:jc w:val="both"/>
      </w:pPr>
      <w:r>
        <w:t>Table 1</w:t>
      </w:r>
      <w:r>
        <w:rPr>
          <w:lang w:val="en-US"/>
        </w:rPr>
        <w:t>2</w:t>
      </w:r>
      <w:r>
        <w:t xml:space="preserve"> presents both deterministic EOQ and Monte Carlo stochastic results; Figure 12 visualises the cost distributions and stockout rates across tiers. The deterministic EOQ total across four active tiers is £21,758. The Monte Carlo simulation (N=1,000 runs per tier; demand ∼ </w:t>
      </w:r>
      <w:proofErr w:type="gramStart"/>
      <w:r>
        <w:t>Normal(</w:t>
      </w:r>
      <w:proofErr w:type="gramEnd"/>
      <w:r>
        <w:t>μ, 0.15μ); lead time ∼ Normal(7, 2) days) yields a mean total of £19,145, with 90% confidence intervals reflecting demand and lead time uncertainty. Tier 1 VIP Champions show the highest stockout risk (40%) under a pure EOQ policy, indicating that a safety stock uplift is required to achieve the 95% service level target — a direct operational recommendation for the VIP segment. Tiers 3 and 4 achieve stockout rates of 1.0% and 0.3% respectively, confirming that standard (</w:t>
      </w:r>
      <w:proofErr w:type="gramStart"/>
      <w:r>
        <w:t>R,Q</w:t>
      </w:r>
      <w:proofErr w:type="gramEnd"/>
      <w:r>
        <w:t>) policies are adequate. Excluding Tier 5 dormant customers saves an estimated £1,977 annually.</w:t>
      </w:r>
    </w:p>
    <w:p w14:paraId="138318B5" w14:textId="77777777" w:rsidR="0057582C" w:rsidRDefault="00CE7F22">
      <w:pPr>
        <w:spacing w:before="120" w:after="120" w:line="360" w:lineRule="auto"/>
        <w:jc w:val="both"/>
      </w:pPr>
      <w:r>
        <w:t>Combining the DM test results (Table 10) with the EOQ simulation, Table 12 presents the complete hybrid forecasting and inventory decision rule linking each tier to its recommended model, replenishment cycle, and inventory action. This is the primary operational contribution of the study.</w:t>
      </w:r>
    </w:p>
    <w:p w14:paraId="27579220" w14:textId="77777777" w:rsidR="0057582C" w:rsidRDefault="00CE7F22">
      <w:pPr>
        <w:spacing w:before="120" w:after="60" w:line="360" w:lineRule="auto"/>
        <w:jc w:val="both"/>
      </w:pPr>
      <w:r>
        <w:rPr>
          <w:noProof/>
        </w:rPr>
        <w:lastRenderedPageBreak/>
        <w:drawing>
          <wp:inline distT="0" distB="0" distL="0" distR="0" wp14:anchorId="3EE867AD" wp14:editId="6CF8E647">
            <wp:extent cx="5999480" cy="2302273"/>
            <wp:effectExtent l="0" t="0" r="1270" b="3175"/>
            <wp:docPr id="14" name="Figur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14"/>
                    <pic:cNvPicPr>
                      <a:picLocks noChangeAspect="1"/>
                    </pic:cNvPicPr>
                  </pic:nvPicPr>
                  <pic:blipFill rotWithShape="1">
                    <a:blip r:embed="rId22"/>
                    <a:srcRect t="7901"/>
                    <a:stretch>
                      <a:fillRect/>
                    </a:stretch>
                  </pic:blipFill>
                  <pic:spPr bwMode="auto">
                    <a:xfrm>
                      <a:off x="0" y="0"/>
                      <a:ext cx="6000000" cy="2302473"/>
                    </a:xfrm>
                    <a:prstGeom prst="rect">
                      <a:avLst/>
                    </a:prstGeom>
                    <a:ln>
                      <a:noFill/>
                    </a:ln>
                    <a:extLst>
                      <a:ext uri="{53640926-AAD7-44D8-BBD7-CCE9431645EC}">
                        <a14:shadowObscured xmlns:a14="http://schemas.microsoft.com/office/drawing/2010/main"/>
                      </a:ext>
                    </a:extLst>
                  </pic:spPr>
                </pic:pic>
              </a:graphicData>
            </a:graphic>
          </wp:inline>
        </w:drawing>
      </w:r>
    </w:p>
    <w:p w14:paraId="658D9C35" w14:textId="6FE8CE23" w:rsidR="0057582C" w:rsidRDefault="00CE7F22">
      <w:pPr>
        <w:spacing w:before="120" w:after="60" w:line="360" w:lineRule="auto"/>
        <w:jc w:val="both"/>
      </w:pPr>
      <w:r>
        <w:rPr>
          <w:b/>
          <w:bCs/>
        </w:rPr>
        <w:t>Figure 1</w:t>
      </w:r>
      <w:r w:rsidR="00B26A1B">
        <w:rPr>
          <w:b/>
          <w:bCs/>
        </w:rPr>
        <w:t>3</w:t>
      </w:r>
      <w:r>
        <w:rPr>
          <w:b/>
          <w:bCs/>
        </w:rPr>
        <w:t>: EOQ Sensitivity Analysis — Total annual cost for Tiers 1 and 2 as a function of ordering cost S (left) and holding rate h (right). The base case (S=£50, h=20%) is shown with a dotted reference line.</w:t>
      </w:r>
    </w:p>
    <w:p w14:paraId="04AE7B25" w14:textId="77777777" w:rsidR="0057582C" w:rsidRDefault="00CE7F22">
      <w:pPr>
        <w:spacing w:before="180" w:after="80" w:line="360" w:lineRule="auto"/>
        <w:jc w:val="both"/>
      </w:pPr>
      <w:r>
        <w:rPr>
          <w:b/>
          <w:bCs/>
        </w:rPr>
        <w:t>Table 1</w:t>
      </w:r>
      <w:r>
        <w:rPr>
          <w:b/>
          <w:bCs/>
          <w:lang w:val="en-US"/>
        </w:rPr>
        <w:t>3</w:t>
      </w:r>
      <w:r>
        <w:rPr>
          <w:b/>
          <w:bCs/>
        </w:rPr>
        <w:t>: Hybrid Forecasting and Inventory Decision Rule. Model selection reflects the proper DM test finding (Table 10): auto-ARIMA is the correct default for all tiers with 12-month training windows; Prophet is preferred when 24+ months of transaction data accumulate. DM test: 1 cluster significantly different (p&lt;0.05); 24 clusters no significant difference.</w:t>
      </w:r>
    </w:p>
    <w:tbl>
      <w:tblPr>
        <w:tblW w:w="75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1390"/>
        <w:gridCol w:w="2376"/>
        <w:gridCol w:w="1416"/>
        <w:gridCol w:w="1576"/>
        <w:gridCol w:w="1643"/>
      </w:tblGrid>
      <w:tr w:rsidR="0057582C" w14:paraId="5778B1EE" w14:textId="77777777">
        <w:trPr>
          <w:tblHeader/>
        </w:trPr>
        <w:tc>
          <w:tcPr>
            <w:tcW w:w="1400" w:type="dxa"/>
            <w:shd w:val="clear" w:color="auto" w:fill="DEEAF1"/>
          </w:tcPr>
          <w:p w14:paraId="34B6DE68" w14:textId="77777777" w:rsidR="0057582C" w:rsidRDefault="00CE7F22">
            <w:pPr>
              <w:spacing w:line="360" w:lineRule="auto"/>
              <w:jc w:val="both"/>
            </w:pPr>
            <w:r>
              <w:rPr>
                <w:b/>
                <w:bCs/>
              </w:rPr>
              <w:t>Tier</w:t>
            </w:r>
          </w:p>
        </w:tc>
        <w:tc>
          <w:tcPr>
            <w:tcW w:w="1200" w:type="dxa"/>
            <w:shd w:val="clear" w:color="auto" w:fill="DEEAF1"/>
          </w:tcPr>
          <w:p w14:paraId="667F1CD0" w14:textId="77777777" w:rsidR="0057582C" w:rsidRDefault="00CE7F22">
            <w:pPr>
              <w:spacing w:line="360" w:lineRule="auto"/>
              <w:jc w:val="both"/>
            </w:pPr>
            <w:r>
              <w:rPr>
                <w:b/>
                <w:bCs/>
              </w:rPr>
              <w:t>Clusters</w:t>
            </w:r>
          </w:p>
        </w:tc>
        <w:tc>
          <w:tcPr>
            <w:tcW w:w="1500" w:type="dxa"/>
            <w:shd w:val="clear" w:color="auto" w:fill="DEEAF1"/>
          </w:tcPr>
          <w:p w14:paraId="35813A05" w14:textId="77777777" w:rsidR="0057582C" w:rsidRDefault="00CE7F22">
            <w:pPr>
              <w:spacing w:line="360" w:lineRule="auto"/>
              <w:jc w:val="both"/>
            </w:pPr>
            <w:r>
              <w:rPr>
                <w:b/>
                <w:bCs/>
              </w:rPr>
              <w:t>Forecasting Model</w:t>
            </w:r>
          </w:p>
        </w:tc>
        <w:tc>
          <w:tcPr>
            <w:tcW w:w="1400" w:type="dxa"/>
            <w:shd w:val="clear" w:color="auto" w:fill="DEEAF1"/>
          </w:tcPr>
          <w:p w14:paraId="399B9F38" w14:textId="77777777" w:rsidR="0057582C" w:rsidRDefault="00CE7F22">
            <w:pPr>
              <w:spacing w:line="360" w:lineRule="auto"/>
              <w:jc w:val="both"/>
            </w:pPr>
            <w:r>
              <w:rPr>
                <w:b/>
                <w:bCs/>
              </w:rPr>
              <w:t>EOQ Policy</w:t>
            </w:r>
          </w:p>
        </w:tc>
        <w:tc>
          <w:tcPr>
            <w:tcW w:w="2000" w:type="dxa"/>
            <w:shd w:val="clear" w:color="auto" w:fill="DEEAF1"/>
          </w:tcPr>
          <w:p w14:paraId="2237F32C" w14:textId="77777777" w:rsidR="0057582C" w:rsidRDefault="00CE7F22">
            <w:pPr>
              <w:spacing w:line="360" w:lineRule="auto"/>
              <w:jc w:val="both"/>
            </w:pPr>
            <w:r>
              <w:rPr>
                <w:b/>
                <w:bCs/>
              </w:rPr>
              <w:t>Inventory Action</w:t>
            </w:r>
          </w:p>
        </w:tc>
      </w:tr>
      <w:tr w:rsidR="0057582C" w14:paraId="3AF276A4" w14:textId="77777777">
        <w:tc>
          <w:tcPr>
            <w:tcW w:w="1400" w:type="dxa"/>
            <w:shd w:val="clear" w:color="auto" w:fill="E2EFDA"/>
          </w:tcPr>
          <w:p w14:paraId="4C4ED439" w14:textId="77777777" w:rsidR="0057582C" w:rsidRDefault="00CE7F22">
            <w:pPr>
              <w:spacing w:line="360" w:lineRule="auto"/>
              <w:jc w:val="both"/>
            </w:pPr>
            <w:r>
              <w:rPr>
                <w:b/>
                <w:bCs/>
              </w:rPr>
              <w:t>Tier 1 — VIP Champions</w:t>
            </w:r>
          </w:p>
        </w:tc>
        <w:tc>
          <w:tcPr>
            <w:tcW w:w="1200" w:type="dxa"/>
            <w:shd w:val="clear" w:color="auto" w:fill="E2EFDA"/>
          </w:tcPr>
          <w:p w14:paraId="0730639B" w14:textId="77777777" w:rsidR="0057582C" w:rsidRDefault="00CE7F22">
            <w:pPr>
              <w:spacing w:line="360" w:lineRule="auto"/>
              <w:jc w:val="both"/>
            </w:pPr>
            <w:r>
              <w:t>20, 3, 7, 21</w:t>
            </w:r>
          </w:p>
        </w:tc>
        <w:tc>
          <w:tcPr>
            <w:tcW w:w="1500" w:type="dxa"/>
            <w:shd w:val="clear" w:color="auto" w:fill="E2EFDA"/>
          </w:tcPr>
          <w:p w14:paraId="6669DD11" w14:textId="77777777" w:rsidR="0057582C" w:rsidRDefault="00CE7F22">
            <w:pPr>
              <w:spacing w:line="360" w:lineRule="auto"/>
              <w:jc w:val="both"/>
            </w:pPr>
            <w:r>
              <w:rPr>
                <w:b/>
                <w:bCs/>
              </w:rPr>
              <w:t>auto-ARIMA (Prophet: 24+ mo.)</w:t>
            </w:r>
          </w:p>
        </w:tc>
        <w:tc>
          <w:tcPr>
            <w:tcW w:w="1400" w:type="dxa"/>
            <w:shd w:val="clear" w:color="auto" w:fill="E2EFDA"/>
          </w:tcPr>
          <w:p w14:paraId="0652B204" w14:textId="77777777" w:rsidR="0057582C" w:rsidRDefault="00CE7F22">
            <w:pPr>
              <w:spacing w:line="360" w:lineRule="auto"/>
              <w:jc w:val="both"/>
            </w:pPr>
            <w:r>
              <w:t>Weekly replenishment</w:t>
            </w:r>
          </w:p>
        </w:tc>
        <w:tc>
          <w:tcPr>
            <w:tcW w:w="2000" w:type="dxa"/>
            <w:shd w:val="clear" w:color="auto" w:fill="E2EFDA"/>
          </w:tcPr>
          <w:p w14:paraId="2D83F8F4" w14:textId="77777777" w:rsidR="0057582C" w:rsidRDefault="00CE7F22">
            <w:pPr>
              <w:spacing w:line="360" w:lineRule="auto"/>
              <w:jc w:val="both"/>
            </w:pPr>
            <w:r>
              <w:t>Safety stock uplift required (40% stockout under base EOQ)</w:t>
            </w:r>
          </w:p>
        </w:tc>
      </w:tr>
      <w:tr w:rsidR="0057582C" w14:paraId="0D0F1A4A" w14:textId="77777777">
        <w:tc>
          <w:tcPr>
            <w:tcW w:w="1400" w:type="dxa"/>
          </w:tcPr>
          <w:p w14:paraId="02BE4ECB" w14:textId="77777777" w:rsidR="0057582C" w:rsidRDefault="00CE7F22">
            <w:pPr>
              <w:spacing w:line="360" w:lineRule="auto"/>
              <w:jc w:val="both"/>
            </w:pPr>
            <w:r>
              <w:t>Tier 2 — Loyal Actives</w:t>
            </w:r>
          </w:p>
        </w:tc>
        <w:tc>
          <w:tcPr>
            <w:tcW w:w="1200" w:type="dxa"/>
          </w:tcPr>
          <w:p w14:paraId="59E173B9" w14:textId="77777777" w:rsidR="0057582C" w:rsidRDefault="00CE7F22">
            <w:pPr>
              <w:spacing w:line="360" w:lineRule="auto"/>
              <w:jc w:val="both"/>
            </w:pPr>
            <w:r>
              <w:t>1,2,5,6,10,11,15,16,23</w:t>
            </w:r>
          </w:p>
        </w:tc>
        <w:tc>
          <w:tcPr>
            <w:tcW w:w="1500" w:type="dxa"/>
          </w:tcPr>
          <w:p w14:paraId="39215FF8" w14:textId="77777777" w:rsidR="0057582C" w:rsidRDefault="00CE7F22">
            <w:pPr>
              <w:spacing w:line="360" w:lineRule="auto"/>
              <w:jc w:val="both"/>
            </w:pPr>
            <w:r>
              <w:t>auto-ARIMA (Prophet: 24+ mo.)</w:t>
            </w:r>
          </w:p>
        </w:tc>
        <w:tc>
          <w:tcPr>
            <w:tcW w:w="1400" w:type="dxa"/>
          </w:tcPr>
          <w:p w14:paraId="506B7CD1" w14:textId="77777777" w:rsidR="0057582C" w:rsidRDefault="00CE7F22">
            <w:pPr>
              <w:spacing w:line="360" w:lineRule="auto"/>
              <w:jc w:val="both"/>
            </w:pPr>
            <w:r>
              <w:t>Rolling 3-month cycles</w:t>
            </w:r>
          </w:p>
        </w:tc>
        <w:tc>
          <w:tcPr>
            <w:tcW w:w="2000" w:type="dxa"/>
          </w:tcPr>
          <w:p w14:paraId="46A041F4" w14:textId="77777777" w:rsidR="0057582C" w:rsidRDefault="00CE7F22">
            <w:pPr>
              <w:spacing w:line="360" w:lineRule="auto"/>
              <w:jc w:val="both"/>
            </w:pPr>
            <w:r>
              <w:t>Segment replenishment; retention campaigns</w:t>
            </w:r>
          </w:p>
        </w:tc>
      </w:tr>
      <w:tr w:rsidR="0057582C" w14:paraId="3CA3D9C5" w14:textId="77777777">
        <w:tc>
          <w:tcPr>
            <w:tcW w:w="1400" w:type="dxa"/>
          </w:tcPr>
          <w:p w14:paraId="17704AE6" w14:textId="77777777" w:rsidR="0057582C" w:rsidRDefault="00CE7F22">
            <w:pPr>
              <w:spacing w:line="360" w:lineRule="auto"/>
              <w:jc w:val="both"/>
            </w:pPr>
            <w:r>
              <w:lastRenderedPageBreak/>
              <w:t>Tier 3 — Moderate Buyers</w:t>
            </w:r>
          </w:p>
        </w:tc>
        <w:tc>
          <w:tcPr>
            <w:tcW w:w="1200" w:type="dxa"/>
          </w:tcPr>
          <w:p w14:paraId="49F60E01" w14:textId="77777777" w:rsidR="0057582C" w:rsidRDefault="00CE7F22">
            <w:pPr>
              <w:spacing w:line="360" w:lineRule="auto"/>
              <w:jc w:val="both"/>
            </w:pPr>
            <w:r>
              <w:t>0,4,8,9,12,13,18</w:t>
            </w:r>
          </w:p>
        </w:tc>
        <w:tc>
          <w:tcPr>
            <w:tcW w:w="1500" w:type="dxa"/>
          </w:tcPr>
          <w:p w14:paraId="7F841BE5" w14:textId="77777777" w:rsidR="0057582C" w:rsidRDefault="00CE7F22">
            <w:pPr>
              <w:spacing w:line="360" w:lineRule="auto"/>
              <w:jc w:val="both"/>
            </w:pPr>
            <w:r>
              <w:t>auto-ARIMA (Prophet: 24+ mo.)</w:t>
            </w:r>
          </w:p>
        </w:tc>
        <w:tc>
          <w:tcPr>
            <w:tcW w:w="1400" w:type="dxa"/>
          </w:tcPr>
          <w:p w14:paraId="0A2F10BD" w14:textId="77777777" w:rsidR="0057582C" w:rsidRDefault="00CE7F22">
            <w:pPr>
              <w:spacing w:line="360" w:lineRule="auto"/>
              <w:jc w:val="both"/>
            </w:pPr>
            <w:r>
              <w:t>Standard monthly</w:t>
            </w:r>
          </w:p>
        </w:tc>
        <w:tc>
          <w:tcPr>
            <w:tcW w:w="2000" w:type="dxa"/>
          </w:tcPr>
          <w:p w14:paraId="4AA1CF8B" w14:textId="77777777" w:rsidR="0057582C" w:rsidRDefault="00CE7F22">
            <w:pPr>
              <w:spacing w:line="360" w:lineRule="auto"/>
              <w:jc w:val="both"/>
            </w:pPr>
            <w:r>
              <w:t>Standard EOQ cycles; stockout rate 1.0%</w:t>
            </w:r>
          </w:p>
        </w:tc>
      </w:tr>
      <w:tr w:rsidR="0057582C" w14:paraId="4968310C" w14:textId="77777777">
        <w:tc>
          <w:tcPr>
            <w:tcW w:w="1400" w:type="dxa"/>
            <w:shd w:val="clear" w:color="auto" w:fill="FFF2CC"/>
          </w:tcPr>
          <w:p w14:paraId="74E61EF9" w14:textId="77777777" w:rsidR="0057582C" w:rsidRDefault="00CE7F22">
            <w:pPr>
              <w:spacing w:line="360" w:lineRule="auto"/>
              <w:jc w:val="both"/>
            </w:pPr>
            <w:r>
              <w:t>Tier 4 — At-Risk</w:t>
            </w:r>
          </w:p>
        </w:tc>
        <w:tc>
          <w:tcPr>
            <w:tcW w:w="1200" w:type="dxa"/>
            <w:shd w:val="clear" w:color="auto" w:fill="FFF2CC"/>
          </w:tcPr>
          <w:p w14:paraId="3B3F3071" w14:textId="77777777" w:rsidR="0057582C" w:rsidRDefault="00CE7F22">
            <w:pPr>
              <w:spacing w:line="360" w:lineRule="auto"/>
              <w:jc w:val="both"/>
            </w:pPr>
            <w:r>
              <w:t>14, 17, 22</w:t>
            </w:r>
          </w:p>
        </w:tc>
        <w:tc>
          <w:tcPr>
            <w:tcW w:w="1500" w:type="dxa"/>
            <w:shd w:val="clear" w:color="auto" w:fill="FFF2CC"/>
          </w:tcPr>
          <w:p w14:paraId="02322DCE" w14:textId="77777777" w:rsidR="0057582C" w:rsidRDefault="00CE7F22">
            <w:pPr>
              <w:spacing w:line="360" w:lineRule="auto"/>
              <w:jc w:val="both"/>
            </w:pPr>
            <w:r>
              <w:t>auto-ARIMA (Prophet: 24+ mo.)</w:t>
            </w:r>
          </w:p>
        </w:tc>
        <w:tc>
          <w:tcPr>
            <w:tcW w:w="1400" w:type="dxa"/>
            <w:shd w:val="clear" w:color="auto" w:fill="FFF2CC"/>
          </w:tcPr>
          <w:p w14:paraId="5A13E7A4" w14:textId="77777777" w:rsidR="0057582C" w:rsidRDefault="00CE7F22">
            <w:pPr>
              <w:spacing w:line="360" w:lineRule="auto"/>
              <w:jc w:val="both"/>
            </w:pPr>
            <w:r>
              <w:t>Minimal replenishment</w:t>
            </w:r>
          </w:p>
        </w:tc>
        <w:tc>
          <w:tcPr>
            <w:tcW w:w="2000" w:type="dxa"/>
            <w:shd w:val="clear" w:color="auto" w:fill="FFF2CC"/>
          </w:tcPr>
          <w:p w14:paraId="48AA5413" w14:textId="77777777" w:rsidR="0057582C" w:rsidRDefault="00CE7F22">
            <w:pPr>
              <w:spacing w:line="360" w:lineRule="auto"/>
              <w:jc w:val="both"/>
            </w:pPr>
            <w:r>
              <w:t>Reduce stock; reactivation campaigns</w:t>
            </w:r>
          </w:p>
        </w:tc>
      </w:tr>
      <w:tr w:rsidR="0057582C" w14:paraId="5207B510" w14:textId="77777777">
        <w:tc>
          <w:tcPr>
            <w:tcW w:w="1400" w:type="dxa"/>
            <w:shd w:val="clear" w:color="auto" w:fill="FCE4D6"/>
          </w:tcPr>
          <w:p w14:paraId="3D2E7286" w14:textId="77777777" w:rsidR="0057582C" w:rsidRDefault="00CE7F22">
            <w:pPr>
              <w:spacing w:line="360" w:lineRule="auto"/>
              <w:jc w:val="both"/>
            </w:pPr>
            <w:r>
              <w:rPr>
                <w:b/>
                <w:bCs/>
              </w:rPr>
              <w:t>Tier 5 — Dormant</w:t>
            </w:r>
          </w:p>
        </w:tc>
        <w:tc>
          <w:tcPr>
            <w:tcW w:w="1200" w:type="dxa"/>
            <w:shd w:val="clear" w:color="auto" w:fill="FCE4D6"/>
          </w:tcPr>
          <w:p w14:paraId="39EC5E5D" w14:textId="77777777" w:rsidR="0057582C" w:rsidRDefault="00CE7F22">
            <w:pPr>
              <w:spacing w:line="360" w:lineRule="auto"/>
              <w:jc w:val="both"/>
            </w:pPr>
            <w:r>
              <w:t>19, 24</w:t>
            </w:r>
          </w:p>
        </w:tc>
        <w:tc>
          <w:tcPr>
            <w:tcW w:w="1500" w:type="dxa"/>
            <w:shd w:val="clear" w:color="auto" w:fill="FCE4D6"/>
          </w:tcPr>
          <w:p w14:paraId="3BECEDE7" w14:textId="77777777" w:rsidR="0057582C" w:rsidRDefault="00CE7F22">
            <w:pPr>
              <w:spacing w:line="360" w:lineRule="auto"/>
              <w:jc w:val="both"/>
            </w:pPr>
            <w:r>
              <w:rPr>
                <w:b/>
                <w:bCs/>
              </w:rPr>
              <w:t>Exclude</w:t>
            </w:r>
          </w:p>
        </w:tc>
        <w:tc>
          <w:tcPr>
            <w:tcW w:w="1400" w:type="dxa"/>
            <w:shd w:val="clear" w:color="auto" w:fill="FCE4D6"/>
          </w:tcPr>
          <w:p w14:paraId="0B6F81C6" w14:textId="77777777" w:rsidR="0057582C" w:rsidRDefault="00CE7F22">
            <w:pPr>
              <w:spacing w:line="360" w:lineRule="auto"/>
              <w:jc w:val="both"/>
            </w:pPr>
            <w:r>
              <w:t>No replenishment</w:t>
            </w:r>
          </w:p>
        </w:tc>
        <w:tc>
          <w:tcPr>
            <w:tcW w:w="2000" w:type="dxa"/>
            <w:shd w:val="clear" w:color="auto" w:fill="FCE4D6"/>
          </w:tcPr>
          <w:p w14:paraId="4FD24E03" w14:textId="77777777" w:rsidR="0057582C" w:rsidRDefault="00CE7F22">
            <w:pPr>
              <w:spacing w:line="360" w:lineRule="auto"/>
              <w:jc w:val="both"/>
            </w:pPr>
            <w:r>
              <w:t>Exclude entirely; £1,977/yr saved</w:t>
            </w:r>
          </w:p>
        </w:tc>
      </w:tr>
    </w:tbl>
    <w:p w14:paraId="0CB9F6D7" w14:textId="77777777" w:rsidR="0057582C" w:rsidRDefault="0057582C">
      <w:pPr>
        <w:spacing w:before="120" w:after="120" w:line="360" w:lineRule="auto"/>
        <w:jc w:val="both"/>
      </w:pPr>
    </w:p>
    <w:p w14:paraId="553F4948" w14:textId="77777777" w:rsidR="0057582C" w:rsidRDefault="00CE7F22">
      <w:pPr>
        <w:spacing w:before="120" w:after="120" w:line="360" w:lineRule="auto"/>
        <w:jc w:val="both"/>
      </w:pPr>
      <w:r>
        <w:t>Table 1</w:t>
      </w:r>
      <w:r>
        <w:rPr>
          <w:lang w:val="en-US"/>
        </w:rPr>
        <w:t>3</w:t>
      </w:r>
      <w:r>
        <w:t xml:space="preserve"> constitutes a novel, statistically grounded decision framework. No prior study has derived a tier-linked model selection rule from DM-test results on RFM customer segments and connected it to quantified inventory cost estimates. Prophet is the default model for Tiers 1, 2, and 4. ARIMA is used for Clusters 10, 12, and 16 where the DM test confirms its superiority (p &lt; 0.001). Tier 5 is excluded from all replenishment modelling, producing a measurable annual cost saving.</w:t>
      </w:r>
    </w:p>
    <w:p w14:paraId="77EB2B51" w14:textId="77777777" w:rsidR="0057582C" w:rsidRDefault="00CE7F22">
      <w:pPr>
        <w:spacing w:before="120" w:after="120" w:line="360" w:lineRule="auto"/>
        <w:jc w:val="both"/>
      </w:pPr>
      <w:r>
        <w:rPr>
          <w:b/>
          <w:bCs/>
        </w:rPr>
        <w:t>Statistical Validation: Proper Diebold-Mariano Test (HAC, Full CV Residuals)</w:t>
      </w:r>
    </w:p>
    <w:p w14:paraId="13E9AC4D" w14:textId="77777777" w:rsidR="0057582C" w:rsidRDefault="00CE7F22">
      <w:pPr>
        <w:spacing w:before="120" w:after="120" w:line="360" w:lineRule="auto"/>
        <w:jc w:val="both"/>
      </w:pPr>
      <w:r>
        <w:t>To formally evaluate whether Prophet's forecasting advantage over ARIMA is statistically significant rather than a result of sampling variation, the Diebold-Mariano (DM) test (Diebold and Mariano, 1995) was applied to the 18 SOM clusters for which evaluation metrics from both models were available. The DM test is a non-parametric test of equal predictive accuracy that makes no assumptions about the underlying distribution of forecast errors. Under the null hypothesis H₀: E[</w:t>
      </w:r>
      <w:proofErr w:type="spellStart"/>
      <w:r>
        <w:t>d_t</w:t>
      </w:r>
      <w:proofErr w:type="spellEnd"/>
      <w:r>
        <w:t xml:space="preserve">] = 0, where </w:t>
      </w:r>
      <w:proofErr w:type="spellStart"/>
      <w:r>
        <w:t>d_t</w:t>
      </w:r>
      <w:proofErr w:type="spellEnd"/>
      <w:r>
        <w:t xml:space="preserve"> = L(e²_</w:t>
      </w:r>
      <w:proofErr w:type="gramStart"/>
      <w:r>
        <w:t>Prophet,t</w:t>
      </w:r>
      <w:proofErr w:type="gramEnd"/>
      <w:r>
        <w:t xml:space="preserve">) − L(e²_ARIMA,t) is the loss differential between the two models at time t and L(·) denotes the squared error loss function, the DM statistic is asymptotically standard normal. A negative DM statistic indicates that Prophet produces smaller squared errors on average; a p-value below 0.05 rejects the null of equal accuracy in favour of Prophet. The DM </w:t>
      </w:r>
      <w:r>
        <w:lastRenderedPageBreak/>
        <w:t>test is implemented using the full cross-validated forecast error series (3 hold-out observations per cluster from walk-forward validation), with HAC (Newey-West) long-run variance estimation and the Harvey et al. (1997) small-sample correction applied throughout. Auto-ARIMA with AIC-based order selection (</w:t>
      </w:r>
      <w:proofErr w:type="spellStart"/>
      <w:r>
        <w:t>pmdarima</w:t>
      </w:r>
      <w:proofErr w:type="spellEnd"/>
      <w:r>
        <w:t xml:space="preserve">, non-seasonal specification appropriate for n=12 monthly observations) serves as the comparison model. The selected ARIMA orders range from </w:t>
      </w:r>
      <w:proofErr w:type="gramStart"/>
      <w:r>
        <w:t>ARIMA(</w:t>
      </w:r>
      <w:proofErr w:type="gramEnd"/>
      <w:r>
        <w:t>0,0,0) for the most stationary clusters to ARIMA(2,0,1) for clusters with more complex autoregressive structure.</w:t>
      </w:r>
    </w:p>
    <w:p w14:paraId="0683D2C7" w14:textId="77777777" w:rsidR="0057582C" w:rsidRDefault="00CE7F22">
      <w:pPr>
        <w:spacing w:before="120" w:after="120" w:line="360" w:lineRule="auto"/>
        <w:jc w:val="both"/>
      </w:pPr>
      <w:r>
        <w:rPr>
          <w:i/>
          <w:iCs/>
        </w:rPr>
        <w:t xml:space="preserve">(13)  </w:t>
      </w:r>
      <m:oMath>
        <m:r>
          <m:rPr>
            <m:nor/>
          </m:rPr>
          <w:rPr>
            <w:i/>
          </w:rPr>
          <m:t>H</m:t>
        </m:r>
        <m:sSub>
          <m:sSubPr>
            <m:ctrlPr>
              <w:rPr>
                <w:rFonts w:ascii="Cambria Math" w:hAnsi="Cambria Math"/>
              </w:rPr>
            </m:ctrlPr>
          </m:sSubPr>
          <m:e>
            <m:r>
              <m:rPr>
                <m:nor/>
              </m:rPr>
              <m:t>0</m:t>
            </m:r>
          </m:e>
          <m:sub/>
        </m:sSub>
        <m:r>
          <m:rPr>
            <m:nor/>
          </m:rPr>
          <m:t xml:space="preserve">: </m:t>
        </m:r>
        <m:r>
          <m:rPr>
            <m:nor/>
          </m:rPr>
          <w:rPr>
            <w:i/>
          </w:rPr>
          <m:t>E</m:t>
        </m:r>
        <m:r>
          <m:rPr>
            <m:nor/>
          </m:rPr>
          <m:t>[</m:t>
        </m:r>
        <m:r>
          <m:rPr>
            <m:nor/>
          </m:rPr>
          <w:rPr>
            <w:i/>
          </w:rPr>
          <m:t>d</m:t>
        </m:r>
        <m:sSub>
          <m:sSubPr>
            <m:ctrlPr>
              <w:rPr>
                <w:rFonts w:ascii="Cambria Math" w:hAnsi="Cambria Math"/>
              </w:rPr>
            </m:ctrlPr>
          </m:sSubPr>
          <m:e/>
          <m:sub>
            <m:r>
              <m:rPr>
                <m:nor/>
              </m:rPr>
              <w:rPr>
                <w:i/>
              </w:rPr>
              <m:t>t</m:t>
            </m:r>
          </m:sub>
        </m:sSub>
        <m:r>
          <m:rPr>
            <m:nor/>
          </m:rPr>
          <m:t>] = 0</m:t>
        </m:r>
      </m:oMath>
    </w:p>
    <w:p w14:paraId="0A39D6BE" w14:textId="77777777" w:rsidR="0057582C" w:rsidRDefault="00CE7F22">
      <w:pPr>
        <w:spacing w:before="120" w:after="120" w:line="360" w:lineRule="auto"/>
        <w:jc w:val="both"/>
      </w:pPr>
      <w:r>
        <w:rPr>
          <w:i/>
          <w:iCs/>
        </w:rPr>
        <w:t xml:space="preserve">(14)  </w:t>
      </w:r>
      <m:oMath>
        <m:r>
          <m:rPr>
            <m:nor/>
          </m:rPr>
          <w:rPr>
            <w:i/>
          </w:rPr>
          <m:t>d</m:t>
        </m:r>
        <m:sSub>
          <m:sSubPr>
            <m:ctrlPr>
              <w:rPr>
                <w:rFonts w:ascii="Cambria Math" w:hAnsi="Cambria Math"/>
              </w:rPr>
            </m:ctrlPr>
          </m:sSubPr>
          <m:e/>
          <m:sub>
            <m:r>
              <m:rPr>
                <m:nor/>
              </m:rPr>
              <w:rPr>
                <w:i/>
              </w:rPr>
              <m:t>t</m:t>
            </m:r>
          </m:sub>
        </m:sSub>
        <m:r>
          <m:rPr>
            <m:nor/>
          </m:rPr>
          <m:t xml:space="preserve"> = </m:t>
        </m:r>
        <m:r>
          <m:rPr>
            <m:nor/>
          </m:rPr>
          <w:rPr>
            <w:i/>
          </w:rPr>
          <m:t>L</m:t>
        </m:r>
        <m:r>
          <m:rPr>
            <m:nor/>
          </m:rPr>
          <m:t>(</m:t>
        </m:r>
        <m:r>
          <m:rPr>
            <m:nor/>
          </m:rPr>
          <w:rPr>
            <w:i/>
          </w:rPr>
          <m:t>e</m:t>
        </m:r>
        <m:sSubSup>
          <m:sSubSupPr>
            <m:ctrlPr>
              <w:rPr>
                <w:rFonts w:ascii="Cambria Math" w:hAnsi="Cambria Math"/>
              </w:rPr>
            </m:ctrlPr>
          </m:sSubSupPr>
          <m:e/>
          <m:sub>
            <m:r>
              <m:rPr>
                <m:nor/>
              </m:rPr>
              <w:rPr>
                <w:i/>
              </w:rPr>
              <m:t>P</m:t>
            </m:r>
            <m:r>
              <m:rPr>
                <m:nor/>
              </m:rPr>
              <m:t>,</m:t>
            </m:r>
            <m:r>
              <m:rPr>
                <m:nor/>
              </m:rPr>
              <w:rPr>
                <w:i/>
              </w:rPr>
              <m:t>t</m:t>
            </m:r>
          </m:sub>
          <m:sup>
            <m:r>
              <m:rPr>
                <m:nor/>
              </m:rPr>
              <m:t>2</m:t>
            </m:r>
          </m:sup>
        </m:sSubSup>
        <m:r>
          <m:rPr>
            <m:nor/>
          </m:rPr>
          <m:t xml:space="preserve">) - </m:t>
        </m:r>
        <m:r>
          <m:rPr>
            <m:nor/>
          </m:rPr>
          <w:rPr>
            <w:i/>
          </w:rPr>
          <m:t>L</m:t>
        </m:r>
        <m:r>
          <m:rPr>
            <m:nor/>
          </m:rPr>
          <m:t>(</m:t>
        </m:r>
        <m:r>
          <m:rPr>
            <m:nor/>
          </m:rPr>
          <w:rPr>
            <w:i/>
          </w:rPr>
          <m:t>e</m:t>
        </m:r>
        <m:sSubSup>
          <m:sSubSupPr>
            <m:ctrlPr>
              <w:rPr>
                <w:rFonts w:ascii="Cambria Math" w:hAnsi="Cambria Math"/>
              </w:rPr>
            </m:ctrlPr>
          </m:sSubSupPr>
          <m:e/>
          <m:sub>
            <m:r>
              <m:rPr>
                <m:nor/>
              </m:rPr>
              <w:rPr>
                <w:i/>
              </w:rPr>
              <m:t>A</m:t>
            </m:r>
            <m:r>
              <m:rPr>
                <m:nor/>
              </m:rPr>
              <m:t>,</m:t>
            </m:r>
            <m:r>
              <m:rPr>
                <m:nor/>
              </m:rPr>
              <w:rPr>
                <w:i/>
              </w:rPr>
              <m:t>t</m:t>
            </m:r>
          </m:sub>
          <m:sup>
            <m:r>
              <m:rPr>
                <m:nor/>
              </m:rPr>
              <m:t>2</m:t>
            </m:r>
          </m:sup>
        </m:sSubSup>
        <m:r>
          <m:rPr>
            <m:nor/>
          </m:rPr>
          <m:t>)</m:t>
        </m:r>
      </m:oMath>
    </w:p>
    <w:p w14:paraId="67EFDE35" w14:textId="77777777" w:rsidR="0057582C" w:rsidRDefault="00CE7F22">
      <w:pPr>
        <w:spacing w:before="120" w:after="120" w:line="360" w:lineRule="auto"/>
        <w:jc w:val="both"/>
      </w:pPr>
      <w:r>
        <w:t>With only 12 monthly observations per cluster, the DM test operates on n=3 hold-out errors per cluster, limiting statistical power. Auto-ARIMA achieves significantly lower forecast error than Prophet in Cluster 24 (p&lt;0.05), while 24 of 25 clusters show no statistically significant difference (p&gt;0.05). Across all clusters, auto-ARIMA achieves substantially lower MAE than Prophet (median ARIMA MAE £810 vs median Prophet MAE £22,680). This is a key methodological finding: for short 12-month retail time series, parsimonious auto-ARIMA specifications outperform Prophet’s decomposition framework, which requires longer historical records to reliably estimate trend and seasonality components. This refines the hybrid decision rule — auto-ARIMA is recommended as the default for short series, with Prophet reserved for segments accumulating 24+ months of data. Figure 13 presents the DM statistics across all 25 clusters: 24 bars fall within the p=0.05 boundaries (±1.96), confirming no statistically significant difference, while Cluster 24 significantly exceeds the threshold (auto-ARIMA better, p&lt;0.05). Having established the optimal forecasting model per segment, Section 4.5 translates these demand forecasts into concrete inventory decisions using the EOQ framework.</w:t>
      </w:r>
    </w:p>
    <w:p w14:paraId="782C9761" w14:textId="77777777" w:rsidR="0057582C" w:rsidRDefault="00CE7F22">
      <w:pPr>
        <w:spacing w:before="120" w:after="60" w:line="360" w:lineRule="auto"/>
        <w:jc w:val="both"/>
      </w:pPr>
      <w:r>
        <w:rPr>
          <w:noProof/>
        </w:rPr>
        <w:lastRenderedPageBreak/>
        <w:drawing>
          <wp:inline distT="0" distB="0" distL="0" distR="0" wp14:anchorId="09C64E64" wp14:editId="66DE0B3B">
            <wp:extent cx="6199505" cy="2024075"/>
            <wp:effectExtent l="0" t="0" r="0" b="0"/>
            <wp:docPr id="13" name="Figur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13"/>
                    <pic:cNvPicPr>
                      <a:picLocks noChangeAspect="1"/>
                    </pic:cNvPicPr>
                  </pic:nvPicPr>
                  <pic:blipFill rotWithShape="1">
                    <a:blip r:embed="rId23"/>
                    <a:srcRect t="7982" r="-8"/>
                    <a:stretch>
                      <a:fillRect/>
                    </a:stretch>
                  </pic:blipFill>
                  <pic:spPr bwMode="auto">
                    <a:xfrm>
                      <a:off x="0" y="0"/>
                      <a:ext cx="6200520" cy="2024406"/>
                    </a:xfrm>
                    <a:prstGeom prst="rect">
                      <a:avLst/>
                    </a:prstGeom>
                    <a:ln>
                      <a:noFill/>
                    </a:ln>
                    <a:extLst>
                      <a:ext uri="{53640926-AAD7-44D8-BBD7-CCE9431645EC}">
                        <a14:shadowObscured xmlns:a14="http://schemas.microsoft.com/office/drawing/2010/main"/>
                      </a:ext>
                    </a:extLst>
                  </pic:spPr>
                </pic:pic>
              </a:graphicData>
            </a:graphic>
          </wp:inline>
        </w:drawing>
      </w:r>
    </w:p>
    <w:p w14:paraId="61B8554E" w14:textId="5BFD0602" w:rsidR="0057582C" w:rsidRDefault="00CE7F22">
      <w:pPr>
        <w:spacing w:before="120" w:after="60" w:line="360" w:lineRule="auto"/>
        <w:jc w:val="both"/>
      </w:pPr>
      <w:r>
        <w:rPr>
          <w:b/>
          <w:bCs/>
        </w:rPr>
        <w:t>Figure 1</w:t>
      </w:r>
      <w:r w:rsidR="00B26A1B">
        <w:rPr>
          <w:b/>
          <w:bCs/>
        </w:rPr>
        <w:t>4</w:t>
      </w:r>
      <w:r>
        <w:rPr>
          <w:b/>
          <w:bCs/>
        </w:rPr>
        <w:t>: Diebold-Mariano Test Results — Prophet vs auto-ARIMA across all 25 SOM clusters. DM statistic with HAC variance estimation and Harvey et al. (1997) correction. Negative values indicate Prophet better; positive values indicate ARIMA better.</w:t>
      </w:r>
    </w:p>
    <w:p w14:paraId="77AD6EEB" w14:textId="77777777" w:rsidR="0057582C" w:rsidRDefault="00CE7F22">
      <w:pPr>
        <w:spacing w:before="180" w:after="80" w:line="360" w:lineRule="auto"/>
        <w:jc w:val="both"/>
      </w:pPr>
      <w:r>
        <w:rPr>
          <w:b/>
          <w:bCs/>
        </w:rPr>
        <w:t>Table 1</w:t>
      </w:r>
      <w:r>
        <w:rPr>
          <w:b/>
          <w:bCs/>
          <w:lang w:val="en-US"/>
        </w:rPr>
        <w:t>4</w:t>
      </w:r>
      <w:r>
        <w:rPr>
          <w:b/>
          <w:bCs/>
        </w:rPr>
        <w:t>: Proper Diebold-Mariano Test Results — auto-ARIMA vs Prophet. HAC (Newey-West) variance estimator; Harvey et al. (1997) small-sample correction; n=3 CV errors per cluster. Green: no significant difference. Amber: auto-ARIMA significantly better (p&lt;0.05).</w:t>
      </w:r>
    </w:p>
    <w:tbl>
      <w:tblPr>
        <w:tblW w:w="66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977"/>
        <w:gridCol w:w="1290"/>
        <w:gridCol w:w="1192"/>
        <w:gridCol w:w="971"/>
        <w:gridCol w:w="892"/>
        <w:gridCol w:w="1278"/>
      </w:tblGrid>
      <w:tr w:rsidR="0057582C" w14:paraId="23CCA154" w14:textId="77777777">
        <w:trPr>
          <w:tblHeader/>
        </w:trPr>
        <w:tc>
          <w:tcPr>
            <w:tcW w:w="700" w:type="dxa"/>
            <w:shd w:val="clear" w:color="auto" w:fill="DEEAF1"/>
          </w:tcPr>
          <w:p w14:paraId="5385288D" w14:textId="77777777" w:rsidR="0057582C" w:rsidRDefault="00CE7F22">
            <w:pPr>
              <w:spacing w:line="360" w:lineRule="auto"/>
              <w:jc w:val="both"/>
            </w:pPr>
            <w:r>
              <w:rPr>
                <w:b/>
                <w:bCs/>
              </w:rPr>
              <w:t>Cluster</w:t>
            </w:r>
          </w:p>
        </w:tc>
        <w:tc>
          <w:tcPr>
            <w:tcW w:w="1400" w:type="dxa"/>
            <w:shd w:val="clear" w:color="auto" w:fill="DEEAF1"/>
          </w:tcPr>
          <w:p w14:paraId="36719ABD" w14:textId="77777777" w:rsidR="0057582C" w:rsidRDefault="00CE7F22">
            <w:pPr>
              <w:spacing w:line="360" w:lineRule="auto"/>
              <w:jc w:val="both"/>
            </w:pPr>
            <w:r>
              <w:rPr>
                <w:b/>
                <w:bCs/>
              </w:rPr>
              <w:t>auto-ARIMA MAE (£)</w:t>
            </w:r>
          </w:p>
        </w:tc>
        <w:tc>
          <w:tcPr>
            <w:tcW w:w="1200" w:type="dxa"/>
            <w:shd w:val="clear" w:color="auto" w:fill="DEEAF1"/>
          </w:tcPr>
          <w:p w14:paraId="3F4A259E" w14:textId="77777777" w:rsidR="0057582C" w:rsidRDefault="00CE7F22">
            <w:pPr>
              <w:spacing w:line="360" w:lineRule="auto"/>
              <w:jc w:val="both"/>
            </w:pPr>
            <w:r>
              <w:rPr>
                <w:b/>
                <w:bCs/>
              </w:rPr>
              <w:t>Prophet MAE (£)</w:t>
            </w:r>
          </w:p>
        </w:tc>
        <w:tc>
          <w:tcPr>
            <w:tcW w:w="1000" w:type="dxa"/>
            <w:shd w:val="clear" w:color="auto" w:fill="DEEAF1"/>
          </w:tcPr>
          <w:p w14:paraId="1A91F9E3" w14:textId="77777777" w:rsidR="0057582C" w:rsidRDefault="00CE7F22">
            <w:pPr>
              <w:spacing w:line="360" w:lineRule="auto"/>
              <w:jc w:val="both"/>
            </w:pPr>
            <w:r>
              <w:rPr>
                <w:b/>
                <w:bCs/>
              </w:rPr>
              <w:t>DM Stat (HAC)</w:t>
            </w:r>
          </w:p>
        </w:tc>
        <w:tc>
          <w:tcPr>
            <w:tcW w:w="900" w:type="dxa"/>
            <w:shd w:val="clear" w:color="auto" w:fill="DEEAF1"/>
          </w:tcPr>
          <w:p w14:paraId="6D2C4AFC" w14:textId="77777777" w:rsidR="0057582C" w:rsidRDefault="00CE7F22">
            <w:pPr>
              <w:spacing w:line="360" w:lineRule="auto"/>
              <w:jc w:val="both"/>
            </w:pPr>
            <w:r>
              <w:rPr>
                <w:b/>
                <w:bCs/>
              </w:rPr>
              <w:t>p-value</w:t>
            </w:r>
          </w:p>
        </w:tc>
        <w:tc>
          <w:tcPr>
            <w:tcW w:w="1400" w:type="dxa"/>
            <w:shd w:val="clear" w:color="auto" w:fill="DEEAF1"/>
          </w:tcPr>
          <w:p w14:paraId="5745975D" w14:textId="77777777" w:rsidR="0057582C" w:rsidRDefault="00CE7F22">
            <w:pPr>
              <w:spacing w:line="360" w:lineRule="auto"/>
              <w:jc w:val="both"/>
            </w:pPr>
            <w:r>
              <w:rPr>
                <w:b/>
                <w:bCs/>
              </w:rPr>
              <w:t>Result</w:t>
            </w:r>
          </w:p>
        </w:tc>
      </w:tr>
      <w:tr w:rsidR="0057582C" w14:paraId="00790D28" w14:textId="77777777">
        <w:tc>
          <w:tcPr>
            <w:tcW w:w="700" w:type="dxa"/>
            <w:shd w:val="clear" w:color="auto" w:fill="E2EFDA"/>
          </w:tcPr>
          <w:p w14:paraId="7C55E57C" w14:textId="77777777" w:rsidR="0057582C" w:rsidRDefault="00CE7F22">
            <w:pPr>
              <w:spacing w:line="360" w:lineRule="auto"/>
              <w:jc w:val="both"/>
            </w:pPr>
            <w:r>
              <w:t>0</w:t>
            </w:r>
          </w:p>
        </w:tc>
        <w:tc>
          <w:tcPr>
            <w:tcW w:w="1400" w:type="dxa"/>
            <w:shd w:val="clear" w:color="auto" w:fill="E2EFDA"/>
          </w:tcPr>
          <w:p w14:paraId="0651BB50" w14:textId="77777777" w:rsidR="0057582C" w:rsidRDefault="00CE7F22">
            <w:pPr>
              <w:spacing w:line="360" w:lineRule="auto"/>
              <w:jc w:val="both"/>
            </w:pPr>
            <w:r>
              <w:rPr>
                <w:b/>
                <w:bCs/>
              </w:rPr>
              <w:t>60</w:t>
            </w:r>
          </w:p>
        </w:tc>
        <w:tc>
          <w:tcPr>
            <w:tcW w:w="1200" w:type="dxa"/>
            <w:shd w:val="clear" w:color="auto" w:fill="E2EFDA"/>
          </w:tcPr>
          <w:p w14:paraId="088BA9E2" w14:textId="77777777" w:rsidR="0057582C" w:rsidRDefault="00CE7F22">
            <w:pPr>
              <w:spacing w:line="360" w:lineRule="auto"/>
              <w:jc w:val="both"/>
            </w:pPr>
            <w:r>
              <w:t>18,483</w:t>
            </w:r>
          </w:p>
        </w:tc>
        <w:tc>
          <w:tcPr>
            <w:tcW w:w="1000" w:type="dxa"/>
            <w:shd w:val="clear" w:color="auto" w:fill="E2EFDA"/>
          </w:tcPr>
          <w:p w14:paraId="7100F0F4" w14:textId="77777777" w:rsidR="0057582C" w:rsidRDefault="00CE7F22">
            <w:pPr>
              <w:spacing w:line="360" w:lineRule="auto"/>
              <w:jc w:val="both"/>
            </w:pPr>
            <w:r>
              <w:t>1.691</w:t>
            </w:r>
          </w:p>
        </w:tc>
        <w:tc>
          <w:tcPr>
            <w:tcW w:w="900" w:type="dxa"/>
            <w:shd w:val="clear" w:color="auto" w:fill="E2EFDA"/>
          </w:tcPr>
          <w:p w14:paraId="4C28C723" w14:textId="77777777" w:rsidR="0057582C" w:rsidRDefault="00CE7F22">
            <w:pPr>
              <w:spacing w:line="360" w:lineRule="auto"/>
              <w:jc w:val="both"/>
            </w:pPr>
            <w:r>
              <w:t>0.2330</w:t>
            </w:r>
          </w:p>
        </w:tc>
        <w:tc>
          <w:tcPr>
            <w:tcW w:w="1400" w:type="dxa"/>
            <w:shd w:val="clear" w:color="auto" w:fill="E2EFDA"/>
          </w:tcPr>
          <w:p w14:paraId="536C655A" w14:textId="77777777" w:rsidR="0057582C" w:rsidRDefault="00CE7F22">
            <w:pPr>
              <w:spacing w:line="360" w:lineRule="auto"/>
              <w:jc w:val="both"/>
            </w:pPr>
            <w:r>
              <w:t>No sig. diff.</w:t>
            </w:r>
          </w:p>
        </w:tc>
      </w:tr>
      <w:tr w:rsidR="0057582C" w14:paraId="54AFDD39" w14:textId="77777777">
        <w:tc>
          <w:tcPr>
            <w:tcW w:w="700" w:type="dxa"/>
            <w:shd w:val="clear" w:color="auto" w:fill="E2EFDA"/>
          </w:tcPr>
          <w:p w14:paraId="3EFA7ABE" w14:textId="77777777" w:rsidR="0057582C" w:rsidRDefault="00CE7F22">
            <w:pPr>
              <w:spacing w:line="360" w:lineRule="auto"/>
              <w:jc w:val="both"/>
            </w:pPr>
            <w:r>
              <w:t>1</w:t>
            </w:r>
          </w:p>
        </w:tc>
        <w:tc>
          <w:tcPr>
            <w:tcW w:w="1400" w:type="dxa"/>
            <w:shd w:val="clear" w:color="auto" w:fill="E2EFDA"/>
          </w:tcPr>
          <w:p w14:paraId="2A43A23E" w14:textId="77777777" w:rsidR="0057582C" w:rsidRDefault="00CE7F22">
            <w:pPr>
              <w:spacing w:line="360" w:lineRule="auto"/>
              <w:jc w:val="both"/>
            </w:pPr>
            <w:r>
              <w:rPr>
                <w:b/>
                <w:bCs/>
              </w:rPr>
              <w:t>6,563</w:t>
            </w:r>
          </w:p>
        </w:tc>
        <w:tc>
          <w:tcPr>
            <w:tcW w:w="1200" w:type="dxa"/>
            <w:shd w:val="clear" w:color="auto" w:fill="E2EFDA"/>
          </w:tcPr>
          <w:p w14:paraId="7FB3F3F2" w14:textId="77777777" w:rsidR="0057582C" w:rsidRDefault="00CE7F22">
            <w:pPr>
              <w:spacing w:line="360" w:lineRule="auto"/>
              <w:jc w:val="both"/>
            </w:pPr>
            <w:r>
              <w:t>154,066</w:t>
            </w:r>
          </w:p>
        </w:tc>
        <w:tc>
          <w:tcPr>
            <w:tcW w:w="1000" w:type="dxa"/>
            <w:shd w:val="clear" w:color="auto" w:fill="E2EFDA"/>
          </w:tcPr>
          <w:p w14:paraId="35A2796F" w14:textId="77777777" w:rsidR="0057582C" w:rsidRDefault="00CE7F22">
            <w:pPr>
              <w:spacing w:line="360" w:lineRule="auto"/>
              <w:jc w:val="both"/>
            </w:pPr>
            <w:r>
              <w:t>1.138</w:t>
            </w:r>
          </w:p>
        </w:tc>
        <w:tc>
          <w:tcPr>
            <w:tcW w:w="900" w:type="dxa"/>
            <w:shd w:val="clear" w:color="auto" w:fill="E2EFDA"/>
          </w:tcPr>
          <w:p w14:paraId="35196E2B" w14:textId="77777777" w:rsidR="0057582C" w:rsidRDefault="00CE7F22">
            <w:pPr>
              <w:spacing w:line="360" w:lineRule="auto"/>
              <w:jc w:val="both"/>
            </w:pPr>
            <w:r>
              <w:t>0.3729</w:t>
            </w:r>
          </w:p>
        </w:tc>
        <w:tc>
          <w:tcPr>
            <w:tcW w:w="1400" w:type="dxa"/>
            <w:shd w:val="clear" w:color="auto" w:fill="E2EFDA"/>
          </w:tcPr>
          <w:p w14:paraId="2BA42F1B" w14:textId="77777777" w:rsidR="0057582C" w:rsidRDefault="00CE7F22">
            <w:pPr>
              <w:spacing w:line="360" w:lineRule="auto"/>
              <w:jc w:val="both"/>
            </w:pPr>
            <w:r>
              <w:t>No sig. diff.</w:t>
            </w:r>
          </w:p>
        </w:tc>
      </w:tr>
      <w:tr w:rsidR="0057582C" w14:paraId="15DF3E52" w14:textId="77777777">
        <w:tc>
          <w:tcPr>
            <w:tcW w:w="700" w:type="dxa"/>
            <w:shd w:val="clear" w:color="auto" w:fill="E2EFDA"/>
          </w:tcPr>
          <w:p w14:paraId="79C6B94E" w14:textId="77777777" w:rsidR="0057582C" w:rsidRDefault="00CE7F22">
            <w:pPr>
              <w:spacing w:line="360" w:lineRule="auto"/>
              <w:jc w:val="both"/>
            </w:pPr>
            <w:r>
              <w:t>2</w:t>
            </w:r>
          </w:p>
        </w:tc>
        <w:tc>
          <w:tcPr>
            <w:tcW w:w="1400" w:type="dxa"/>
            <w:shd w:val="clear" w:color="auto" w:fill="E2EFDA"/>
          </w:tcPr>
          <w:p w14:paraId="57BFF13A" w14:textId="77777777" w:rsidR="0057582C" w:rsidRDefault="00CE7F22">
            <w:pPr>
              <w:spacing w:line="360" w:lineRule="auto"/>
              <w:jc w:val="both"/>
            </w:pPr>
            <w:r>
              <w:rPr>
                <w:b/>
                <w:bCs/>
              </w:rPr>
              <w:t>810</w:t>
            </w:r>
          </w:p>
        </w:tc>
        <w:tc>
          <w:tcPr>
            <w:tcW w:w="1200" w:type="dxa"/>
            <w:shd w:val="clear" w:color="auto" w:fill="E2EFDA"/>
          </w:tcPr>
          <w:p w14:paraId="79961CB4" w14:textId="77777777" w:rsidR="0057582C" w:rsidRDefault="00CE7F22">
            <w:pPr>
              <w:spacing w:line="360" w:lineRule="auto"/>
              <w:jc w:val="both"/>
            </w:pPr>
            <w:r>
              <w:t>13,118</w:t>
            </w:r>
          </w:p>
        </w:tc>
        <w:tc>
          <w:tcPr>
            <w:tcW w:w="1000" w:type="dxa"/>
            <w:shd w:val="clear" w:color="auto" w:fill="E2EFDA"/>
          </w:tcPr>
          <w:p w14:paraId="0ED80F0B" w14:textId="77777777" w:rsidR="0057582C" w:rsidRDefault="00CE7F22">
            <w:pPr>
              <w:spacing w:line="360" w:lineRule="auto"/>
              <w:jc w:val="both"/>
            </w:pPr>
            <w:r>
              <w:t>1.151</w:t>
            </w:r>
          </w:p>
        </w:tc>
        <w:tc>
          <w:tcPr>
            <w:tcW w:w="900" w:type="dxa"/>
            <w:shd w:val="clear" w:color="auto" w:fill="E2EFDA"/>
          </w:tcPr>
          <w:p w14:paraId="11C5D0F8" w14:textId="77777777" w:rsidR="0057582C" w:rsidRDefault="00CE7F22">
            <w:pPr>
              <w:spacing w:line="360" w:lineRule="auto"/>
              <w:jc w:val="both"/>
            </w:pPr>
            <w:r>
              <w:t>0.3686</w:t>
            </w:r>
          </w:p>
        </w:tc>
        <w:tc>
          <w:tcPr>
            <w:tcW w:w="1400" w:type="dxa"/>
            <w:shd w:val="clear" w:color="auto" w:fill="E2EFDA"/>
          </w:tcPr>
          <w:p w14:paraId="6CEE87DE" w14:textId="77777777" w:rsidR="0057582C" w:rsidRDefault="00CE7F22">
            <w:pPr>
              <w:spacing w:line="360" w:lineRule="auto"/>
              <w:jc w:val="both"/>
            </w:pPr>
            <w:r>
              <w:t>No sig. diff.</w:t>
            </w:r>
          </w:p>
        </w:tc>
      </w:tr>
      <w:tr w:rsidR="0057582C" w14:paraId="44A6B070" w14:textId="77777777">
        <w:tc>
          <w:tcPr>
            <w:tcW w:w="700" w:type="dxa"/>
            <w:shd w:val="clear" w:color="auto" w:fill="E2EFDA"/>
          </w:tcPr>
          <w:p w14:paraId="30668E35" w14:textId="77777777" w:rsidR="0057582C" w:rsidRDefault="00CE7F22">
            <w:pPr>
              <w:spacing w:line="360" w:lineRule="auto"/>
              <w:jc w:val="both"/>
            </w:pPr>
            <w:r>
              <w:t>3</w:t>
            </w:r>
          </w:p>
        </w:tc>
        <w:tc>
          <w:tcPr>
            <w:tcW w:w="1400" w:type="dxa"/>
            <w:shd w:val="clear" w:color="auto" w:fill="E2EFDA"/>
          </w:tcPr>
          <w:p w14:paraId="696A467E" w14:textId="77777777" w:rsidR="0057582C" w:rsidRDefault="00CE7F22">
            <w:pPr>
              <w:spacing w:line="360" w:lineRule="auto"/>
              <w:jc w:val="both"/>
            </w:pPr>
            <w:r>
              <w:rPr>
                <w:b/>
                <w:bCs/>
              </w:rPr>
              <w:t>2,929</w:t>
            </w:r>
          </w:p>
        </w:tc>
        <w:tc>
          <w:tcPr>
            <w:tcW w:w="1200" w:type="dxa"/>
            <w:shd w:val="clear" w:color="auto" w:fill="E2EFDA"/>
          </w:tcPr>
          <w:p w14:paraId="2D1F354E" w14:textId="77777777" w:rsidR="0057582C" w:rsidRDefault="00CE7F22">
            <w:pPr>
              <w:spacing w:line="360" w:lineRule="auto"/>
              <w:jc w:val="both"/>
            </w:pPr>
            <w:r>
              <w:t>11,697</w:t>
            </w:r>
          </w:p>
        </w:tc>
        <w:tc>
          <w:tcPr>
            <w:tcW w:w="1000" w:type="dxa"/>
            <w:shd w:val="clear" w:color="auto" w:fill="E2EFDA"/>
          </w:tcPr>
          <w:p w14:paraId="214CA989" w14:textId="77777777" w:rsidR="0057582C" w:rsidRDefault="00CE7F22">
            <w:pPr>
              <w:spacing w:line="360" w:lineRule="auto"/>
              <w:jc w:val="both"/>
            </w:pPr>
            <w:r>
              <w:t>1.024</w:t>
            </w:r>
          </w:p>
        </w:tc>
        <w:tc>
          <w:tcPr>
            <w:tcW w:w="900" w:type="dxa"/>
            <w:shd w:val="clear" w:color="auto" w:fill="E2EFDA"/>
          </w:tcPr>
          <w:p w14:paraId="1510A917" w14:textId="77777777" w:rsidR="0057582C" w:rsidRDefault="00CE7F22">
            <w:pPr>
              <w:spacing w:line="360" w:lineRule="auto"/>
              <w:jc w:val="both"/>
            </w:pPr>
            <w:r>
              <w:t>0.4134</w:t>
            </w:r>
          </w:p>
        </w:tc>
        <w:tc>
          <w:tcPr>
            <w:tcW w:w="1400" w:type="dxa"/>
            <w:shd w:val="clear" w:color="auto" w:fill="E2EFDA"/>
          </w:tcPr>
          <w:p w14:paraId="3B33934C" w14:textId="77777777" w:rsidR="0057582C" w:rsidRDefault="00CE7F22">
            <w:pPr>
              <w:spacing w:line="360" w:lineRule="auto"/>
              <w:jc w:val="both"/>
            </w:pPr>
            <w:r>
              <w:t>No sig. diff.</w:t>
            </w:r>
          </w:p>
        </w:tc>
      </w:tr>
      <w:tr w:rsidR="0057582C" w14:paraId="76ACFB46" w14:textId="77777777">
        <w:tc>
          <w:tcPr>
            <w:tcW w:w="700" w:type="dxa"/>
            <w:shd w:val="clear" w:color="auto" w:fill="E2EFDA"/>
          </w:tcPr>
          <w:p w14:paraId="49CB8CC2" w14:textId="77777777" w:rsidR="0057582C" w:rsidRDefault="00CE7F22">
            <w:pPr>
              <w:spacing w:line="360" w:lineRule="auto"/>
              <w:jc w:val="both"/>
            </w:pPr>
            <w:r>
              <w:t>4</w:t>
            </w:r>
          </w:p>
        </w:tc>
        <w:tc>
          <w:tcPr>
            <w:tcW w:w="1400" w:type="dxa"/>
            <w:shd w:val="clear" w:color="auto" w:fill="E2EFDA"/>
          </w:tcPr>
          <w:p w14:paraId="20E3C0AD" w14:textId="77777777" w:rsidR="0057582C" w:rsidRDefault="00CE7F22">
            <w:pPr>
              <w:spacing w:line="360" w:lineRule="auto"/>
              <w:jc w:val="both"/>
            </w:pPr>
            <w:r>
              <w:rPr>
                <w:b/>
                <w:bCs/>
              </w:rPr>
              <w:t>895</w:t>
            </w:r>
          </w:p>
        </w:tc>
        <w:tc>
          <w:tcPr>
            <w:tcW w:w="1200" w:type="dxa"/>
            <w:shd w:val="clear" w:color="auto" w:fill="E2EFDA"/>
          </w:tcPr>
          <w:p w14:paraId="5C636A4A" w14:textId="77777777" w:rsidR="0057582C" w:rsidRDefault="00CE7F22">
            <w:pPr>
              <w:spacing w:line="360" w:lineRule="auto"/>
              <w:jc w:val="both"/>
            </w:pPr>
            <w:r>
              <w:t>44,935</w:t>
            </w:r>
          </w:p>
        </w:tc>
        <w:tc>
          <w:tcPr>
            <w:tcW w:w="1000" w:type="dxa"/>
            <w:shd w:val="clear" w:color="auto" w:fill="E2EFDA"/>
          </w:tcPr>
          <w:p w14:paraId="6CF1709F" w14:textId="77777777" w:rsidR="0057582C" w:rsidRDefault="00CE7F22">
            <w:pPr>
              <w:spacing w:line="360" w:lineRule="auto"/>
              <w:jc w:val="both"/>
            </w:pPr>
            <w:r>
              <w:t>1.647</w:t>
            </w:r>
          </w:p>
        </w:tc>
        <w:tc>
          <w:tcPr>
            <w:tcW w:w="900" w:type="dxa"/>
            <w:shd w:val="clear" w:color="auto" w:fill="E2EFDA"/>
          </w:tcPr>
          <w:p w14:paraId="057A7881" w14:textId="77777777" w:rsidR="0057582C" w:rsidRDefault="00CE7F22">
            <w:pPr>
              <w:spacing w:line="360" w:lineRule="auto"/>
              <w:jc w:val="both"/>
            </w:pPr>
            <w:r>
              <w:t>0.2412</w:t>
            </w:r>
          </w:p>
        </w:tc>
        <w:tc>
          <w:tcPr>
            <w:tcW w:w="1400" w:type="dxa"/>
            <w:shd w:val="clear" w:color="auto" w:fill="E2EFDA"/>
          </w:tcPr>
          <w:p w14:paraId="466DA057" w14:textId="77777777" w:rsidR="0057582C" w:rsidRDefault="00CE7F22">
            <w:pPr>
              <w:spacing w:line="360" w:lineRule="auto"/>
              <w:jc w:val="both"/>
            </w:pPr>
            <w:r>
              <w:t>No sig. diff.</w:t>
            </w:r>
          </w:p>
        </w:tc>
      </w:tr>
      <w:tr w:rsidR="0057582C" w14:paraId="47EB460C" w14:textId="77777777">
        <w:tc>
          <w:tcPr>
            <w:tcW w:w="700" w:type="dxa"/>
            <w:shd w:val="clear" w:color="auto" w:fill="E2EFDA"/>
          </w:tcPr>
          <w:p w14:paraId="6530AC2E" w14:textId="77777777" w:rsidR="0057582C" w:rsidRDefault="00CE7F22">
            <w:pPr>
              <w:spacing w:line="360" w:lineRule="auto"/>
              <w:jc w:val="both"/>
            </w:pPr>
            <w:r>
              <w:t>5</w:t>
            </w:r>
          </w:p>
        </w:tc>
        <w:tc>
          <w:tcPr>
            <w:tcW w:w="1400" w:type="dxa"/>
            <w:shd w:val="clear" w:color="auto" w:fill="E2EFDA"/>
          </w:tcPr>
          <w:p w14:paraId="174A5561" w14:textId="77777777" w:rsidR="0057582C" w:rsidRDefault="00CE7F22">
            <w:pPr>
              <w:spacing w:line="360" w:lineRule="auto"/>
              <w:jc w:val="both"/>
            </w:pPr>
            <w:r>
              <w:rPr>
                <w:b/>
                <w:bCs/>
              </w:rPr>
              <w:t>77</w:t>
            </w:r>
          </w:p>
        </w:tc>
        <w:tc>
          <w:tcPr>
            <w:tcW w:w="1200" w:type="dxa"/>
            <w:shd w:val="clear" w:color="auto" w:fill="E2EFDA"/>
          </w:tcPr>
          <w:p w14:paraId="19BA1699" w14:textId="77777777" w:rsidR="0057582C" w:rsidRDefault="00CE7F22">
            <w:pPr>
              <w:spacing w:line="360" w:lineRule="auto"/>
              <w:jc w:val="both"/>
            </w:pPr>
            <w:r>
              <w:t>15,687</w:t>
            </w:r>
          </w:p>
        </w:tc>
        <w:tc>
          <w:tcPr>
            <w:tcW w:w="1000" w:type="dxa"/>
            <w:shd w:val="clear" w:color="auto" w:fill="E2EFDA"/>
          </w:tcPr>
          <w:p w14:paraId="1301B371" w14:textId="77777777" w:rsidR="0057582C" w:rsidRDefault="00CE7F22">
            <w:pPr>
              <w:spacing w:line="360" w:lineRule="auto"/>
              <w:jc w:val="both"/>
            </w:pPr>
            <w:r>
              <w:t>1.694</w:t>
            </w:r>
          </w:p>
        </w:tc>
        <w:tc>
          <w:tcPr>
            <w:tcW w:w="900" w:type="dxa"/>
            <w:shd w:val="clear" w:color="auto" w:fill="E2EFDA"/>
          </w:tcPr>
          <w:p w14:paraId="434DB0F2" w14:textId="77777777" w:rsidR="0057582C" w:rsidRDefault="00CE7F22">
            <w:pPr>
              <w:spacing w:line="360" w:lineRule="auto"/>
              <w:jc w:val="both"/>
            </w:pPr>
            <w:r>
              <w:t>0.2323</w:t>
            </w:r>
          </w:p>
        </w:tc>
        <w:tc>
          <w:tcPr>
            <w:tcW w:w="1400" w:type="dxa"/>
            <w:shd w:val="clear" w:color="auto" w:fill="E2EFDA"/>
          </w:tcPr>
          <w:p w14:paraId="168A04EA" w14:textId="77777777" w:rsidR="0057582C" w:rsidRDefault="00CE7F22">
            <w:pPr>
              <w:spacing w:line="360" w:lineRule="auto"/>
              <w:jc w:val="both"/>
            </w:pPr>
            <w:r>
              <w:t>No sig. diff.</w:t>
            </w:r>
          </w:p>
        </w:tc>
      </w:tr>
      <w:tr w:rsidR="0057582C" w14:paraId="060BA6DE" w14:textId="77777777">
        <w:tc>
          <w:tcPr>
            <w:tcW w:w="700" w:type="dxa"/>
            <w:shd w:val="clear" w:color="auto" w:fill="E2EFDA"/>
          </w:tcPr>
          <w:p w14:paraId="27EB0750" w14:textId="77777777" w:rsidR="0057582C" w:rsidRDefault="00CE7F22">
            <w:pPr>
              <w:spacing w:line="360" w:lineRule="auto"/>
              <w:jc w:val="both"/>
            </w:pPr>
            <w:r>
              <w:lastRenderedPageBreak/>
              <w:t>6</w:t>
            </w:r>
          </w:p>
        </w:tc>
        <w:tc>
          <w:tcPr>
            <w:tcW w:w="1400" w:type="dxa"/>
            <w:shd w:val="clear" w:color="auto" w:fill="E2EFDA"/>
          </w:tcPr>
          <w:p w14:paraId="7E845071" w14:textId="77777777" w:rsidR="0057582C" w:rsidRDefault="00CE7F22">
            <w:pPr>
              <w:spacing w:line="360" w:lineRule="auto"/>
              <w:jc w:val="both"/>
            </w:pPr>
            <w:r>
              <w:rPr>
                <w:b/>
                <w:bCs/>
              </w:rPr>
              <w:t>1,975</w:t>
            </w:r>
          </w:p>
        </w:tc>
        <w:tc>
          <w:tcPr>
            <w:tcW w:w="1200" w:type="dxa"/>
            <w:shd w:val="clear" w:color="auto" w:fill="E2EFDA"/>
          </w:tcPr>
          <w:p w14:paraId="350EEAB9" w14:textId="77777777" w:rsidR="0057582C" w:rsidRDefault="00CE7F22">
            <w:pPr>
              <w:spacing w:line="360" w:lineRule="auto"/>
              <w:jc w:val="both"/>
            </w:pPr>
            <w:r>
              <w:t>51,784</w:t>
            </w:r>
          </w:p>
        </w:tc>
        <w:tc>
          <w:tcPr>
            <w:tcW w:w="1000" w:type="dxa"/>
            <w:shd w:val="clear" w:color="auto" w:fill="E2EFDA"/>
          </w:tcPr>
          <w:p w14:paraId="184F95CC" w14:textId="77777777" w:rsidR="0057582C" w:rsidRDefault="00CE7F22">
            <w:pPr>
              <w:spacing w:line="360" w:lineRule="auto"/>
              <w:jc w:val="both"/>
            </w:pPr>
            <w:r>
              <w:t>1.711</w:t>
            </w:r>
          </w:p>
        </w:tc>
        <w:tc>
          <w:tcPr>
            <w:tcW w:w="900" w:type="dxa"/>
            <w:shd w:val="clear" w:color="auto" w:fill="E2EFDA"/>
          </w:tcPr>
          <w:p w14:paraId="40327DBD" w14:textId="77777777" w:rsidR="0057582C" w:rsidRDefault="00CE7F22">
            <w:pPr>
              <w:spacing w:line="360" w:lineRule="auto"/>
              <w:jc w:val="both"/>
            </w:pPr>
            <w:r>
              <w:t>0.2292</w:t>
            </w:r>
          </w:p>
        </w:tc>
        <w:tc>
          <w:tcPr>
            <w:tcW w:w="1400" w:type="dxa"/>
            <w:shd w:val="clear" w:color="auto" w:fill="E2EFDA"/>
          </w:tcPr>
          <w:p w14:paraId="6C0E9233" w14:textId="77777777" w:rsidR="0057582C" w:rsidRDefault="00CE7F22">
            <w:pPr>
              <w:spacing w:line="360" w:lineRule="auto"/>
              <w:jc w:val="both"/>
            </w:pPr>
            <w:r>
              <w:t>No sig. diff.</w:t>
            </w:r>
          </w:p>
        </w:tc>
      </w:tr>
      <w:tr w:rsidR="0057582C" w14:paraId="74591B54" w14:textId="77777777">
        <w:tc>
          <w:tcPr>
            <w:tcW w:w="700" w:type="dxa"/>
            <w:shd w:val="clear" w:color="auto" w:fill="E2EFDA"/>
          </w:tcPr>
          <w:p w14:paraId="080D3B57" w14:textId="77777777" w:rsidR="0057582C" w:rsidRDefault="00CE7F22">
            <w:pPr>
              <w:spacing w:line="360" w:lineRule="auto"/>
              <w:jc w:val="both"/>
            </w:pPr>
            <w:r>
              <w:t>7</w:t>
            </w:r>
          </w:p>
        </w:tc>
        <w:tc>
          <w:tcPr>
            <w:tcW w:w="1400" w:type="dxa"/>
            <w:shd w:val="clear" w:color="auto" w:fill="E2EFDA"/>
          </w:tcPr>
          <w:p w14:paraId="7EAA1DEB" w14:textId="77777777" w:rsidR="0057582C" w:rsidRDefault="00CE7F22">
            <w:pPr>
              <w:spacing w:line="360" w:lineRule="auto"/>
              <w:jc w:val="both"/>
            </w:pPr>
            <w:r>
              <w:rPr>
                <w:b/>
                <w:bCs/>
              </w:rPr>
              <w:t>440</w:t>
            </w:r>
          </w:p>
        </w:tc>
        <w:tc>
          <w:tcPr>
            <w:tcW w:w="1200" w:type="dxa"/>
            <w:shd w:val="clear" w:color="auto" w:fill="E2EFDA"/>
          </w:tcPr>
          <w:p w14:paraId="5F4AABBE" w14:textId="77777777" w:rsidR="0057582C" w:rsidRDefault="00CE7F22">
            <w:pPr>
              <w:spacing w:line="360" w:lineRule="auto"/>
              <w:jc w:val="both"/>
            </w:pPr>
            <w:r>
              <w:t>51,666</w:t>
            </w:r>
          </w:p>
        </w:tc>
        <w:tc>
          <w:tcPr>
            <w:tcW w:w="1000" w:type="dxa"/>
            <w:shd w:val="clear" w:color="auto" w:fill="E2EFDA"/>
          </w:tcPr>
          <w:p w14:paraId="4EAB7D1A" w14:textId="77777777" w:rsidR="0057582C" w:rsidRDefault="00CE7F22">
            <w:pPr>
              <w:spacing w:line="360" w:lineRule="auto"/>
              <w:jc w:val="both"/>
            </w:pPr>
            <w:r>
              <w:t>1.695</w:t>
            </w:r>
          </w:p>
        </w:tc>
        <w:tc>
          <w:tcPr>
            <w:tcW w:w="900" w:type="dxa"/>
            <w:shd w:val="clear" w:color="auto" w:fill="E2EFDA"/>
          </w:tcPr>
          <w:p w14:paraId="23EB298F" w14:textId="77777777" w:rsidR="0057582C" w:rsidRDefault="00CE7F22">
            <w:pPr>
              <w:spacing w:line="360" w:lineRule="auto"/>
              <w:jc w:val="both"/>
            </w:pPr>
            <w:r>
              <w:t>0.2321</w:t>
            </w:r>
          </w:p>
        </w:tc>
        <w:tc>
          <w:tcPr>
            <w:tcW w:w="1400" w:type="dxa"/>
            <w:shd w:val="clear" w:color="auto" w:fill="E2EFDA"/>
          </w:tcPr>
          <w:p w14:paraId="0FA627FF" w14:textId="77777777" w:rsidR="0057582C" w:rsidRDefault="00CE7F22">
            <w:pPr>
              <w:spacing w:line="360" w:lineRule="auto"/>
              <w:jc w:val="both"/>
            </w:pPr>
            <w:r>
              <w:t>No sig. diff.</w:t>
            </w:r>
          </w:p>
        </w:tc>
      </w:tr>
      <w:tr w:rsidR="0057582C" w14:paraId="34C3EF0D" w14:textId="77777777">
        <w:tc>
          <w:tcPr>
            <w:tcW w:w="700" w:type="dxa"/>
            <w:shd w:val="clear" w:color="auto" w:fill="E2EFDA"/>
          </w:tcPr>
          <w:p w14:paraId="197A607A" w14:textId="77777777" w:rsidR="0057582C" w:rsidRDefault="00CE7F22">
            <w:pPr>
              <w:spacing w:line="360" w:lineRule="auto"/>
              <w:jc w:val="both"/>
            </w:pPr>
            <w:r>
              <w:t>8</w:t>
            </w:r>
          </w:p>
        </w:tc>
        <w:tc>
          <w:tcPr>
            <w:tcW w:w="1400" w:type="dxa"/>
            <w:shd w:val="clear" w:color="auto" w:fill="E2EFDA"/>
          </w:tcPr>
          <w:p w14:paraId="06D3DEA6" w14:textId="77777777" w:rsidR="0057582C" w:rsidRDefault="00CE7F22">
            <w:pPr>
              <w:spacing w:line="360" w:lineRule="auto"/>
              <w:jc w:val="both"/>
            </w:pPr>
            <w:r>
              <w:rPr>
                <w:b/>
                <w:bCs/>
              </w:rPr>
              <w:t>1,854</w:t>
            </w:r>
          </w:p>
        </w:tc>
        <w:tc>
          <w:tcPr>
            <w:tcW w:w="1200" w:type="dxa"/>
            <w:shd w:val="clear" w:color="auto" w:fill="E2EFDA"/>
          </w:tcPr>
          <w:p w14:paraId="09112DDF" w14:textId="77777777" w:rsidR="0057582C" w:rsidRDefault="00CE7F22">
            <w:pPr>
              <w:spacing w:line="360" w:lineRule="auto"/>
              <w:jc w:val="both"/>
            </w:pPr>
            <w:r>
              <w:t>137,330</w:t>
            </w:r>
          </w:p>
        </w:tc>
        <w:tc>
          <w:tcPr>
            <w:tcW w:w="1000" w:type="dxa"/>
            <w:shd w:val="clear" w:color="auto" w:fill="E2EFDA"/>
          </w:tcPr>
          <w:p w14:paraId="731973E3" w14:textId="77777777" w:rsidR="0057582C" w:rsidRDefault="00CE7F22">
            <w:pPr>
              <w:spacing w:line="360" w:lineRule="auto"/>
              <w:jc w:val="both"/>
            </w:pPr>
            <w:r>
              <w:t>1.561</w:t>
            </w:r>
          </w:p>
        </w:tc>
        <w:tc>
          <w:tcPr>
            <w:tcW w:w="900" w:type="dxa"/>
            <w:shd w:val="clear" w:color="auto" w:fill="E2EFDA"/>
          </w:tcPr>
          <w:p w14:paraId="327FCE4A" w14:textId="77777777" w:rsidR="0057582C" w:rsidRDefault="00CE7F22">
            <w:pPr>
              <w:spacing w:line="360" w:lineRule="auto"/>
              <w:jc w:val="both"/>
            </w:pPr>
            <w:r>
              <w:t>0.2588</w:t>
            </w:r>
          </w:p>
        </w:tc>
        <w:tc>
          <w:tcPr>
            <w:tcW w:w="1400" w:type="dxa"/>
            <w:shd w:val="clear" w:color="auto" w:fill="E2EFDA"/>
          </w:tcPr>
          <w:p w14:paraId="6C19CC6A" w14:textId="77777777" w:rsidR="0057582C" w:rsidRDefault="00CE7F22">
            <w:pPr>
              <w:spacing w:line="360" w:lineRule="auto"/>
              <w:jc w:val="both"/>
            </w:pPr>
            <w:r>
              <w:t>No sig. diff.</w:t>
            </w:r>
          </w:p>
        </w:tc>
      </w:tr>
      <w:tr w:rsidR="0057582C" w14:paraId="58FE6FA9" w14:textId="77777777">
        <w:tc>
          <w:tcPr>
            <w:tcW w:w="700" w:type="dxa"/>
            <w:shd w:val="clear" w:color="auto" w:fill="E2EFDA"/>
          </w:tcPr>
          <w:p w14:paraId="5BB698F7" w14:textId="77777777" w:rsidR="0057582C" w:rsidRDefault="00CE7F22">
            <w:pPr>
              <w:spacing w:line="360" w:lineRule="auto"/>
              <w:jc w:val="both"/>
            </w:pPr>
            <w:r>
              <w:t>9</w:t>
            </w:r>
          </w:p>
        </w:tc>
        <w:tc>
          <w:tcPr>
            <w:tcW w:w="1400" w:type="dxa"/>
            <w:shd w:val="clear" w:color="auto" w:fill="E2EFDA"/>
          </w:tcPr>
          <w:p w14:paraId="0717345E" w14:textId="77777777" w:rsidR="0057582C" w:rsidRDefault="00CE7F22">
            <w:pPr>
              <w:spacing w:line="360" w:lineRule="auto"/>
              <w:jc w:val="both"/>
            </w:pPr>
            <w:r>
              <w:rPr>
                <w:b/>
                <w:bCs/>
              </w:rPr>
              <w:t>486</w:t>
            </w:r>
          </w:p>
        </w:tc>
        <w:tc>
          <w:tcPr>
            <w:tcW w:w="1200" w:type="dxa"/>
            <w:shd w:val="clear" w:color="auto" w:fill="E2EFDA"/>
          </w:tcPr>
          <w:p w14:paraId="2040BE8F" w14:textId="77777777" w:rsidR="0057582C" w:rsidRDefault="00CE7F22">
            <w:pPr>
              <w:spacing w:line="360" w:lineRule="auto"/>
              <w:jc w:val="both"/>
            </w:pPr>
            <w:r>
              <w:t>73,422</w:t>
            </w:r>
          </w:p>
        </w:tc>
        <w:tc>
          <w:tcPr>
            <w:tcW w:w="1000" w:type="dxa"/>
            <w:shd w:val="clear" w:color="auto" w:fill="E2EFDA"/>
          </w:tcPr>
          <w:p w14:paraId="6EDB4791" w14:textId="77777777" w:rsidR="0057582C" w:rsidRDefault="00CE7F22">
            <w:pPr>
              <w:spacing w:line="360" w:lineRule="auto"/>
              <w:jc w:val="both"/>
            </w:pPr>
            <w:r>
              <w:t>1.184</w:t>
            </w:r>
          </w:p>
        </w:tc>
        <w:tc>
          <w:tcPr>
            <w:tcW w:w="900" w:type="dxa"/>
            <w:shd w:val="clear" w:color="auto" w:fill="E2EFDA"/>
          </w:tcPr>
          <w:p w14:paraId="6D557AC9" w14:textId="77777777" w:rsidR="0057582C" w:rsidRDefault="00CE7F22">
            <w:pPr>
              <w:spacing w:line="360" w:lineRule="auto"/>
              <w:jc w:val="both"/>
            </w:pPr>
            <w:r>
              <w:t>0.3582</w:t>
            </w:r>
          </w:p>
        </w:tc>
        <w:tc>
          <w:tcPr>
            <w:tcW w:w="1400" w:type="dxa"/>
            <w:shd w:val="clear" w:color="auto" w:fill="E2EFDA"/>
          </w:tcPr>
          <w:p w14:paraId="03546DA1" w14:textId="77777777" w:rsidR="0057582C" w:rsidRDefault="00CE7F22">
            <w:pPr>
              <w:spacing w:line="360" w:lineRule="auto"/>
              <w:jc w:val="both"/>
            </w:pPr>
            <w:r>
              <w:t>No sig. diff.</w:t>
            </w:r>
          </w:p>
        </w:tc>
      </w:tr>
      <w:tr w:rsidR="0057582C" w14:paraId="15C5E42F" w14:textId="77777777">
        <w:tc>
          <w:tcPr>
            <w:tcW w:w="700" w:type="dxa"/>
            <w:shd w:val="clear" w:color="auto" w:fill="E2EFDA"/>
          </w:tcPr>
          <w:p w14:paraId="340E8CC0" w14:textId="77777777" w:rsidR="0057582C" w:rsidRDefault="00CE7F22">
            <w:pPr>
              <w:spacing w:line="360" w:lineRule="auto"/>
              <w:jc w:val="both"/>
            </w:pPr>
            <w:r>
              <w:t>10</w:t>
            </w:r>
          </w:p>
        </w:tc>
        <w:tc>
          <w:tcPr>
            <w:tcW w:w="1400" w:type="dxa"/>
            <w:shd w:val="clear" w:color="auto" w:fill="E2EFDA"/>
          </w:tcPr>
          <w:p w14:paraId="2D3A70E0" w14:textId="77777777" w:rsidR="0057582C" w:rsidRDefault="00CE7F22">
            <w:pPr>
              <w:spacing w:line="360" w:lineRule="auto"/>
              <w:jc w:val="both"/>
            </w:pPr>
            <w:r>
              <w:rPr>
                <w:b/>
                <w:bCs/>
              </w:rPr>
              <w:t>421</w:t>
            </w:r>
          </w:p>
        </w:tc>
        <w:tc>
          <w:tcPr>
            <w:tcW w:w="1200" w:type="dxa"/>
            <w:shd w:val="clear" w:color="auto" w:fill="E2EFDA"/>
          </w:tcPr>
          <w:p w14:paraId="36091406" w14:textId="77777777" w:rsidR="0057582C" w:rsidRDefault="00CE7F22">
            <w:pPr>
              <w:spacing w:line="360" w:lineRule="auto"/>
              <w:jc w:val="both"/>
            </w:pPr>
            <w:r>
              <w:t>183,746</w:t>
            </w:r>
          </w:p>
        </w:tc>
        <w:tc>
          <w:tcPr>
            <w:tcW w:w="1000" w:type="dxa"/>
            <w:shd w:val="clear" w:color="auto" w:fill="E2EFDA"/>
          </w:tcPr>
          <w:p w14:paraId="1551EB12" w14:textId="77777777" w:rsidR="0057582C" w:rsidRDefault="00CE7F22">
            <w:pPr>
              <w:spacing w:line="360" w:lineRule="auto"/>
              <w:jc w:val="both"/>
            </w:pPr>
            <w:r>
              <w:t>1.238</w:t>
            </w:r>
          </w:p>
        </w:tc>
        <w:tc>
          <w:tcPr>
            <w:tcW w:w="900" w:type="dxa"/>
            <w:shd w:val="clear" w:color="auto" w:fill="E2EFDA"/>
          </w:tcPr>
          <w:p w14:paraId="02B3D08F" w14:textId="77777777" w:rsidR="0057582C" w:rsidRDefault="00CE7F22">
            <w:pPr>
              <w:spacing w:line="360" w:lineRule="auto"/>
              <w:jc w:val="both"/>
            </w:pPr>
            <w:r>
              <w:t>0.3413</w:t>
            </w:r>
          </w:p>
        </w:tc>
        <w:tc>
          <w:tcPr>
            <w:tcW w:w="1400" w:type="dxa"/>
            <w:shd w:val="clear" w:color="auto" w:fill="E2EFDA"/>
          </w:tcPr>
          <w:p w14:paraId="4754A835" w14:textId="77777777" w:rsidR="0057582C" w:rsidRDefault="00CE7F22">
            <w:pPr>
              <w:spacing w:line="360" w:lineRule="auto"/>
              <w:jc w:val="both"/>
            </w:pPr>
            <w:r>
              <w:t>No sig. diff.</w:t>
            </w:r>
          </w:p>
        </w:tc>
      </w:tr>
      <w:tr w:rsidR="0057582C" w14:paraId="07275844" w14:textId="77777777">
        <w:tc>
          <w:tcPr>
            <w:tcW w:w="700" w:type="dxa"/>
            <w:shd w:val="clear" w:color="auto" w:fill="E2EFDA"/>
          </w:tcPr>
          <w:p w14:paraId="63CF8AE8" w14:textId="77777777" w:rsidR="0057582C" w:rsidRDefault="00CE7F22">
            <w:pPr>
              <w:spacing w:line="360" w:lineRule="auto"/>
              <w:jc w:val="both"/>
            </w:pPr>
            <w:r>
              <w:t>11</w:t>
            </w:r>
          </w:p>
        </w:tc>
        <w:tc>
          <w:tcPr>
            <w:tcW w:w="1400" w:type="dxa"/>
            <w:shd w:val="clear" w:color="auto" w:fill="E2EFDA"/>
          </w:tcPr>
          <w:p w14:paraId="2C10CA16" w14:textId="77777777" w:rsidR="0057582C" w:rsidRDefault="00CE7F22">
            <w:pPr>
              <w:spacing w:line="360" w:lineRule="auto"/>
              <w:jc w:val="both"/>
            </w:pPr>
            <w:r>
              <w:rPr>
                <w:b/>
                <w:bCs/>
              </w:rPr>
              <w:t>1,395</w:t>
            </w:r>
          </w:p>
        </w:tc>
        <w:tc>
          <w:tcPr>
            <w:tcW w:w="1200" w:type="dxa"/>
            <w:shd w:val="clear" w:color="auto" w:fill="E2EFDA"/>
          </w:tcPr>
          <w:p w14:paraId="1B2585BC" w14:textId="77777777" w:rsidR="0057582C" w:rsidRDefault="00CE7F22">
            <w:pPr>
              <w:spacing w:line="360" w:lineRule="auto"/>
              <w:jc w:val="both"/>
            </w:pPr>
            <w:r>
              <w:t>19,269</w:t>
            </w:r>
          </w:p>
        </w:tc>
        <w:tc>
          <w:tcPr>
            <w:tcW w:w="1000" w:type="dxa"/>
            <w:shd w:val="clear" w:color="auto" w:fill="E2EFDA"/>
          </w:tcPr>
          <w:p w14:paraId="09884BAD" w14:textId="77777777" w:rsidR="0057582C" w:rsidRDefault="00CE7F22">
            <w:pPr>
              <w:spacing w:line="360" w:lineRule="auto"/>
              <w:jc w:val="both"/>
            </w:pPr>
            <w:r>
              <w:t>1.315</w:t>
            </w:r>
          </w:p>
        </w:tc>
        <w:tc>
          <w:tcPr>
            <w:tcW w:w="900" w:type="dxa"/>
            <w:shd w:val="clear" w:color="auto" w:fill="E2EFDA"/>
          </w:tcPr>
          <w:p w14:paraId="4CCBDF2C" w14:textId="77777777" w:rsidR="0057582C" w:rsidRDefault="00CE7F22">
            <w:pPr>
              <w:spacing w:line="360" w:lineRule="auto"/>
              <w:jc w:val="both"/>
            </w:pPr>
            <w:r>
              <w:t>0.3191</w:t>
            </w:r>
          </w:p>
        </w:tc>
        <w:tc>
          <w:tcPr>
            <w:tcW w:w="1400" w:type="dxa"/>
            <w:shd w:val="clear" w:color="auto" w:fill="E2EFDA"/>
          </w:tcPr>
          <w:p w14:paraId="443D8515" w14:textId="77777777" w:rsidR="0057582C" w:rsidRDefault="00CE7F22">
            <w:pPr>
              <w:spacing w:line="360" w:lineRule="auto"/>
              <w:jc w:val="both"/>
            </w:pPr>
            <w:r>
              <w:t>No sig. diff.</w:t>
            </w:r>
          </w:p>
        </w:tc>
      </w:tr>
      <w:tr w:rsidR="0057582C" w14:paraId="72A3794A" w14:textId="77777777">
        <w:tc>
          <w:tcPr>
            <w:tcW w:w="700" w:type="dxa"/>
            <w:shd w:val="clear" w:color="auto" w:fill="E2EFDA"/>
          </w:tcPr>
          <w:p w14:paraId="0B71CFD2" w14:textId="77777777" w:rsidR="0057582C" w:rsidRDefault="00CE7F22">
            <w:pPr>
              <w:spacing w:line="360" w:lineRule="auto"/>
              <w:jc w:val="both"/>
            </w:pPr>
            <w:r>
              <w:t>12</w:t>
            </w:r>
          </w:p>
        </w:tc>
        <w:tc>
          <w:tcPr>
            <w:tcW w:w="1400" w:type="dxa"/>
            <w:shd w:val="clear" w:color="auto" w:fill="E2EFDA"/>
          </w:tcPr>
          <w:p w14:paraId="283E57B9" w14:textId="77777777" w:rsidR="0057582C" w:rsidRDefault="00CE7F22">
            <w:pPr>
              <w:spacing w:line="360" w:lineRule="auto"/>
              <w:jc w:val="both"/>
            </w:pPr>
            <w:r>
              <w:rPr>
                <w:b/>
                <w:bCs/>
              </w:rPr>
              <w:t>631</w:t>
            </w:r>
          </w:p>
        </w:tc>
        <w:tc>
          <w:tcPr>
            <w:tcW w:w="1200" w:type="dxa"/>
            <w:shd w:val="clear" w:color="auto" w:fill="E2EFDA"/>
          </w:tcPr>
          <w:p w14:paraId="7AB82307" w14:textId="77777777" w:rsidR="0057582C" w:rsidRDefault="00CE7F22">
            <w:pPr>
              <w:spacing w:line="360" w:lineRule="auto"/>
              <w:jc w:val="both"/>
            </w:pPr>
            <w:r>
              <w:t>14,730</w:t>
            </w:r>
          </w:p>
        </w:tc>
        <w:tc>
          <w:tcPr>
            <w:tcW w:w="1000" w:type="dxa"/>
            <w:shd w:val="clear" w:color="auto" w:fill="E2EFDA"/>
          </w:tcPr>
          <w:p w14:paraId="0524C70C" w14:textId="77777777" w:rsidR="0057582C" w:rsidRDefault="00CE7F22">
            <w:pPr>
              <w:spacing w:line="360" w:lineRule="auto"/>
              <w:jc w:val="both"/>
            </w:pPr>
            <w:r>
              <w:t>1.282</w:t>
            </w:r>
          </w:p>
        </w:tc>
        <w:tc>
          <w:tcPr>
            <w:tcW w:w="900" w:type="dxa"/>
            <w:shd w:val="clear" w:color="auto" w:fill="E2EFDA"/>
          </w:tcPr>
          <w:p w14:paraId="6EF4C271" w14:textId="77777777" w:rsidR="0057582C" w:rsidRDefault="00CE7F22">
            <w:pPr>
              <w:spacing w:line="360" w:lineRule="auto"/>
              <w:jc w:val="both"/>
            </w:pPr>
            <w:r>
              <w:t>0.3283</w:t>
            </w:r>
          </w:p>
        </w:tc>
        <w:tc>
          <w:tcPr>
            <w:tcW w:w="1400" w:type="dxa"/>
            <w:shd w:val="clear" w:color="auto" w:fill="E2EFDA"/>
          </w:tcPr>
          <w:p w14:paraId="3ED453E6" w14:textId="77777777" w:rsidR="0057582C" w:rsidRDefault="00CE7F22">
            <w:pPr>
              <w:spacing w:line="360" w:lineRule="auto"/>
              <w:jc w:val="both"/>
            </w:pPr>
            <w:r>
              <w:t>No sig. diff.</w:t>
            </w:r>
          </w:p>
        </w:tc>
      </w:tr>
      <w:tr w:rsidR="0057582C" w14:paraId="2F217A10" w14:textId="77777777">
        <w:tc>
          <w:tcPr>
            <w:tcW w:w="700" w:type="dxa"/>
            <w:shd w:val="clear" w:color="auto" w:fill="E2EFDA"/>
          </w:tcPr>
          <w:p w14:paraId="04710AD1" w14:textId="77777777" w:rsidR="0057582C" w:rsidRDefault="00CE7F22">
            <w:pPr>
              <w:spacing w:line="360" w:lineRule="auto"/>
              <w:jc w:val="both"/>
            </w:pPr>
            <w:r>
              <w:t>13</w:t>
            </w:r>
          </w:p>
        </w:tc>
        <w:tc>
          <w:tcPr>
            <w:tcW w:w="1400" w:type="dxa"/>
            <w:shd w:val="clear" w:color="auto" w:fill="E2EFDA"/>
          </w:tcPr>
          <w:p w14:paraId="7FB89C02" w14:textId="77777777" w:rsidR="0057582C" w:rsidRDefault="00CE7F22">
            <w:pPr>
              <w:spacing w:line="360" w:lineRule="auto"/>
              <w:jc w:val="both"/>
            </w:pPr>
            <w:r>
              <w:rPr>
                <w:b/>
                <w:bCs/>
              </w:rPr>
              <w:t>175</w:t>
            </w:r>
          </w:p>
        </w:tc>
        <w:tc>
          <w:tcPr>
            <w:tcW w:w="1200" w:type="dxa"/>
            <w:shd w:val="clear" w:color="auto" w:fill="E2EFDA"/>
          </w:tcPr>
          <w:p w14:paraId="6845FFBF" w14:textId="77777777" w:rsidR="0057582C" w:rsidRDefault="00CE7F22">
            <w:pPr>
              <w:spacing w:line="360" w:lineRule="auto"/>
              <w:jc w:val="both"/>
            </w:pPr>
            <w:r>
              <w:t>14,549</w:t>
            </w:r>
          </w:p>
        </w:tc>
        <w:tc>
          <w:tcPr>
            <w:tcW w:w="1000" w:type="dxa"/>
            <w:shd w:val="clear" w:color="auto" w:fill="E2EFDA"/>
          </w:tcPr>
          <w:p w14:paraId="60712883" w14:textId="77777777" w:rsidR="0057582C" w:rsidRDefault="00CE7F22">
            <w:pPr>
              <w:spacing w:line="360" w:lineRule="auto"/>
              <w:jc w:val="both"/>
            </w:pPr>
            <w:r>
              <w:t>1.521</w:t>
            </w:r>
          </w:p>
        </w:tc>
        <w:tc>
          <w:tcPr>
            <w:tcW w:w="900" w:type="dxa"/>
            <w:shd w:val="clear" w:color="auto" w:fill="E2EFDA"/>
          </w:tcPr>
          <w:p w14:paraId="702C1988" w14:textId="77777777" w:rsidR="0057582C" w:rsidRDefault="00CE7F22">
            <w:pPr>
              <w:spacing w:line="360" w:lineRule="auto"/>
              <w:jc w:val="both"/>
            </w:pPr>
            <w:r>
              <w:t>0.2676</w:t>
            </w:r>
          </w:p>
        </w:tc>
        <w:tc>
          <w:tcPr>
            <w:tcW w:w="1400" w:type="dxa"/>
            <w:shd w:val="clear" w:color="auto" w:fill="E2EFDA"/>
          </w:tcPr>
          <w:p w14:paraId="66DC5E7B" w14:textId="77777777" w:rsidR="0057582C" w:rsidRDefault="00CE7F22">
            <w:pPr>
              <w:spacing w:line="360" w:lineRule="auto"/>
              <w:jc w:val="both"/>
            </w:pPr>
            <w:r>
              <w:t>No sig. diff.</w:t>
            </w:r>
          </w:p>
        </w:tc>
      </w:tr>
      <w:tr w:rsidR="0057582C" w14:paraId="6FD03EF5" w14:textId="77777777">
        <w:tc>
          <w:tcPr>
            <w:tcW w:w="700" w:type="dxa"/>
            <w:shd w:val="clear" w:color="auto" w:fill="E2EFDA"/>
          </w:tcPr>
          <w:p w14:paraId="32548870" w14:textId="77777777" w:rsidR="0057582C" w:rsidRDefault="00CE7F22">
            <w:pPr>
              <w:spacing w:line="360" w:lineRule="auto"/>
              <w:jc w:val="both"/>
            </w:pPr>
            <w:r>
              <w:t>14</w:t>
            </w:r>
          </w:p>
        </w:tc>
        <w:tc>
          <w:tcPr>
            <w:tcW w:w="1400" w:type="dxa"/>
            <w:shd w:val="clear" w:color="auto" w:fill="E2EFDA"/>
          </w:tcPr>
          <w:p w14:paraId="7002F53F" w14:textId="77777777" w:rsidR="0057582C" w:rsidRDefault="00CE7F22">
            <w:pPr>
              <w:spacing w:line="360" w:lineRule="auto"/>
              <w:jc w:val="both"/>
            </w:pPr>
            <w:r>
              <w:rPr>
                <w:b/>
                <w:bCs/>
              </w:rPr>
              <w:t>298</w:t>
            </w:r>
          </w:p>
        </w:tc>
        <w:tc>
          <w:tcPr>
            <w:tcW w:w="1200" w:type="dxa"/>
            <w:shd w:val="clear" w:color="auto" w:fill="E2EFDA"/>
          </w:tcPr>
          <w:p w14:paraId="3C875372" w14:textId="77777777" w:rsidR="0057582C" w:rsidRDefault="00CE7F22">
            <w:pPr>
              <w:spacing w:line="360" w:lineRule="auto"/>
              <w:jc w:val="both"/>
            </w:pPr>
            <w:r>
              <w:t>34,406</w:t>
            </w:r>
          </w:p>
        </w:tc>
        <w:tc>
          <w:tcPr>
            <w:tcW w:w="1000" w:type="dxa"/>
            <w:shd w:val="clear" w:color="auto" w:fill="E2EFDA"/>
          </w:tcPr>
          <w:p w14:paraId="2E990313" w14:textId="77777777" w:rsidR="0057582C" w:rsidRDefault="00CE7F22">
            <w:pPr>
              <w:spacing w:line="360" w:lineRule="auto"/>
              <w:jc w:val="both"/>
            </w:pPr>
            <w:r>
              <w:t>1.594</w:t>
            </w:r>
          </w:p>
        </w:tc>
        <w:tc>
          <w:tcPr>
            <w:tcW w:w="900" w:type="dxa"/>
            <w:shd w:val="clear" w:color="auto" w:fill="E2EFDA"/>
          </w:tcPr>
          <w:p w14:paraId="3F17AE65" w14:textId="77777777" w:rsidR="0057582C" w:rsidRDefault="00CE7F22">
            <w:pPr>
              <w:spacing w:line="360" w:lineRule="auto"/>
              <w:jc w:val="both"/>
            </w:pPr>
            <w:r>
              <w:t>0.2519</w:t>
            </w:r>
          </w:p>
        </w:tc>
        <w:tc>
          <w:tcPr>
            <w:tcW w:w="1400" w:type="dxa"/>
            <w:shd w:val="clear" w:color="auto" w:fill="E2EFDA"/>
          </w:tcPr>
          <w:p w14:paraId="0A8A1EE7" w14:textId="77777777" w:rsidR="0057582C" w:rsidRDefault="00CE7F22">
            <w:pPr>
              <w:spacing w:line="360" w:lineRule="auto"/>
              <w:jc w:val="both"/>
            </w:pPr>
            <w:r>
              <w:t>No sig. diff.</w:t>
            </w:r>
          </w:p>
        </w:tc>
      </w:tr>
      <w:tr w:rsidR="0057582C" w14:paraId="0C325FD6" w14:textId="77777777">
        <w:tc>
          <w:tcPr>
            <w:tcW w:w="700" w:type="dxa"/>
            <w:shd w:val="clear" w:color="auto" w:fill="E2EFDA"/>
          </w:tcPr>
          <w:p w14:paraId="230C424E" w14:textId="77777777" w:rsidR="0057582C" w:rsidRDefault="00CE7F22">
            <w:pPr>
              <w:spacing w:line="360" w:lineRule="auto"/>
              <w:jc w:val="both"/>
            </w:pPr>
            <w:r>
              <w:t>15</w:t>
            </w:r>
          </w:p>
        </w:tc>
        <w:tc>
          <w:tcPr>
            <w:tcW w:w="1400" w:type="dxa"/>
            <w:shd w:val="clear" w:color="auto" w:fill="E2EFDA"/>
          </w:tcPr>
          <w:p w14:paraId="28586335" w14:textId="77777777" w:rsidR="0057582C" w:rsidRDefault="00CE7F22">
            <w:pPr>
              <w:spacing w:line="360" w:lineRule="auto"/>
              <w:jc w:val="both"/>
            </w:pPr>
            <w:r>
              <w:rPr>
                <w:b/>
                <w:bCs/>
              </w:rPr>
              <w:t>18,388</w:t>
            </w:r>
          </w:p>
        </w:tc>
        <w:tc>
          <w:tcPr>
            <w:tcW w:w="1200" w:type="dxa"/>
            <w:shd w:val="clear" w:color="auto" w:fill="E2EFDA"/>
          </w:tcPr>
          <w:p w14:paraId="61E2BCEC" w14:textId="77777777" w:rsidR="0057582C" w:rsidRDefault="00CE7F22">
            <w:pPr>
              <w:spacing w:line="360" w:lineRule="auto"/>
              <w:jc w:val="both"/>
            </w:pPr>
            <w:r>
              <w:t>124,108</w:t>
            </w:r>
          </w:p>
        </w:tc>
        <w:tc>
          <w:tcPr>
            <w:tcW w:w="1000" w:type="dxa"/>
            <w:shd w:val="clear" w:color="auto" w:fill="E2EFDA"/>
          </w:tcPr>
          <w:p w14:paraId="52768D50" w14:textId="77777777" w:rsidR="0057582C" w:rsidRDefault="00CE7F22">
            <w:pPr>
              <w:spacing w:line="360" w:lineRule="auto"/>
              <w:jc w:val="both"/>
            </w:pPr>
            <w:r>
              <w:t>0.933</w:t>
            </w:r>
          </w:p>
        </w:tc>
        <w:tc>
          <w:tcPr>
            <w:tcW w:w="900" w:type="dxa"/>
            <w:shd w:val="clear" w:color="auto" w:fill="E2EFDA"/>
          </w:tcPr>
          <w:p w14:paraId="29181F43" w14:textId="77777777" w:rsidR="0057582C" w:rsidRDefault="00CE7F22">
            <w:pPr>
              <w:spacing w:line="360" w:lineRule="auto"/>
              <w:jc w:val="both"/>
            </w:pPr>
            <w:r>
              <w:t>0.4495</w:t>
            </w:r>
          </w:p>
        </w:tc>
        <w:tc>
          <w:tcPr>
            <w:tcW w:w="1400" w:type="dxa"/>
            <w:shd w:val="clear" w:color="auto" w:fill="E2EFDA"/>
          </w:tcPr>
          <w:p w14:paraId="1D742815" w14:textId="77777777" w:rsidR="0057582C" w:rsidRDefault="00CE7F22">
            <w:pPr>
              <w:spacing w:line="360" w:lineRule="auto"/>
              <w:jc w:val="both"/>
            </w:pPr>
            <w:r>
              <w:t>No sig. diff.</w:t>
            </w:r>
          </w:p>
        </w:tc>
      </w:tr>
      <w:tr w:rsidR="0057582C" w14:paraId="4A7EFDED" w14:textId="77777777">
        <w:tc>
          <w:tcPr>
            <w:tcW w:w="700" w:type="dxa"/>
            <w:shd w:val="clear" w:color="auto" w:fill="E2EFDA"/>
          </w:tcPr>
          <w:p w14:paraId="03933CAF" w14:textId="77777777" w:rsidR="0057582C" w:rsidRDefault="00CE7F22">
            <w:pPr>
              <w:spacing w:line="360" w:lineRule="auto"/>
              <w:jc w:val="both"/>
            </w:pPr>
            <w:r>
              <w:t>16</w:t>
            </w:r>
          </w:p>
        </w:tc>
        <w:tc>
          <w:tcPr>
            <w:tcW w:w="1400" w:type="dxa"/>
            <w:shd w:val="clear" w:color="auto" w:fill="E2EFDA"/>
          </w:tcPr>
          <w:p w14:paraId="428BB1EF" w14:textId="77777777" w:rsidR="0057582C" w:rsidRDefault="00CE7F22">
            <w:pPr>
              <w:spacing w:line="360" w:lineRule="auto"/>
              <w:jc w:val="both"/>
            </w:pPr>
            <w:r>
              <w:rPr>
                <w:b/>
                <w:bCs/>
              </w:rPr>
              <w:t>1,920</w:t>
            </w:r>
          </w:p>
        </w:tc>
        <w:tc>
          <w:tcPr>
            <w:tcW w:w="1200" w:type="dxa"/>
            <w:shd w:val="clear" w:color="auto" w:fill="E2EFDA"/>
          </w:tcPr>
          <w:p w14:paraId="0435E5AF" w14:textId="77777777" w:rsidR="0057582C" w:rsidRDefault="00CE7F22">
            <w:pPr>
              <w:spacing w:line="360" w:lineRule="auto"/>
              <w:jc w:val="both"/>
            </w:pPr>
            <w:r>
              <w:t>14,812</w:t>
            </w:r>
          </w:p>
        </w:tc>
        <w:tc>
          <w:tcPr>
            <w:tcW w:w="1000" w:type="dxa"/>
            <w:shd w:val="clear" w:color="auto" w:fill="E2EFDA"/>
          </w:tcPr>
          <w:p w14:paraId="22B92578" w14:textId="77777777" w:rsidR="0057582C" w:rsidRDefault="00CE7F22">
            <w:pPr>
              <w:spacing w:line="360" w:lineRule="auto"/>
              <w:jc w:val="both"/>
            </w:pPr>
            <w:r>
              <w:t>0.897</w:t>
            </w:r>
          </w:p>
        </w:tc>
        <w:tc>
          <w:tcPr>
            <w:tcW w:w="900" w:type="dxa"/>
            <w:shd w:val="clear" w:color="auto" w:fill="E2EFDA"/>
          </w:tcPr>
          <w:p w14:paraId="33DF3D98" w14:textId="77777777" w:rsidR="0057582C" w:rsidRDefault="00CE7F22">
            <w:pPr>
              <w:spacing w:line="360" w:lineRule="auto"/>
              <w:jc w:val="both"/>
            </w:pPr>
            <w:r>
              <w:t>0.4643</w:t>
            </w:r>
          </w:p>
        </w:tc>
        <w:tc>
          <w:tcPr>
            <w:tcW w:w="1400" w:type="dxa"/>
            <w:shd w:val="clear" w:color="auto" w:fill="E2EFDA"/>
          </w:tcPr>
          <w:p w14:paraId="164AB142" w14:textId="77777777" w:rsidR="0057582C" w:rsidRDefault="00CE7F22">
            <w:pPr>
              <w:spacing w:line="360" w:lineRule="auto"/>
              <w:jc w:val="both"/>
            </w:pPr>
            <w:r>
              <w:t>No sig. diff.</w:t>
            </w:r>
          </w:p>
        </w:tc>
      </w:tr>
      <w:tr w:rsidR="0057582C" w14:paraId="1DB02085" w14:textId="77777777">
        <w:tc>
          <w:tcPr>
            <w:tcW w:w="700" w:type="dxa"/>
            <w:shd w:val="clear" w:color="auto" w:fill="E2EFDA"/>
          </w:tcPr>
          <w:p w14:paraId="04E05BD8" w14:textId="77777777" w:rsidR="0057582C" w:rsidRDefault="00CE7F22">
            <w:pPr>
              <w:spacing w:line="360" w:lineRule="auto"/>
              <w:jc w:val="both"/>
            </w:pPr>
            <w:r>
              <w:t>17</w:t>
            </w:r>
          </w:p>
        </w:tc>
        <w:tc>
          <w:tcPr>
            <w:tcW w:w="1400" w:type="dxa"/>
            <w:shd w:val="clear" w:color="auto" w:fill="E2EFDA"/>
          </w:tcPr>
          <w:p w14:paraId="2E3032C7" w14:textId="77777777" w:rsidR="0057582C" w:rsidRDefault="00CE7F22">
            <w:pPr>
              <w:spacing w:line="360" w:lineRule="auto"/>
              <w:jc w:val="both"/>
            </w:pPr>
            <w:r>
              <w:rPr>
                <w:b/>
                <w:bCs/>
              </w:rPr>
              <w:t>648</w:t>
            </w:r>
          </w:p>
        </w:tc>
        <w:tc>
          <w:tcPr>
            <w:tcW w:w="1200" w:type="dxa"/>
            <w:shd w:val="clear" w:color="auto" w:fill="E2EFDA"/>
          </w:tcPr>
          <w:p w14:paraId="0A18D6CF" w14:textId="77777777" w:rsidR="0057582C" w:rsidRDefault="00CE7F22">
            <w:pPr>
              <w:spacing w:line="360" w:lineRule="auto"/>
              <w:jc w:val="both"/>
            </w:pPr>
            <w:r>
              <w:t>22,680</w:t>
            </w:r>
          </w:p>
        </w:tc>
        <w:tc>
          <w:tcPr>
            <w:tcW w:w="1000" w:type="dxa"/>
            <w:shd w:val="clear" w:color="auto" w:fill="E2EFDA"/>
          </w:tcPr>
          <w:p w14:paraId="75F586DB" w14:textId="77777777" w:rsidR="0057582C" w:rsidRDefault="00CE7F22">
            <w:pPr>
              <w:spacing w:line="360" w:lineRule="auto"/>
              <w:jc w:val="both"/>
            </w:pPr>
            <w:r>
              <w:t>1.937</w:t>
            </w:r>
          </w:p>
        </w:tc>
        <w:tc>
          <w:tcPr>
            <w:tcW w:w="900" w:type="dxa"/>
            <w:shd w:val="clear" w:color="auto" w:fill="E2EFDA"/>
          </w:tcPr>
          <w:p w14:paraId="67438095" w14:textId="77777777" w:rsidR="0057582C" w:rsidRDefault="00CE7F22">
            <w:pPr>
              <w:spacing w:line="360" w:lineRule="auto"/>
              <w:jc w:val="both"/>
            </w:pPr>
            <w:r>
              <w:t>0.1924</w:t>
            </w:r>
          </w:p>
        </w:tc>
        <w:tc>
          <w:tcPr>
            <w:tcW w:w="1400" w:type="dxa"/>
            <w:shd w:val="clear" w:color="auto" w:fill="E2EFDA"/>
          </w:tcPr>
          <w:p w14:paraId="23A8CC3E" w14:textId="77777777" w:rsidR="0057582C" w:rsidRDefault="00CE7F22">
            <w:pPr>
              <w:spacing w:line="360" w:lineRule="auto"/>
              <w:jc w:val="both"/>
            </w:pPr>
            <w:r>
              <w:t>No sig. diff.</w:t>
            </w:r>
          </w:p>
        </w:tc>
      </w:tr>
      <w:tr w:rsidR="0057582C" w14:paraId="23BC13B8" w14:textId="77777777">
        <w:tc>
          <w:tcPr>
            <w:tcW w:w="700" w:type="dxa"/>
            <w:shd w:val="clear" w:color="auto" w:fill="E2EFDA"/>
          </w:tcPr>
          <w:p w14:paraId="08DC586D" w14:textId="77777777" w:rsidR="0057582C" w:rsidRDefault="00CE7F22">
            <w:pPr>
              <w:spacing w:line="360" w:lineRule="auto"/>
              <w:jc w:val="both"/>
            </w:pPr>
            <w:r>
              <w:t>18</w:t>
            </w:r>
          </w:p>
        </w:tc>
        <w:tc>
          <w:tcPr>
            <w:tcW w:w="1400" w:type="dxa"/>
            <w:shd w:val="clear" w:color="auto" w:fill="E2EFDA"/>
          </w:tcPr>
          <w:p w14:paraId="0838F35E" w14:textId="77777777" w:rsidR="0057582C" w:rsidRDefault="00CE7F22">
            <w:pPr>
              <w:spacing w:line="360" w:lineRule="auto"/>
              <w:jc w:val="both"/>
            </w:pPr>
            <w:r>
              <w:rPr>
                <w:b/>
                <w:bCs/>
              </w:rPr>
              <w:t>392</w:t>
            </w:r>
          </w:p>
        </w:tc>
        <w:tc>
          <w:tcPr>
            <w:tcW w:w="1200" w:type="dxa"/>
            <w:shd w:val="clear" w:color="auto" w:fill="E2EFDA"/>
          </w:tcPr>
          <w:p w14:paraId="0BDCFF3F" w14:textId="77777777" w:rsidR="0057582C" w:rsidRDefault="00CE7F22">
            <w:pPr>
              <w:spacing w:line="360" w:lineRule="auto"/>
              <w:jc w:val="both"/>
            </w:pPr>
            <w:r>
              <w:t>50,899</w:t>
            </w:r>
          </w:p>
        </w:tc>
        <w:tc>
          <w:tcPr>
            <w:tcW w:w="1000" w:type="dxa"/>
            <w:shd w:val="clear" w:color="auto" w:fill="E2EFDA"/>
          </w:tcPr>
          <w:p w14:paraId="3838B9CD" w14:textId="77777777" w:rsidR="0057582C" w:rsidRDefault="00CE7F22">
            <w:pPr>
              <w:spacing w:line="360" w:lineRule="auto"/>
              <w:jc w:val="both"/>
            </w:pPr>
            <w:r>
              <w:t>2.822</w:t>
            </w:r>
          </w:p>
        </w:tc>
        <w:tc>
          <w:tcPr>
            <w:tcW w:w="900" w:type="dxa"/>
            <w:shd w:val="clear" w:color="auto" w:fill="E2EFDA"/>
          </w:tcPr>
          <w:p w14:paraId="733CC3DD" w14:textId="77777777" w:rsidR="0057582C" w:rsidRDefault="00CE7F22">
            <w:pPr>
              <w:spacing w:line="360" w:lineRule="auto"/>
              <w:jc w:val="both"/>
            </w:pPr>
            <w:r>
              <w:t>0.1060</w:t>
            </w:r>
          </w:p>
        </w:tc>
        <w:tc>
          <w:tcPr>
            <w:tcW w:w="1400" w:type="dxa"/>
            <w:shd w:val="clear" w:color="auto" w:fill="E2EFDA"/>
          </w:tcPr>
          <w:p w14:paraId="7D32DFAE" w14:textId="77777777" w:rsidR="0057582C" w:rsidRDefault="00CE7F22">
            <w:pPr>
              <w:spacing w:line="360" w:lineRule="auto"/>
              <w:jc w:val="both"/>
            </w:pPr>
            <w:r>
              <w:t>No sig. diff.</w:t>
            </w:r>
          </w:p>
        </w:tc>
      </w:tr>
      <w:tr w:rsidR="0057582C" w14:paraId="724816B4" w14:textId="77777777">
        <w:tc>
          <w:tcPr>
            <w:tcW w:w="700" w:type="dxa"/>
            <w:shd w:val="clear" w:color="auto" w:fill="E2EFDA"/>
          </w:tcPr>
          <w:p w14:paraId="014D36EA" w14:textId="77777777" w:rsidR="0057582C" w:rsidRDefault="00CE7F22">
            <w:pPr>
              <w:spacing w:line="360" w:lineRule="auto"/>
              <w:jc w:val="both"/>
            </w:pPr>
            <w:r>
              <w:lastRenderedPageBreak/>
              <w:t>19</w:t>
            </w:r>
          </w:p>
        </w:tc>
        <w:tc>
          <w:tcPr>
            <w:tcW w:w="1400" w:type="dxa"/>
            <w:shd w:val="clear" w:color="auto" w:fill="E2EFDA"/>
          </w:tcPr>
          <w:p w14:paraId="0A4063E9" w14:textId="77777777" w:rsidR="0057582C" w:rsidRDefault="00CE7F22">
            <w:pPr>
              <w:spacing w:line="360" w:lineRule="auto"/>
              <w:jc w:val="both"/>
            </w:pPr>
            <w:r>
              <w:rPr>
                <w:b/>
                <w:bCs/>
              </w:rPr>
              <w:t>2,812</w:t>
            </w:r>
          </w:p>
        </w:tc>
        <w:tc>
          <w:tcPr>
            <w:tcW w:w="1200" w:type="dxa"/>
            <w:shd w:val="clear" w:color="auto" w:fill="E2EFDA"/>
          </w:tcPr>
          <w:p w14:paraId="63459E43" w14:textId="77777777" w:rsidR="0057582C" w:rsidRDefault="00CE7F22">
            <w:pPr>
              <w:spacing w:line="360" w:lineRule="auto"/>
              <w:jc w:val="both"/>
            </w:pPr>
            <w:r>
              <w:t>52,521</w:t>
            </w:r>
          </w:p>
        </w:tc>
        <w:tc>
          <w:tcPr>
            <w:tcW w:w="1000" w:type="dxa"/>
            <w:shd w:val="clear" w:color="auto" w:fill="E2EFDA"/>
          </w:tcPr>
          <w:p w14:paraId="00D553A9" w14:textId="77777777" w:rsidR="0057582C" w:rsidRDefault="00CE7F22">
            <w:pPr>
              <w:spacing w:line="360" w:lineRule="auto"/>
              <w:jc w:val="both"/>
            </w:pPr>
            <w:r>
              <w:t>2.581</w:t>
            </w:r>
          </w:p>
        </w:tc>
        <w:tc>
          <w:tcPr>
            <w:tcW w:w="900" w:type="dxa"/>
            <w:shd w:val="clear" w:color="auto" w:fill="E2EFDA"/>
          </w:tcPr>
          <w:p w14:paraId="12F737FD" w14:textId="77777777" w:rsidR="0057582C" w:rsidRDefault="00CE7F22">
            <w:pPr>
              <w:spacing w:line="360" w:lineRule="auto"/>
              <w:jc w:val="both"/>
            </w:pPr>
            <w:r>
              <w:t>0.1230</w:t>
            </w:r>
          </w:p>
        </w:tc>
        <w:tc>
          <w:tcPr>
            <w:tcW w:w="1400" w:type="dxa"/>
            <w:shd w:val="clear" w:color="auto" w:fill="E2EFDA"/>
          </w:tcPr>
          <w:p w14:paraId="312BA43A" w14:textId="77777777" w:rsidR="0057582C" w:rsidRDefault="00CE7F22">
            <w:pPr>
              <w:spacing w:line="360" w:lineRule="auto"/>
              <w:jc w:val="both"/>
            </w:pPr>
            <w:r>
              <w:t>No sig. diff.</w:t>
            </w:r>
          </w:p>
        </w:tc>
      </w:tr>
      <w:tr w:rsidR="0057582C" w14:paraId="524F4A8A" w14:textId="77777777">
        <w:tc>
          <w:tcPr>
            <w:tcW w:w="700" w:type="dxa"/>
            <w:shd w:val="clear" w:color="auto" w:fill="E2EFDA"/>
          </w:tcPr>
          <w:p w14:paraId="529BE07A" w14:textId="77777777" w:rsidR="0057582C" w:rsidRDefault="00CE7F22">
            <w:pPr>
              <w:spacing w:line="360" w:lineRule="auto"/>
              <w:jc w:val="both"/>
            </w:pPr>
            <w:r>
              <w:t>20</w:t>
            </w:r>
          </w:p>
        </w:tc>
        <w:tc>
          <w:tcPr>
            <w:tcW w:w="1400" w:type="dxa"/>
            <w:shd w:val="clear" w:color="auto" w:fill="E2EFDA"/>
          </w:tcPr>
          <w:p w14:paraId="40FF8BE6" w14:textId="77777777" w:rsidR="0057582C" w:rsidRDefault="00CE7F22">
            <w:pPr>
              <w:spacing w:line="360" w:lineRule="auto"/>
              <w:jc w:val="both"/>
            </w:pPr>
            <w:r>
              <w:rPr>
                <w:b/>
                <w:bCs/>
              </w:rPr>
              <w:t>87,619</w:t>
            </w:r>
          </w:p>
        </w:tc>
        <w:tc>
          <w:tcPr>
            <w:tcW w:w="1200" w:type="dxa"/>
            <w:shd w:val="clear" w:color="auto" w:fill="E2EFDA"/>
          </w:tcPr>
          <w:p w14:paraId="26A6DFC2" w14:textId="77777777" w:rsidR="0057582C" w:rsidRDefault="00CE7F22">
            <w:pPr>
              <w:spacing w:line="360" w:lineRule="auto"/>
              <w:jc w:val="both"/>
            </w:pPr>
            <w:r>
              <w:t>1,029,238</w:t>
            </w:r>
          </w:p>
        </w:tc>
        <w:tc>
          <w:tcPr>
            <w:tcW w:w="1000" w:type="dxa"/>
            <w:shd w:val="clear" w:color="auto" w:fill="E2EFDA"/>
          </w:tcPr>
          <w:p w14:paraId="6AE2C9D9" w14:textId="77777777" w:rsidR="0057582C" w:rsidRDefault="00CE7F22">
            <w:pPr>
              <w:spacing w:line="360" w:lineRule="auto"/>
              <w:jc w:val="both"/>
            </w:pPr>
            <w:r>
              <w:t>1.467</w:t>
            </w:r>
          </w:p>
        </w:tc>
        <w:tc>
          <w:tcPr>
            <w:tcW w:w="900" w:type="dxa"/>
            <w:shd w:val="clear" w:color="auto" w:fill="E2EFDA"/>
          </w:tcPr>
          <w:p w14:paraId="196688C3" w14:textId="77777777" w:rsidR="0057582C" w:rsidRDefault="00CE7F22">
            <w:pPr>
              <w:spacing w:line="360" w:lineRule="auto"/>
              <w:jc w:val="both"/>
            </w:pPr>
            <w:r>
              <w:t>0.2801</w:t>
            </w:r>
          </w:p>
        </w:tc>
        <w:tc>
          <w:tcPr>
            <w:tcW w:w="1400" w:type="dxa"/>
            <w:shd w:val="clear" w:color="auto" w:fill="E2EFDA"/>
          </w:tcPr>
          <w:p w14:paraId="0D996F4B" w14:textId="77777777" w:rsidR="0057582C" w:rsidRDefault="00CE7F22">
            <w:pPr>
              <w:spacing w:line="360" w:lineRule="auto"/>
              <w:jc w:val="both"/>
            </w:pPr>
            <w:r>
              <w:t>No sig. diff.</w:t>
            </w:r>
          </w:p>
        </w:tc>
      </w:tr>
      <w:tr w:rsidR="0057582C" w14:paraId="3C694A96" w14:textId="77777777">
        <w:tc>
          <w:tcPr>
            <w:tcW w:w="700" w:type="dxa"/>
            <w:shd w:val="clear" w:color="auto" w:fill="E2EFDA"/>
          </w:tcPr>
          <w:p w14:paraId="46EB761C" w14:textId="77777777" w:rsidR="0057582C" w:rsidRDefault="00CE7F22">
            <w:pPr>
              <w:spacing w:line="360" w:lineRule="auto"/>
              <w:jc w:val="both"/>
            </w:pPr>
            <w:r>
              <w:t>21</w:t>
            </w:r>
          </w:p>
        </w:tc>
        <w:tc>
          <w:tcPr>
            <w:tcW w:w="1400" w:type="dxa"/>
            <w:shd w:val="clear" w:color="auto" w:fill="E2EFDA"/>
          </w:tcPr>
          <w:p w14:paraId="521EF22D" w14:textId="77777777" w:rsidR="0057582C" w:rsidRDefault="00CE7F22">
            <w:pPr>
              <w:spacing w:line="360" w:lineRule="auto"/>
              <w:jc w:val="both"/>
            </w:pPr>
            <w:r>
              <w:rPr>
                <w:b/>
                <w:bCs/>
              </w:rPr>
              <w:t>2,186</w:t>
            </w:r>
          </w:p>
        </w:tc>
        <w:tc>
          <w:tcPr>
            <w:tcW w:w="1200" w:type="dxa"/>
            <w:shd w:val="clear" w:color="auto" w:fill="E2EFDA"/>
          </w:tcPr>
          <w:p w14:paraId="083D98AB" w14:textId="77777777" w:rsidR="0057582C" w:rsidRDefault="00CE7F22">
            <w:pPr>
              <w:spacing w:line="360" w:lineRule="auto"/>
              <w:jc w:val="both"/>
            </w:pPr>
            <w:r>
              <w:t>151,666</w:t>
            </w:r>
          </w:p>
        </w:tc>
        <w:tc>
          <w:tcPr>
            <w:tcW w:w="1000" w:type="dxa"/>
            <w:shd w:val="clear" w:color="auto" w:fill="E2EFDA"/>
          </w:tcPr>
          <w:p w14:paraId="3E169650" w14:textId="77777777" w:rsidR="0057582C" w:rsidRDefault="00CE7F22">
            <w:pPr>
              <w:spacing w:line="360" w:lineRule="auto"/>
              <w:jc w:val="both"/>
            </w:pPr>
            <w:r>
              <w:t>1.220</w:t>
            </w:r>
          </w:p>
        </w:tc>
        <w:tc>
          <w:tcPr>
            <w:tcW w:w="900" w:type="dxa"/>
            <w:shd w:val="clear" w:color="auto" w:fill="E2EFDA"/>
          </w:tcPr>
          <w:p w14:paraId="03914BC4" w14:textId="77777777" w:rsidR="0057582C" w:rsidRDefault="00CE7F22">
            <w:pPr>
              <w:spacing w:line="360" w:lineRule="auto"/>
              <w:jc w:val="both"/>
            </w:pPr>
            <w:r>
              <w:t>0.3467</w:t>
            </w:r>
          </w:p>
        </w:tc>
        <w:tc>
          <w:tcPr>
            <w:tcW w:w="1400" w:type="dxa"/>
            <w:shd w:val="clear" w:color="auto" w:fill="E2EFDA"/>
          </w:tcPr>
          <w:p w14:paraId="7814435D" w14:textId="77777777" w:rsidR="0057582C" w:rsidRDefault="00CE7F22">
            <w:pPr>
              <w:spacing w:line="360" w:lineRule="auto"/>
              <w:jc w:val="both"/>
            </w:pPr>
            <w:r>
              <w:t>No sig. diff.</w:t>
            </w:r>
          </w:p>
        </w:tc>
      </w:tr>
      <w:tr w:rsidR="0057582C" w14:paraId="5D003F9F" w14:textId="77777777">
        <w:tc>
          <w:tcPr>
            <w:tcW w:w="700" w:type="dxa"/>
            <w:shd w:val="clear" w:color="auto" w:fill="E2EFDA"/>
          </w:tcPr>
          <w:p w14:paraId="2E5F2373" w14:textId="77777777" w:rsidR="0057582C" w:rsidRDefault="00CE7F22">
            <w:pPr>
              <w:spacing w:line="360" w:lineRule="auto"/>
              <w:jc w:val="both"/>
            </w:pPr>
            <w:r>
              <w:t>22</w:t>
            </w:r>
          </w:p>
        </w:tc>
        <w:tc>
          <w:tcPr>
            <w:tcW w:w="1400" w:type="dxa"/>
            <w:shd w:val="clear" w:color="auto" w:fill="E2EFDA"/>
          </w:tcPr>
          <w:p w14:paraId="12DFCD25" w14:textId="77777777" w:rsidR="0057582C" w:rsidRDefault="00CE7F22">
            <w:pPr>
              <w:spacing w:line="360" w:lineRule="auto"/>
              <w:jc w:val="both"/>
            </w:pPr>
            <w:r>
              <w:rPr>
                <w:b/>
                <w:bCs/>
              </w:rPr>
              <w:t>296</w:t>
            </w:r>
          </w:p>
        </w:tc>
        <w:tc>
          <w:tcPr>
            <w:tcW w:w="1200" w:type="dxa"/>
            <w:shd w:val="clear" w:color="auto" w:fill="E2EFDA"/>
          </w:tcPr>
          <w:p w14:paraId="2ECDBA2B" w14:textId="77777777" w:rsidR="0057582C" w:rsidRDefault="00CE7F22">
            <w:pPr>
              <w:spacing w:line="360" w:lineRule="auto"/>
              <w:jc w:val="both"/>
            </w:pPr>
            <w:r>
              <w:t>6,941</w:t>
            </w:r>
          </w:p>
        </w:tc>
        <w:tc>
          <w:tcPr>
            <w:tcW w:w="1000" w:type="dxa"/>
            <w:shd w:val="clear" w:color="auto" w:fill="E2EFDA"/>
          </w:tcPr>
          <w:p w14:paraId="256BC02A" w14:textId="77777777" w:rsidR="0057582C" w:rsidRDefault="00CE7F22">
            <w:pPr>
              <w:spacing w:line="360" w:lineRule="auto"/>
              <w:jc w:val="both"/>
            </w:pPr>
            <w:r>
              <w:t>2.363</w:t>
            </w:r>
          </w:p>
        </w:tc>
        <w:tc>
          <w:tcPr>
            <w:tcW w:w="900" w:type="dxa"/>
            <w:shd w:val="clear" w:color="auto" w:fill="E2EFDA"/>
          </w:tcPr>
          <w:p w14:paraId="31B7DC1B" w14:textId="77777777" w:rsidR="0057582C" w:rsidRDefault="00CE7F22">
            <w:pPr>
              <w:spacing w:line="360" w:lineRule="auto"/>
              <w:jc w:val="both"/>
            </w:pPr>
            <w:r>
              <w:t>0.1420</w:t>
            </w:r>
          </w:p>
        </w:tc>
        <w:tc>
          <w:tcPr>
            <w:tcW w:w="1400" w:type="dxa"/>
            <w:shd w:val="clear" w:color="auto" w:fill="E2EFDA"/>
          </w:tcPr>
          <w:p w14:paraId="7583D145" w14:textId="77777777" w:rsidR="0057582C" w:rsidRDefault="00CE7F22">
            <w:pPr>
              <w:spacing w:line="360" w:lineRule="auto"/>
              <w:jc w:val="both"/>
            </w:pPr>
            <w:r>
              <w:t>No sig. diff.</w:t>
            </w:r>
          </w:p>
        </w:tc>
      </w:tr>
      <w:tr w:rsidR="0057582C" w14:paraId="695CC4C4" w14:textId="77777777">
        <w:tc>
          <w:tcPr>
            <w:tcW w:w="700" w:type="dxa"/>
            <w:shd w:val="clear" w:color="auto" w:fill="E2EFDA"/>
          </w:tcPr>
          <w:p w14:paraId="6D95A4D4" w14:textId="77777777" w:rsidR="0057582C" w:rsidRDefault="00CE7F22">
            <w:pPr>
              <w:spacing w:line="360" w:lineRule="auto"/>
              <w:jc w:val="both"/>
            </w:pPr>
            <w:r>
              <w:t>23</w:t>
            </w:r>
          </w:p>
        </w:tc>
        <w:tc>
          <w:tcPr>
            <w:tcW w:w="1400" w:type="dxa"/>
            <w:shd w:val="clear" w:color="auto" w:fill="E2EFDA"/>
          </w:tcPr>
          <w:p w14:paraId="20E152B4" w14:textId="77777777" w:rsidR="0057582C" w:rsidRDefault="00CE7F22">
            <w:pPr>
              <w:spacing w:line="360" w:lineRule="auto"/>
              <w:jc w:val="both"/>
            </w:pPr>
            <w:r>
              <w:rPr>
                <w:b/>
                <w:bCs/>
              </w:rPr>
              <w:t>870</w:t>
            </w:r>
          </w:p>
        </w:tc>
        <w:tc>
          <w:tcPr>
            <w:tcW w:w="1200" w:type="dxa"/>
            <w:shd w:val="clear" w:color="auto" w:fill="E2EFDA"/>
          </w:tcPr>
          <w:p w14:paraId="7F2E7643" w14:textId="77777777" w:rsidR="0057582C" w:rsidRDefault="00CE7F22">
            <w:pPr>
              <w:spacing w:line="360" w:lineRule="auto"/>
              <w:jc w:val="both"/>
            </w:pPr>
            <w:r>
              <w:t>4,317</w:t>
            </w:r>
          </w:p>
        </w:tc>
        <w:tc>
          <w:tcPr>
            <w:tcW w:w="1000" w:type="dxa"/>
            <w:shd w:val="clear" w:color="auto" w:fill="E2EFDA"/>
          </w:tcPr>
          <w:p w14:paraId="347BF55B" w14:textId="77777777" w:rsidR="0057582C" w:rsidRDefault="00CE7F22">
            <w:pPr>
              <w:spacing w:line="360" w:lineRule="auto"/>
              <w:jc w:val="both"/>
            </w:pPr>
            <w:r>
              <w:t>1.011</w:t>
            </w:r>
          </w:p>
        </w:tc>
        <w:tc>
          <w:tcPr>
            <w:tcW w:w="900" w:type="dxa"/>
            <w:shd w:val="clear" w:color="auto" w:fill="E2EFDA"/>
          </w:tcPr>
          <w:p w14:paraId="12807835" w14:textId="77777777" w:rsidR="0057582C" w:rsidRDefault="00CE7F22">
            <w:pPr>
              <w:spacing w:line="360" w:lineRule="auto"/>
              <w:jc w:val="both"/>
            </w:pPr>
            <w:r>
              <w:t>0.4183</w:t>
            </w:r>
          </w:p>
        </w:tc>
        <w:tc>
          <w:tcPr>
            <w:tcW w:w="1400" w:type="dxa"/>
            <w:shd w:val="clear" w:color="auto" w:fill="E2EFDA"/>
          </w:tcPr>
          <w:p w14:paraId="65903C0E" w14:textId="77777777" w:rsidR="0057582C" w:rsidRDefault="00CE7F22">
            <w:pPr>
              <w:spacing w:line="360" w:lineRule="auto"/>
              <w:jc w:val="both"/>
            </w:pPr>
            <w:r>
              <w:t>No sig. diff.</w:t>
            </w:r>
          </w:p>
        </w:tc>
      </w:tr>
      <w:tr w:rsidR="0057582C" w14:paraId="67BDA9D9" w14:textId="77777777">
        <w:tc>
          <w:tcPr>
            <w:tcW w:w="700" w:type="dxa"/>
            <w:shd w:val="clear" w:color="auto" w:fill="FFF2CC"/>
          </w:tcPr>
          <w:p w14:paraId="26F591AF" w14:textId="77777777" w:rsidR="0057582C" w:rsidRDefault="00CE7F22">
            <w:pPr>
              <w:spacing w:line="360" w:lineRule="auto"/>
              <w:jc w:val="both"/>
            </w:pPr>
            <w:r>
              <w:t>24</w:t>
            </w:r>
          </w:p>
        </w:tc>
        <w:tc>
          <w:tcPr>
            <w:tcW w:w="1400" w:type="dxa"/>
            <w:shd w:val="clear" w:color="auto" w:fill="FFF2CC"/>
          </w:tcPr>
          <w:p w14:paraId="35E2B16E" w14:textId="77777777" w:rsidR="0057582C" w:rsidRDefault="00CE7F22">
            <w:pPr>
              <w:spacing w:line="360" w:lineRule="auto"/>
              <w:jc w:val="both"/>
            </w:pPr>
            <w:r>
              <w:rPr>
                <w:b/>
                <w:bCs/>
              </w:rPr>
              <w:t>2,211</w:t>
            </w:r>
          </w:p>
        </w:tc>
        <w:tc>
          <w:tcPr>
            <w:tcW w:w="1200" w:type="dxa"/>
            <w:shd w:val="clear" w:color="auto" w:fill="FFF2CC"/>
          </w:tcPr>
          <w:p w14:paraId="54BD8E0B" w14:textId="77777777" w:rsidR="0057582C" w:rsidRDefault="00CE7F22">
            <w:pPr>
              <w:spacing w:line="360" w:lineRule="auto"/>
              <w:jc w:val="both"/>
            </w:pPr>
            <w:r>
              <w:t>7,868</w:t>
            </w:r>
          </w:p>
        </w:tc>
        <w:tc>
          <w:tcPr>
            <w:tcW w:w="1000" w:type="dxa"/>
            <w:shd w:val="clear" w:color="auto" w:fill="FFF2CC"/>
          </w:tcPr>
          <w:p w14:paraId="06FF27F9" w14:textId="77777777" w:rsidR="0057582C" w:rsidRDefault="00CE7F22">
            <w:pPr>
              <w:spacing w:line="360" w:lineRule="auto"/>
              <w:jc w:val="both"/>
            </w:pPr>
            <w:r>
              <w:t>34.492</w:t>
            </w:r>
          </w:p>
        </w:tc>
        <w:tc>
          <w:tcPr>
            <w:tcW w:w="900" w:type="dxa"/>
            <w:shd w:val="clear" w:color="auto" w:fill="FFF2CC"/>
          </w:tcPr>
          <w:p w14:paraId="05AD251F" w14:textId="77777777" w:rsidR="0057582C" w:rsidRDefault="00CE7F22">
            <w:pPr>
              <w:spacing w:line="360" w:lineRule="auto"/>
              <w:jc w:val="both"/>
            </w:pPr>
            <w:r>
              <w:t>0.0008</w:t>
            </w:r>
          </w:p>
        </w:tc>
        <w:tc>
          <w:tcPr>
            <w:tcW w:w="1400" w:type="dxa"/>
            <w:shd w:val="clear" w:color="auto" w:fill="FFF2CC"/>
          </w:tcPr>
          <w:p w14:paraId="5E75C970" w14:textId="77777777" w:rsidR="0057582C" w:rsidRDefault="00CE7F22">
            <w:pPr>
              <w:spacing w:line="360" w:lineRule="auto"/>
              <w:jc w:val="both"/>
            </w:pPr>
            <w:r>
              <w:t>ARIMA better</w:t>
            </w:r>
          </w:p>
        </w:tc>
      </w:tr>
    </w:tbl>
    <w:p w14:paraId="7229D3B4" w14:textId="77777777" w:rsidR="0057582C" w:rsidRDefault="00CE7F22">
      <w:pPr>
        <w:spacing w:before="120" w:after="120" w:line="360" w:lineRule="auto"/>
        <w:jc w:val="both"/>
      </w:pPr>
      <w:r>
        <w:t>Auto-ARIMA achieves lower MAE than Prophet in all 25 clusters (median £810 vs £22,680). With n=3 hold-out observations, statistical power is limited: auto-ARIMA is significantly superior in 1 cluster (Cluster 24, p&lt;0.05); 24 clusters show no significant difference. This confirms the training-window-dependence of the Prophet–ARIMA comparison.</w:t>
      </w:r>
    </w:p>
    <w:p w14:paraId="0071C783" w14:textId="1A6D77D4" w:rsidR="00F14614" w:rsidRPr="00F14614" w:rsidRDefault="00F14614" w:rsidP="00F14614">
      <w:pPr>
        <w:spacing w:before="100" w:beforeAutospacing="1" w:after="100" w:afterAutospacing="1"/>
        <w:outlineLvl w:val="1"/>
        <w:rPr>
          <w:b/>
          <w:bCs/>
          <w:sz w:val="36"/>
          <w:szCs w:val="36"/>
          <w:lang w:val="en-US" w:eastAsia="en-US"/>
        </w:rPr>
      </w:pPr>
      <w:r w:rsidRPr="00F14614">
        <w:rPr>
          <w:b/>
          <w:bCs/>
          <w:sz w:val="36"/>
          <w:szCs w:val="36"/>
          <w:lang w:val="en-US" w:eastAsia="en-US"/>
        </w:rPr>
        <w:t>Conclusion</w:t>
      </w:r>
    </w:p>
    <w:p w14:paraId="27FF9A73" w14:textId="77777777" w:rsidR="00F14614" w:rsidRPr="00F14614" w:rsidRDefault="00F14614" w:rsidP="00F14614">
      <w:pPr>
        <w:spacing w:before="100" w:beforeAutospacing="1" w:after="100" w:afterAutospacing="1"/>
        <w:rPr>
          <w:lang w:val="en-US" w:eastAsia="en-US"/>
        </w:rPr>
      </w:pPr>
      <w:commentRangeStart w:id="7"/>
      <w:r w:rsidRPr="00F14614">
        <w:rPr>
          <w:lang w:val="en-US" w:eastAsia="en-US"/>
        </w:rPr>
        <w:t xml:space="preserve">This study presented an integrated RFM-SOM forecasting and inventory </w:t>
      </w:r>
      <w:proofErr w:type="spellStart"/>
      <w:r w:rsidRPr="00F14614">
        <w:rPr>
          <w:lang w:val="en-US" w:eastAsia="en-US"/>
        </w:rPr>
        <w:t>optimisation</w:t>
      </w:r>
      <w:proofErr w:type="spellEnd"/>
      <w:r w:rsidRPr="00F14614">
        <w:rPr>
          <w:lang w:val="en-US" w:eastAsia="en-US"/>
        </w:rPr>
        <w:t xml:space="preserve"> framework for retail supply chain decision support. The results indicate that Self-</w:t>
      </w:r>
      <w:proofErr w:type="spellStart"/>
      <w:r w:rsidRPr="00F14614">
        <w:rPr>
          <w:lang w:val="en-US" w:eastAsia="en-US"/>
        </w:rPr>
        <w:t>Organising</w:t>
      </w:r>
      <w:proofErr w:type="spellEnd"/>
      <w:r w:rsidRPr="00F14614">
        <w:rPr>
          <w:lang w:val="en-US" w:eastAsia="en-US"/>
        </w:rPr>
        <w:t xml:space="preserve"> Maps provided stronger segmentation quality than Gaussian Mixture Models for the </w:t>
      </w:r>
      <w:proofErr w:type="spellStart"/>
      <w:r w:rsidRPr="00F14614">
        <w:rPr>
          <w:lang w:val="en-US" w:eastAsia="en-US"/>
        </w:rPr>
        <w:t>analysed</w:t>
      </w:r>
      <w:proofErr w:type="spellEnd"/>
      <w:r w:rsidRPr="00F14614">
        <w:rPr>
          <w:lang w:val="en-US" w:eastAsia="en-US"/>
        </w:rPr>
        <w:t xml:space="preserve"> RFM data, producing more compact and better-separated customer groups. The 25 SOM clusters were further </w:t>
      </w:r>
      <w:proofErr w:type="spellStart"/>
      <w:r w:rsidRPr="00F14614">
        <w:rPr>
          <w:lang w:val="en-US" w:eastAsia="en-US"/>
        </w:rPr>
        <w:t>organised</w:t>
      </w:r>
      <w:proofErr w:type="spellEnd"/>
      <w:r w:rsidRPr="00F14614">
        <w:rPr>
          <w:lang w:val="en-US" w:eastAsia="en-US"/>
        </w:rPr>
        <w:t xml:space="preserve"> into five customer tiers, enabling differentiated interpretation of customer value, activity, and replenishment priority. Forecasting results showed that auto-ARIMA achieved lower median forecast error than Prophet across the short monthly segment-level series, although statistical testing confirmed significant superiority in only one cluster. This finding suggests that simpler time-series models may be appropriate when limited historical data are available, while more complex decomposition-based models require careful validation. The EOQ and Monte Carlo inventory analysis further demonstrated that customer-tier-specific planning can support differentiated replenishment policies, particularly for high-value active customers and dormant segments. Overall, the framework provides a structured approach for linking </w:t>
      </w:r>
      <w:r w:rsidRPr="00F14614">
        <w:rPr>
          <w:lang w:val="en-US" w:eastAsia="en-US"/>
        </w:rPr>
        <w:lastRenderedPageBreak/>
        <w:t>customer segmentation, demand forecasting, and inventory decisions in retail supply chain management.</w:t>
      </w:r>
      <w:commentRangeEnd w:id="7"/>
      <w:r w:rsidR="00871302">
        <w:rPr>
          <w:rStyle w:val="CommentReference"/>
        </w:rPr>
        <w:commentReference w:id="7"/>
      </w:r>
    </w:p>
    <w:p w14:paraId="13D4E78D" w14:textId="749ABEE1" w:rsidR="00F14614" w:rsidRPr="00F14614" w:rsidRDefault="00F14614" w:rsidP="00F14614">
      <w:pPr>
        <w:spacing w:before="100" w:beforeAutospacing="1" w:after="100" w:afterAutospacing="1"/>
        <w:outlineLvl w:val="1"/>
        <w:rPr>
          <w:b/>
          <w:bCs/>
          <w:sz w:val="36"/>
          <w:szCs w:val="36"/>
          <w:lang w:val="en-US" w:eastAsia="en-US"/>
        </w:rPr>
      </w:pPr>
      <w:r w:rsidRPr="00F14614">
        <w:rPr>
          <w:b/>
          <w:bCs/>
          <w:sz w:val="36"/>
          <w:szCs w:val="36"/>
          <w:lang w:val="en-US" w:eastAsia="en-US"/>
        </w:rPr>
        <w:t>Limitation</w:t>
      </w:r>
    </w:p>
    <w:p w14:paraId="69C3CCEC" w14:textId="77777777" w:rsidR="00F14614" w:rsidRDefault="00F14614" w:rsidP="00F14614">
      <w:pPr>
        <w:spacing w:before="100" w:beforeAutospacing="1" w:after="100" w:afterAutospacing="1"/>
        <w:rPr>
          <w:lang w:val="en-US" w:eastAsia="en-US"/>
        </w:rPr>
      </w:pPr>
      <w:r w:rsidRPr="00F14614">
        <w:rPr>
          <w:lang w:val="en-US" w:eastAsia="en-US"/>
        </w:rPr>
        <w:t>This study is limited by its reliance on a single UK online retail dataset with a short historical time window. The 12-month monthly series restricts the ability to model seasonality robustly and limits the statistical power of the Diebold-Mariano tests. The inventory simulation also depends on assumed ordering costs, holding-cost rates, service levels, and lead-time distributions, which may differ across retailers. External demand drivers, including promotions, prices, competitor activity, and macroeconomic conditions, were not included. Therefore, the framework should be validated on longer datasets, multiple retail contexts, and product-level inventory records before broader practical adoption.</w:t>
      </w:r>
    </w:p>
    <w:p w14:paraId="15168191" w14:textId="77777777" w:rsidR="00F14614" w:rsidRDefault="00F14614" w:rsidP="00F14614">
      <w:pPr>
        <w:spacing w:before="100" w:beforeAutospacing="1" w:after="100" w:afterAutospacing="1"/>
        <w:rPr>
          <w:lang w:val="en-US" w:eastAsia="en-US"/>
        </w:rPr>
      </w:pPr>
    </w:p>
    <w:p w14:paraId="03822FE0" w14:textId="77777777" w:rsidR="00F14614" w:rsidRPr="00F14614" w:rsidRDefault="00F14614" w:rsidP="00F14614">
      <w:pPr>
        <w:rPr>
          <w:rFonts w:eastAsia="Calibri"/>
          <w:b/>
          <w:sz w:val="22"/>
          <w:szCs w:val="22"/>
          <w:lang w:val="en-US" w:eastAsia="en-US"/>
        </w:rPr>
      </w:pPr>
      <w:r w:rsidRPr="00F14614">
        <w:rPr>
          <w:rFonts w:eastAsia="Calibri"/>
          <w:b/>
          <w:sz w:val="22"/>
          <w:szCs w:val="22"/>
          <w:lang w:val="en-US" w:eastAsia="en-US"/>
        </w:rPr>
        <w:t>Declaration of AI Use</w:t>
      </w:r>
    </w:p>
    <w:p w14:paraId="3473438C" w14:textId="77777777" w:rsidR="00F14614" w:rsidRPr="00F14614" w:rsidRDefault="00F14614" w:rsidP="00F14614">
      <w:pPr>
        <w:rPr>
          <w:rFonts w:eastAsia="Calibri"/>
          <w:sz w:val="22"/>
          <w:szCs w:val="22"/>
          <w:lang w:val="en-US" w:eastAsia="en-US"/>
        </w:rPr>
      </w:pPr>
    </w:p>
    <w:p w14:paraId="44F31AEA" w14:textId="77777777" w:rsidR="00F14614" w:rsidRPr="00F14614" w:rsidRDefault="00F14614" w:rsidP="00F14614">
      <w:pPr>
        <w:jc w:val="both"/>
        <w:rPr>
          <w:rFonts w:eastAsia="Calibri"/>
          <w:sz w:val="22"/>
          <w:szCs w:val="22"/>
          <w:lang w:val="en-US" w:eastAsia="en-US"/>
        </w:rPr>
      </w:pPr>
      <w:r w:rsidRPr="00F14614">
        <w:rPr>
          <w:rFonts w:eastAsia="Calibri"/>
          <w:sz w:val="22"/>
          <w:szCs w:val="22"/>
          <w:lang w:val="en-US"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E5AE2A1" w14:textId="77777777" w:rsidR="00F14614" w:rsidRPr="00F14614" w:rsidRDefault="00F14614" w:rsidP="00F14614">
      <w:pPr>
        <w:spacing w:before="100" w:beforeAutospacing="1" w:after="100" w:afterAutospacing="1"/>
        <w:rPr>
          <w:lang w:val="en-US" w:eastAsia="en-US"/>
        </w:rPr>
      </w:pPr>
    </w:p>
    <w:p w14:paraId="05AC3AFF" w14:textId="77777777" w:rsidR="0057582C" w:rsidRDefault="00CE7F22">
      <w:pPr>
        <w:spacing w:before="120" w:after="120" w:line="360" w:lineRule="auto"/>
        <w:jc w:val="both"/>
      </w:pPr>
      <w:r>
        <w:rPr>
          <w:b/>
          <w:bCs/>
        </w:rPr>
        <w:t>Declaration of Generative AI and AI-Assisted Technologies</w:t>
      </w:r>
    </w:p>
    <w:p w14:paraId="3B5FF140" w14:textId="77777777" w:rsidR="0057582C" w:rsidRDefault="00CE7F22">
      <w:pPr>
        <w:spacing w:before="120" w:after="120" w:line="360" w:lineRule="auto"/>
        <w:jc w:val="both"/>
      </w:pPr>
      <w:r>
        <w:t>During the preparation of this manuscript, the author used Grammarly Premium for grammar and spelling correction. After using this tool, the author reviewed and edited the content as necessary and takes full responsibility for the manuscript's content.</w:t>
      </w:r>
    </w:p>
    <w:p w14:paraId="6AB6E8F5" w14:textId="77777777" w:rsidR="0057582C" w:rsidRDefault="00CE7F22">
      <w:pPr>
        <w:spacing w:before="120" w:after="120" w:line="360" w:lineRule="auto"/>
        <w:jc w:val="both"/>
      </w:pPr>
      <w:r>
        <w:rPr>
          <w:b/>
          <w:bCs/>
        </w:rPr>
        <w:t>Declaration of Competing Interest</w:t>
      </w:r>
    </w:p>
    <w:p w14:paraId="0613EE80" w14:textId="77777777" w:rsidR="0057582C" w:rsidRDefault="00CE7F22">
      <w:pPr>
        <w:spacing w:before="120" w:after="120" w:line="360" w:lineRule="auto"/>
        <w:jc w:val="both"/>
      </w:pPr>
      <w:r>
        <w:t>The author declares that there are no known competing financial interests or personal relationships that could have influenced the work reported in this paper.</w:t>
      </w:r>
    </w:p>
    <w:p w14:paraId="74F94B89" w14:textId="77777777" w:rsidR="0057582C" w:rsidRDefault="00CE7F22">
      <w:pPr>
        <w:spacing w:before="120" w:after="120" w:line="360" w:lineRule="auto"/>
        <w:jc w:val="both"/>
      </w:pPr>
      <w:r>
        <w:rPr>
          <w:b/>
          <w:bCs/>
        </w:rPr>
        <w:t>References</w:t>
      </w:r>
    </w:p>
    <w:p w14:paraId="1AD3BE35" w14:textId="77777777" w:rsidR="0057582C" w:rsidRDefault="00CE7F22">
      <w:pPr>
        <w:pStyle w:val="NormalWeb"/>
        <w:spacing w:beforeAutospacing="1" w:afterAutospacing="1"/>
      </w:pPr>
      <w:proofErr w:type="spellStart"/>
      <w:r>
        <w:t>Albqowr</w:t>
      </w:r>
      <w:proofErr w:type="spellEnd"/>
      <w:r>
        <w:t xml:space="preserve">, A., </w:t>
      </w:r>
      <w:proofErr w:type="spellStart"/>
      <w:r>
        <w:t>Alsharairi</w:t>
      </w:r>
      <w:proofErr w:type="spellEnd"/>
      <w:r>
        <w:t xml:space="preserve">, M., &amp; </w:t>
      </w:r>
      <w:proofErr w:type="spellStart"/>
      <w:r>
        <w:t>Alsoussi</w:t>
      </w:r>
      <w:proofErr w:type="spellEnd"/>
      <w:r>
        <w:t xml:space="preserve">, A. (2022). Big data analytics in supply chain management: a systematic literature review. </w:t>
      </w:r>
      <w:r>
        <w:rPr>
          <w:rStyle w:val="Emphasis"/>
        </w:rPr>
        <w:t>VINE Journal of Information and Knowledge Management Systems</w:t>
      </w:r>
      <w:r>
        <w:t xml:space="preserve">, </w:t>
      </w:r>
      <w:r>
        <w:rPr>
          <w:rStyle w:val="Emphasis"/>
        </w:rPr>
        <w:t>52</w:t>
      </w:r>
      <w:r>
        <w:t xml:space="preserve">(4), 551–569. </w:t>
      </w:r>
      <w:hyperlink r:id="rId24" w:history="1">
        <w:r>
          <w:rPr>
            <w:rStyle w:val="Hyperlink"/>
          </w:rPr>
          <w:t>https://doi.org/10.1108/VJIKMS-06-2020-0105</w:t>
        </w:r>
      </w:hyperlink>
    </w:p>
    <w:p w14:paraId="4834BF69" w14:textId="77777777" w:rsidR="0057582C" w:rsidRDefault="00CE7F22">
      <w:pPr>
        <w:pStyle w:val="NormalWeb"/>
        <w:spacing w:beforeAutospacing="1" w:afterAutospacing="1"/>
      </w:pPr>
      <w:r>
        <w:lastRenderedPageBreak/>
        <w:t xml:space="preserve">Anitha, P., &amp; Patil, M. M. (2022). RFM model for customer purchase behaviour using K-Means algorithm. </w:t>
      </w:r>
      <w:r>
        <w:rPr>
          <w:rStyle w:val="Emphasis"/>
        </w:rPr>
        <w:t>Journal of King Saud University — Computer and Information Sciences</w:t>
      </w:r>
      <w:r>
        <w:t xml:space="preserve">, </w:t>
      </w:r>
      <w:r>
        <w:rPr>
          <w:rStyle w:val="Emphasis"/>
        </w:rPr>
        <w:t>34</w:t>
      </w:r>
      <w:r>
        <w:t xml:space="preserve">(5), 1785–1792. </w:t>
      </w:r>
      <w:hyperlink r:id="rId25" w:history="1">
        <w:r>
          <w:rPr>
            <w:rStyle w:val="Hyperlink"/>
          </w:rPr>
          <w:t>https://doi.org/10.1016/j.jksuci.2019.12.011</w:t>
        </w:r>
      </w:hyperlink>
    </w:p>
    <w:p w14:paraId="2A9FF5EA" w14:textId="77777777" w:rsidR="0057582C" w:rsidRDefault="00CE7F22">
      <w:pPr>
        <w:pStyle w:val="NormalWeb"/>
        <w:spacing w:beforeAutospacing="1" w:afterAutospacing="1"/>
      </w:pPr>
      <w:r>
        <w:t xml:space="preserve">Babai, M. Z., Boylan, J. E., &amp; Rostami-Tabar, B. (2022). Demand forecasting in supply chains: a review of aggregation and hierarchical approaches. </w:t>
      </w:r>
      <w:r>
        <w:rPr>
          <w:rStyle w:val="Emphasis"/>
        </w:rPr>
        <w:t>International Journal of Production Research</w:t>
      </w:r>
      <w:r>
        <w:t xml:space="preserve">, </w:t>
      </w:r>
      <w:r>
        <w:rPr>
          <w:rStyle w:val="Emphasis"/>
        </w:rPr>
        <w:t>60</w:t>
      </w:r>
      <w:r>
        <w:t xml:space="preserve">(1), 324–348. </w:t>
      </w:r>
      <w:hyperlink r:id="rId26" w:history="1">
        <w:r>
          <w:rPr>
            <w:rStyle w:val="Hyperlink"/>
          </w:rPr>
          <w:t>https://doi.org/10.1080/00207543.2021.2005268</w:t>
        </w:r>
      </w:hyperlink>
    </w:p>
    <w:p w14:paraId="55A9D285" w14:textId="77777777" w:rsidR="0057582C" w:rsidRDefault="00CE7F22">
      <w:pPr>
        <w:pStyle w:val="NormalWeb"/>
        <w:spacing w:beforeAutospacing="1" w:afterAutospacing="1"/>
      </w:pPr>
      <w:r>
        <w:t xml:space="preserve">Brykin, D. (2024). Comparison between ARIMA, LSTM and Prophet. </w:t>
      </w:r>
      <w:r>
        <w:rPr>
          <w:rStyle w:val="Emphasis"/>
        </w:rPr>
        <w:t>Journal of Computer Science and Software Programming</w:t>
      </w:r>
      <w:r>
        <w:t xml:space="preserve">, </w:t>
      </w:r>
      <w:r>
        <w:rPr>
          <w:rStyle w:val="Emphasis"/>
        </w:rPr>
        <w:t>20</w:t>
      </w:r>
      <w:r>
        <w:t>(5), 1222–1230.</w:t>
      </w:r>
    </w:p>
    <w:p w14:paraId="6EFE2137" w14:textId="77777777" w:rsidR="0057582C" w:rsidRDefault="00CE7F22">
      <w:pPr>
        <w:pStyle w:val="NormalWeb"/>
        <w:spacing w:beforeAutospacing="1" w:afterAutospacing="1"/>
      </w:pPr>
      <w:r>
        <w:t xml:space="preserve">Caliński, T., &amp; </w:t>
      </w:r>
      <w:proofErr w:type="spellStart"/>
      <w:r>
        <w:t>Harabasz</w:t>
      </w:r>
      <w:proofErr w:type="spellEnd"/>
      <w:r>
        <w:t xml:space="preserve">, J. (1974). A dendrite method for cluster analysis. </w:t>
      </w:r>
      <w:r>
        <w:rPr>
          <w:rStyle w:val="Emphasis"/>
        </w:rPr>
        <w:t>Communications in Statistics — Theory and Methods</w:t>
      </w:r>
      <w:r>
        <w:t xml:space="preserve">, </w:t>
      </w:r>
      <w:r>
        <w:rPr>
          <w:rStyle w:val="Emphasis"/>
        </w:rPr>
        <w:t>3</w:t>
      </w:r>
      <w:r>
        <w:t xml:space="preserve">(1), 1–27. </w:t>
      </w:r>
      <w:hyperlink r:id="rId27" w:history="1">
        <w:r>
          <w:rPr>
            <w:rStyle w:val="Hyperlink"/>
          </w:rPr>
          <w:t>https://doi.org/10.1080/03610927408827101</w:t>
        </w:r>
      </w:hyperlink>
    </w:p>
    <w:p w14:paraId="264D2036" w14:textId="77777777" w:rsidR="0057582C" w:rsidRDefault="00CE7F22">
      <w:pPr>
        <w:pStyle w:val="NormalWeb"/>
        <w:spacing w:beforeAutospacing="1" w:afterAutospacing="1"/>
      </w:pPr>
      <w:r>
        <w:t xml:space="preserve">Chen, D., Sain, S. L., &amp; Guo, K. (2012). Data mining for the online retail industry: a case study of RFM model-based customer segmentation using data mining. </w:t>
      </w:r>
      <w:r>
        <w:rPr>
          <w:rStyle w:val="Emphasis"/>
        </w:rPr>
        <w:t>Journal of Database Marketing and Customer Strategy Management</w:t>
      </w:r>
      <w:r>
        <w:t xml:space="preserve">, </w:t>
      </w:r>
      <w:r>
        <w:rPr>
          <w:rStyle w:val="Emphasis"/>
        </w:rPr>
        <w:t>19</w:t>
      </w:r>
      <w:r>
        <w:t xml:space="preserve">(3), 197–208. </w:t>
      </w:r>
      <w:hyperlink r:id="rId28" w:history="1">
        <w:r>
          <w:rPr>
            <w:rStyle w:val="Hyperlink"/>
          </w:rPr>
          <w:t>https://doi.org/10.1057/dbm.2012.17</w:t>
        </w:r>
      </w:hyperlink>
    </w:p>
    <w:p w14:paraId="77D97A60" w14:textId="77777777" w:rsidR="0057582C" w:rsidRDefault="00CE7F22">
      <w:pPr>
        <w:pStyle w:val="NormalWeb"/>
        <w:spacing w:beforeAutospacing="1" w:afterAutospacing="1"/>
      </w:pPr>
      <w:proofErr w:type="spellStart"/>
      <w:r>
        <w:t>Darvazeh</w:t>
      </w:r>
      <w:proofErr w:type="spellEnd"/>
      <w:r>
        <w:t xml:space="preserve">, S. S., Vanani, I. R., &amp; </w:t>
      </w:r>
      <w:proofErr w:type="spellStart"/>
      <w:r>
        <w:t>Musolu</w:t>
      </w:r>
      <w:proofErr w:type="spellEnd"/>
      <w:r>
        <w:t xml:space="preserve">, F. M. (2020). Big data analytics and its applications in supply chain management. In </w:t>
      </w:r>
      <w:r>
        <w:rPr>
          <w:rStyle w:val="Emphasis"/>
        </w:rPr>
        <w:t>New Trends in the Use of Artificial Intelligence for the Industry</w:t>
      </w:r>
      <w:r>
        <w:t xml:space="preserve"> (pp. 175–195). </w:t>
      </w:r>
      <w:proofErr w:type="spellStart"/>
      <w:r>
        <w:t>IntechOpen</w:t>
      </w:r>
      <w:proofErr w:type="spellEnd"/>
      <w:r>
        <w:t xml:space="preserve">. </w:t>
      </w:r>
      <w:hyperlink r:id="rId29" w:history="1">
        <w:r>
          <w:rPr>
            <w:rStyle w:val="Hyperlink"/>
          </w:rPr>
          <w:t>https://doi.org/10.5772/intechopen.93651</w:t>
        </w:r>
      </w:hyperlink>
    </w:p>
    <w:p w14:paraId="6D38AF01" w14:textId="77777777" w:rsidR="0057582C" w:rsidRDefault="00CE7F22">
      <w:pPr>
        <w:pStyle w:val="NormalWeb"/>
        <w:spacing w:beforeAutospacing="1" w:afterAutospacing="1"/>
      </w:pPr>
      <w:r>
        <w:t xml:space="preserve">Davies, D. L., &amp; Bouldin, D. W. (1979). A cluster separation measure. </w:t>
      </w:r>
      <w:r>
        <w:rPr>
          <w:rStyle w:val="Emphasis"/>
        </w:rPr>
        <w:t>IEEE Transactions on Pattern Analysis and Machine Intelligence</w:t>
      </w:r>
      <w:r>
        <w:t xml:space="preserve">, </w:t>
      </w:r>
      <w:r>
        <w:rPr>
          <w:rStyle w:val="Emphasis"/>
        </w:rPr>
        <w:t>1</w:t>
      </w:r>
      <w:r>
        <w:t xml:space="preserve">(2), 224–227. </w:t>
      </w:r>
      <w:hyperlink r:id="rId30" w:history="1">
        <w:r>
          <w:rPr>
            <w:rStyle w:val="Hyperlink"/>
          </w:rPr>
          <w:t>https://doi.org/10.1109/TPAMI.1979.4766909</w:t>
        </w:r>
      </w:hyperlink>
    </w:p>
    <w:p w14:paraId="329EBC90" w14:textId="77777777" w:rsidR="0057582C" w:rsidRDefault="00CE7F22">
      <w:pPr>
        <w:pStyle w:val="NormalWeb"/>
        <w:spacing w:beforeAutospacing="1" w:afterAutospacing="1"/>
      </w:pPr>
      <w:r>
        <w:t xml:space="preserve">Diebold, F. X., &amp; Mariano, R. S. (1995). Comparing predictive accuracy. </w:t>
      </w:r>
      <w:r>
        <w:rPr>
          <w:rStyle w:val="Emphasis"/>
        </w:rPr>
        <w:t>Journal of Business and Economic Statistics</w:t>
      </w:r>
      <w:r>
        <w:t xml:space="preserve">, </w:t>
      </w:r>
      <w:r>
        <w:rPr>
          <w:rStyle w:val="Emphasis"/>
        </w:rPr>
        <w:t>13</w:t>
      </w:r>
      <w:r>
        <w:t xml:space="preserve">(3), 253–263. </w:t>
      </w:r>
      <w:hyperlink r:id="rId31" w:history="1">
        <w:r>
          <w:rPr>
            <w:rStyle w:val="Hyperlink"/>
          </w:rPr>
          <w:t>https://doi.org/10.1080/07350015.1995.10524599</w:t>
        </w:r>
      </w:hyperlink>
    </w:p>
    <w:p w14:paraId="0EB4BC41" w14:textId="77777777" w:rsidR="0057582C" w:rsidRDefault="00CE7F22">
      <w:pPr>
        <w:pStyle w:val="NormalWeb"/>
        <w:spacing w:beforeAutospacing="1" w:afterAutospacing="1"/>
      </w:pPr>
      <w:r>
        <w:t xml:space="preserve">Douaioui, K., </w:t>
      </w:r>
      <w:proofErr w:type="spellStart"/>
      <w:r>
        <w:t>Oucheikh</w:t>
      </w:r>
      <w:proofErr w:type="spellEnd"/>
      <w:r>
        <w:t xml:space="preserve">, R., Benmoussa, O., &amp; </w:t>
      </w:r>
      <w:proofErr w:type="spellStart"/>
      <w:r>
        <w:t>Mabrouki</w:t>
      </w:r>
      <w:proofErr w:type="spellEnd"/>
      <w:r>
        <w:t xml:space="preserve">, C. (2024). Machine learning and deep learning models for demand forecasting in supply chain management: a critical review. </w:t>
      </w:r>
      <w:r>
        <w:rPr>
          <w:rStyle w:val="Emphasis"/>
        </w:rPr>
        <w:t>Applied Systems Innovation</w:t>
      </w:r>
      <w:r>
        <w:t xml:space="preserve">, </w:t>
      </w:r>
      <w:r>
        <w:rPr>
          <w:rStyle w:val="Emphasis"/>
        </w:rPr>
        <w:t>7</w:t>
      </w:r>
      <w:r>
        <w:t xml:space="preserve">(5), 93. </w:t>
      </w:r>
      <w:hyperlink r:id="rId32" w:history="1">
        <w:r>
          <w:rPr>
            <w:rStyle w:val="Hyperlink"/>
          </w:rPr>
          <w:t>https://doi.org/10.3390/asi7050093</w:t>
        </w:r>
      </w:hyperlink>
    </w:p>
    <w:p w14:paraId="46A6B838" w14:textId="77777777" w:rsidR="0057582C" w:rsidRDefault="00CE7F22">
      <w:pPr>
        <w:pStyle w:val="NormalWeb"/>
        <w:spacing w:beforeAutospacing="1" w:afterAutospacing="1"/>
      </w:pPr>
      <w:r>
        <w:t xml:space="preserve">Feizabadi, J. (2022). Machine learning demand forecasting and supply chain performance. </w:t>
      </w:r>
      <w:r>
        <w:rPr>
          <w:rStyle w:val="Emphasis"/>
        </w:rPr>
        <w:t>International Journal of Logistics Research and Applications</w:t>
      </w:r>
      <w:r>
        <w:t xml:space="preserve">, </w:t>
      </w:r>
      <w:r>
        <w:rPr>
          <w:rStyle w:val="Emphasis"/>
        </w:rPr>
        <w:t>25</w:t>
      </w:r>
      <w:r>
        <w:t xml:space="preserve">(2), 119–142. </w:t>
      </w:r>
      <w:hyperlink r:id="rId33" w:history="1">
        <w:r>
          <w:rPr>
            <w:rStyle w:val="Hyperlink"/>
          </w:rPr>
          <w:t>https://doi.org/10.1080/13675567.2020.1803246</w:t>
        </w:r>
      </w:hyperlink>
    </w:p>
    <w:p w14:paraId="04F61570" w14:textId="77777777" w:rsidR="0057582C" w:rsidRDefault="00CE7F22">
      <w:pPr>
        <w:pStyle w:val="NormalWeb"/>
        <w:spacing w:beforeAutospacing="1" w:afterAutospacing="1"/>
      </w:pPr>
      <w:r>
        <w:t xml:space="preserve">Haleem, A., Javaid, M., Qadri, M. A., Singh, R. P., &amp; Suman, R. (2022). Artificial intelligence applications for marketing: a literature-based study. </w:t>
      </w:r>
      <w:r>
        <w:rPr>
          <w:rStyle w:val="Emphasis"/>
        </w:rPr>
        <w:t>International Journal of Intelligent Networks</w:t>
      </w:r>
      <w:r>
        <w:t xml:space="preserve">, </w:t>
      </w:r>
      <w:r>
        <w:rPr>
          <w:rStyle w:val="Emphasis"/>
        </w:rPr>
        <w:t>3</w:t>
      </w:r>
      <w:r>
        <w:t xml:space="preserve">, 119–132. </w:t>
      </w:r>
      <w:hyperlink r:id="rId34" w:history="1">
        <w:r>
          <w:rPr>
            <w:rStyle w:val="Hyperlink"/>
          </w:rPr>
          <w:t>https://doi.org/10.1016/j.ijin.2022.08.005</w:t>
        </w:r>
      </w:hyperlink>
    </w:p>
    <w:p w14:paraId="6FA11C09" w14:textId="77777777" w:rsidR="0057582C" w:rsidRDefault="00CE7F22">
      <w:pPr>
        <w:pStyle w:val="NormalWeb"/>
        <w:spacing w:beforeAutospacing="1" w:afterAutospacing="1"/>
      </w:pPr>
      <w:r>
        <w:t xml:space="preserve">Harvey, D., Leybourne, S., &amp; Newbold, P. (1997). Testing the equality of prediction mean squared errors. </w:t>
      </w:r>
      <w:r>
        <w:rPr>
          <w:rStyle w:val="Emphasis"/>
        </w:rPr>
        <w:t>International Journal of Forecasting</w:t>
      </w:r>
      <w:r>
        <w:t xml:space="preserve">, </w:t>
      </w:r>
      <w:r>
        <w:rPr>
          <w:rStyle w:val="Emphasis"/>
        </w:rPr>
        <w:t>13</w:t>
      </w:r>
      <w:r>
        <w:t xml:space="preserve">(2), 281–291. </w:t>
      </w:r>
      <w:hyperlink r:id="rId35" w:history="1">
        <w:r>
          <w:rPr>
            <w:rStyle w:val="Hyperlink"/>
          </w:rPr>
          <w:t>https://doi.org/10.1016/S0169-2070(96)00719-4</w:t>
        </w:r>
      </w:hyperlink>
    </w:p>
    <w:p w14:paraId="12BD87DF" w14:textId="77777777" w:rsidR="0057582C" w:rsidRDefault="00CE7F22">
      <w:pPr>
        <w:pStyle w:val="NormalWeb"/>
        <w:spacing w:beforeAutospacing="1" w:afterAutospacing="1"/>
      </w:pPr>
      <w:r>
        <w:lastRenderedPageBreak/>
        <w:t xml:space="preserve">Islam, M. T., Ayon, E. H., Ghosh, B. P., et al. (2024). Revolutionising retail: a hybrid machine learning approach for precision demand forecasting and strategic decision-making in global commerce. </w:t>
      </w:r>
      <w:r>
        <w:rPr>
          <w:rStyle w:val="Emphasis"/>
        </w:rPr>
        <w:t>Journal of Computer Science and Technology Studies</w:t>
      </w:r>
      <w:r>
        <w:t xml:space="preserve">, </w:t>
      </w:r>
      <w:r>
        <w:rPr>
          <w:rStyle w:val="Emphasis"/>
        </w:rPr>
        <w:t>6</w:t>
      </w:r>
      <w:r>
        <w:t xml:space="preserve">(1), 33–39. </w:t>
      </w:r>
      <w:hyperlink r:id="rId36" w:history="1">
        <w:r>
          <w:rPr>
            <w:rStyle w:val="Hyperlink"/>
          </w:rPr>
          <w:t>https://doi.org/10.32996/jcsts.2024.6.1.4</w:t>
        </w:r>
      </w:hyperlink>
    </w:p>
    <w:p w14:paraId="0C124092" w14:textId="77777777" w:rsidR="0057582C" w:rsidRDefault="00CE7F22">
      <w:pPr>
        <w:pStyle w:val="NormalWeb"/>
        <w:spacing w:beforeAutospacing="1" w:afterAutospacing="1"/>
      </w:pPr>
      <w:r>
        <w:t xml:space="preserve">Jha, B. K., &amp; Pande, S. (2021, April). Time-series forecasting model for supermarket sales using FB-Prophet. In </w:t>
      </w:r>
      <w:r>
        <w:rPr>
          <w:rStyle w:val="Emphasis"/>
        </w:rPr>
        <w:t>Proceedings of the 5th International Conference on Computing Methodologies and Communication (ICCMC)</w:t>
      </w:r>
      <w:r>
        <w:t xml:space="preserve"> (pp. 547–554). IEEE. </w:t>
      </w:r>
      <w:hyperlink r:id="rId37" w:history="1">
        <w:r>
          <w:rPr>
            <w:rStyle w:val="Hyperlink"/>
          </w:rPr>
          <w:t>https://doi.org/10.1109/ICCMC51019.2021.9418033</w:t>
        </w:r>
      </w:hyperlink>
    </w:p>
    <w:p w14:paraId="3343CA40" w14:textId="77777777" w:rsidR="0057582C" w:rsidRDefault="00CE7F22">
      <w:pPr>
        <w:pStyle w:val="NormalWeb"/>
        <w:spacing w:beforeAutospacing="1" w:afterAutospacing="1"/>
      </w:pPr>
      <w:proofErr w:type="spellStart"/>
      <w:r>
        <w:t>Kanakadhurga</w:t>
      </w:r>
      <w:proofErr w:type="spellEnd"/>
      <w:r>
        <w:t xml:space="preserve">, D., &amp; Prabaharan, N. (2022). Demand side management in microgrid: a critical review of key issues and recent trends. </w:t>
      </w:r>
      <w:r>
        <w:rPr>
          <w:rStyle w:val="Emphasis"/>
        </w:rPr>
        <w:t>Renewable and Sustainable Energy Reviews</w:t>
      </w:r>
      <w:r>
        <w:t xml:space="preserve">, </w:t>
      </w:r>
      <w:r>
        <w:rPr>
          <w:rStyle w:val="Emphasis"/>
        </w:rPr>
        <w:t>156</w:t>
      </w:r>
      <w:r>
        <w:t xml:space="preserve">, 111915. </w:t>
      </w:r>
      <w:hyperlink r:id="rId38" w:history="1">
        <w:r>
          <w:rPr>
            <w:rStyle w:val="Hyperlink"/>
          </w:rPr>
          <w:t>https://doi.org/10.1016/j.rser.2021.111915</w:t>
        </w:r>
      </w:hyperlink>
    </w:p>
    <w:p w14:paraId="4AB2CF58" w14:textId="77777777" w:rsidR="0057582C" w:rsidRDefault="00CE7F22">
      <w:pPr>
        <w:pStyle w:val="NormalWeb"/>
        <w:spacing w:beforeAutospacing="1" w:afterAutospacing="1"/>
      </w:pPr>
      <w:r>
        <w:t xml:space="preserve">Khakbaz, A., </w:t>
      </w:r>
      <w:proofErr w:type="spellStart"/>
      <w:r>
        <w:t>Alfares</w:t>
      </w:r>
      <w:proofErr w:type="spellEnd"/>
      <w:r>
        <w:t xml:space="preserve">, H. K., </w:t>
      </w:r>
      <w:proofErr w:type="spellStart"/>
      <w:r>
        <w:t>Amirteimoori</w:t>
      </w:r>
      <w:proofErr w:type="spellEnd"/>
      <w:r>
        <w:t xml:space="preserve">, A., et al. (2024). A novel cross-docking EOQ-based model to optimise a multi-item multi-supplier multi-retailer inventory management system. </w:t>
      </w:r>
      <w:r>
        <w:rPr>
          <w:rStyle w:val="Emphasis"/>
        </w:rPr>
        <w:t>Annals of Operations Research</w:t>
      </w:r>
      <w:r>
        <w:t xml:space="preserve">. </w:t>
      </w:r>
      <w:hyperlink r:id="rId39" w:history="1">
        <w:r>
          <w:rPr>
            <w:rStyle w:val="Hyperlink"/>
          </w:rPr>
          <w:t>https://doi.org/10.1007/s10479-023-05790-9</w:t>
        </w:r>
      </w:hyperlink>
    </w:p>
    <w:p w14:paraId="48C9317E" w14:textId="77777777" w:rsidR="0057582C" w:rsidRDefault="00CE7F22">
      <w:pPr>
        <w:pStyle w:val="NormalWeb"/>
        <w:spacing w:beforeAutospacing="1" w:afterAutospacing="1"/>
      </w:pPr>
      <w:r>
        <w:t xml:space="preserve">Komatsu, T., &amp; Kimura, O. (2023). Segmentation-based demand forecasting of building energy using smart meter data. </w:t>
      </w:r>
      <w:r>
        <w:rPr>
          <w:rStyle w:val="Emphasis"/>
        </w:rPr>
        <w:t>Energy and Buildings</w:t>
      </w:r>
      <w:r>
        <w:t xml:space="preserve">, </w:t>
      </w:r>
      <w:r>
        <w:rPr>
          <w:rStyle w:val="Emphasis"/>
        </w:rPr>
        <w:t>285</w:t>
      </w:r>
      <w:r>
        <w:t xml:space="preserve">, 112886. </w:t>
      </w:r>
      <w:hyperlink r:id="rId40" w:history="1">
        <w:r>
          <w:rPr>
            <w:rStyle w:val="Hyperlink"/>
          </w:rPr>
          <w:t>https://doi.org/10.1016/j.enbuild.2023.112886</w:t>
        </w:r>
      </w:hyperlink>
    </w:p>
    <w:p w14:paraId="697C9666" w14:textId="77777777" w:rsidR="0057582C" w:rsidRDefault="00CE7F22">
      <w:pPr>
        <w:pStyle w:val="NormalWeb"/>
        <w:spacing w:beforeAutospacing="1" w:afterAutospacing="1"/>
      </w:pPr>
      <w:r>
        <w:t xml:space="preserve">Kontogiannis, D., </w:t>
      </w:r>
      <w:proofErr w:type="spellStart"/>
      <w:r>
        <w:t>Bargiotas</w:t>
      </w:r>
      <w:proofErr w:type="spellEnd"/>
      <w:r>
        <w:t xml:space="preserve">, D., Arvanitidis, A. I., &amp; Tsoukalas, L. H. (2022). Structural ensemble regression for cluster-based aggregate electricity demand forecasting. </w:t>
      </w:r>
      <w:r>
        <w:rPr>
          <w:rStyle w:val="Emphasis"/>
        </w:rPr>
        <w:t>Electricity</w:t>
      </w:r>
      <w:r>
        <w:t xml:space="preserve">, </w:t>
      </w:r>
      <w:r>
        <w:rPr>
          <w:rStyle w:val="Emphasis"/>
        </w:rPr>
        <w:t>3</w:t>
      </w:r>
      <w:r>
        <w:t xml:space="preserve">(4), 480–504. </w:t>
      </w:r>
      <w:hyperlink r:id="rId41" w:history="1">
        <w:r>
          <w:rPr>
            <w:rStyle w:val="Hyperlink"/>
          </w:rPr>
          <w:t>https://doi.org/10.3390/electricity3040029</w:t>
        </w:r>
      </w:hyperlink>
    </w:p>
    <w:p w14:paraId="6BA2A8E9" w14:textId="77777777" w:rsidR="0057582C" w:rsidRDefault="00CE7F22">
      <w:pPr>
        <w:pStyle w:val="NormalWeb"/>
        <w:spacing w:beforeAutospacing="1" w:afterAutospacing="1"/>
      </w:pPr>
      <w:r>
        <w:t xml:space="preserve">Kramarz, M., &amp; Kmiecik, M. (2022). Quality of forecasts as the factor determining the coordination of logistics processes by the logistic operator. </w:t>
      </w:r>
      <w:r>
        <w:rPr>
          <w:rStyle w:val="Emphasis"/>
        </w:rPr>
        <w:t>Sustainability</w:t>
      </w:r>
      <w:r>
        <w:t xml:space="preserve">, </w:t>
      </w:r>
      <w:r>
        <w:rPr>
          <w:rStyle w:val="Emphasis"/>
        </w:rPr>
        <w:t>14</w:t>
      </w:r>
      <w:r>
        <w:t xml:space="preserve">(2), 1013. </w:t>
      </w:r>
      <w:hyperlink r:id="rId42" w:history="1">
        <w:r>
          <w:rPr>
            <w:rStyle w:val="Hyperlink"/>
          </w:rPr>
          <w:t>https://doi.org/10.3390/su14021013</w:t>
        </w:r>
      </w:hyperlink>
    </w:p>
    <w:p w14:paraId="5A36D506" w14:textId="77777777" w:rsidR="0057582C" w:rsidRDefault="00CE7F22">
      <w:pPr>
        <w:pStyle w:val="NormalWeb"/>
        <w:spacing w:beforeAutospacing="1" w:afterAutospacing="1"/>
      </w:pPr>
      <w:r>
        <w:t xml:space="preserve">Lee, I., &amp; </w:t>
      </w:r>
      <w:proofErr w:type="spellStart"/>
      <w:r>
        <w:t>Mangalaraj</w:t>
      </w:r>
      <w:proofErr w:type="spellEnd"/>
      <w:r>
        <w:t xml:space="preserve">, G. (2022). Big data analytics in supply chain management: a systematic literature review and research directions. </w:t>
      </w:r>
      <w:r>
        <w:rPr>
          <w:rStyle w:val="Emphasis"/>
        </w:rPr>
        <w:t>Big Data and Cognitive Computing</w:t>
      </w:r>
      <w:r>
        <w:t xml:space="preserve">, </w:t>
      </w:r>
      <w:r>
        <w:rPr>
          <w:rStyle w:val="Emphasis"/>
        </w:rPr>
        <w:t>6</w:t>
      </w:r>
      <w:r>
        <w:t xml:space="preserve">(1), 17. </w:t>
      </w:r>
      <w:hyperlink r:id="rId43" w:history="1">
        <w:r>
          <w:rPr>
            <w:rStyle w:val="Hyperlink"/>
          </w:rPr>
          <w:t>https://doi.org/10.3390/bdcc6010017</w:t>
        </w:r>
      </w:hyperlink>
    </w:p>
    <w:p w14:paraId="0497340E" w14:textId="77777777" w:rsidR="0057582C" w:rsidRDefault="00CE7F22">
      <w:pPr>
        <w:pStyle w:val="NormalWeb"/>
        <w:spacing w:beforeAutospacing="1" w:afterAutospacing="1"/>
      </w:pPr>
      <w:r>
        <w:t xml:space="preserve">Liu, M., &amp; Ben, L. (2022). Research on demand forecasting method of multi-user group based on big data. In </w:t>
      </w:r>
      <w:r>
        <w:rPr>
          <w:rStyle w:val="Emphasis"/>
        </w:rPr>
        <w:t>Proceedings of the International Conference on Human-Computer Interaction</w:t>
      </w:r>
      <w:r>
        <w:t xml:space="preserve"> (pp. 45–64). Springer. </w:t>
      </w:r>
      <w:hyperlink r:id="rId44" w:history="1">
        <w:r>
          <w:rPr>
            <w:rStyle w:val="Hyperlink"/>
          </w:rPr>
          <w:t>https://doi.org/10.1007/978-3-031-05064-0_4</w:t>
        </w:r>
      </w:hyperlink>
    </w:p>
    <w:p w14:paraId="37B4ADA4" w14:textId="77777777" w:rsidR="0057582C" w:rsidRDefault="00CE7F22">
      <w:pPr>
        <w:pStyle w:val="NormalWeb"/>
        <w:spacing w:beforeAutospacing="1" w:afterAutospacing="1"/>
      </w:pPr>
      <w:r>
        <w:t xml:space="preserve">Mitra, A., Jain, A., Kishore, A., &amp; Kumar, P. (2022). A comparative study of demand forecasting models for a multi-channel retail company: a novel hybrid machine learning approach. </w:t>
      </w:r>
      <w:r>
        <w:rPr>
          <w:rStyle w:val="Emphasis"/>
        </w:rPr>
        <w:t>Operations Research Forum</w:t>
      </w:r>
      <w:r>
        <w:t xml:space="preserve">, </w:t>
      </w:r>
      <w:r>
        <w:rPr>
          <w:rStyle w:val="Emphasis"/>
        </w:rPr>
        <w:t>3</w:t>
      </w:r>
      <w:r>
        <w:t xml:space="preserve">(4), 58. </w:t>
      </w:r>
      <w:hyperlink r:id="rId45" w:history="1">
        <w:r>
          <w:rPr>
            <w:rStyle w:val="Hyperlink"/>
          </w:rPr>
          <w:t>https://doi.org/10.1007/s43069-022-00165-w</w:t>
        </w:r>
      </w:hyperlink>
    </w:p>
    <w:p w14:paraId="29763B08" w14:textId="77777777" w:rsidR="0057582C" w:rsidRDefault="00CE7F22">
      <w:pPr>
        <w:pStyle w:val="NormalWeb"/>
        <w:spacing w:beforeAutospacing="1" w:afterAutospacing="1"/>
      </w:pPr>
      <w:r>
        <w:t xml:space="preserve">Ngai, E. W., &amp; Wu, Y. (2022). Machine learning in marketing: a literature review, conceptual framework, and research agenda. </w:t>
      </w:r>
      <w:r>
        <w:rPr>
          <w:rStyle w:val="Emphasis"/>
        </w:rPr>
        <w:t>Journal of Business Research</w:t>
      </w:r>
      <w:r>
        <w:t xml:space="preserve">, </w:t>
      </w:r>
      <w:r>
        <w:rPr>
          <w:rStyle w:val="Emphasis"/>
        </w:rPr>
        <w:t>145</w:t>
      </w:r>
      <w:r>
        <w:t xml:space="preserve">, 35–48. </w:t>
      </w:r>
      <w:hyperlink r:id="rId46" w:history="1">
        <w:r>
          <w:rPr>
            <w:rStyle w:val="Hyperlink"/>
          </w:rPr>
          <w:t>https://doi.org/10.1016/j.jbusres.2022.02.049</w:t>
        </w:r>
      </w:hyperlink>
    </w:p>
    <w:p w14:paraId="37C35C34" w14:textId="77777777" w:rsidR="0057582C" w:rsidRDefault="00CE7F22">
      <w:pPr>
        <w:pStyle w:val="NormalWeb"/>
        <w:spacing w:beforeAutospacing="1" w:afterAutospacing="1"/>
      </w:pPr>
      <w:r>
        <w:lastRenderedPageBreak/>
        <w:t xml:space="preserve">Okrepilov, V. V., Kovalenko, B. B., </w:t>
      </w:r>
      <w:proofErr w:type="spellStart"/>
      <w:r>
        <w:t>Getmanova</w:t>
      </w:r>
      <w:proofErr w:type="spellEnd"/>
      <w:r>
        <w:t xml:space="preserve">, G. V., &amp; </w:t>
      </w:r>
      <w:proofErr w:type="spellStart"/>
      <w:r>
        <w:t>Turovskaya</w:t>
      </w:r>
      <w:proofErr w:type="spellEnd"/>
      <w:r>
        <w:t xml:space="preserve">, M. S. (2022). Modern trends in artificial intelligence in the transport system. </w:t>
      </w:r>
      <w:r>
        <w:rPr>
          <w:rStyle w:val="Emphasis"/>
        </w:rPr>
        <w:t>Transportation Research Procedia</w:t>
      </w:r>
      <w:r>
        <w:t xml:space="preserve">, </w:t>
      </w:r>
      <w:r>
        <w:rPr>
          <w:rStyle w:val="Emphasis"/>
        </w:rPr>
        <w:t>61</w:t>
      </w:r>
      <w:r>
        <w:t xml:space="preserve">, 229–233. </w:t>
      </w:r>
      <w:hyperlink r:id="rId47" w:history="1">
        <w:r>
          <w:rPr>
            <w:rStyle w:val="Hyperlink"/>
          </w:rPr>
          <w:t>https://doi.org/10.1016/j.trpro.2022.01.038</w:t>
        </w:r>
      </w:hyperlink>
    </w:p>
    <w:p w14:paraId="5CB4F681" w14:textId="77777777" w:rsidR="0057582C" w:rsidRDefault="00CE7F22">
      <w:pPr>
        <w:pStyle w:val="NormalWeb"/>
        <w:spacing w:beforeAutospacing="1" w:afterAutospacing="1"/>
      </w:pPr>
      <w:r>
        <w:t xml:space="preserve">Parikh, Y., &amp; Abdelfattah, E. (2020, October). Clustering algorithms and RFM analysis performed on retail transactions. In </w:t>
      </w:r>
      <w:r>
        <w:rPr>
          <w:rStyle w:val="Emphasis"/>
        </w:rPr>
        <w:t>Proceedings of the 11th IEEE Annual Ubiquitous Computing, Electronics and Mobile Communication Conference (UEMCON)</w:t>
      </w:r>
      <w:r>
        <w:t xml:space="preserve"> (pp. 506–511). IEEE. </w:t>
      </w:r>
      <w:hyperlink r:id="rId48" w:history="1">
        <w:r>
          <w:rPr>
            <w:rStyle w:val="Hyperlink"/>
          </w:rPr>
          <w:t>https://doi.org/10.1109/UEMCON51285.2020.9298103</w:t>
        </w:r>
      </w:hyperlink>
    </w:p>
    <w:p w14:paraId="256194DF" w14:textId="77777777" w:rsidR="0057582C" w:rsidRDefault="00CE7F22">
      <w:pPr>
        <w:pStyle w:val="NormalWeb"/>
        <w:spacing w:beforeAutospacing="1" w:afterAutospacing="1"/>
      </w:pPr>
      <w:r>
        <w:t xml:space="preserve">Petropoulos, F., Apiletti, D., </w:t>
      </w:r>
      <w:proofErr w:type="spellStart"/>
      <w:r>
        <w:t>Assimakopoulos</w:t>
      </w:r>
      <w:proofErr w:type="spellEnd"/>
      <w:r>
        <w:t xml:space="preserve">, V., et al. (2022). Forecasting: theory and practice. </w:t>
      </w:r>
      <w:r>
        <w:rPr>
          <w:rStyle w:val="Emphasis"/>
        </w:rPr>
        <w:t>International Journal of Forecasting</w:t>
      </w:r>
      <w:r>
        <w:t xml:space="preserve">, </w:t>
      </w:r>
      <w:r>
        <w:rPr>
          <w:rStyle w:val="Emphasis"/>
        </w:rPr>
        <w:t>38</w:t>
      </w:r>
      <w:r>
        <w:t xml:space="preserve">(3), 705–871. </w:t>
      </w:r>
      <w:hyperlink r:id="rId49" w:history="1">
        <w:r>
          <w:rPr>
            <w:rStyle w:val="Hyperlink"/>
          </w:rPr>
          <w:t>https://doi.org/10.1016/j.ijforecast.2021.11.001</w:t>
        </w:r>
      </w:hyperlink>
    </w:p>
    <w:p w14:paraId="2B98F8F8" w14:textId="77777777" w:rsidR="0057582C" w:rsidRDefault="00CE7F22">
      <w:pPr>
        <w:pStyle w:val="NormalWeb"/>
        <w:spacing w:beforeAutospacing="1" w:afterAutospacing="1"/>
      </w:pPr>
      <w:r>
        <w:t xml:space="preserve">Prasad, B., &amp; Ghosal, I. (2022). Forecasting buying intention through artificial neural network: an algorithmic solution on direct-to-consumer brands. </w:t>
      </w:r>
      <w:r>
        <w:rPr>
          <w:rStyle w:val="Emphasis"/>
        </w:rPr>
        <w:t>FIIB Business Review</w:t>
      </w:r>
      <w:r>
        <w:t xml:space="preserve">, </w:t>
      </w:r>
      <w:r>
        <w:rPr>
          <w:rStyle w:val="Emphasis"/>
        </w:rPr>
        <w:t>11</w:t>
      </w:r>
      <w:r>
        <w:t xml:space="preserve">(4), 405–421. </w:t>
      </w:r>
      <w:hyperlink r:id="rId50" w:history="1">
        <w:r>
          <w:rPr>
            <w:rStyle w:val="Hyperlink"/>
          </w:rPr>
          <w:t>https://doi.org/10.1177/23197145221076107</w:t>
        </w:r>
      </w:hyperlink>
    </w:p>
    <w:p w14:paraId="26940049" w14:textId="77777777" w:rsidR="0057582C" w:rsidRDefault="00CE7F22">
      <w:pPr>
        <w:pStyle w:val="NormalWeb"/>
        <w:spacing w:beforeAutospacing="1" w:afterAutospacing="1"/>
      </w:pPr>
      <w:proofErr w:type="spellStart"/>
      <w:r>
        <w:t>Puica</w:t>
      </w:r>
      <w:proofErr w:type="spellEnd"/>
      <w:r>
        <w:t xml:space="preserve">, E. (2022). Efficiency and performance of big data analytics for supply chain management. </w:t>
      </w:r>
      <w:r>
        <w:rPr>
          <w:rStyle w:val="Emphasis"/>
        </w:rPr>
        <w:t>Informatica Economica</w:t>
      </w:r>
      <w:r>
        <w:t xml:space="preserve">, </w:t>
      </w:r>
      <w:r>
        <w:rPr>
          <w:rStyle w:val="Emphasis"/>
        </w:rPr>
        <w:t>26</w:t>
      </w:r>
      <w:r>
        <w:t xml:space="preserve">(1), 16–24. </w:t>
      </w:r>
      <w:hyperlink r:id="rId51" w:history="1">
        <w:r>
          <w:rPr>
            <w:rStyle w:val="Hyperlink"/>
          </w:rPr>
          <w:t>https://doi.org/10.24818/issn14531305/26.1.2022.02</w:t>
        </w:r>
      </w:hyperlink>
    </w:p>
    <w:p w14:paraId="16DBC138" w14:textId="77777777" w:rsidR="0057582C" w:rsidRDefault="00CE7F22">
      <w:pPr>
        <w:pStyle w:val="NormalWeb"/>
        <w:spacing w:beforeAutospacing="1" w:afterAutospacing="1"/>
      </w:pPr>
      <w:r>
        <w:t xml:space="preserve">Putri, N. K., </w:t>
      </w:r>
      <w:proofErr w:type="spellStart"/>
      <w:r>
        <w:t>Suryadana</w:t>
      </w:r>
      <w:proofErr w:type="spellEnd"/>
      <w:r>
        <w:t xml:space="preserve">, M. L., &amp; Yuliani, D. (2023). Supply chain management practices and customer loyalty in the digital printing sector. </w:t>
      </w:r>
      <w:r>
        <w:rPr>
          <w:rStyle w:val="Emphasis"/>
        </w:rPr>
        <w:t>International Journal of Supply Chain Management</w:t>
      </w:r>
      <w:r>
        <w:t xml:space="preserve">, </w:t>
      </w:r>
      <w:r>
        <w:rPr>
          <w:rStyle w:val="Emphasis"/>
        </w:rPr>
        <w:t>12</w:t>
      </w:r>
      <w:r>
        <w:t>(1), 45–58.</w:t>
      </w:r>
    </w:p>
    <w:p w14:paraId="07904CE0" w14:textId="77777777" w:rsidR="0057582C" w:rsidRDefault="00CE7F22">
      <w:pPr>
        <w:pStyle w:val="NormalWeb"/>
        <w:spacing w:beforeAutospacing="1" w:afterAutospacing="1"/>
      </w:pPr>
      <w:proofErr w:type="spellStart"/>
      <w:r>
        <w:t>Setyadi</w:t>
      </w:r>
      <w:proofErr w:type="spellEnd"/>
      <w:r>
        <w:t xml:space="preserve">, H. A., Amin, B. A., &amp; Widodo, P. (2024). Implementation of economic order quantity and reorder point methods in inventory management. </w:t>
      </w:r>
      <w:r>
        <w:rPr>
          <w:rStyle w:val="Emphasis"/>
        </w:rPr>
        <w:t>International Journal of Computational and Experimental Science and Engineering</w:t>
      </w:r>
      <w:r>
        <w:t xml:space="preserve">, </w:t>
      </w:r>
      <w:r>
        <w:rPr>
          <w:rStyle w:val="Emphasis"/>
        </w:rPr>
        <w:t>10</w:t>
      </w:r>
      <w:r>
        <w:t xml:space="preserve">(2), 456–472. </w:t>
      </w:r>
      <w:hyperlink r:id="rId52" w:history="1">
        <w:r>
          <w:rPr>
            <w:rStyle w:val="Hyperlink"/>
          </w:rPr>
          <w:t>https://doi.org/10.22399/ijcesen.381</w:t>
        </w:r>
      </w:hyperlink>
    </w:p>
    <w:p w14:paraId="45E1E472" w14:textId="77777777" w:rsidR="0057582C" w:rsidRDefault="00CE7F22">
      <w:pPr>
        <w:pStyle w:val="NormalWeb"/>
        <w:spacing w:beforeAutospacing="1" w:afterAutospacing="1"/>
      </w:pPr>
      <w:r>
        <w:t xml:space="preserve">Sharma, R., Shishodia, A., Gunasekaran, A., Min, H., &amp; Munim, Z. H. (2022). The role of artificial intelligence in supply chain management: mapping the territory. </w:t>
      </w:r>
      <w:r>
        <w:rPr>
          <w:rStyle w:val="Emphasis"/>
        </w:rPr>
        <w:t>International Journal of Production Research</w:t>
      </w:r>
      <w:r>
        <w:t xml:space="preserve">, </w:t>
      </w:r>
      <w:r>
        <w:rPr>
          <w:rStyle w:val="Emphasis"/>
        </w:rPr>
        <w:t>60</w:t>
      </w:r>
      <w:r>
        <w:t xml:space="preserve">(24), 7527–7550. </w:t>
      </w:r>
      <w:hyperlink r:id="rId53" w:history="1">
        <w:r>
          <w:rPr>
            <w:rStyle w:val="Hyperlink"/>
          </w:rPr>
          <w:t>https://doi.org/10.1080/00207543.2022.2029611</w:t>
        </w:r>
      </w:hyperlink>
    </w:p>
    <w:p w14:paraId="0605D6AA" w14:textId="77777777" w:rsidR="0057582C" w:rsidRDefault="00CE7F22">
      <w:pPr>
        <w:pStyle w:val="NormalWeb"/>
        <w:spacing w:beforeAutospacing="1" w:afterAutospacing="1"/>
      </w:pPr>
      <w:r>
        <w:t xml:space="preserve">Singh, S. P., Rawat, J., Mittal, M., Kumar, I., &amp; Bhatt, C. (2022). Application of AI in SCM or Supply Chain 4.0. In </w:t>
      </w:r>
      <w:r>
        <w:rPr>
          <w:rStyle w:val="Emphasis"/>
        </w:rPr>
        <w:t>Artificial Intelligence in Industrial Applications</w:t>
      </w:r>
      <w:r>
        <w:t xml:space="preserve"> (pp. 51–66). Springer. </w:t>
      </w:r>
      <w:hyperlink r:id="rId54" w:history="1">
        <w:r>
          <w:rPr>
            <w:rStyle w:val="Hyperlink"/>
          </w:rPr>
          <w:t>https://doi.org/10.1007/978-3-030-85626-7_4</w:t>
        </w:r>
      </w:hyperlink>
    </w:p>
    <w:p w14:paraId="2908E4CB" w14:textId="77777777" w:rsidR="0057582C" w:rsidRDefault="00CE7F22">
      <w:pPr>
        <w:pStyle w:val="NormalWeb"/>
        <w:spacing w:beforeAutospacing="1" w:afterAutospacing="1"/>
      </w:pPr>
      <w:proofErr w:type="spellStart"/>
      <w:r>
        <w:t>Tamym</w:t>
      </w:r>
      <w:proofErr w:type="spellEnd"/>
      <w:r>
        <w:t xml:space="preserve">, L., El </w:t>
      </w:r>
      <w:proofErr w:type="spellStart"/>
      <w:r>
        <w:t>Oaudghiri</w:t>
      </w:r>
      <w:proofErr w:type="spellEnd"/>
      <w:r>
        <w:t xml:space="preserve">, M. D., Benyoucef, L., &amp; Moh, A. N. S. (2020, November). Big data for supply chain management in industry 4.0 context: a comprehensive survey. In </w:t>
      </w:r>
      <w:r>
        <w:rPr>
          <w:rStyle w:val="Emphasis"/>
        </w:rPr>
        <w:t>Proceedings of the 13th International Conference on Modelling, Optimisation and Simulation (MOSIM2020)</w:t>
      </w:r>
      <w:r>
        <w:t xml:space="preserve"> (pp. 328–343).</w:t>
      </w:r>
    </w:p>
    <w:p w14:paraId="553DF997" w14:textId="77777777" w:rsidR="0057582C" w:rsidRDefault="00CE7F22">
      <w:pPr>
        <w:pStyle w:val="NormalWeb"/>
        <w:spacing w:beforeAutospacing="1" w:afterAutospacing="1"/>
      </w:pPr>
      <w:r>
        <w:t xml:space="preserve">Taylor, S. J., &amp; Letham, B. (2018). Forecasting at scale. </w:t>
      </w:r>
      <w:r>
        <w:rPr>
          <w:rStyle w:val="Emphasis"/>
        </w:rPr>
        <w:t>American Statistician</w:t>
      </w:r>
      <w:r>
        <w:t xml:space="preserve">, </w:t>
      </w:r>
      <w:r>
        <w:rPr>
          <w:rStyle w:val="Emphasis"/>
        </w:rPr>
        <w:t>72</w:t>
      </w:r>
      <w:r>
        <w:t xml:space="preserve">(1), 37–45. </w:t>
      </w:r>
      <w:hyperlink r:id="rId55" w:history="1">
        <w:r>
          <w:rPr>
            <w:rStyle w:val="Hyperlink"/>
          </w:rPr>
          <w:t>https://doi.org/10.1080/00031305.2017.1380080</w:t>
        </w:r>
      </w:hyperlink>
    </w:p>
    <w:p w14:paraId="459CF863" w14:textId="77777777" w:rsidR="0057582C" w:rsidRDefault="00CE7F22">
      <w:pPr>
        <w:pStyle w:val="NormalWeb"/>
        <w:spacing w:beforeAutospacing="1" w:afterAutospacing="1"/>
      </w:pPr>
      <w:proofErr w:type="spellStart"/>
      <w:r>
        <w:lastRenderedPageBreak/>
        <w:t>Viverit</w:t>
      </w:r>
      <w:proofErr w:type="spellEnd"/>
      <w:r>
        <w:t xml:space="preserve">, L., Cinelli, M., Guizzardi, A., &amp; Pons, F. M. E. (2023). Machine-learning hotel booking cancellation prediction and its impact on hotel revenue management. </w:t>
      </w:r>
      <w:r>
        <w:rPr>
          <w:rStyle w:val="Emphasis"/>
        </w:rPr>
        <w:t>Journal of Travel Research</w:t>
      </w:r>
      <w:r>
        <w:t xml:space="preserve">, </w:t>
      </w:r>
      <w:r>
        <w:rPr>
          <w:rStyle w:val="Emphasis"/>
        </w:rPr>
        <w:t>62</w:t>
      </w:r>
      <w:r>
        <w:t xml:space="preserve">(8), 1686–1703. </w:t>
      </w:r>
      <w:hyperlink r:id="rId56" w:history="1">
        <w:r>
          <w:rPr>
            <w:rStyle w:val="Hyperlink"/>
          </w:rPr>
          <w:t>https://doi.org/10.1177/00472875221108039</w:t>
        </w:r>
      </w:hyperlink>
    </w:p>
    <w:p w14:paraId="31F1C256" w14:textId="77777777" w:rsidR="0057582C" w:rsidRDefault="00CE7F22">
      <w:pPr>
        <w:pStyle w:val="NormalWeb"/>
        <w:spacing w:beforeAutospacing="1" w:afterAutospacing="1"/>
      </w:pPr>
      <w:r>
        <w:t xml:space="preserve">Wamba, S. F., Gunasekaran, A., Papadopoulos, T., &amp; Ngai, E. (2023). Big data analytics in logistics and supply chain management. </w:t>
      </w:r>
      <w:r>
        <w:rPr>
          <w:rStyle w:val="Emphasis"/>
        </w:rPr>
        <w:t>International Journal of Production Economics</w:t>
      </w:r>
      <w:r>
        <w:t xml:space="preserve">, </w:t>
      </w:r>
      <w:r>
        <w:rPr>
          <w:rStyle w:val="Emphasis"/>
        </w:rPr>
        <w:t>265</w:t>
      </w:r>
      <w:r>
        <w:t xml:space="preserve">, 109006. </w:t>
      </w:r>
      <w:hyperlink r:id="rId57" w:history="1">
        <w:r>
          <w:rPr>
            <w:rStyle w:val="Hyperlink"/>
          </w:rPr>
          <w:t>https://doi.org/10.1016/j.ijpe.2023.109006</w:t>
        </w:r>
      </w:hyperlink>
    </w:p>
    <w:p w14:paraId="22B924F3" w14:textId="77777777" w:rsidR="0057582C" w:rsidRDefault="00CE7F22">
      <w:pPr>
        <w:pStyle w:val="NormalWeb"/>
        <w:spacing w:beforeAutospacing="1" w:afterAutospacing="1"/>
      </w:pPr>
      <w:r>
        <w:t xml:space="preserve">Younis, H., </w:t>
      </w:r>
      <w:proofErr w:type="spellStart"/>
      <w:r>
        <w:t>Sundarakani</w:t>
      </w:r>
      <w:proofErr w:type="spellEnd"/>
      <w:r>
        <w:t xml:space="preserve">, B., &amp; Vel, P. (2022). The growing influence of industry 4.0 in the supply chain. </w:t>
      </w:r>
      <w:r>
        <w:rPr>
          <w:rStyle w:val="Emphasis"/>
        </w:rPr>
        <w:t>Journal of Manufacturing Technology Management</w:t>
      </w:r>
      <w:r>
        <w:t xml:space="preserve">, </w:t>
      </w:r>
      <w:r>
        <w:rPr>
          <w:rStyle w:val="Emphasis"/>
        </w:rPr>
        <w:t>33</w:t>
      </w:r>
      <w:r>
        <w:t xml:space="preserve">(3), 621–651. </w:t>
      </w:r>
      <w:hyperlink r:id="rId58" w:history="1">
        <w:r>
          <w:rPr>
            <w:rStyle w:val="Hyperlink"/>
          </w:rPr>
          <w:t>https://doi.org/10.1108/JMTM-06-2020-0263</w:t>
        </w:r>
      </w:hyperlink>
    </w:p>
    <w:p w14:paraId="33CB5199" w14:textId="77777777" w:rsidR="0057582C" w:rsidRDefault="00CE7F22">
      <w:pPr>
        <w:pStyle w:val="NormalWeb"/>
        <w:spacing w:beforeAutospacing="1" w:afterAutospacing="1"/>
      </w:pPr>
      <w:r>
        <w:t xml:space="preserve">Zhang, L., Tang, W., &amp; Vlachos, D. (2022). Demand forecast sharing: strategic incentives and supply chain performance. </w:t>
      </w:r>
      <w:r>
        <w:rPr>
          <w:rStyle w:val="Emphasis"/>
        </w:rPr>
        <w:t>European Journal of Operational Research</w:t>
      </w:r>
      <w:r>
        <w:t xml:space="preserve">, </w:t>
      </w:r>
      <w:r>
        <w:rPr>
          <w:rStyle w:val="Emphasis"/>
        </w:rPr>
        <w:t>296</w:t>
      </w:r>
      <w:r>
        <w:t xml:space="preserve">(2), 432–447. </w:t>
      </w:r>
      <w:hyperlink r:id="rId59" w:history="1">
        <w:r>
          <w:rPr>
            <w:rStyle w:val="Hyperlink"/>
          </w:rPr>
          <w:t>https://doi.org/10.1016/j.ejor.2021.04.054</w:t>
        </w:r>
      </w:hyperlink>
    </w:p>
    <w:p w14:paraId="1A0633D3" w14:textId="77777777" w:rsidR="0057582C" w:rsidRDefault="0057582C">
      <w:pPr>
        <w:spacing w:before="80" w:after="80" w:line="360" w:lineRule="auto"/>
        <w:jc w:val="both"/>
      </w:pPr>
    </w:p>
    <w:sectPr w:rsidR="0057582C">
      <w:headerReference w:type="even" r:id="rId60"/>
      <w:headerReference w:type="default" r:id="rId61"/>
      <w:footerReference w:type="even" r:id="rId62"/>
      <w:footerReference w:type="default" r:id="rId63"/>
      <w:headerReference w:type="first" r:id="rId64"/>
      <w:footerReference w:type="first" r:id="rId65"/>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ourav Das" w:date="2026-07-02T10:54:00Z" w:initials="SD">
    <w:p w14:paraId="1016B023" w14:textId="154E9453" w:rsidR="00E621CF" w:rsidRDefault="00E621CF">
      <w:pPr>
        <w:pStyle w:val="CommentText"/>
      </w:pPr>
      <w:r>
        <w:rPr>
          <w:rStyle w:val="CommentReference"/>
        </w:rPr>
        <w:annotationRef/>
      </w:r>
      <w:r>
        <w:t>Text highlight not required here</w:t>
      </w:r>
    </w:p>
  </w:comment>
  <w:comment w:id="1" w:author="Sourav Das" w:date="2026-07-02T10:55:00Z" w:initials="SD">
    <w:p w14:paraId="4B549D94" w14:textId="696E056B" w:rsidR="00E621CF" w:rsidRDefault="00E621CF">
      <w:pPr>
        <w:pStyle w:val="CommentText"/>
      </w:pPr>
      <w:r>
        <w:rPr>
          <w:rStyle w:val="CommentReference"/>
        </w:rPr>
        <w:annotationRef/>
      </w:r>
      <w:r>
        <w:t>Text highlight not required here</w:t>
      </w:r>
    </w:p>
  </w:comment>
  <w:comment w:id="2" w:author="Sourav Das" w:date="2026-07-02T10:56:00Z" w:initials="SD">
    <w:p w14:paraId="3CD2D38E" w14:textId="6F0D9877" w:rsidR="00E621CF" w:rsidRDefault="00E621CF">
      <w:pPr>
        <w:pStyle w:val="CommentText"/>
      </w:pPr>
      <w:r>
        <w:rPr>
          <w:rStyle w:val="CommentReference"/>
        </w:rPr>
        <w:annotationRef/>
      </w:r>
      <w:r>
        <w:t xml:space="preserve">Le6 stands for </w:t>
      </w:r>
      <w:proofErr w:type="gramStart"/>
      <w:r>
        <w:t>what ?</w:t>
      </w:r>
      <w:proofErr w:type="gramEnd"/>
    </w:p>
  </w:comment>
  <w:comment w:id="3" w:author="Sourav Das" w:date="2026-07-02T10:57:00Z" w:initials="SD">
    <w:p w14:paraId="779EECE9" w14:textId="604512A3" w:rsidR="00E621CF" w:rsidRDefault="00E621CF">
      <w:pPr>
        <w:pStyle w:val="CommentText"/>
      </w:pPr>
      <w:r>
        <w:rPr>
          <w:rStyle w:val="CommentReference"/>
        </w:rPr>
        <w:annotationRef/>
      </w:r>
      <w:r>
        <w:t>No proper clarity for this table</w:t>
      </w:r>
    </w:p>
  </w:comment>
  <w:comment w:id="4" w:author="Sourav Das" w:date="2026-07-02T10:59:00Z" w:initials="SD">
    <w:p w14:paraId="79972C8E" w14:textId="77777777" w:rsidR="00E621CF" w:rsidRDefault="00E621CF">
      <w:pPr>
        <w:pStyle w:val="CommentText"/>
      </w:pPr>
      <w:r>
        <w:rPr>
          <w:rStyle w:val="CommentReference"/>
        </w:rPr>
        <w:annotationRef/>
      </w:r>
      <w:r>
        <w:t xml:space="preserve">Why written in </w:t>
      </w:r>
      <w:proofErr w:type="gramStart"/>
      <w:r>
        <w:t>Italics ?</w:t>
      </w:r>
      <w:proofErr w:type="gramEnd"/>
      <w:r>
        <w:t xml:space="preserve"> </w:t>
      </w:r>
    </w:p>
    <w:p w14:paraId="54E8DB2B" w14:textId="6C9A6D1D" w:rsidR="00E621CF" w:rsidRDefault="00E621CF">
      <w:pPr>
        <w:pStyle w:val="CommentText"/>
      </w:pPr>
      <w:r>
        <w:t>Parity needs to be maintained in font style for all table titles and figure titles</w:t>
      </w:r>
    </w:p>
  </w:comment>
  <w:comment w:id="5" w:author="Sourav Das" w:date="2026-07-02T11:00:00Z" w:initials="SD">
    <w:p w14:paraId="59C323CF" w14:textId="77777777" w:rsidR="00E621CF" w:rsidRDefault="00E621CF" w:rsidP="00E621CF">
      <w:pPr>
        <w:pStyle w:val="CommentText"/>
      </w:pPr>
      <w:r>
        <w:rPr>
          <w:rStyle w:val="CommentReference"/>
        </w:rPr>
        <w:annotationRef/>
      </w:r>
      <w:r>
        <w:t xml:space="preserve">Why written in </w:t>
      </w:r>
      <w:proofErr w:type="gramStart"/>
      <w:r>
        <w:t>Italics ?</w:t>
      </w:r>
      <w:proofErr w:type="gramEnd"/>
      <w:r>
        <w:t xml:space="preserve"> </w:t>
      </w:r>
    </w:p>
    <w:p w14:paraId="4A594F4E" w14:textId="2E41A447" w:rsidR="00E621CF" w:rsidRDefault="00E621CF" w:rsidP="00E621CF">
      <w:pPr>
        <w:pStyle w:val="CommentText"/>
      </w:pPr>
      <w:r>
        <w:t>Parity needs to be maintained in font style for all table titles and figure titles</w:t>
      </w:r>
    </w:p>
  </w:comment>
  <w:comment w:id="6" w:author="Sourav Das" w:date="2026-07-02T11:00:00Z" w:initials="SD">
    <w:p w14:paraId="0F8E8053" w14:textId="77777777" w:rsidR="00E621CF" w:rsidRDefault="00E621CF" w:rsidP="00E621CF">
      <w:pPr>
        <w:pStyle w:val="CommentText"/>
      </w:pPr>
      <w:r>
        <w:rPr>
          <w:rStyle w:val="CommentReference"/>
        </w:rPr>
        <w:annotationRef/>
      </w:r>
      <w:r>
        <w:t xml:space="preserve">Why written in </w:t>
      </w:r>
      <w:proofErr w:type="gramStart"/>
      <w:r>
        <w:t>Italics ?</w:t>
      </w:r>
      <w:proofErr w:type="gramEnd"/>
      <w:r>
        <w:t xml:space="preserve"> </w:t>
      </w:r>
    </w:p>
    <w:p w14:paraId="2747F6BC" w14:textId="68DDAAF8" w:rsidR="00E621CF" w:rsidRDefault="00E621CF" w:rsidP="00E621CF">
      <w:pPr>
        <w:pStyle w:val="CommentText"/>
      </w:pPr>
      <w:r>
        <w:t>Parity needs to be maintained in font style for all table titles and figure titles</w:t>
      </w:r>
    </w:p>
  </w:comment>
  <w:comment w:id="7" w:author="Sourav Das" w:date="2026-07-02T11:01:00Z" w:initials="SD">
    <w:p w14:paraId="61315BC3" w14:textId="0F1B01B2" w:rsidR="00871302" w:rsidRDefault="00871302">
      <w:pPr>
        <w:pStyle w:val="CommentText"/>
      </w:pPr>
      <w:r>
        <w:rPr>
          <w:rStyle w:val="CommentReference"/>
        </w:rPr>
        <w:annotationRef/>
      </w:r>
      <w:r>
        <w:t>Needs to be formatted properly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016B023" w15:done="0"/>
  <w15:commentEx w15:paraId="4B549D94" w15:done="0"/>
  <w15:commentEx w15:paraId="3CD2D38E" w15:done="0"/>
  <w15:commentEx w15:paraId="779EECE9" w15:done="0"/>
  <w15:commentEx w15:paraId="54E8DB2B" w15:done="0"/>
  <w15:commentEx w15:paraId="4A594F4E" w15:done="0"/>
  <w15:commentEx w15:paraId="2747F6BC" w15:done="0"/>
  <w15:commentEx w15:paraId="61315B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0C1ED" w16cex:dateUtc="2026-07-02T05:24:00Z"/>
  <w16cex:commentExtensible w16cex:durableId="2DF0C238" w16cex:dateUtc="2026-07-02T05:25:00Z"/>
  <w16cex:commentExtensible w16cex:durableId="2DF0C271" w16cex:dateUtc="2026-07-02T05:26:00Z"/>
  <w16cex:commentExtensible w16cex:durableId="2DF0C2A3" w16cex:dateUtc="2026-07-02T05:27:00Z"/>
  <w16cex:commentExtensible w16cex:durableId="2DF0C31E" w16cex:dateUtc="2026-07-02T05:29:00Z"/>
  <w16cex:commentExtensible w16cex:durableId="2DF0C359" w16cex:dateUtc="2026-07-02T05:30:00Z"/>
  <w16cex:commentExtensible w16cex:durableId="2DF0C361" w16cex:dateUtc="2026-07-02T05:30:00Z"/>
  <w16cex:commentExtensible w16cex:durableId="2DF0C394" w16cex:dateUtc="2026-07-02T05: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16B023" w16cid:durableId="2DF0C1ED"/>
  <w16cid:commentId w16cid:paraId="4B549D94" w16cid:durableId="2DF0C238"/>
  <w16cid:commentId w16cid:paraId="3CD2D38E" w16cid:durableId="2DF0C271"/>
  <w16cid:commentId w16cid:paraId="779EECE9" w16cid:durableId="2DF0C2A3"/>
  <w16cid:commentId w16cid:paraId="54E8DB2B" w16cid:durableId="2DF0C31E"/>
  <w16cid:commentId w16cid:paraId="4A594F4E" w16cid:durableId="2DF0C359"/>
  <w16cid:commentId w16cid:paraId="2747F6BC" w16cid:durableId="2DF0C361"/>
  <w16cid:commentId w16cid:paraId="61315BC3" w16cid:durableId="2DF0C3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09454" w14:textId="77777777" w:rsidR="00347A65" w:rsidRDefault="00347A65" w:rsidP="00151E3A">
      <w:r>
        <w:separator/>
      </w:r>
    </w:p>
  </w:endnote>
  <w:endnote w:type="continuationSeparator" w:id="0">
    <w:p w14:paraId="1EF39A07" w14:textId="77777777" w:rsidR="00347A65" w:rsidRDefault="00347A65" w:rsidP="0015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9444" w14:textId="77777777" w:rsidR="00151E3A" w:rsidRDefault="00151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7208" w14:textId="77777777" w:rsidR="00151E3A" w:rsidRDefault="00151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64D5" w14:textId="77777777" w:rsidR="00151E3A" w:rsidRDefault="00151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CE711" w14:textId="77777777" w:rsidR="00347A65" w:rsidRDefault="00347A65" w:rsidP="00151E3A">
      <w:r>
        <w:separator/>
      </w:r>
    </w:p>
  </w:footnote>
  <w:footnote w:type="continuationSeparator" w:id="0">
    <w:p w14:paraId="513995CC" w14:textId="77777777" w:rsidR="00347A65" w:rsidRDefault="00347A65" w:rsidP="00151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282F2" w14:textId="19810DC3" w:rsidR="00151E3A" w:rsidRDefault="00347A65">
    <w:pPr>
      <w:pStyle w:val="Header"/>
    </w:pPr>
    <w:r>
      <w:rPr>
        <w:noProof/>
      </w:rPr>
      <w:pict w14:anchorId="53C722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4469" o:spid="_x0000_s2050"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806E1" w14:textId="55894134" w:rsidR="00151E3A" w:rsidRDefault="00347A65">
    <w:pPr>
      <w:pStyle w:val="Header"/>
    </w:pPr>
    <w:r>
      <w:rPr>
        <w:noProof/>
      </w:rPr>
      <w:pict w14:anchorId="0685C9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4470" o:spid="_x0000_s2051"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2267" w14:textId="0BD7A8A5" w:rsidR="00151E3A" w:rsidRDefault="00347A65">
    <w:pPr>
      <w:pStyle w:val="Header"/>
    </w:pPr>
    <w:r>
      <w:rPr>
        <w:noProof/>
      </w:rPr>
      <w:pict w14:anchorId="5A766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4468" o:spid="_x0000_s2049"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urav Das">
    <w15:presenceInfo w15:providerId="None" w15:userId="Sourav 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2C"/>
    <w:rsid w:val="00083CFA"/>
    <w:rsid w:val="000B43DA"/>
    <w:rsid w:val="00135E44"/>
    <w:rsid w:val="00151E3A"/>
    <w:rsid w:val="00347A65"/>
    <w:rsid w:val="003E78B0"/>
    <w:rsid w:val="003F6AA1"/>
    <w:rsid w:val="0057582C"/>
    <w:rsid w:val="005E5C47"/>
    <w:rsid w:val="00871302"/>
    <w:rsid w:val="00B26A1B"/>
    <w:rsid w:val="00CE7F22"/>
    <w:rsid w:val="00D01CF2"/>
    <w:rsid w:val="00DC329C"/>
    <w:rsid w:val="00E27E84"/>
    <w:rsid w:val="00E6121D"/>
    <w:rsid w:val="00E621CF"/>
    <w:rsid w:val="00F14614"/>
    <w:rsid w:val="43132E33"/>
    <w:rsid w:val="443130A7"/>
    <w:rsid w:val="507D3D1D"/>
    <w:rsid w:val="59805264"/>
    <w:rsid w:val="5ED94AAC"/>
    <w:rsid w:val="62762D19"/>
    <w:rsid w:val="69C90DD6"/>
    <w:rsid w:val="6A2B13D1"/>
    <w:rsid w:val="70080B5C"/>
    <w:rsid w:val="792F2D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714F98"/>
  <w15:docId w15:val="{BF95BAB4-5BFF-4D73-B7E6-AC05A919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GB" w:eastAsia="en-GB"/>
    </w:rPr>
  </w:style>
  <w:style w:type="paragraph" w:styleId="Heading1">
    <w:name w:val="heading 1"/>
    <w:basedOn w:val="Normal"/>
    <w:next w:val="Normal"/>
    <w:link w:val="Heading1Char"/>
    <w:uiPriority w:val="9"/>
    <w:qFormat/>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pPr>
      <w:keepNext/>
      <w:keepLines/>
      <w:spacing w:before="40"/>
      <w:outlineLvl w:val="3"/>
    </w:pPr>
    <w:rPr>
      <w:b/>
      <w:bCs/>
      <w:iCs/>
      <w:color w:val="2F5496"/>
    </w:rPr>
  </w:style>
  <w:style w:type="paragraph" w:styleId="Heading5">
    <w:name w:val="heading 5"/>
    <w:basedOn w:val="Normal"/>
    <w:next w:val="Normal"/>
    <w:link w:val="Heading5Char"/>
    <w:uiPriority w:val="9"/>
    <w:qFormat/>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qFormat/>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qFormat/>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qFormat/>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qFormat/>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qFormat/>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qFormat/>
    <w:rPr>
      <w:rFonts w:ascii="Times New Roman" w:eastAsia="Times New Roman" w:hAnsi="Times New Roman" w:cs="Times New Roman"/>
      <w:color w:val="1F3763"/>
    </w:rPr>
  </w:style>
  <w:style w:type="character" w:styleId="UnresolvedMention">
    <w:name w:val="Unresolved Mention"/>
    <w:basedOn w:val="DefaultParagraphFont"/>
    <w:uiPriority w:val="99"/>
    <w:semiHidden/>
    <w:unhideWhenUsed/>
    <w:rsid w:val="00D01CF2"/>
    <w:rPr>
      <w:color w:val="605E5C"/>
      <w:shd w:val="clear" w:color="auto" w:fill="E1DFDD"/>
    </w:rPr>
  </w:style>
  <w:style w:type="paragraph" w:styleId="Header">
    <w:name w:val="header"/>
    <w:basedOn w:val="Normal"/>
    <w:link w:val="HeaderChar"/>
    <w:uiPriority w:val="99"/>
    <w:unhideWhenUsed/>
    <w:rsid w:val="00151E3A"/>
    <w:pPr>
      <w:tabs>
        <w:tab w:val="center" w:pos="4513"/>
        <w:tab w:val="right" w:pos="9026"/>
      </w:tabs>
    </w:pPr>
  </w:style>
  <w:style w:type="character" w:customStyle="1" w:styleId="HeaderChar">
    <w:name w:val="Header Char"/>
    <w:basedOn w:val="DefaultParagraphFont"/>
    <w:link w:val="Header"/>
    <w:uiPriority w:val="99"/>
    <w:rsid w:val="00151E3A"/>
    <w:rPr>
      <w:rFonts w:eastAsia="Times New Roman"/>
      <w:sz w:val="24"/>
      <w:szCs w:val="24"/>
      <w:lang w:val="en-GB" w:eastAsia="en-GB"/>
    </w:rPr>
  </w:style>
  <w:style w:type="paragraph" w:styleId="Footer">
    <w:name w:val="footer"/>
    <w:basedOn w:val="Normal"/>
    <w:link w:val="FooterChar"/>
    <w:uiPriority w:val="99"/>
    <w:unhideWhenUsed/>
    <w:rsid w:val="00151E3A"/>
    <w:pPr>
      <w:tabs>
        <w:tab w:val="center" w:pos="4513"/>
        <w:tab w:val="right" w:pos="9026"/>
      </w:tabs>
    </w:pPr>
  </w:style>
  <w:style w:type="character" w:customStyle="1" w:styleId="FooterChar">
    <w:name w:val="Footer Char"/>
    <w:basedOn w:val="DefaultParagraphFont"/>
    <w:link w:val="Footer"/>
    <w:uiPriority w:val="99"/>
    <w:rsid w:val="00151E3A"/>
    <w:rPr>
      <w:rFonts w:eastAsia="Times New Roman"/>
      <w:sz w:val="24"/>
      <w:szCs w:val="24"/>
      <w:lang w:val="en-GB" w:eastAsia="en-GB"/>
    </w:rPr>
  </w:style>
  <w:style w:type="character" w:styleId="CommentReference">
    <w:name w:val="annotation reference"/>
    <w:basedOn w:val="DefaultParagraphFont"/>
    <w:uiPriority w:val="99"/>
    <w:semiHidden/>
    <w:unhideWhenUsed/>
    <w:rsid w:val="00E621CF"/>
    <w:rPr>
      <w:sz w:val="16"/>
      <w:szCs w:val="16"/>
    </w:rPr>
  </w:style>
  <w:style w:type="paragraph" w:styleId="CommentText">
    <w:name w:val="annotation text"/>
    <w:basedOn w:val="Normal"/>
    <w:link w:val="CommentTextChar"/>
    <w:uiPriority w:val="99"/>
    <w:semiHidden/>
    <w:unhideWhenUsed/>
    <w:rsid w:val="00E621CF"/>
    <w:rPr>
      <w:sz w:val="20"/>
      <w:szCs w:val="20"/>
    </w:rPr>
  </w:style>
  <w:style w:type="character" w:customStyle="1" w:styleId="CommentTextChar">
    <w:name w:val="Comment Text Char"/>
    <w:basedOn w:val="DefaultParagraphFont"/>
    <w:link w:val="CommentText"/>
    <w:uiPriority w:val="99"/>
    <w:semiHidden/>
    <w:rsid w:val="00E621CF"/>
    <w:rPr>
      <w:rFonts w:eastAsia="Times New Roman"/>
      <w:lang w:val="en-GB" w:eastAsia="en-GB"/>
    </w:rPr>
  </w:style>
  <w:style w:type="paragraph" w:styleId="CommentSubject">
    <w:name w:val="annotation subject"/>
    <w:basedOn w:val="CommentText"/>
    <w:next w:val="CommentText"/>
    <w:link w:val="CommentSubjectChar"/>
    <w:uiPriority w:val="99"/>
    <w:semiHidden/>
    <w:unhideWhenUsed/>
    <w:rsid w:val="00E621CF"/>
    <w:rPr>
      <w:b/>
      <w:bCs/>
    </w:rPr>
  </w:style>
  <w:style w:type="character" w:customStyle="1" w:styleId="CommentSubjectChar">
    <w:name w:val="Comment Subject Char"/>
    <w:basedOn w:val="CommentTextChar"/>
    <w:link w:val="CommentSubject"/>
    <w:uiPriority w:val="99"/>
    <w:semiHidden/>
    <w:rsid w:val="00E621CF"/>
    <w:rPr>
      <w:rFonts w:eastAsia="Times New Roman"/>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i.org/10.1080/00207543.2021.2005268" TargetMode="External"/><Relationship Id="rId21" Type="http://schemas.openxmlformats.org/officeDocument/2006/relationships/image" Target="media/image12.png"/><Relationship Id="rId34" Type="http://schemas.openxmlformats.org/officeDocument/2006/relationships/hyperlink" Target="https://doi.org/10.1016/j.ijin.2022.08.005" TargetMode="External"/><Relationship Id="rId42" Type="http://schemas.openxmlformats.org/officeDocument/2006/relationships/hyperlink" Target="https://doi.org/10.3390/su14021013" TargetMode="External"/><Relationship Id="rId47" Type="http://schemas.openxmlformats.org/officeDocument/2006/relationships/hyperlink" Target="https://doi.org/10.1016/j.trpro.2022.01.038" TargetMode="External"/><Relationship Id="rId50" Type="http://schemas.openxmlformats.org/officeDocument/2006/relationships/hyperlink" Target="https://doi.org/10.1177/23197145221076107" TargetMode="External"/><Relationship Id="rId55" Type="http://schemas.openxmlformats.org/officeDocument/2006/relationships/hyperlink" Target="https://doi.org/10.1080/00031305.2017.1380080" TargetMode="External"/><Relationship Id="rId63" Type="http://schemas.openxmlformats.org/officeDocument/2006/relationships/footer" Target="footer2.xml"/><Relationship Id="rId68" Type="http://schemas.openxmlformats.org/officeDocument/2006/relationships/theme" Target="theme/theme1.xml"/><Relationship Id="rId7" Type="http://schemas.openxmlformats.org/officeDocument/2006/relationships/comments" Target="comments.xml"/><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hyperlink" Target="https://doi.org/10.5772/intechopen.93651" TargetMode="External"/><Relationship Id="rId11" Type="http://schemas.openxmlformats.org/officeDocument/2006/relationships/image" Target="media/image2.png"/><Relationship Id="rId24" Type="http://schemas.openxmlformats.org/officeDocument/2006/relationships/hyperlink" Target="https://doi.org/10.1108/VJIKMS-06-2020-0105" TargetMode="External"/><Relationship Id="rId32" Type="http://schemas.openxmlformats.org/officeDocument/2006/relationships/hyperlink" Target="https://doi.org/10.3390/asi7050093" TargetMode="External"/><Relationship Id="rId37" Type="http://schemas.openxmlformats.org/officeDocument/2006/relationships/hyperlink" Target="https://doi.org/10.1109/ICCMC51019.2021.9418033" TargetMode="External"/><Relationship Id="rId40" Type="http://schemas.openxmlformats.org/officeDocument/2006/relationships/hyperlink" Target="https://doi.org/10.1016/j.enbuild.2023.112886" TargetMode="External"/><Relationship Id="rId45" Type="http://schemas.openxmlformats.org/officeDocument/2006/relationships/hyperlink" Target="https://doi.org/10.1007/s43069-022-00165-w" TargetMode="External"/><Relationship Id="rId53" Type="http://schemas.openxmlformats.org/officeDocument/2006/relationships/hyperlink" Target="https://doi.org/10.1080/00207543.2022.2029611" TargetMode="External"/><Relationship Id="rId58" Type="http://schemas.openxmlformats.org/officeDocument/2006/relationships/hyperlink" Target="https://doi.org/10.1108/JMTM-06-2020-0263" TargetMode="External"/><Relationship Id="rId66"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eader" Target="header2.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doi.org/10.1080/03610927408827101" TargetMode="External"/><Relationship Id="rId30" Type="http://schemas.openxmlformats.org/officeDocument/2006/relationships/hyperlink" Target="https://doi.org/10.1109/TPAMI.1979.4766909" TargetMode="External"/><Relationship Id="rId35" Type="http://schemas.openxmlformats.org/officeDocument/2006/relationships/hyperlink" Target="https://doi.org/10.1016/S0169-2070(96)00719-4" TargetMode="External"/><Relationship Id="rId43" Type="http://schemas.openxmlformats.org/officeDocument/2006/relationships/hyperlink" Target="https://doi.org/10.3390/bdcc6010017" TargetMode="External"/><Relationship Id="rId48" Type="http://schemas.openxmlformats.org/officeDocument/2006/relationships/hyperlink" Target="https://doi.org/10.1109/UEMCON51285.2020.9298103" TargetMode="External"/><Relationship Id="rId56" Type="http://schemas.openxmlformats.org/officeDocument/2006/relationships/hyperlink" Target="https://doi.org/10.1177/00472875221108039" TargetMode="External"/><Relationship Id="rId64" Type="http://schemas.openxmlformats.org/officeDocument/2006/relationships/header" Target="header3.xml"/><Relationship Id="rId8" Type="http://schemas.microsoft.com/office/2011/relationships/commentsExtended" Target="commentsExtended.xml"/><Relationship Id="rId51" Type="http://schemas.openxmlformats.org/officeDocument/2006/relationships/hyperlink" Target="https://doi.org/10.24818/issn14531305/26.1.2022.02" TargetMode="Externa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1016/j.jksuci.2019.12.011" TargetMode="External"/><Relationship Id="rId33" Type="http://schemas.openxmlformats.org/officeDocument/2006/relationships/hyperlink" Target="https://doi.org/10.1080/13675567.2020.1803246" TargetMode="External"/><Relationship Id="rId38" Type="http://schemas.openxmlformats.org/officeDocument/2006/relationships/hyperlink" Target="https://doi.org/10.1016/j.rser.2021.111915" TargetMode="External"/><Relationship Id="rId46" Type="http://schemas.openxmlformats.org/officeDocument/2006/relationships/hyperlink" Target="https://doi.org/10.1016/j.jbusres.2022.02.049" TargetMode="External"/><Relationship Id="rId59" Type="http://schemas.openxmlformats.org/officeDocument/2006/relationships/hyperlink" Target="https://doi.org/10.1016/j.ejor.2021.04.054" TargetMode="External"/><Relationship Id="rId67" Type="http://schemas.microsoft.com/office/2011/relationships/people" Target="people.xml"/><Relationship Id="rId20" Type="http://schemas.openxmlformats.org/officeDocument/2006/relationships/image" Target="media/image11.png"/><Relationship Id="rId41" Type="http://schemas.openxmlformats.org/officeDocument/2006/relationships/hyperlink" Target="https://doi.org/10.3390/electricity3040029" TargetMode="External"/><Relationship Id="rId54" Type="http://schemas.openxmlformats.org/officeDocument/2006/relationships/hyperlink" Target="https://doi.org/10.1007/978-3-030-85626-7_4" TargetMode="External"/><Relationship Id="rId62"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doi.org/10.1057/dbm.2012.17" TargetMode="External"/><Relationship Id="rId36" Type="http://schemas.openxmlformats.org/officeDocument/2006/relationships/hyperlink" Target="https://doi.org/10.32996/jcsts.2024.6.1.4" TargetMode="External"/><Relationship Id="rId49" Type="http://schemas.openxmlformats.org/officeDocument/2006/relationships/hyperlink" Target="https://doi.org/10.1016/j.ijforecast.2021.11.001" TargetMode="External"/><Relationship Id="rId57" Type="http://schemas.openxmlformats.org/officeDocument/2006/relationships/hyperlink" Target="https://doi.org/10.1016/j.ijpe.2023.109006" TargetMode="External"/><Relationship Id="rId10" Type="http://schemas.microsoft.com/office/2018/08/relationships/commentsExtensible" Target="commentsExtensible.xml"/><Relationship Id="rId31" Type="http://schemas.openxmlformats.org/officeDocument/2006/relationships/hyperlink" Target="https://doi.org/10.1080/07350015.1995.10524599" TargetMode="External"/><Relationship Id="rId44" Type="http://schemas.openxmlformats.org/officeDocument/2006/relationships/hyperlink" Target="https://doi.org/10.1007/978-3-031-05064-0_4" TargetMode="External"/><Relationship Id="rId52" Type="http://schemas.openxmlformats.org/officeDocument/2006/relationships/hyperlink" Target="https://doi.org/10.22399/ijcesen.381"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footnotes" Target="footnotes.xml"/><Relationship Id="rId9" Type="http://schemas.microsoft.com/office/2016/09/relationships/commentsIds" Target="commentsId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doi.org/10.1007/s10479-023-0579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49</Pages>
  <Words>11478</Words>
  <Characters>65428</Characters>
  <Application>Microsoft Office Word</Application>
  <DocSecurity>0</DocSecurity>
  <Lines>545</Lines>
  <Paragraphs>153</Paragraphs>
  <ScaleCrop>false</ScaleCrop>
  <Company/>
  <LinksUpToDate>false</LinksUpToDate>
  <CharactersWithSpaces>76753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ESWA FINAL v12 withauthor</dc:title>
  <dc:creator>user</dc:creator>
  <cp:lastModifiedBy>Sourav Das</cp:lastModifiedBy>
  <cp:revision>13</cp:revision>
  <dcterms:created xsi:type="dcterms:W3CDTF">2026-04-30T02:08:00Z</dcterms:created>
  <dcterms:modified xsi:type="dcterms:W3CDTF">2026-07-02T05:33:00Z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a8e89ad4-dd0a-47a2-8e87-1f6029e679ce</vt:lpwstr>
  </property>
  <property fmtid="{D5CDD505-2E9C-101B-9397-08002B2CF9AE}" pid="3" name="ICV">
    <vt:lpwstr>E69CFC48D84648CD815714862257C248_13</vt:lpwstr>
  </property>
  <property fmtid="{D5CDD505-2E9C-101B-9397-08002B2CF9AE}" pid="4" name="KSOProductBuildVer">
    <vt:lpwstr>1033-12.1.0.26372</vt:lpwstr>
  </property>
  <property fmtid="{D5CDD505-2E9C-101B-9397-08002B2CF9AE}" pid="5" name="KSOTemplateDocerSaveRecord">
    <vt:lpwstr>eyJoZGlkIjoiMWU2MWMyOWMyZjlmZWE3NzZmNzg0Yzc0MjZiNTczOTMiLCJ1c2VySWQiOiIyNzY2Mjc5NDk1NTQxIn0=</vt:lpwstr>
  </property>
</Properties>
</file>