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4267"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Evaluation of antioxidant status and libido enhancing activities of ethanolic extract of </w:t>
      </w:r>
      <w:r w:rsidRPr="00B253A9">
        <w:rPr>
          <w:rFonts w:ascii="Times New Roman" w:hAnsi="Times New Roman" w:cs="Times New Roman"/>
          <w:b/>
          <w:i/>
          <w:sz w:val="24"/>
          <w:szCs w:val="24"/>
        </w:rPr>
        <w:t>Aframomum melegueta</w:t>
      </w:r>
      <w:r w:rsidRPr="00B253A9">
        <w:rPr>
          <w:rFonts w:ascii="Times New Roman" w:hAnsi="Times New Roman" w:cs="Times New Roman"/>
          <w:b/>
          <w:sz w:val="24"/>
          <w:szCs w:val="24"/>
        </w:rPr>
        <w:t xml:space="preserve"> seed using wistar rat models.</w:t>
      </w:r>
    </w:p>
    <w:p w14:paraId="54F5ED86" w14:textId="77777777" w:rsidR="00CC334B" w:rsidRDefault="00CC334B" w:rsidP="00800394">
      <w:pPr>
        <w:jc w:val="both"/>
        <w:rPr>
          <w:rFonts w:ascii="Times New Roman" w:hAnsi="Times New Roman" w:cs="Times New Roman"/>
          <w:sz w:val="24"/>
          <w:szCs w:val="24"/>
        </w:rPr>
      </w:pPr>
    </w:p>
    <w:p w14:paraId="31F87DB0" w14:textId="196BBB1C"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Abstract </w:t>
      </w:r>
    </w:p>
    <w:p w14:paraId="24FA8B40" w14:textId="77777777" w:rsidR="00800394" w:rsidRPr="00B253A9" w:rsidRDefault="00800394" w:rsidP="00800394">
      <w:pPr>
        <w:jc w:val="both"/>
        <w:rPr>
          <w:rFonts w:ascii="Times New Roman" w:hAnsi="Times New Roman" w:cs="Times New Roman"/>
          <w:sz w:val="24"/>
          <w:szCs w:val="24"/>
        </w:rPr>
      </w:pPr>
      <w:commentRangeStart w:id="0"/>
      <w:r w:rsidRPr="00B253A9">
        <w:rPr>
          <w:rFonts w:ascii="Times New Roman" w:hAnsi="Times New Roman" w:cs="Times New Roman"/>
          <w:i/>
          <w:sz w:val="24"/>
          <w:szCs w:val="24"/>
        </w:rPr>
        <w:t>Aframomum menegueta</w:t>
      </w:r>
      <w:r w:rsidRPr="00B253A9">
        <w:rPr>
          <w:rFonts w:ascii="Times New Roman" w:hAnsi="Times New Roman" w:cs="Times New Roman"/>
          <w:sz w:val="24"/>
          <w:szCs w:val="24"/>
        </w:rPr>
        <w:t xml:space="preserve"> </w:t>
      </w:r>
      <w:commentRangeEnd w:id="0"/>
      <w:r w:rsidR="00B27CCF" w:rsidRPr="00B253A9">
        <w:rPr>
          <w:rStyle w:val="a8"/>
          <w:rFonts w:ascii="Times New Roman" w:hAnsi="Times New Roman" w:cs="Times New Roman"/>
          <w:sz w:val="24"/>
          <w:szCs w:val="24"/>
        </w:rPr>
        <w:commentReference w:id="0"/>
      </w:r>
      <w:r w:rsidRPr="00B253A9">
        <w:rPr>
          <w:rFonts w:ascii="Times New Roman" w:hAnsi="Times New Roman" w:cs="Times New Roman"/>
          <w:sz w:val="24"/>
          <w:szCs w:val="24"/>
        </w:rPr>
        <w:t xml:space="preserve">seeds are reported to have libido enhancing properties but the involvement of antioxidant in the improvement of mating behavior has not been established. This study determined the effect of 70% ethanol extract of </w:t>
      </w:r>
      <w:r w:rsidRPr="00B253A9">
        <w:rPr>
          <w:rFonts w:ascii="Times New Roman" w:hAnsi="Times New Roman" w:cs="Times New Roman"/>
          <w:i/>
          <w:sz w:val="24"/>
          <w:szCs w:val="24"/>
        </w:rPr>
        <w:t>Aframomum menegueta</w:t>
      </w:r>
      <w:r w:rsidRPr="00B253A9">
        <w:rPr>
          <w:rFonts w:ascii="Times New Roman" w:hAnsi="Times New Roman" w:cs="Times New Roman"/>
          <w:sz w:val="24"/>
          <w:szCs w:val="24"/>
        </w:rPr>
        <w:t xml:space="preserve"> seeds on mating behavior (MF, ML, IF, IL, EF, EL and PEI), serum hormones (Testosterone (TET), follicle stimulating hormone (FSH), luteinizing hormone (LH) and prolactin (PRL) as well as oxidative stress biomarkers (SOD, CAT, GPx, GSH and MDA) in male Wistar rats. Twenty-five male Wistar rats were randomly</w:t>
      </w:r>
      <w:commentRangeStart w:id="1"/>
      <w:r w:rsidRPr="00B253A9">
        <w:rPr>
          <w:rFonts w:ascii="Times New Roman" w:hAnsi="Times New Roman" w:cs="Times New Roman"/>
          <w:sz w:val="24"/>
          <w:szCs w:val="24"/>
        </w:rPr>
        <w:t xml:space="preserve"> shared </w:t>
      </w:r>
      <w:commentRangeEnd w:id="1"/>
      <w:r w:rsidR="00DC1944" w:rsidRPr="00B253A9">
        <w:rPr>
          <w:rStyle w:val="a8"/>
          <w:rFonts w:ascii="Times New Roman" w:hAnsi="Times New Roman" w:cs="Times New Roman"/>
          <w:sz w:val="24"/>
          <w:szCs w:val="24"/>
        </w:rPr>
        <w:commentReference w:id="1"/>
      </w:r>
      <w:r w:rsidRPr="00B253A9">
        <w:rPr>
          <w:rFonts w:ascii="Times New Roman" w:hAnsi="Times New Roman" w:cs="Times New Roman"/>
          <w:sz w:val="24"/>
          <w:szCs w:val="24"/>
        </w:rPr>
        <w:t xml:space="preserve">into five groups containing five rats each. Groups I, 2, and 3 were treated with 120, 240 and 360mg/Kg of the ethanolic extract of </w:t>
      </w:r>
      <w:r w:rsidRPr="00B253A9">
        <w:rPr>
          <w:rFonts w:ascii="Times New Roman" w:hAnsi="Times New Roman" w:cs="Times New Roman"/>
          <w:i/>
          <w:sz w:val="24"/>
          <w:szCs w:val="24"/>
        </w:rPr>
        <w:t>Aframomum menegueta</w:t>
      </w:r>
      <w:r w:rsidRPr="00B253A9">
        <w:rPr>
          <w:rFonts w:ascii="Times New Roman" w:hAnsi="Times New Roman" w:cs="Times New Roman"/>
          <w:sz w:val="24"/>
          <w:szCs w:val="24"/>
        </w:rPr>
        <w:t xml:space="preserve"> seeds while group 4 and 5 were treated with 1mg/Kg of testosterone and 10ml/Kg of distilled water to serve as positive and negative controls respectively. The extract was found to significantly (P≤0.05) </w:t>
      </w:r>
      <w:commentRangeStart w:id="2"/>
      <w:r w:rsidRPr="00B253A9">
        <w:rPr>
          <w:rFonts w:ascii="Times New Roman" w:hAnsi="Times New Roman" w:cs="Times New Roman"/>
          <w:sz w:val="24"/>
          <w:szCs w:val="24"/>
        </w:rPr>
        <w:t xml:space="preserve">increased </w:t>
      </w:r>
      <w:r w:rsidRPr="00664E44">
        <w:rPr>
          <w:rFonts w:ascii="Times New Roman" w:hAnsi="Times New Roman" w:cs="Times New Roman"/>
          <w:sz w:val="24"/>
          <w:szCs w:val="24"/>
          <w:highlight w:val="yellow"/>
        </w:rPr>
        <w:t>ML</w:t>
      </w:r>
      <w:r w:rsidRPr="00B253A9">
        <w:rPr>
          <w:rFonts w:ascii="Times New Roman" w:hAnsi="Times New Roman" w:cs="Times New Roman"/>
          <w:sz w:val="24"/>
          <w:szCs w:val="24"/>
        </w:rPr>
        <w:t xml:space="preserve">, IF, EF while </w:t>
      </w:r>
      <w:r w:rsidRPr="00664E44">
        <w:rPr>
          <w:rFonts w:ascii="Times New Roman" w:hAnsi="Times New Roman" w:cs="Times New Roman"/>
          <w:sz w:val="24"/>
          <w:szCs w:val="24"/>
          <w:highlight w:val="yellow"/>
        </w:rPr>
        <w:t>ML</w:t>
      </w:r>
      <w:r w:rsidRPr="00B253A9">
        <w:rPr>
          <w:rFonts w:ascii="Times New Roman" w:hAnsi="Times New Roman" w:cs="Times New Roman"/>
          <w:sz w:val="24"/>
          <w:szCs w:val="24"/>
        </w:rPr>
        <w:t>, IL and PEI were significantly decreased</w:t>
      </w:r>
      <w:commentRangeEnd w:id="2"/>
      <w:r w:rsidR="00664E44" w:rsidRPr="00B253A9">
        <w:rPr>
          <w:rStyle w:val="a8"/>
          <w:rFonts w:ascii="Times New Roman" w:hAnsi="Times New Roman" w:cs="Times New Roman"/>
          <w:sz w:val="24"/>
          <w:szCs w:val="24"/>
        </w:rPr>
        <w:commentReference w:id="2"/>
      </w:r>
      <w:r w:rsidRPr="00B253A9">
        <w:rPr>
          <w:rFonts w:ascii="Times New Roman" w:hAnsi="Times New Roman" w:cs="Times New Roman"/>
          <w:sz w:val="24"/>
          <w:szCs w:val="24"/>
        </w:rPr>
        <w:t xml:space="preserve"> (P≤0.05) when compared with the negative control. However the group that was treated with testosterone had mating behavior parameters significantly higher (P≤0.05) than the treated group that received the highest dose (group3). Similarly, the serum levels of testosterone, FSH, and LH were dose-dependently higher (P≤0.05) in the treated groups when compared to the negative control group while the PRL level was significantly (P≤0.05) decreased in the treated and positive control groups. The levels of CAT, SOD, GPx and GSH were significantly (P≤0.05) increased while MDA was significantly (P≤0.05) decreased in the treated groups compared to the negative control group. These results suggest that the extract produce the libido enhancing effect as indicated by the mating behavior through increased testosterone via the activation of the </w:t>
      </w:r>
      <w:r w:rsidRPr="00B253A9">
        <w:rPr>
          <w:rFonts w:ascii="Times New Roman" w:eastAsia="Times New Roman" w:hAnsi="Times New Roman" w:cs="Times New Roman"/>
          <w:sz w:val="24"/>
          <w:szCs w:val="24"/>
        </w:rPr>
        <w:t>hypothalamic-pituitary-gonadal axis</w:t>
      </w:r>
      <w:r w:rsidRPr="00B253A9">
        <w:rPr>
          <w:rFonts w:ascii="Times New Roman" w:hAnsi="Times New Roman" w:cs="Times New Roman"/>
          <w:sz w:val="24"/>
          <w:szCs w:val="24"/>
        </w:rPr>
        <w:t xml:space="preserve"> which may be facilitated by the improved oxidation status.</w:t>
      </w:r>
    </w:p>
    <w:p w14:paraId="3ABCE693" w14:textId="77777777" w:rsidR="00800394" w:rsidRPr="00B253A9" w:rsidRDefault="00800394" w:rsidP="00800394">
      <w:pPr>
        <w:jc w:val="both"/>
        <w:rPr>
          <w:rFonts w:ascii="Times New Roman" w:hAnsi="Times New Roman" w:cs="Times New Roman"/>
          <w:sz w:val="24"/>
          <w:szCs w:val="24"/>
        </w:rPr>
      </w:pPr>
    </w:p>
    <w:p w14:paraId="7BE66473" w14:textId="77777777" w:rsidR="00800394" w:rsidRPr="00B253A9" w:rsidRDefault="00800394" w:rsidP="00800394">
      <w:pPr>
        <w:jc w:val="both"/>
        <w:rPr>
          <w:rFonts w:ascii="Times New Roman" w:hAnsi="Times New Roman" w:cs="Times New Roman"/>
          <w:sz w:val="24"/>
          <w:szCs w:val="24"/>
        </w:rPr>
      </w:pPr>
    </w:p>
    <w:p w14:paraId="50A881D1"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Introduction</w:t>
      </w:r>
    </w:p>
    <w:p w14:paraId="6B891A72" w14:textId="77777777" w:rsidR="00800394" w:rsidRPr="00B253A9" w:rsidRDefault="00800394" w:rsidP="00800394">
      <w:pPr>
        <w:jc w:val="both"/>
        <w:rPr>
          <w:rFonts w:ascii="Times New Roman" w:eastAsia="Times New Roman" w:hAnsi="Times New Roman" w:cs="Times New Roman"/>
          <w:sz w:val="24"/>
          <w:szCs w:val="24"/>
        </w:rPr>
      </w:pPr>
      <w:r w:rsidRPr="00B253A9">
        <w:rPr>
          <w:rFonts w:ascii="Times New Roman" w:hAnsi="Times New Roman" w:cs="Times New Roman"/>
          <w:sz w:val="24"/>
          <w:szCs w:val="24"/>
        </w:rPr>
        <w:t xml:space="preserve">One of the fundamental parameters for the assessment of the quality of life is sexual function with diverse impact on the social and psychological well-being of an individual (Brody, 2006). </w:t>
      </w:r>
      <w:r w:rsidRPr="00B253A9">
        <w:rPr>
          <w:rFonts w:ascii="Times New Roman" w:eastAsia="Times New Roman" w:hAnsi="Times New Roman" w:cs="Times New Roman"/>
          <w:sz w:val="24"/>
          <w:szCs w:val="24"/>
        </w:rPr>
        <w:t xml:space="preserve">The global incidence of male reproductive dysfunction, particularly erectile dysfunction and declining libido, has emerged as a significant public health challenge affecting quality of life and psychological well-being. </w:t>
      </w:r>
      <w:r w:rsidRPr="00B253A9">
        <w:rPr>
          <w:rFonts w:ascii="Times New Roman" w:hAnsi="Times New Roman" w:cs="Times New Roman"/>
          <w:sz w:val="24"/>
          <w:szCs w:val="24"/>
        </w:rPr>
        <w:t xml:space="preserve">Libido is a person’s overall sexual drive or desire for sexual activity. It is a natural biological and psychological energy that fluctuates based on a complex mix of hormones, physical health, emotional wellbeing, and lifestyle factors. </w:t>
      </w:r>
      <w:r w:rsidRPr="00B253A9">
        <w:rPr>
          <w:rFonts w:ascii="Times New Roman" w:eastAsia="Times New Roman" w:hAnsi="Times New Roman" w:cs="Times New Roman"/>
          <w:sz w:val="24"/>
          <w:szCs w:val="24"/>
        </w:rPr>
        <w:t xml:space="preserve">Male reproductive dysfunction is reported to account for about 50% of all cases and affect more than 17% of the male of reproductive age worldwide (WHO, 2023). </w:t>
      </w:r>
      <w:r w:rsidRPr="00B253A9">
        <w:rPr>
          <w:rFonts w:ascii="Times New Roman" w:hAnsi="Times New Roman" w:cs="Times New Roman"/>
          <w:sz w:val="24"/>
          <w:szCs w:val="24"/>
        </w:rPr>
        <w:t xml:space="preserve">A review reported by Kessler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(2019), indicates that erectile dysfunction is associated with increased risks of cardiovascular diseases, dementia, and early death which affected up to 5million in UK as at 2019 while estimating that by 2025, </w:t>
      </w:r>
      <w:r w:rsidRPr="00B253A9">
        <w:rPr>
          <w:rFonts w:ascii="Times New Roman" w:hAnsi="Times New Roman" w:cs="Times New Roman"/>
          <w:sz w:val="24"/>
          <w:szCs w:val="24"/>
        </w:rPr>
        <w:lastRenderedPageBreak/>
        <w:t>about 322 million men may have been affected worldwide. This has led to many social and marital problems which has prompted the search and development of a number of treatment options.</w:t>
      </w:r>
      <w:r w:rsidRPr="00B253A9">
        <w:rPr>
          <w:rFonts w:ascii="Times New Roman" w:eastAsia="Times New Roman" w:hAnsi="Times New Roman" w:cs="Times New Roman"/>
          <w:sz w:val="24"/>
          <w:szCs w:val="24"/>
        </w:rPr>
        <w:t xml:space="preserve"> </w:t>
      </w:r>
      <w:r w:rsidRPr="00B253A9">
        <w:rPr>
          <w:rFonts w:ascii="Times New Roman" w:eastAsia="Times New Roman" w:hAnsi="Times New Roman" w:cs="Times New Roman"/>
          <w:color w:val="1B1B1B"/>
          <w:sz w:val="24"/>
          <w:szCs w:val="24"/>
        </w:rPr>
        <w:t>Among the various contributors to male infertility,</w:t>
      </w:r>
      <w:r w:rsidRPr="00B253A9">
        <w:rPr>
          <w:rFonts w:ascii="Times New Roman" w:eastAsia="Times New Roman" w:hAnsi="Times New Roman" w:cs="Times New Roman"/>
          <w:sz w:val="24"/>
          <w:szCs w:val="24"/>
        </w:rPr>
        <w:t xml:space="preserve"> modern lifestyle factors, some pharmaceutical products, environmental toxins, </w:t>
      </w:r>
      <w:r w:rsidRPr="00B253A9">
        <w:rPr>
          <w:rFonts w:ascii="Times New Roman" w:hAnsi="Times New Roman" w:cs="Times New Roman"/>
          <w:sz w:val="24"/>
          <w:szCs w:val="24"/>
        </w:rPr>
        <w:t>genetic factors and predisposing disease conditions including</w:t>
      </w:r>
      <w:r w:rsidRPr="00B253A9">
        <w:rPr>
          <w:rFonts w:ascii="Times New Roman" w:eastAsia="Times New Roman" w:hAnsi="Times New Roman" w:cs="Times New Roman"/>
          <w:sz w:val="24"/>
          <w:szCs w:val="24"/>
        </w:rPr>
        <w:t xml:space="preserve"> metabolic disorders frequently induce chronic oxidative stress, which impairs testicular function and disrupts the hypothalamic-pituitary-gonadal axis </w:t>
      </w:r>
      <w:r w:rsidRPr="00B253A9">
        <w:rPr>
          <w:rFonts w:ascii="Times New Roman" w:hAnsi="Times New Roman" w:cs="Times New Roman"/>
          <w:sz w:val="24"/>
          <w:szCs w:val="24"/>
        </w:rPr>
        <w:t xml:space="preserve">(Babalola </w:t>
      </w:r>
      <w:r w:rsidRPr="00B253A9">
        <w:rPr>
          <w:rFonts w:ascii="Times New Roman" w:hAnsi="Times New Roman" w:cs="Times New Roman"/>
          <w:i/>
          <w:sz w:val="24"/>
          <w:szCs w:val="24"/>
        </w:rPr>
        <w:t>et al</w:t>
      </w:r>
      <w:r w:rsidRPr="00B253A9">
        <w:rPr>
          <w:rFonts w:ascii="Times New Roman" w:hAnsi="Times New Roman" w:cs="Times New Roman"/>
          <w:sz w:val="24"/>
          <w:szCs w:val="24"/>
        </w:rPr>
        <w:t>, 2023)</w:t>
      </w:r>
      <w:r w:rsidRPr="00B253A9">
        <w:rPr>
          <w:rFonts w:ascii="Times New Roman" w:eastAsia="Times New Roman" w:hAnsi="Times New Roman" w:cs="Times New Roman"/>
          <w:sz w:val="24"/>
          <w:szCs w:val="24"/>
        </w:rPr>
        <w:t xml:space="preserve">. </w:t>
      </w:r>
    </w:p>
    <w:p w14:paraId="05C87A5C"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According to Kingsberg and Woodard (2015), aphrodisiacs are substances that amplify mating drive and are usually used to manage intimacy issues. These substances include food and food products, pharmaceutical, aromas and herbal substances, which may adjust key reproductive signals like pregnancy hormone, other female hormones, and male hormone as well as brain signals. (Gauthaman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2017). </w:t>
      </w:r>
      <w:r w:rsidRPr="00B253A9">
        <w:rPr>
          <w:rFonts w:ascii="Times New Roman" w:eastAsia="Times New Roman" w:hAnsi="Times New Roman" w:cs="Times New Roman"/>
          <w:sz w:val="24"/>
          <w:szCs w:val="24"/>
        </w:rPr>
        <w:t xml:space="preserve">Although synthetic aphrodisiacs like phosphodiesterase-5 inhibitors are widely available, their high cost, systemic side effects, and lack of antioxidant properties limit their long-term therapeutic utility. Consequently, there is a critical need to evaluate natural, bioactive alternatives that can concurrently mitigate oxidative damage and enhance reproductive vitality (treatment and management of declining libido). </w:t>
      </w:r>
      <w:r w:rsidRPr="00B253A9">
        <w:rPr>
          <w:rFonts w:ascii="Times New Roman" w:hAnsi="Times New Roman" w:cs="Times New Roman"/>
          <w:sz w:val="24"/>
          <w:szCs w:val="24"/>
        </w:rPr>
        <w:t xml:space="preserve">One of such plant being explored for its libido enhancing activities is </w:t>
      </w:r>
      <w:r w:rsidRPr="00B253A9">
        <w:rPr>
          <w:rFonts w:ascii="Times New Roman" w:hAnsi="Times New Roman" w:cs="Times New Roman"/>
          <w:i/>
          <w:sz w:val="24"/>
          <w:szCs w:val="24"/>
        </w:rPr>
        <w:t>Aframomum melegueta</w:t>
      </w:r>
      <w:r w:rsidRPr="00B253A9">
        <w:rPr>
          <w:rFonts w:ascii="Times New Roman" w:hAnsi="Times New Roman" w:cs="Times New Roman"/>
          <w:sz w:val="24"/>
          <w:szCs w:val="24"/>
        </w:rPr>
        <w:t>.</w:t>
      </w:r>
    </w:p>
    <w:p w14:paraId="770AC11C"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Alligator pepper (</w:t>
      </w:r>
      <w:r w:rsidRPr="00B253A9">
        <w:rPr>
          <w:rFonts w:ascii="Times New Roman" w:hAnsi="Times New Roman" w:cs="Times New Roman"/>
          <w:i/>
          <w:sz w:val="24"/>
          <w:szCs w:val="24"/>
        </w:rPr>
        <w:t>Aframomum melegueta</w:t>
      </w:r>
      <w:r w:rsidRPr="00B253A9">
        <w:rPr>
          <w:rFonts w:ascii="Times New Roman" w:hAnsi="Times New Roman" w:cs="Times New Roman"/>
          <w:sz w:val="24"/>
          <w:szCs w:val="24"/>
        </w:rPr>
        <w:t xml:space="preserve"> [Roscoe] K. Schum) also known as grains of Paradise or Guinea pepper is an herbaceous perennial tropical plant in the family of </w:t>
      </w:r>
      <w:r w:rsidRPr="00B253A9">
        <w:rPr>
          <w:rFonts w:ascii="Times New Roman" w:hAnsi="Times New Roman" w:cs="Times New Roman"/>
          <w:i/>
          <w:sz w:val="24"/>
          <w:szCs w:val="24"/>
        </w:rPr>
        <w:t>Zingiberaceae</w:t>
      </w:r>
      <w:r w:rsidRPr="00B253A9">
        <w:rPr>
          <w:rFonts w:ascii="Times New Roman" w:hAnsi="Times New Roman" w:cs="Times New Roman"/>
          <w:sz w:val="24"/>
          <w:szCs w:val="24"/>
        </w:rPr>
        <w:t xml:space="preserve"> native to West Africa. It can grow to a height of about 1.0 to 1.5 meters and produces purple flowers that gives rise to 5 to 7cm long pods containing small reddish-brown seeds. It is commonly used as spices in food and for the treatment of various ailments including management of convulsion, leprosy, inflammation and rheumatoid pains (Okwu and Eunice, 2009).   </w:t>
      </w:r>
    </w:p>
    <w:p w14:paraId="729F3705" w14:textId="77777777" w:rsidR="00800394" w:rsidRPr="00B253A9" w:rsidRDefault="00800394" w:rsidP="00800394">
      <w:pPr>
        <w:jc w:val="both"/>
        <w:rPr>
          <w:rFonts w:ascii="Times New Roman" w:hAnsi="Times New Roman" w:cs="Times New Roman"/>
          <w:sz w:val="24"/>
          <w:szCs w:val="24"/>
        </w:rPr>
      </w:pPr>
      <w:r w:rsidRPr="00B253A9">
        <w:rPr>
          <w:rFonts w:ascii="Times New Roman" w:eastAsia="Times New Roman" w:hAnsi="Times New Roman" w:cs="Times New Roman"/>
          <w:i/>
          <w:iCs/>
          <w:sz w:val="24"/>
          <w:szCs w:val="24"/>
        </w:rPr>
        <w:t>Aframomum melegueta</w:t>
      </w:r>
      <w:r w:rsidRPr="00B253A9">
        <w:rPr>
          <w:rFonts w:ascii="Times New Roman" w:eastAsia="Times New Roman" w:hAnsi="Times New Roman" w:cs="Times New Roman"/>
          <w:sz w:val="24"/>
          <w:szCs w:val="24"/>
        </w:rPr>
        <w:t xml:space="preserve"> (Alligator pepper), is reported to possess aphrodisiac and rejuvenative properties. However, its specific impact on systemic antioxidant status in relation to libido-enhancing activities remains inadequately quantified. This study utilizes Wistar rat model to systematically investigate how </w:t>
      </w:r>
      <w:r w:rsidRPr="00B253A9">
        <w:rPr>
          <w:rFonts w:ascii="Times New Roman" w:eastAsia="Times New Roman" w:hAnsi="Times New Roman" w:cs="Times New Roman"/>
          <w:i/>
          <w:iCs/>
          <w:sz w:val="24"/>
          <w:szCs w:val="24"/>
        </w:rPr>
        <w:t>Aframomum melegueta</w:t>
      </w:r>
      <w:r w:rsidRPr="00B253A9">
        <w:rPr>
          <w:rFonts w:ascii="Times New Roman" w:eastAsia="Times New Roman" w:hAnsi="Times New Roman" w:cs="Times New Roman"/>
          <w:sz w:val="24"/>
          <w:szCs w:val="24"/>
        </w:rPr>
        <w:t xml:space="preserve"> modulates antioxidant defense mechanisms to improve copulatory behavior and reproductive performance.</w:t>
      </w:r>
    </w:p>
    <w:p w14:paraId="610EB1BA" w14:textId="77777777" w:rsidR="00800394" w:rsidRPr="00B253A9" w:rsidRDefault="00800394" w:rsidP="00800394">
      <w:pPr>
        <w:jc w:val="both"/>
        <w:rPr>
          <w:rFonts w:ascii="Times New Roman" w:hAnsi="Times New Roman" w:cs="Times New Roman"/>
          <w:b/>
          <w:sz w:val="24"/>
          <w:szCs w:val="24"/>
        </w:rPr>
      </w:pPr>
    </w:p>
    <w:p w14:paraId="0BC5109A"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Methods </w:t>
      </w:r>
    </w:p>
    <w:p w14:paraId="221AAA3B"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b/>
          <w:sz w:val="24"/>
          <w:szCs w:val="24"/>
        </w:rPr>
        <w:t>Plant materials and extraction.</w:t>
      </w:r>
      <w:r w:rsidRPr="00B253A9">
        <w:rPr>
          <w:rFonts w:ascii="Times New Roman" w:hAnsi="Times New Roman" w:cs="Times New Roman"/>
          <w:sz w:val="24"/>
          <w:szCs w:val="24"/>
        </w:rPr>
        <w:t xml:space="preserve"> The fruits of </w:t>
      </w:r>
      <w:r w:rsidRPr="00B253A9">
        <w:rPr>
          <w:rFonts w:ascii="Times New Roman" w:eastAsia="Times New Roman" w:hAnsi="Times New Roman" w:cs="Times New Roman"/>
          <w:i/>
          <w:iCs/>
          <w:sz w:val="24"/>
          <w:szCs w:val="24"/>
        </w:rPr>
        <w:t xml:space="preserve">Aframomum melegueta </w:t>
      </w:r>
      <w:r w:rsidRPr="00B253A9">
        <w:rPr>
          <w:rFonts w:ascii="Times New Roman" w:eastAsia="Times New Roman" w:hAnsi="Times New Roman" w:cs="Times New Roman"/>
          <w:iCs/>
          <w:sz w:val="24"/>
          <w:szCs w:val="24"/>
        </w:rPr>
        <w:t xml:space="preserve">were purchased from Urua Ikpe, Essien Udim Local Government area of Akwa Ibom State in January 2026. </w:t>
      </w:r>
      <w:r w:rsidRPr="00B253A9">
        <w:rPr>
          <w:rFonts w:ascii="Times New Roman" w:hAnsi="Times New Roman" w:cs="Times New Roman"/>
          <w:sz w:val="24"/>
          <w:szCs w:val="24"/>
        </w:rPr>
        <w:t xml:space="preserve"> The plant sample was identified and authenticated by a taxonomist in the Department of Biological Science, Akwa Ibom State Polytechnic, Ikot Osurua. The seeds were separated from the rest of the fruit and then washed and dried at room temperature 25</w:t>
      </w:r>
      <w:r w:rsidRPr="00B253A9">
        <w:rPr>
          <w:rFonts w:ascii="Times New Roman" w:hAnsi="Times New Roman" w:cs="Times New Roman"/>
          <w:sz w:val="24"/>
          <w:szCs w:val="24"/>
          <w:vertAlign w:val="superscript"/>
        </w:rPr>
        <w:t>o</w:t>
      </w:r>
      <w:r w:rsidRPr="00B253A9">
        <w:rPr>
          <w:rFonts w:ascii="Times New Roman" w:hAnsi="Times New Roman" w:cs="Times New Roman"/>
          <w:sz w:val="24"/>
          <w:szCs w:val="24"/>
        </w:rPr>
        <w:t xml:space="preserve">C for 24 hours. 250 g of the plant seeds was weighed, blended into fine power using laboratory mortar and pestle and thereafter soaked at room temperature (25°C) in 1.0 L of </w:t>
      </w:r>
      <w:commentRangeStart w:id="3"/>
      <w:r w:rsidRPr="00B253A9">
        <w:rPr>
          <w:rFonts w:ascii="Times New Roman" w:hAnsi="Times New Roman" w:cs="Times New Roman"/>
          <w:sz w:val="24"/>
          <w:szCs w:val="24"/>
        </w:rPr>
        <w:t>70% aqueous-</w:t>
      </w:r>
      <w:commentRangeStart w:id="4"/>
      <w:r w:rsidRPr="00B253A9">
        <w:rPr>
          <w:rFonts w:ascii="Times New Roman" w:hAnsi="Times New Roman" w:cs="Times New Roman"/>
          <w:sz w:val="24"/>
          <w:szCs w:val="24"/>
        </w:rPr>
        <w:t xml:space="preserve">ethanol </w:t>
      </w:r>
      <w:commentRangeEnd w:id="3"/>
      <w:r w:rsidR="00D0285B" w:rsidRPr="00B253A9">
        <w:rPr>
          <w:rStyle w:val="a8"/>
          <w:rFonts w:ascii="Times New Roman" w:hAnsi="Times New Roman" w:cs="Times New Roman"/>
          <w:sz w:val="24"/>
          <w:szCs w:val="24"/>
        </w:rPr>
        <w:commentReference w:id="3"/>
      </w:r>
      <w:r w:rsidRPr="00B253A9">
        <w:rPr>
          <w:rFonts w:ascii="Times New Roman" w:hAnsi="Times New Roman" w:cs="Times New Roman"/>
          <w:sz w:val="24"/>
          <w:szCs w:val="24"/>
        </w:rPr>
        <w:t xml:space="preserve">for 72 days, </w:t>
      </w:r>
      <w:commentRangeEnd w:id="4"/>
      <w:r w:rsidR="00D0285B" w:rsidRPr="00B253A9">
        <w:rPr>
          <w:rStyle w:val="a8"/>
          <w:rFonts w:ascii="Times New Roman" w:hAnsi="Times New Roman" w:cs="Times New Roman"/>
          <w:sz w:val="24"/>
          <w:szCs w:val="24"/>
        </w:rPr>
        <w:commentReference w:id="4"/>
      </w:r>
      <w:r w:rsidRPr="00B253A9">
        <w:rPr>
          <w:rFonts w:ascii="Times New Roman" w:hAnsi="Times New Roman" w:cs="Times New Roman"/>
          <w:sz w:val="24"/>
          <w:szCs w:val="24"/>
        </w:rPr>
        <w:t xml:space="preserve">with occasional agitation. The extract was filtered using Whatman paper No4 and this process was repeated twice. The filtrates were combined and concentrated </w:t>
      </w:r>
      <w:commentRangeStart w:id="5"/>
      <w:r w:rsidRPr="00B253A9">
        <w:rPr>
          <w:rFonts w:ascii="Times New Roman" w:hAnsi="Times New Roman" w:cs="Times New Roman"/>
          <w:sz w:val="24"/>
          <w:szCs w:val="24"/>
        </w:rPr>
        <w:t xml:space="preserve">in vacuo to give </w:t>
      </w:r>
      <w:commentRangeEnd w:id="5"/>
      <w:r w:rsidR="00D0285B" w:rsidRPr="00B253A9">
        <w:rPr>
          <w:rStyle w:val="a8"/>
          <w:rFonts w:ascii="Times New Roman" w:hAnsi="Times New Roman" w:cs="Times New Roman"/>
          <w:sz w:val="24"/>
          <w:szCs w:val="24"/>
        </w:rPr>
        <w:commentReference w:id="5"/>
      </w:r>
      <w:r w:rsidRPr="00B253A9">
        <w:rPr>
          <w:rFonts w:ascii="Times New Roman" w:hAnsi="Times New Roman" w:cs="Times New Roman"/>
          <w:sz w:val="24"/>
          <w:szCs w:val="24"/>
        </w:rPr>
        <w:t>an extract with 12.26% yield. It was then stored at 4°C until needed.</w:t>
      </w:r>
    </w:p>
    <w:p w14:paraId="74015B71" w14:textId="77777777" w:rsidR="00800394" w:rsidRPr="00B253A9" w:rsidRDefault="00800394" w:rsidP="00800394">
      <w:pPr>
        <w:spacing w:line="312" w:lineRule="auto"/>
        <w:jc w:val="both"/>
        <w:rPr>
          <w:rFonts w:ascii="Times New Roman" w:hAnsi="Times New Roman" w:cs="Times New Roman"/>
          <w:sz w:val="24"/>
          <w:szCs w:val="24"/>
        </w:rPr>
      </w:pPr>
      <w:r w:rsidRPr="00B253A9">
        <w:rPr>
          <w:rFonts w:ascii="Times New Roman" w:hAnsi="Times New Roman" w:cs="Times New Roman"/>
          <w:b/>
          <w:sz w:val="24"/>
          <w:szCs w:val="24"/>
        </w:rPr>
        <w:lastRenderedPageBreak/>
        <w:t>Phytochemical Analysis</w:t>
      </w:r>
      <w:r w:rsidRPr="00B253A9">
        <w:rPr>
          <w:rFonts w:ascii="Times New Roman" w:hAnsi="Times New Roman" w:cs="Times New Roman"/>
          <w:sz w:val="24"/>
          <w:szCs w:val="24"/>
        </w:rPr>
        <w:t xml:space="preserve">:  Preliminary analysis of the secondary metabolites in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was conducted to detect level of alkaloids, tannins, flavonoids, and saponins using established protocols reported by Khedr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(2024) while cardiac glycosides levels were determined using the method </w:t>
      </w:r>
      <w:commentRangeStart w:id="6"/>
      <w:r w:rsidRPr="00B253A9">
        <w:rPr>
          <w:rFonts w:ascii="Times New Roman" w:hAnsi="Times New Roman" w:cs="Times New Roman"/>
          <w:sz w:val="24"/>
          <w:szCs w:val="24"/>
        </w:rPr>
        <w:t>of</w:t>
      </w:r>
      <w:commentRangeEnd w:id="6"/>
      <w:r w:rsidR="005F62C9" w:rsidRPr="00B253A9">
        <w:rPr>
          <w:rStyle w:val="a8"/>
          <w:rFonts w:ascii="Times New Roman" w:hAnsi="Times New Roman" w:cs="Times New Roman"/>
          <w:sz w:val="24"/>
          <w:szCs w:val="24"/>
        </w:rPr>
        <w:commentReference w:id="6"/>
      </w:r>
      <w:r w:rsidRPr="00B253A9">
        <w:rPr>
          <w:rFonts w:ascii="Times New Roman" w:hAnsi="Times New Roman" w:cs="Times New Roman"/>
          <w:sz w:val="24"/>
          <w:szCs w:val="24"/>
        </w:rPr>
        <w:t xml:space="preserve"> . </w:t>
      </w:r>
      <w:commentRangeStart w:id="7"/>
      <w:r w:rsidRPr="00B253A9">
        <w:rPr>
          <w:rFonts w:ascii="Times New Roman" w:hAnsi="Times New Roman" w:cs="Times New Roman"/>
          <w:sz w:val="24"/>
          <w:szCs w:val="24"/>
        </w:rPr>
        <w:t>Thereafter the LD</w:t>
      </w:r>
      <w:r w:rsidRPr="00B253A9">
        <w:rPr>
          <w:rFonts w:ascii="Times New Roman" w:hAnsi="Times New Roman" w:cs="Times New Roman"/>
          <w:sz w:val="24"/>
          <w:szCs w:val="24"/>
          <w:vertAlign w:val="subscript"/>
        </w:rPr>
        <w:t>50</w:t>
      </w:r>
      <w:r w:rsidRPr="00B253A9">
        <w:rPr>
          <w:rFonts w:ascii="Times New Roman" w:hAnsi="Times New Roman" w:cs="Times New Roman"/>
          <w:sz w:val="24"/>
          <w:szCs w:val="24"/>
        </w:rPr>
        <w:t xml:space="preserve"> of the extract was estimated using Swiss albino mice administered through intraperitoneal (</w:t>
      </w:r>
      <w:r w:rsidRPr="00B253A9">
        <w:rPr>
          <w:rFonts w:ascii="Times New Roman" w:hAnsi="Times New Roman" w:cs="Times New Roman"/>
          <w:i/>
          <w:iCs/>
          <w:sz w:val="24"/>
          <w:szCs w:val="24"/>
        </w:rPr>
        <w:t>ip</w:t>
      </w:r>
      <w:r w:rsidRPr="00B253A9">
        <w:rPr>
          <w:rFonts w:ascii="Times New Roman" w:hAnsi="Times New Roman" w:cs="Times New Roman"/>
          <w:sz w:val="24"/>
          <w:szCs w:val="24"/>
        </w:rPr>
        <w:t xml:space="preserve">) route by method according </w:t>
      </w:r>
      <w:commentRangeEnd w:id="7"/>
      <w:r w:rsidR="004460D6" w:rsidRPr="00B253A9">
        <w:rPr>
          <w:rStyle w:val="a8"/>
          <w:rFonts w:ascii="Times New Roman" w:hAnsi="Times New Roman" w:cs="Times New Roman"/>
          <w:sz w:val="24"/>
          <w:szCs w:val="24"/>
        </w:rPr>
        <w:commentReference w:id="7"/>
      </w:r>
      <w:r w:rsidRPr="00B253A9">
        <w:rPr>
          <w:rFonts w:ascii="Times New Roman" w:hAnsi="Times New Roman" w:cs="Times New Roman"/>
          <w:sz w:val="24"/>
          <w:szCs w:val="24"/>
        </w:rPr>
        <w:t xml:space="preserve">to Lorke (1983). </w:t>
      </w:r>
    </w:p>
    <w:p w14:paraId="731DFF39"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 </w:t>
      </w:r>
      <w:r w:rsidRPr="00B253A9">
        <w:rPr>
          <w:rFonts w:ascii="Times New Roman" w:hAnsi="Times New Roman" w:cs="Times New Roman"/>
          <w:b/>
          <w:sz w:val="24"/>
          <w:szCs w:val="24"/>
        </w:rPr>
        <w:t>Animals Study:</w:t>
      </w:r>
      <w:r w:rsidRPr="00B253A9">
        <w:rPr>
          <w:rFonts w:ascii="Times New Roman" w:hAnsi="Times New Roman" w:cs="Times New Roman"/>
          <w:sz w:val="24"/>
          <w:szCs w:val="24"/>
        </w:rPr>
        <w:t xml:space="preserve">  Mature male and female Wistar rats </w:t>
      </w:r>
      <w:commentRangeStart w:id="8"/>
      <w:r w:rsidRPr="00B253A9">
        <w:rPr>
          <w:rFonts w:ascii="Times New Roman" w:hAnsi="Times New Roman" w:cs="Times New Roman"/>
          <w:sz w:val="24"/>
          <w:szCs w:val="24"/>
        </w:rPr>
        <w:t xml:space="preserve">(190 g to 240 g) were </w:t>
      </w:r>
      <w:commentRangeEnd w:id="8"/>
      <w:r w:rsidR="00991DD2" w:rsidRPr="00B253A9">
        <w:rPr>
          <w:rStyle w:val="a8"/>
          <w:rFonts w:ascii="Times New Roman" w:hAnsi="Times New Roman" w:cs="Times New Roman"/>
          <w:sz w:val="24"/>
          <w:szCs w:val="24"/>
        </w:rPr>
        <w:commentReference w:id="8"/>
      </w:r>
      <w:r w:rsidRPr="00B253A9">
        <w:rPr>
          <w:rFonts w:ascii="Times New Roman" w:hAnsi="Times New Roman" w:cs="Times New Roman"/>
          <w:sz w:val="24"/>
          <w:szCs w:val="24"/>
        </w:rPr>
        <w:t xml:space="preserve">obtained from the animal house of the University of Uyo, Uyo, Nigeria for the study. The male and female animals were separately, acclimatized and maintained for two week under standard conditions (12 h light/12 h dark cycle) at the animal house of the Department of Science Technology Akwa Ibom State Polytechnic, Ikot Osurua. The animals were fed with growers’ pellet (New Hope Agricultural and Technology Nigeria Limited, Logbara, Ogun State, Nigeria) and water was given </w:t>
      </w:r>
      <w:r w:rsidRPr="00B253A9">
        <w:rPr>
          <w:rFonts w:ascii="Times New Roman" w:hAnsi="Times New Roman" w:cs="Times New Roman"/>
          <w:i/>
          <w:sz w:val="24"/>
          <w:szCs w:val="24"/>
        </w:rPr>
        <w:t>ad libitum</w:t>
      </w:r>
      <w:r w:rsidRPr="00B253A9">
        <w:rPr>
          <w:rFonts w:ascii="Times New Roman" w:hAnsi="Times New Roman" w:cs="Times New Roman"/>
          <w:sz w:val="24"/>
          <w:szCs w:val="24"/>
        </w:rPr>
        <w:t>. All animal experiments conformed to the guide for the care and use of Laboratory Animals published by the National Academies Press (2011).</w:t>
      </w:r>
    </w:p>
    <w:p w14:paraId="60D5339A" w14:textId="77777777" w:rsidR="00800394" w:rsidRPr="00B253A9" w:rsidRDefault="00800394" w:rsidP="00800394">
      <w:pPr>
        <w:spacing w:after="0" w:line="240" w:lineRule="auto"/>
        <w:jc w:val="both"/>
        <w:rPr>
          <w:rFonts w:ascii="Times New Roman" w:hAnsi="Times New Roman" w:cs="Times New Roman"/>
          <w:b/>
          <w:sz w:val="24"/>
          <w:szCs w:val="24"/>
        </w:rPr>
      </w:pPr>
      <w:r w:rsidRPr="00B253A9">
        <w:rPr>
          <w:rFonts w:ascii="Times New Roman" w:hAnsi="Times New Roman" w:cs="Times New Roman"/>
          <w:sz w:val="24"/>
          <w:szCs w:val="24"/>
        </w:rPr>
        <w:t xml:space="preserve"> </w:t>
      </w:r>
      <w:r w:rsidRPr="00B253A9">
        <w:rPr>
          <w:rFonts w:ascii="Times New Roman" w:hAnsi="Times New Roman" w:cs="Times New Roman"/>
          <w:b/>
          <w:sz w:val="24"/>
          <w:szCs w:val="24"/>
        </w:rPr>
        <w:t xml:space="preserve">Effect of Extract on Sexual Behaviour in Male Rats. </w:t>
      </w:r>
      <w:r w:rsidRPr="00B253A9">
        <w:rPr>
          <w:rFonts w:ascii="Times New Roman" w:hAnsi="Times New Roman" w:cs="Times New Roman"/>
          <w:sz w:val="24"/>
          <w:szCs w:val="24"/>
        </w:rPr>
        <w:t xml:space="preserve">Twenty-five sexually </w:t>
      </w:r>
      <w:commentRangeStart w:id="9"/>
      <w:r w:rsidRPr="00B253A9">
        <w:rPr>
          <w:rFonts w:ascii="Times New Roman" w:hAnsi="Times New Roman" w:cs="Times New Roman"/>
          <w:sz w:val="24"/>
          <w:szCs w:val="24"/>
        </w:rPr>
        <w:t xml:space="preserve">matured male rats </w:t>
      </w:r>
      <w:commentRangeEnd w:id="9"/>
      <w:r w:rsidR="00F37AF2" w:rsidRPr="00B253A9">
        <w:rPr>
          <w:rStyle w:val="a8"/>
          <w:rFonts w:ascii="Times New Roman" w:hAnsi="Times New Roman" w:cs="Times New Roman"/>
          <w:sz w:val="24"/>
          <w:szCs w:val="24"/>
        </w:rPr>
        <w:commentReference w:id="9"/>
      </w:r>
      <w:r w:rsidRPr="00B253A9">
        <w:rPr>
          <w:rFonts w:ascii="Times New Roman" w:hAnsi="Times New Roman" w:cs="Times New Roman"/>
          <w:sz w:val="24"/>
          <w:szCs w:val="24"/>
        </w:rPr>
        <w:t xml:space="preserve">were randomly divided into five groups of five rats per group. Groups I, II and III received three different doses </w:t>
      </w:r>
      <w:commentRangeStart w:id="10"/>
      <w:r w:rsidRPr="00B253A9">
        <w:rPr>
          <w:rFonts w:ascii="Times New Roman" w:hAnsi="Times New Roman" w:cs="Times New Roman"/>
          <w:sz w:val="24"/>
          <w:szCs w:val="24"/>
        </w:rPr>
        <w:t xml:space="preserve">(120, 240, and 360mg/kg (p.o) </w:t>
      </w:r>
      <w:commentRangeEnd w:id="10"/>
      <w:r w:rsidR="00F37AF2" w:rsidRPr="00B253A9">
        <w:rPr>
          <w:rStyle w:val="a8"/>
          <w:rFonts w:ascii="Times New Roman" w:hAnsi="Times New Roman" w:cs="Times New Roman"/>
          <w:sz w:val="24"/>
          <w:szCs w:val="24"/>
        </w:rPr>
        <w:commentReference w:id="10"/>
      </w:r>
      <w:r w:rsidRPr="00B253A9">
        <w:rPr>
          <w:rFonts w:ascii="Times New Roman" w:hAnsi="Times New Roman" w:cs="Times New Roman"/>
          <w:sz w:val="24"/>
          <w:szCs w:val="24"/>
        </w:rPr>
        <w:t xml:space="preserve">of the extract respectively. Group IV received 1mg/kg of testosterone </w:t>
      </w:r>
      <w:r w:rsidRPr="00B253A9">
        <w:rPr>
          <w:rFonts w:ascii="Times New Roman" w:hAnsi="Times New Roman" w:cs="Times New Roman"/>
          <w:i/>
          <w:iCs/>
          <w:sz w:val="24"/>
          <w:szCs w:val="24"/>
        </w:rPr>
        <w:t>(sc)</w:t>
      </w:r>
      <w:r w:rsidRPr="00B253A9">
        <w:rPr>
          <w:rFonts w:ascii="Times New Roman" w:hAnsi="Times New Roman" w:cs="Times New Roman"/>
          <w:sz w:val="24"/>
          <w:szCs w:val="24"/>
        </w:rPr>
        <w:t xml:space="preserve">. Group V received 10ml/kg distilled water (p.o) as a control. The administration was repeated daily for 14 days before commencement of the sexual behavior experiment. Estrous were induced in the female rats used for the experiment by administration of 17-β estradiol (10 µg/kg body weight) and progesterone (500 µg/kg body weight), 48 hours and 8 hours respectively before the commencement of the experiment. The sexual behavior experiment was conducted from the hours of 7pm to 11pm. The males were placed in a Plexiglass box, using a red bulb for 10 minutes to acclimatize themselves before introduction of the estrous - induced female.  Their mating activities were monitored by measuring the following indices; Mount Latency (ML), Intromission Latency (IL), Ejaculatory Latency (EL), Mount Frequency (MF), Intromission Frequency (IF), Penile Erection (PE) and Ejaculatory Frequency (EF). </w:t>
      </w:r>
    </w:p>
    <w:p w14:paraId="6E298B8F" w14:textId="77777777" w:rsidR="00800394" w:rsidRPr="00B253A9" w:rsidRDefault="00800394" w:rsidP="00800394">
      <w:pPr>
        <w:pStyle w:val="Default"/>
        <w:spacing w:line="312" w:lineRule="auto"/>
        <w:jc w:val="both"/>
        <w:rPr>
          <w:b/>
          <w:bCs/>
          <w:color w:val="auto"/>
        </w:rPr>
      </w:pPr>
    </w:p>
    <w:p w14:paraId="4ADBED60" w14:textId="77777777" w:rsidR="00800394" w:rsidRPr="00B253A9" w:rsidRDefault="00800394" w:rsidP="00800394">
      <w:pPr>
        <w:pStyle w:val="Default"/>
        <w:spacing w:line="312" w:lineRule="auto"/>
        <w:jc w:val="both"/>
        <w:rPr>
          <w:b/>
          <w:bCs/>
          <w:color w:val="auto"/>
        </w:rPr>
      </w:pPr>
    </w:p>
    <w:p w14:paraId="722E6299" w14:textId="77777777" w:rsidR="00800394" w:rsidRPr="00B253A9" w:rsidRDefault="00800394" w:rsidP="00800394">
      <w:pPr>
        <w:pStyle w:val="Default"/>
        <w:spacing w:line="312" w:lineRule="auto"/>
        <w:jc w:val="both"/>
        <w:rPr>
          <w:b/>
          <w:bCs/>
          <w:color w:val="auto"/>
        </w:rPr>
      </w:pPr>
    </w:p>
    <w:p w14:paraId="788988E8" w14:textId="77777777" w:rsidR="00800394" w:rsidRPr="00B253A9" w:rsidRDefault="00800394" w:rsidP="00800394">
      <w:pPr>
        <w:pStyle w:val="Default"/>
        <w:spacing w:line="312" w:lineRule="auto"/>
        <w:jc w:val="both"/>
        <w:rPr>
          <w:b/>
          <w:bCs/>
          <w:color w:val="auto"/>
        </w:rPr>
      </w:pPr>
      <w:r w:rsidRPr="00B253A9">
        <w:rPr>
          <w:b/>
          <w:bCs/>
          <w:color w:val="auto"/>
        </w:rPr>
        <w:t>Collection of blood samples.</w:t>
      </w:r>
    </w:p>
    <w:p w14:paraId="4F5619E7"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Twenty-four hours after the last treatment, the animals were anesthetized using diethyl ether and </w:t>
      </w:r>
      <w:commentRangeStart w:id="11"/>
      <w:r w:rsidRPr="00B253A9">
        <w:rPr>
          <w:rFonts w:ascii="Times New Roman" w:hAnsi="Times New Roman" w:cs="Times New Roman"/>
          <w:bCs/>
          <w:sz w:val="24"/>
          <w:szCs w:val="24"/>
        </w:rPr>
        <w:t xml:space="preserve">blood sample collected </w:t>
      </w:r>
      <w:commentRangeEnd w:id="11"/>
      <w:r w:rsidR="0043620E" w:rsidRPr="00B253A9">
        <w:rPr>
          <w:rStyle w:val="a8"/>
          <w:rFonts w:ascii="Times New Roman" w:hAnsi="Times New Roman" w:cs="Times New Roman"/>
          <w:bCs/>
          <w:sz w:val="24"/>
          <w:szCs w:val="24"/>
        </w:rPr>
        <w:commentReference w:id="11"/>
      </w:r>
      <w:r w:rsidRPr="00B253A9">
        <w:rPr>
          <w:rFonts w:ascii="Times New Roman" w:hAnsi="Times New Roman" w:cs="Times New Roman"/>
          <w:bCs/>
          <w:sz w:val="24"/>
          <w:szCs w:val="24"/>
        </w:rPr>
        <w:t>through cardiac puncture preserved in ice for 30minutes.</w:t>
      </w:r>
      <w:r w:rsidRPr="00B253A9">
        <w:rPr>
          <w:rFonts w:ascii="Times New Roman" w:hAnsi="Times New Roman" w:cs="Times New Roman"/>
          <w:color w:val="000000"/>
          <w:sz w:val="24"/>
          <w:szCs w:val="24"/>
        </w:rPr>
        <w:t xml:space="preserve"> The whole blood for each sample</w:t>
      </w:r>
      <w:commentRangeStart w:id="12"/>
      <w:r w:rsidRPr="00B253A9">
        <w:rPr>
          <w:rFonts w:ascii="Times New Roman" w:hAnsi="Times New Roman" w:cs="Times New Roman"/>
          <w:color w:val="000000"/>
          <w:sz w:val="24"/>
          <w:szCs w:val="24"/>
        </w:rPr>
        <w:t xml:space="preserve"> were </w:t>
      </w:r>
      <w:commentRangeEnd w:id="12"/>
      <w:r w:rsidR="0033632F" w:rsidRPr="00B253A9">
        <w:rPr>
          <w:rStyle w:val="a8"/>
          <w:rFonts w:ascii="Times New Roman" w:hAnsi="Times New Roman" w:cs="Times New Roman"/>
          <w:color w:val="000000"/>
          <w:sz w:val="24"/>
          <w:szCs w:val="24"/>
        </w:rPr>
        <w:commentReference w:id="12"/>
      </w:r>
      <w:r w:rsidRPr="00B253A9">
        <w:rPr>
          <w:rFonts w:ascii="Times New Roman" w:hAnsi="Times New Roman" w:cs="Times New Roman"/>
          <w:color w:val="000000"/>
          <w:sz w:val="24"/>
          <w:szCs w:val="24"/>
        </w:rPr>
        <w:t>centrifuged at 3000 rpm for 10 min and the serum were separated, properly labelled and preserved for biochemical analysis.</w:t>
      </w:r>
    </w:p>
    <w:p w14:paraId="352C82DE"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p>
    <w:p w14:paraId="07A55139"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b/>
          <w:color w:val="000000"/>
          <w:spacing w:val="-1"/>
          <w:sz w:val="24"/>
          <w:szCs w:val="24"/>
        </w:rPr>
      </w:pPr>
      <w:r w:rsidRPr="00B253A9">
        <w:rPr>
          <w:rFonts w:ascii="Times New Roman" w:eastAsia="Times New Roman" w:hAnsi="Times New Roman" w:cs="Times New Roman"/>
          <w:b/>
          <w:color w:val="000000"/>
          <w:sz w:val="24"/>
          <w:szCs w:val="24"/>
        </w:rPr>
        <w:t xml:space="preserve">Biochemical Assays </w:t>
      </w:r>
    </w:p>
    <w:p w14:paraId="6C29B1A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 </w:t>
      </w:r>
    </w:p>
    <w:p w14:paraId="169030A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eastAsia="Times New Roman" w:hAnsi="Times New Roman" w:cs="Times New Roman"/>
          <w:color w:val="000000"/>
          <w:sz w:val="24"/>
          <w:szCs w:val="24"/>
        </w:rPr>
        <w:t xml:space="preserve">The oxidative stress and antioxidant status of each sample were evaluated by measuring the serum SOD, CAT, GPx, GSH and MDA. </w:t>
      </w:r>
    </w:p>
    <w:p w14:paraId="34A63A60" w14:textId="77777777" w:rsidR="00800394" w:rsidRPr="00B253A9"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B253A9">
        <w:rPr>
          <w:rFonts w:ascii="Times New Roman" w:hAnsi="Times New Roman" w:cs="Times New Roman"/>
          <w:sz w:val="24"/>
          <w:szCs w:val="24"/>
        </w:rPr>
        <w:t xml:space="preserve"> Serum superoxide dismutase (SOD) activity was determined by using the spectrophotometric </w:t>
      </w:r>
      <w:commentRangeStart w:id="13"/>
      <w:r w:rsidRPr="00B253A9">
        <w:rPr>
          <w:rFonts w:ascii="Times New Roman" w:hAnsi="Times New Roman" w:cs="Times New Roman"/>
          <w:sz w:val="24"/>
          <w:szCs w:val="24"/>
        </w:rPr>
        <w:t xml:space="preserve">method of Popov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(2003). According to this protocol, </w:t>
      </w:r>
      <w:commentRangeEnd w:id="13"/>
      <w:r w:rsidR="00B64CE7" w:rsidRPr="00B253A9">
        <w:rPr>
          <w:rStyle w:val="a8"/>
          <w:rFonts w:ascii="Times New Roman" w:hAnsi="Times New Roman" w:cs="Times New Roman"/>
          <w:sz w:val="24"/>
          <w:szCs w:val="24"/>
        </w:rPr>
        <w:commentReference w:id="13"/>
      </w:r>
      <w:r w:rsidRPr="00B253A9">
        <w:rPr>
          <w:rFonts w:ascii="Times New Roman" w:hAnsi="Times New Roman" w:cs="Times New Roman"/>
          <w:sz w:val="24"/>
          <w:szCs w:val="24"/>
        </w:rPr>
        <w:t xml:space="preserve">xanthine oxidase was used as standard. </w:t>
      </w:r>
      <w:r w:rsidRPr="00B253A9">
        <w:rPr>
          <w:rFonts w:ascii="Times New Roman" w:hAnsi="Times New Roman" w:cs="Times New Roman"/>
          <w:sz w:val="24"/>
          <w:szCs w:val="24"/>
        </w:rPr>
        <w:lastRenderedPageBreak/>
        <w:t>Blank and sample tubes were read against bidistilled water at 560 nm. Results were expressed as U/L.</w:t>
      </w:r>
    </w:p>
    <w:p w14:paraId="681A3CF4" w14:textId="77777777" w:rsidR="00800394" w:rsidRPr="00B253A9" w:rsidRDefault="00800394" w:rsidP="00800394">
      <w:pPr>
        <w:pStyle w:val="a4"/>
        <w:spacing w:before="0" w:beforeAutospacing="0" w:after="120" w:afterAutospacing="0"/>
        <w:jc w:val="both"/>
        <w:rPr>
          <w:color w:val="000000"/>
        </w:rPr>
      </w:pPr>
      <w:r w:rsidRPr="00B253A9">
        <w:t xml:space="preserve">CAT Activity in serum was assessed using the methodology outlined by Aebi </w:t>
      </w:r>
      <w:r w:rsidRPr="00B253A9">
        <w:rPr>
          <w:i/>
        </w:rPr>
        <w:t>et al</w:t>
      </w:r>
      <w:r w:rsidRPr="00B253A9">
        <w:t xml:space="preserve"> (1984). The concentration calculated. GPx activity was determined according to an established procedure using H</w:t>
      </w:r>
      <w:r w:rsidRPr="00B253A9">
        <w:rPr>
          <w:vertAlign w:val="subscript"/>
        </w:rPr>
        <w:t>2</w:t>
      </w:r>
      <w:r w:rsidRPr="00B253A9">
        <w:t>O</w:t>
      </w:r>
      <w:r w:rsidRPr="00B253A9">
        <w:rPr>
          <w:vertAlign w:val="subscript"/>
        </w:rPr>
        <w:t>2</w:t>
      </w:r>
      <w:r w:rsidRPr="00B253A9">
        <w:t xml:space="preserve"> as a substrate (Puglia and Valentine 1967). Glutathione level was determined according to the method of Beutler </w:t>
      </w:r>
      <w:r w:rsidRPr="00B253A9">
        <w:rPr>
          <w:i/>
        </w:rPr>
        <w:t>et al</w:t>
      </w:r>
      <w:r w:rsidRPr="00B253A9">
        <w:t xml:space="preserve">., (1963). Here 800 µl of phosphate buffer was added to 200 µl of serum. The first absorbance (AB1) at 412 nm was recorded. 100 µl of Ellman's reagent was added to the same tube, and the 2nd absorbance (AB2) was recorded. </w:t>
      </w:r>
    </w:p>
    <w:p w14:paraId="51A152CD"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Determination of MDA level MDA level was determined according to the method reported by Gutteridge (1995). The absorbances were read in a spectrophotometer at 532 nm</w:t>
      </w:r>
    </w:p>
    <w:p w14:paraId="34F26D79" w14:textId="77777777" w:rsidR="00800394" w:rsidRPr="00B253A9" w:rsidRDefault="00800394" w:rsidP="00800394">
      <w:pPr>
        <w:spacing w:after="0"/>
        <w:jc w:val="both"/>
        <w:rPr>
          <w:rFonts w:ascii="Times New Roman" w:hAnsi="Times New Roman" w:cs="Times New Roman"/>
          <w:b/>
          <w:sz w:val="24"/>
          <w:szCs w:val="24"/>
        </w:rPr>
      </w:pPr>
      <w:r w:rsidRPr="00B253A9">
        <w:rPr>
          <w:rFonts w:ascii="Times New Roman" w:hAnsi="Times New Roman" w:cs="Times New Roman"/>
          <w:b/>
          <w:sz w:val="24"/>
          <w:szCs w:val="24"/>
        </w:rPr>
        <w:t>Hormonal assays</w:t>
      </w:r>
    </w:p>
    <w:p w14:paraId="535E7D1E" w14:textId="77777777" w:rsidR="00800394" w:rsidRPr="00B253A9" w:rsidRDefault="00800394" w:rsidP="00800394">
      <w:pPr>
        <w:pStyle w:val="a4"/>
        <w:spacing w:before="0" w:beforeAutospacing="0" w:after="0" w:afterAutospacing="0"/>
        <w:jc w:val="both"/>
      </w:pPr>
      <w:commentRangeStart w:id="14"/>
      <w:r w:rsidRPr="00B253A9">
        <w:t xml:space="preserve">Serum concentrations of luteinizing hormone (LH), follicle stimulating hormone (FSH), prolactin (PRL) and testosterone were quantified using enzyme linked immunosorbent assay (ELISA) techniques, following the manufacturer’s instructions for each specific kit. FSH was quantified using the Rat FSH ELISA Kit (Sigma-Aldrich, Catalog #RAB0326), as validated for rat sera (Hui </w:t>
      </w:r>
      <w:r w:rsidRPr="00B253A9">
        <w:rPr>
          <w:i/>
        </w:rPr>
        <w:t>et al</w:t>
      </w:r>
      <w:r w:rsidRPr="00B253A9">
        <w:t>., 2020, Sigma-Aldrich, 2024). Luteinizing hormone (LH) was determined according to the method of Leiva and de la Lastra, `</w:t>
      </w:r>
      <w:commentRangeStart w:id="15"/>
      <w:r w:rsidRPr="00B253A9">
        <w:t>992</w:t>
      </w:r>
      <w:commentRangeEnd w:id="15"/>
      <w:r w:rsidR="00920643" w:rsidRPr="00B253A9">
        <w:rPr>
          <w:rStyle w:val="a8"/>
          <w:sz w:val="24"/>
          <w:szCs w:val="24"/>
        </w:rPr>
        <w:commentReference w:id="15"/>
      </w:r>
      <w:r w:rsidRPr="00B253A9">
        <w:t xml:space="preserve">). Testosterone was measured using the Testosterone ELISA Kit (Enzo Life Sciences, Catalog #ADI-900-065), as validated for rat sera (Smith </w:t>
      </w:r>
      <w:r w:rsidRPr="00B253A9">
        <w:rPr>
          <w:i/>
        </w:rPr>
        <w:t>et al</w:t>
      </w:r>
      <w:r w:rsidRPr="00B253A9">
        <w:t xml:space="preserve">., 2017, Enzo Life Sciences, 2024) while serum prolactin concentration was measured using the prolactin ELISA kit according to the method of </w:t>
      </w:r>
      <w:r w:rsidRPr="00B253A9">
        <w:rPr>
          <w:color w:val="1B1B1B"/>
          <w:shd w:val="clear" w:color="auto" w:fill="FFFFFF"/>
        </w:rPr>
        <w:t>Frantz, (1978)</w:t>
      </w:r>
      <w:r w:rsidRPr="00B253A9">
        <w:t xml:space="preserve">. The ELISA analyzer was calibrated with standard curves and validated for rat sera (Andreasson </w:t>
      </w:r>
      <w:r w:rsidRPr="00B253A9">
        <w:rPr>
          <w:i/>
        </w:rPr>
        <w:t>et al</w:t>
      </w:r>
      <w:r w:rsidRPr="00B253A9">
        <w:t xml:space="preserve">., 2015). All ELISA procedures followed established protocols for hormone quantification (Crowther, 2022). </w:t>
      </w:r>
      <w:commentRangeEnd w:id="14"/>
      <w:r w:rsidR="00253228" w:rsidRPr="00B253A9">
        <w:rPr>
          <w:rStyle w:val="a8"/>
          <w:sz w:val="24"/>
          <w:szCs w:val="24"/>
        </w:rPr>
        <w:commentReference w:id="14"/>
      </w:r>
    </w:p>
    <w:p w14:paraId="6AF2D0A5" w14:textId="77777777" w:rsidR="00800394" w:rsidRPr="00B253A9" w:rsidRDefault="00800394" w:rsidP="00800394">
      <w:pPr>
        <w:pStyle w:val="a4"/>
        <w:spacing w:before="0" w:beforeAutospacing="0" w:after="0" w:afterAutospacing="0"/>
        <w:jc w:val="both"/>
      </w:pPr>
    </w:p>
    <w:p w14:paraId="003B479A"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b/>
          <w:sz w:val="24"/>
          <w:szCs w:val="24"/>
        </w:rPr>
        <w:t>Statistical analysis.</w:t>
      </w:r>
      <w:r w:rsidRPr="00B253A9">
        <w:rPr>
          <w:rFonts w:ascii="Times New Roman" w:hAnsi="Times New Roman" w:cs="Times New Roman"/>
          <w:sz w:val="24"/>
          <w:szCs w:val="24"/>
        </w:rPr>
        <w:t xml:space="preserve"> Results obtained from the study were expressed as the mean ± standard error of mean (n=5). Group differences and comparisons were assessed using one-way analysis of variance (ANOVA), followed by Tukey’s post-hoc test using SPSS version 23 IBM®, SPSS® (NY, USA), and a significant difference was considered at P &lt; 0.05.</w:t>
      </w:r>
    </w:p>
    <w:p w14:paraId="7D368395" w14:textId="77777777" w:rsidR="00800394" w:rsidRPr="00B253A9" w:rsidRDefault="00800394" w:rsidP="00800394">
      <w:pPr>
        <w:jc w:val="both"/>
        <w:rPr>
          <w:rFonts w:ascii="Times New Roman" w:hAnsi="Times New Roman" w:cs="Times New Roman"/>
          <w:b/>
          <w:sz w:val="24"/>
          <w:szCs w:val="24"/>
        </w:rPr>
      </w:pPr>
    </w:p>
    <w:p w14:paraId="2F62E484" w14:textId="77777777" w:rsidR="00800394" w:rsidRPr="00B253A9" w:rsidRDefault="00800394" w:rsidP="00800394">
      <w:pPr>
        <w:jc w:val="both"/>
        <w:rPr>
          <w:rFonts w:ascii="Times New Roman" w:hAnsi="Times New Roman" w:cs="Times New Roman"/>
          <w:b/>
          <w:sz w:val="24"/>
          <w:szCs w:val="24"/>
        </w:rPr>
      </w:pPr>
    </w:p>
    <w:p w14:paraId="7FE567B4"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Results </w:t>
      </w:r>
    </w:p>
    <w:p w14:paraId="1EC856BC"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A menegueta</w:t>
      </w:r>
      <w:r w:rsidRPr="00B253A9">
        <w:rPr>
          <w:rFonts w:ascii="Times New Roman" w:hAnsi="Times New Roman" w:cs="Times New Roman"/>
          <w:b/>
          <w:sz w:val="24"/>
          <w:szCs w:val="24"/>
        </w:rPr>
        <w:t xml:space="preserve"> seed extracts on mating behavior of male Albino rats.</w:t>
      </w:r>
    </w:p>
    <w:p w14:paraId="06B424F8"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The result of the mating behavior of male Albino rats following the administration of graded doses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extracts for 14 days are as represented in Table1. </w:t>
      </w:r>
      <w:commentRangeStart w:id="16"/>
      <w:r w:rsidRPr="00B253A9">
        <w:rPr>
          <w:rFonts w:ascii="Times New Roman" w:hAnsi="Times New Roman" w:cs="Times New Roman"/>
          <w:sz w:val="24"/>
          <w:szCs w:val="24"/>
        </w:rPr>
        <w:t xml:space="preserve">The extract significantly (P≤0.05) decreased mount latency (ML), </w:t>
      </w:r>
      <w:commentRangeEnd w:id="16"/>
      <w:r w:rsidR="00B55BE5" w:rsidRPr="00B253A9">
        <w:rPr>
          <w:rStyle w:val="a8"/>
          <w:rFonts w:ascii="Times New Roman" w:hAnsi="Times New Roman" w:cs="Times New Roman"/>
          <w:sz w:val="24"/>
          <w:szCs w:val="24"/>
        </w:rPr>
        <w:commentReference w:id="16"/>
      </w:r>
      <w:r w:rsidRPr="00B253A9">
        <w:rPr>
          <w:rFonts w:ascii="Times New Roman" w:hAnsi="Times New Roman" w:cs="Times New Roman"/>
          <w:sz w:val="24"/>
          <w:szCs w:val="24"/>
        </w:rPr>
        <w:t xml:space="preserve">intromission latency (IL) and ejaculation latency (EL) when compared to the negative control. The observed decrease were dose dependent. However the values for the group that received the highest dose (group3) were not significantly different from the group treated with testosterone suggesting that the extract may act through the increase in testosterone production. The mount frequency (MF), intromission frequency (IF) and ejaculation frequency (EF) were significantly (P≤0.05) increased in the treated groups compared to the negative control. The increase was also dose dependent. The frequencies in the three treated groups were significantly (P≤0.05) different from each other. Finally the post ejaculation interval </w:t>
      </w:r>
      <w:commentRangeStart w:id="17"/>
      <w:r w:rsidRPr="00B253A9">
        <w:rPr>
          <w:rFonts w:ascii="Times New Roman" w:hAnsi="Times New Roman" w:cs="Times New Roman"/>
          <w:sz w:val="24"/>
          <w:szCs w:val="24"/>
        </w:rPr>
        <w:t xml:space="preserve">(PEI) </w:t>
      </w:r>
      <w:r w:rsidRPr="00B253A9">
        <w:rPr>
          <w:rFonts w:ascii="Times New Roman" w:hAnsi="Times New Roman" w:cs="Times New Roman"/>
          <w:sz w:val="24"/>
          <w:szCs w:val="24"/>
        </w:rPr>
        <w:lastRenderedPageBreak/>
        <w:t xml:space="preserve">was significantly (P≤0.05) higher </w:t>
      </w:r>
      <w:commentRangeEnd w:id="17"/>
      <w:r w:rsidR="00B55BE5" w:rsidRPr="00B253A9">
        <w:rPr>
          <w:rStyle w:val="a8"/>
          <w:rFonts w:ascii="Times New Roman" w:hAnsi="Times New Roman" w:cs="Times New Roman"/>
          <w:sz w:val="24"/>
          <w:szCs w:val="24"/>
        </w:rPr>
        <w:commentReference w:id="17"/>
      </w:r>
      <w:r w:rsidRPr="00B253A9">
        <w:rPr>
          <w:rFonts w:ascii="Times New Roman" w:hAnsi="Times New Roman" w:cs="Times New Roman"/>
          <w:sz w:val="24"/>
          <w:szCs w:val="24"/>
        </w:rPr>
        <w:t>in the test group compared to the negative control. The PEI of the positive control was significantly higher (P≤0.05) than the values from the treated groups.</w:t>
      </w:r>
    </w:p>
    <w:p w14:paraId="47FAFA30" w14:textId="68D7569C"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Table.1 Effect of </w:t>
      </w:r>
      <w:r w:rsidRPr="00B253A9">
        <w:rPr>
          <w:rFonts w:ascii="Times New Roman" w:hAnsi="Times New Roman" w:cs="Times New Roman"/>
          <w:b/>
          <w:i/>
          <w:sz w:val="24"/>
          <w:szCs w:val="24"/>
        </w:rPr>
        <w:t>A menegueta</w:t>
      </w:r>
      <w:r w:rsidRPr="00B253A9">
        <w:rPr>
          <w:rFonts w:ascii="Times New Roman" w:hAnsi="Times New Roman" w:cs="Times New Roman"/>
          <w:b/>
          <w:sz w:val="24"/>
          <w:szCs w:val="24"/>
        </w:rPr>
        <w:t xml:space="preserve"> ethanolic extract on mating parameters of male Albino Wistar rats after daily treatment for 14 days.</w:t>
      </w:r>
    </w:p>
    <w:tbl>
      <w:tblPr>
        <w:tblStyle w:val="4"/>
        <w:tblW w:w="10980" w:type="dxa"/>
        <w:tblInd w:w="-900" w:type="dxa"/>
        <w:tblLook w:val="04A0" w:firstRow="1" w:lastRow="0" w:firstColumn="1" w:lastColumn="0" w:noHBand="0" w:noVBand="1"/>
      </w:tblPr>
      <w:tblGrid>
        <w:gridCol w:w="1017"/>
        <w:gridCol w:w="1388"/>
        <w:gridCol w:w="1388"/>
        <w:gridCol w:w="1388"/>
        <w:gridCol w:w="1388"/>
        <w:gridCol w:w="1388"/>
        <w:gridCol w:w="1508"/>
        <w:gridCol w:w="1908"/>
      </w:tblGrid>
      <w:tr w:rsidR="00800394" w:rsidRPr="00B253A9" w14:paraId="396C0AC6" w14:textId="77777777" w:rsidTr="00424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0" w:type="dxa"/>
            <w:gridSpan w:val="8"/>
          </w:tcPr>
          <w:p w14:paraId="025CD0D8"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Treatment                          Mating Behavour parameter</w:t>
            </w:r>
          </w:p>
          <w:p w14:paraId="3DC493EF"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 xml:space="preserve">                      ML(s)            MF              IL (s)             IF                     EL(min)         PEI(s)                 EF</w:t>
            </w:r>
          </w:p>
        </w:tc>
      </w:tr>
      <w:tr w:rsidR="00800394" w:rsidRPr="00B253A9" w14:paraId="7F3C6692"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00E61B56"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Group1</w:t>
            </w:r>
          </w:p>
        </w:tc>
        <w:tc>
          <w:tcPr>
            <w:tcW w:w="1388" w:type="dxa"/>
          </w:tcPr>
          <w:p w14:paraId="16B357B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23.22±3.15</w:t>
            </w:r>
            <w:r w:rsidRPr="00B253A9">
              <w:rPr>
                <w:rFonts w:ascii="Times New Roman" w:hAnsi="Times New Roman" w:cs="Times New Roman"/>
                <w:sz w:val="24"/>
                <w:szCs w:val="24"/>
                <w:vertAlign w:val="superscript"/>
              </w:rPr>
              <w:t>x</w:t>
            </w:r>
          </w:p>
        </w:tc>
        <w:tc>
          <w:tcPr>
            <w:tcW w:w="1308" w:type="dxa"/>
          </w:tcPr>
          <w:p w14:paraId="79388DB3"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18.00±2.17</w:t>
            </w:r>
            <w:r w:rsidRPr="00B253A9">
              <w:rPr>
                <w:rFonts w:ascii="Times New Roman" w:hAnsi="Times New Roman" w:cs="Times New Roman"/>
                <w:sz w:val="24"/>
                <w:szCs w:val="24"/>
                <w:vertAlign w:val="superscript"/>
              </w:rPr>
              <w:t>x</w:t>
            </w:r>
          </w:p>
        </w:tc>
        <w:tc>
          <w:tcPr>
            <w:tcW w:w="1308" w:type="dxa"/>
          </w:tcPr>
          <w:p w14:paraId="09A0F44B"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43.34±1.33</w:t>
            </w:r>
            <w:r w:rsidRPr="00B253A9">
              <w:rPr>
                <w:rFonts w:ascii="Times New Roman" w:hAnsi="Times New Roman" w:cs="Times New Roman"/>
                <w:sz w:val="24"/>
                <w:szCs w:val="24"/>
                <w:vertAlign w:val="superscript"/>
              </w:rPr>
              <w:t>x</w:t>
            </w:r>
          </w:p>
        </w:tc>
        <w:tc>
          <w:tcPr>
            <w:tcW w:w="1400" w:type="dxa"/>
          </w:tcPr>
          <w:p w14:paraId="7EC89E7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7.13±1.33</w:t>
            </w:r>
            <w:r w:rsidRPr="00B253A9">
              <w:rPr>
                <w:rFonts w:ascii="Times New Roman" w:hAnsi="Times New Roman" w:cs="Times New Roman"/>
                <w:sz w:val="24"/>
                <w:szCs w:val="24"/>
                <w:vertAlign w:val="superscript"/>
              </w:rPr>
              <w:t>x</w:t>
            </w:r>
          </w:p>
        </w:tc>
        <w:tc>
          <w:tcPr>
            <w:tcW w:w="1400" w:type="dxa"/>
          </w:tcPr>
          <w:p w14:paraId="7173FE10"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B253A9">
              <w:rPr>
                <w:rFonts w:ascii="Times New Roman" w:hAnsi="Times New Roman" w:cs="Times New Roman"/>
                <w:sz w:val="24"/>
                <w:szCs w:val="24"/>
              </w:rPr>
              <w:t>12.13±0.63</w:t>
            </w:r>
            <w:r w:rsidRPr="00B253A9">
              <w:rPr>
                <w:rFonts w:ascii="Times New Roman" w:hAnsi="Times New Roman" w:cs="Times New Roman"/>
                <w:sz w:val="24"/>
                <w:szCs w:val="24"/>
                <w:vertAlign w:val="superscript"/>
              </w:rPr>
              <w:t>x</w:t>
            </w:r>
          </w:p>
        </w:tc>
        <w:tc>
          <w:tcPr>
            <w:tcW w:w="1520" w:type="dxa"/>
          </w:tcPr>
          <w:p w14:paraId="09E6ACEB"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157.22±4.21</w:t>
            </w:r>
            <w:r w:rsidRPr="00B253A9">
              <w:rPr>
                <w:rFonts w:ascii="Times New Roman" w:hAnsi="Times New Roman" w:cs="Times New Roman"/>
                <w:sz w:val="24"/>
                <w:szCs w:val="24"/>
                <w:vertAlign w:val="superscript"/>
              </w:rPr>
              <w:t>x</w:t>
            </w:r>
            <w:r w:rsidRPr="00B253A9">
              <w:rPr>
                <w:rFonts w:ascii="Times New Roman" w:hAnsi="Times New Roman" w:cs="Times New Roman"/>
                <w:sz w:val="24"/>
                <w:szCs w:val="24"/>
              </w:rPr>
              <w:t xml:space="preserve"> </w:t>
            </w:r>
          </w:p>
        </w:tc>
        <w:tc>
          <w:tcPr>
            <w:tcW w:w="1599" w:type="dxa"/>
          </w:tcPr>
          <w:p w14:paraId="718465A5"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14.12±2.13</w:t>
            </w:r>
            <w:r w:rsidRPr="00B253A9">
              <w:rPr>
                <w:rFonts w:ascii="Times New Roman" w:hAnsi="Times New Roman" w:cs="Times New Roman"/>
                <w:sz w:val="24"/>
                <w:szCs w:val="24"/>
                <w:vertAlign w:val="superscript"/>
              </w:rPr>
              <w:t>x</w:t>
            </w:r>
          </w:p>
        </w:tc>
      </w:tr>
      <w:tr w:rsidR="00800394" w:rsidRPr="00B253A9" w14:paraId="51FD5D43"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4B37E427"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Group2</w:t>
            </w:r>
          </w:p>
        </w:tc>
        <w:tc>
          <w:tcPr>
            <w:tcW w:w="1388" w:type="dxa"/>
          </w:tcPr>
          <w:p w14:paraId="3A38826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27.13±2.11</w:t>
            </w:r>
            <w:r w:rsidRPr="00B253A9">
              <w:rPr>
                <w:rFonts w:ascii="Times New Roman" w:hAnsi="Times New Roman" w:cs="Times New Roman"/>
                <w:sz w:val="24"/>
                <w:szCs w:val="24"/>
                <w:vertAlign w:val="superscript"/>
              </w:rPr>
              <w:t>x</w:t>
            </w:r>
          </w:p>
        </w:tc>
        <w:tc>
          <w:tcPr>
            <w:tcW w:w="1308" w:type="dxa"/>
          </w:tcPr>
          <w:p w14:paraId="24EFD29C"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22.14±2.01</w:t>
            </w:r>
            <w:r w:rsidRPr="00B253A9">
              <w:rPr>
                <w:rFonts w:ascii="Times New Roman" w:hAnsi="Times New Roman" w:cs="Times New Roman"/>
                <w:sz w:val="24"/>
                <w:szCs w:val="24"/>
                <w:vertAlign w:val="superscript"/>
              </w:rPr>
              <w:t>x</w:t>
            </w:r>
          </w:p>
        </w:tc>
        <w:tc>
          <w:tcPr>
            <w:tcW w:w="1308" w:type="dxa"/>
          </w:tcPr>
          <w:p w14:paraId="1F6F63B2"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36.38±2.34</w:t>
            </w:r>
            <w:r w:rsidRPr="00B253A9">
              <w:rPr>
                <w:rFonts w:ascii="Times New Roman" w:hAnsi="Times New Roman" w:cs="Times New Roman"/>
                <w:sz w:val="24"/>
                <w:szCs w:val="24"/>
                <w:vertAlign w:val="superscript"/>
              </w:rPr>
              <w:t>x</w:t>
            </w:r>
          </w:p>
        </w:tc>
        <w:tc>
          <w:tcPr>
            <w:tcW w:w="1400" w:type="dxa"/>
          </w:tcPr>
          <w:p w14:paraId="0F505FE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8.52±0.72</w:t>
            </w:r>
            <w:r w:rsidRPr="00B253A9">
              <w:rPr>
                <w:rFonts w:ascii="Times New Roman" w:hAnsi="Times New Roman" w:cs="Times New Roman"/>
                <w:sz w:val="24"/>
                <w:szCs w:val="24"/>
                <w:vertAlign w:val="superscript"/>
              </w:rPr>
              <w:t>x</w:t>
            </w:r>
          </w:p>
        </w:tc>
        <w:tc>
          <w:tcPr>
            <w:tcW w:w="1400" w:type="dxa"/>
          </w:tcPr>
          <w:p w14:paraId="197C229F"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8.68±0.71</w:t>
            </w:r>
            <w:r w:rsidRPr="00B253A9">
              <w:rPr>
                <w:rFonts w:ascii="Times New Roman" w:hAnsi="Times New Roman" w:cs="Times New Roman"/>
                <w:sz w:val="24"/>
                <w:szCs w:val="24"/>
                <w:vertAlign w:val="superscript"/>
              </w:rPr>
              <w:t>x</w:t>
            </w:r>
          </w:p>
        </w:tc>
        <w:tc>
          <w:tcPr>
            <w:tcW w:w="1520" w:type="dxa"/>
          </w:tcPr>
          <w:p w14:paraId="4A48F15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145.34±5.74</w:t>
            </w:r>
            <w:r w:rsidRPr="00B253A9">
              <w:rPr>
                <w:rFonts w:ascii="Times New Roman" w:hAnsi="Times New Roman" w:cs="Times New Roman"/>
                <w:sz w:val="24"/>
                <w:szCs w:val="24"/>
                <w:vertAlign w:val="superscript"/>
              </w:rPr>
              <w:t>x</w:t>
            </w:r>
          </w:p>
        </w:tc>
        <w:tc>
          <w:tcPr>
            <w:tcW w:w="1599" w:type="dxa"/>
          </w:tcPr>
          <w:p w14:paraId="6B5FB706"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15.32±1.08</w:t>
            </w:r>
            <w:r w:rsidRPr="00B253A9">
              <w:rPr>
                <w:rFonts w:ascii="Times New Roman" w:hAnsi="Times New Roman" w:cs="Times New Roman"/>
                <w:sz w:val="24"/>
                <w:szCs w:val="24"/>
                <w:vertAlign w:val="superscript"/>
              </w:rPr>
              <w:t>x</w:t>
            </w:r>
          </w:p>
        </w:tc>
      </w:tr>
      <w:tr w:rsidR="00800394" w:rsidRPr="00B253A9" w14:paraId="754FA3B0"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7FEFA562" w14:textId="77777777" w:rsidR="00800394" w:rsidRPr="00B253A9" w:rsidRDefault="00800394" w:rsidP="00424C85">
            <w:pPr>
              <w:jc w:val="both"/>
              <w:rPr>
                <w:rFonts w:ascii="Times New Roman" w:hAnsi="Times New Roman" w:cs="Times New Roman"/>
                <w:sz w:val="24"/>
                <w:szCs w:val="24"/>
              </w:rPr>
            </w:pPr>
            <w:commentRangeStart w:id="18"/>
            <w:r w:rsidRPr="00B253A9">
              <w:rPr>
                <w:rFonts w:ascii="Times New Roman" w:hAnsi="Times New Roman" w:cs="Times New Roman"/>
                <w:sz w:val="24"/>
                <w:szCs w:val="24"/>
              </w:rPr>
              <w:t>Group3</w:t>
            </w:r>
          </w:p>
        </w:tc>
        <w:tc>
          <w:tcPr>
            <w:tcW w:w="1388" w:type="dxa"/>
          </w:tcPr>
          <w:p w14:paraId="27A89CD6"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32.62±3.52</w:t>
            </w:r>
            <w:r w:rsidRPr="00B253A9">
              <w:rPr>
                <w:rFonts w:ascii="Times New Roman" w:hAnsi="Times New Roman" w:cs="Times New Roman"/>
                <w:sz w:val="24"/>
                <w:szCs w:val="24"/>
                <w:vertAlign w:val="superscript"/>
              </w:rPr>
              <w:t>x</w:t>
            </w:r>
          </w:p>
        </w:tc>
        <w:tc>
          <w:tcPr>
            <w:tcW w:w="1308" w:type="dxa"/>
          </w:tcPr>
          <w:p w14:paraId="0A957784"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24.71±1.78</w:t>
            </w:r>
            <w:r w:rsidRPr="00B253A9">
              <w:rPr>
                <w:rFonts w:ascii="Times New Roman" w:hAnsi="Times New Roman" w:cs="Times New Roman"/>
                <w:sz w:val="24"/>
                <w:szCs w:val="24"/>
                <w:vertAlign w:val="superscript"/>
              </w:rPr>
              <w:t>x</w:t>
            </w:r>
          </w:p>
        </w:tc>
        <w:tc>
          <w:tcPr>
            <w:tcW w:w="1308" w:type="dxa"/>
          </w:tcPr>
          <w:p w14:paraId="2316B828"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33.42±0.63</w:t>
            </w:r>
            <w:r w:rsidRPr="00B253A9">
              <w:rPr>
                <w:rFonts w:ascii="Times New Roman" w:hAnsi="Times New Roman" w:cs="Times New Roman"/>
                <w:sz w:val="24"/>
                <w:szCs w:val="24"/>
                <w:vertAlign w:val="superscript"/>
              </w:rPr>
              <w:t>x</w:t>
            </w:r>
          </w:p>
        </w:tc>
        <w:tc>
          <w:tcPr>
            <w:tcW w:w="1400" w:type="dxa"/>
          </w:tcPr>
          <w:p w14:paraId="39A388A9"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10.23±0.83</w:t>
            </w:r>
            <w:r w:rsidRPr="00B253A9">
              <w:rPr>
                <w:rFonts w:ascii="Times New Roman" w:hAnsi="Times New Roman" w:cs="Times New Roman"/>
                <w:sz w:val="24"/>
                <w:szCs w:val="24"/>
                <w:vertAlign w:val="superscript"/>
              </w:rPr>
              <w:t>x</w:t>
            </w:r>
          </w:p>
        </w:tc>
        <w:tc>
          <w:tcPr>
            <w:tcW w:w="1400" w:type="dxa"/>
          </w:tcPr>
          <w:p w14:paraId="51BE82B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8.13±0.85</w:t>
            </w:r>
            <w:r w:rsidRPr="00B253A9">
              <w:rPr>
                <w:rFonts w:ascii="Times New Roman" w:hAnsi="Times New Roman" w:cs="Times New Roman"/>
                <w:sz w:val="24"/>
                <w:szCs w:val="24"/>
                <w:vertAlign w:val="superscript"/>
              </w:rPr>
              <w:t>x</w:t>
            </w:r>
          </w:p>
        </w:tc>
        <w:tc>
          <w:tcPr>
            <w:tcW w:w="1520" w:type="dxa"/>
          </w:tcPr>
          <w:p w14:paraId="14A9F06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133.87±3.21</w:t>
            </w:r>
            <w:r w:rsidRPr="00B253A9">
              <w:rPr>
                <w:rFonts w:ascii="Times New Roman" w:hAnsi="Times New Roman" w:cs="Times New Roman"/>
                <w:sz w:val="24"/>
                <w:szCs w:val="24"/>
                <w:vertAlign w:val="superscript"/>
              </w:rPr>
              <w:t>x</w:t>
            </w:r>
          </w:p>
        </w:tc>
        <w:tc>
          <w:tcPr>
            <w:tcW w:w="1599" w:type="dxa"/>
          </w:tcPr>
          <w:p w14:paraId="5678D9FD"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18.34±0.93</w:t>
            </w:r>
            <w:r w:rsidRPr="00B253A9">
              <w:rPr>
                <w:rFonts w:ascii="Times New Roman" w:hAnsi="Times New Roman" w:cs="Times New Roman"/>
                <w:sz w:val="24"/>
                <w:szCs w:val="24"/>
                <w:vertAlign w:val="superscript"/>
              </w:rPr>
              <w:t>x</w:t>
            </w:r>
            <w:commentRangeEnd w:id="18"/>
            <w:r w:rsidR="00720FE0" w:rsidRPr="00B253A9">
              <w:rPr>
                <w:rStyle w:val="a8"/>
                <w:rFonts w:ascii="Times New Roman" w:hAnsi="Times New Roman" w:cs="Times New Roman"/>
                <w:sz w:val="24"/>
                <w:szCs w:val="24"/>
              </w:rPr>
              <w:commentReference w:id="18"/>
            </w:r>
          </w:p>
        </w:tc>
      </w:tr>
      <w:tr w:rsidR="00800394" w:rsidRPr="00B253A9" w14:paraId="0C4887EA"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0B477C8B"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Group4</w:t>
            </w:r>
          </w:p>
        </w:tc>
        <w:tc>
          <w:tcPr>
            <w:tcW w:w="1388" w:type="dxa"/>
          </w:tcPr>
          <w:p w14:paraId="50819FA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35.24±4.23</w:t>
            </w:r>
          </w:p>
        </w:tc>
        <w:tc>
          <w:tcPr>
            <w:tcW w:w="1308" w:type="dxa"/>
          </w:tcPr>
          <w:p w14:paraId="17D6F4F5"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25.35±2.52</w:t>
            </w:r>
          </w:p>
        </w:tc>
        <w:tc>
          <w:tcPr>
            <w:tcW w:w="1308" w:type="dxa"/>
          </w:tcPr>
          <w:p w14:paraId="2C801753"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32.32±1.75</w:t>
            </w:r>
          </w:p>
        </w:tc>
        <w:tc>
          <w:tcPr>
            <w:tcW w:w="1400" w:type="dxa"/>
          </w:tcPr>
          <w:p w14:paraId="490B8718"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12.28±1.41</w:t>
            </w:r>
          </w:p>
        </w:tc>
        <w:tc>
          <w:tcPr>
            <w:tcW w:w="1400" w:type="dxa"/>
          </w:tcPr>
          <w:p w14:paraId="5A4A898C"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7.02±1.14</w:t>
            </w:r>
          </w:p>
        </w:tc>
        <w:tc>
          <w:tcPr>
            <w:tcW w:w="1520" w:type="dxa"/>
          </w:tcPr>
          <w:p w14:paraId="788B93ED"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140.27±5.42</w:t>
            </w:r>
          </w:p>
        </w:tc>
        <w:tc>
          <w:tcPr>
            <w:tcW w:w="1599" w:type="dxa"/>
          </w:tcPr>
          <w:p w14:paraId="1DB6E3A9" w14:textId="77777777" w:rsidR="00800394" w:rsidRPr="00B253A9"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19.37±1.21</w:t>
            </w:r>
          </w:p>
        </w:tc>
      </w:tr>
      <w:tr w:rsidR="00800394" w:rsidRPr="00B253A9" w14:paraId="04EEC016"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5592D45A" w14:textId="77777777" w:rsidR="00800394" w:rsidRPr="00B253A9" w:rsidRDefault="00800394" w:rsidP="00424C85">
            <w:pPr>
              <w:jc w:val="both"/>
              <w:rPr>
                <w:rFonts w:ascii="Times New Roman" w:hAnsi="Times New Roman" w:cs="Times New Roman"/>
                <w:sz w:val="24"/>
                <w:szCs w:val="24"/>
              </w:rPr>
            </w:pPr>
            <w:r w:rsidRPr="00B253A9">
              <w:rPr>
                <w:rFonts w:ascii="Times New Roman" w:hAnsi="Times New Roman" w:cs="Times New Roman"/>
                <w:sz w:val="24"/>
                <w:szCs w:val="24"/>
              </w:rPr>
              <w:t>Group5</w:t>
            </w:r>
          </w:p>
        </w:tc>
        <w:tc>
          <w:tcPr>
            <w:tcW w:w="1388" w:type="dxa"/>
          </w:tcPr>
          <w:p w14:paraId="7CE9714F"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47.33±3.61</w:t>
            </w:r>
          </w:p>
        </w:tc>
        <w:tc>
          <w:tcPr>
            <w:tcW w:w="1308" w:type="dxa"/>
          </w:tcPr>
          <w:p w14:paraId="22ACE42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13.23±2.52</w:t>
            </w:r>
          </w:p>
        </w:tc>
        <w:tc>
          <w:tcPr>
            <w:tcW w:w="1308" w:type="dxa"/>
          </w:tcPr>
          <w:p w14:paraId="5DB8865A"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51.25±3.61</w:t>
            </w:r>
          </w:p>
        </w:tc>
        <w:tc>
          <w:tcPr>
            <w:tcW w:w="1400" w:type="dxa"/>
          </w:tcPr>
          <w:p w14:paraId="0B0705A9"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5.23±0.17</w:t>
            </w:r>
          </w:p>
        </w:tc>
        <w:tc>
          <w:tcPr>
            <w:tcW w:w="1400" w:type="dxa"/>
          </w:tcPr>
          <w:p w14:paraId="2770EB8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16.29±1.04</w:t>
            </w:r>
          </w:p>
        </w:tc>
        <w:tc>
          <w:tcPr>
            <w:tcW w:w="1520" w:type="dxa"/>
          </w:tcPr>
          <w:p w14:paraId="320775CD"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229.72±5.76</w:t>
            </w:r>
          </w:p>
        </w:tc>
        <w:tc>
          <w:tcPr>
            <w:tcW w:w="1599" w:type="dxa"/>
          </w:tcPr>
          <w:p w14:paraId="633F0D51" w14:textId="77777777" w:rsidR="00800394" w:rsidRPr="00B253A9"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253A9">
              <w:rPr>
                <w:rFonts w:ascii="Times New Roman" w:hAnsi="Times New Roman" w:cs="Times New Roman"/>
                <w:sz w:val="24"/>
                <w:szCs w:val="24"/>
              </w:rPr>
              <w:t>10.07±2.06</w:t>
            </w:r>
          </w:p>
        </w:tc>
      </w:tr>
    </w:tbl>
    <w:p w14:paraId="564BAF6F"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ML= mounting latency, IF = mounting frequency, MF = mounting frequency, IL = Intromission latency, IF = Intromission frequency, EL = ejaculation latency, PEI = post ejaculation interval and EF = erection frequency. (x = P≤ 0.05; N = 5)</w:t>
      </w:r>
    </w:p>
    <w:p w14:paraId="30960BF1"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A menegueta</w:t>
      </w:r>
      <w:r w:rsidRPr="00B253A9">
        <w:rPr>
          <w:rFonts w:ascii="Times New Roman" w:hAnsi="Times New Roman" w:cs="Times New Roman"/>
          <w:b/>
          <w:sz w:val="24"/>
          <w:szCs w:val="24"/>
        </w:rPr>
        <w:t xml:space="preserve"> seed extracts on hormonal levels of male Albino rats.</w:t>
      </w:r>
    </w:p>
    <w:p w14:paraId="0754F57F" w14:textId="77777777" w:rsidR="00800394"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The results of effect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extracts on hormonal levels of male Albino rats are presented </w:t>
      </w:r>
      <w:commentRangeStart w:id="19"/>
      <w:r w:rsidRPr="00B253A9">
        <w:rPr>
          <w:rFonts w:ascii="Times New Roman" w:hAnsi="Times New Roman" w:cs="Times New Roman"/>
          <w:sz w:val="24"/>
          <w:szCs w:val="24"/>
        </w:rPr>
        <w:t xml:space="preserve">in Fig3 and Fig 4 below. </w:t>
      </w:r>
      <w:commentRangeEnd w:id="19"/>
      <w:r w:rsidR="00720FE0" w:rsidRPr="00B253A9">
        <w:rPr>
          <w:rStyle w:val="a8"/>
          <w:rFonts w:ascii="Times New Roman" w:hAnsi="Times New Roman" w:cs="Times New Roman"/>
          <w:sz w:val="24"/>
          <w:szCs w:val="24"/>
        </w:rPr>
        <w:commentReference w:id="19"/>
      </w:r>
      <w:r w:rsidRPr="00B253A9">
        <w:rPr>
          <w:rFonts w:ascii="Times New Roman" w:hAnsi="Times New Roman" w:cs="Times New Roman"/>
          <w:sz w:val="24"/>
          <w:szCs w:val="24"/>
        </w:rPr>
        <w:t xml:space="preserve">The serum follicle stimulating hormone (FSH), luteinizing hormone (LH) and testosterone (TET) were significantly (P≤0.05) increased dose-dependently in the treated groups when compared to the negative control. The concentration of FSH and </w:t>
      </w:r>
      <w:commentRangeStart w:id="20"/>
      <w:r w:rsidRPr="00B253A9">
        <w:rPr>
          <w:rFonts w:ascii="Times New Roman" w:hAnsi="Times New Roman" w:cs="Times New Roman"/>
          <w:sz w:val="24"/>
          <w:szCs w:val="24"/>
        </w:rPr>
        <w:t xml:space="preserve">LH were significantly (P≤0.05) decreased </w:t>
      </w:r>
      <w:commentRangeEnd w:id="20"/>
      <w:r w:rsidR="009477AE" w:rsidRPr="00B253A9">
        <w:rPr>
          <w:rStyle w:val="a8"/>
          <w:rFonts w:ascii="Times New Roman" w:hAnsi="Times New Roman" w:cs="Times New Roman"/>
          <w:sz w:val="24"/>
          <w:szCs w:val="24"/>
        </w:rPr>
        <w:commentReference w:id="20"/>
      </w:r>
      <w:r w:rsidRPr="00B253A9">
        <w:rPr>
          <w:rFonts w:ascii="Times New Roman" w:hAnsi="Times New Roman" w:cs="Times New Roman"/>
          <w:sz w:val="24"/>
          <w:szCs w:val="24"/>
        </w:rPr>
        <w:t>in the positive control group as compared to the treated and negative control groups. The concentration of prolactin (PRL) were significantly (P≤0.05) decreased in the treated groups when compared to the negative control while it was significantly increased in the positive control when compared to the negative control and the treated groups.</w:t>
      </w:r>
    </w:p>
    <w:p w14:paraId="615AAD8D" w14:textId="77777777" w:rsidR="00800394" w:rsidRPr="00B253A9" w:rsidRDefault="00800394" w:rsidP="00800394">
      <w:pPr>
        <w:jc w:val="both"/>
        <w:rPr>
          <w:rFonts w:ascii="Times New Roman" w:hAnsi="Times New Roman" w:cs="Times New Roman"/>
          <w:b/>
          <w:sz w:val="24"/>
          <w:szCs w:val="24"/>
        </w:rPr>
      </w:pPr>
      <w:r w:rsidRPr="00B253A9">
        <w:rPr>
          <w:rFonts w:ascii="Times New Roman" w:hAnsi="Times New Roman" w:cs="Times New Roman"/>
          <w:b/>
          <w:sz w:val="24"/>
          <w:szCs w:val="24"/>
        </w:rPr>
        <w:t xml:space="preserve">Effect of </w:t>
      </w:r>
      <w:r w:rsidRPr="00B253A9">
        <w:rPr>
          <w:rFonts w:ascii="Times New Roman" w:hAnsi="Times New Roman" w:cs="Times New Roman"/>
          <w:b/>
          <w:i/>
          <w:sz w:val="24"/>
          <w:szCs w:val="24"/>
        </w:rPr>
        <w:t>A menegueta</w:t>
      </w:r>
      <w:r w:rsidRPr="00B253A9">
        <w:rPr>
          <w:rFonts w:ascii="Times New Roman" w:hAnsi="Times New Roman" w:cs="Times New Roman"/>
          <w:b/>
          <w:sz w:val="24"/>
          <w:szCs w:val="24"/>
        </w:rPr>
        <w:t xml:space="preserve"> seed extracts on antioxidants levels of male Albino rats.</w:t>
      </w:r>
    </w:p>
    <w:p w14:paraId="6EC0DEB3" w14:textId="77777777" w:rsidR="00800394" w:rsidRPr="00B253A9" w:rsidRDefault="00800394" w:rsidP="00800394">
      <w:pPr>
        <w:jc w:val="both"/>
        <w:rPr>
          <w:rFonts w:ascii="Times New Roman" w:hAnsi="Times New Roman" w:cs="Times New Roman"/>
          <w:sz w:val="24"/>
          <w:szCs w:val="24"/>
        </w:rPr>
      </w:pPr>
      <w:r w:rsidRPr="00B253A9">
        <w:rPr>
          <w:rFonts w:ascii="Times New Roman" w:hAnsi="Times New Roman" w:cs="Times New Roman"/>
          <w:sz w:val="24"/>
          <w:szCs w:val="24"/>
        </w:rPr>
        <w:t xml:space="preserve">The concentration of the antioxidant enzymes superoxide dismutase (SOD), catalase (CAT) and glutathione peroxidase (GPx) as well as glutathione (GSH) and malondialdehyde (MDA) levels were analyzed and the results presented in </w:t>
      </w:r>
      <w:commentRangeStart w:id="21"/>
      <w:r w:rsidRPr="00B253A9">
        <w:rPr>
          <w:rFonts w:ascii="Times New Roman" w:hAnsi="Times New Roman" w:cs="Times New Roman"/>
          <w:sz w:val="24"/>
          <w:szCs w:val="24"/>
        </w:rPr>
        <w:t>Fig1 and Fig2</w:t>
      </w:r>
      <w:commentRangeEnd w:id="21"/>
      <w:r w:rsidR="00E2551D" w:rsidRPr="00B253A9">
        <w:rPr>
          <w:rStyle w:val="a8"/>
          <w:rFonts w:ascii="Times New Roman" w:hAnsi="Times New Roman" w:cs="Times New Roman"/>
          <w:sz w:val="24"/>
          <w:szCs w:val="24"/>
        </w:rPr>
        <w:commentReference w:id="21"/>
      </w:r>
      <w:r w:rsidRPr="00B253A9">
        <w:rPr>
          <w:rFonts w:ascii="Times New Roman" w:hAnsi="Times New Roman" w:cs="Times New Roman"/>
          <w:sz w:val="24"/>
          <w:szCs w:val="24"/>
        </w:rPr>
        <w:t>. The concentration of the antioxidant enzymes SOD, CAT and GPx were significantly (P≤0.05) increased in the treated groups dose-dependently compared to the negative control. However the levels of these enzymes in the positive control was significantly (P≤0.05) increased compared to those of the treated groups. Similarly, the concentration of GSH were increased significantly (P≤0.05) compared to the control while the concentration of MDA were significantly decreased (P≤0.05) in the treated and positive control groups compared to the negative control group.</w:t>
      </w:r>
    </w:p>
    <w:p w14:paraId="782C691E" w14:textId="77777777" w:rsidR="00800394" w:rsidRPr="00B253A9" w:rsidRDefault="00800394" w:rsidP="00800394">
      <w:pPr>
        <w:jc w:val="both"/>
        <w:rPr>
          <w:rFonts w:ascii="Times New Roman" w:hAnsi="Times New Roman" w:cs="Times New Roman"/>
          <w:sz w:val="24"/>
          <w:szCs w:val="24"/>
        </w:rPr>
      </w:pPr>
    </w:p>
    <w:p w14:paraId="5AC999E9" w14:textId="77777777" w:rsidR="00800394" w:rsidRDefault="00800394" w:rsidP="00800394">
      <w:pPr>
        <w:autoSpaceDE w:val="0"/>
        <w:autoSpaceDN w:val="0"/>
        <w:adjustRightInd w:val="0"/>
        <w:spacing w:after="0" w:line="240" w:lineRule="auto"/>
        <w:jc w:val="both"/>
        <w:rPr>
          <w:rFonts w:ascii="Times New Roman" w:hAnsi="Times New Roman" w:cs="Times New Roman"/>
          <w:noProof/>
          <w:sz w:val="24"/>
          <w:szCs w:val="24"/>
        </w:rPr>
      </w:pPr>
    </w:p>
    <w:p w14:paraId="03225CC9"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lastRenderedPageBreak/>
        <w:drawing>
          <wp:inline distT="0" distB="0" distL="0" distR="0" wp14:anchorId="45072385" wp14:editId="3DEA73EB">
            <wp:extent cx="5943600" cy="475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84E3607"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4B7B8E6D" w14:textId="77777777" w:rsidR="00800394" w:rsidRPr="00B253A9" w:rsidRDefault="00800394" w:rsidP="00800394">
      <w:pPr>
        <w:autoSpaceDE w:val="0"/>
        <w:autoSpaceDN w:val="0"/>
        <w:adjustRightInd w:val="0"/>
        <w:spacing w:after="0" w:line="400" w:lineRule="atLeast"/>
        <w:jc w:val="both"/>
        <w:rPr>
          <w:rFonts w:ascii="Times New Roman" w:hAnsi="Times New Roman" w:cs="Times New Roman"/>
          <w:b/>
          <w:sz w:val="24"/>
          <w:szCs w:val="24"/>
        </w:rPr>
      </w:pPr>
      <w:r w:rsidRPr="00B253A9">
        <w:rPr>
          <w:rFonts w:ascii="Times New Roman" w:hAnsi="Times New Roman" w:cs="Times New Roman"/>
          <w:b/>
          <w:sz w:val="24"/>
          <w:szCs w:val="24"/>
        </w:rPr>
        <w:t>Discussion:</w:t>
      </w:r>
    </w:p>
    <w:p w14:paraId="5E13BAF2"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This research examined the antioxidant involvement in libido enhancement properties of </w:t>
      </w:r>
      <w:r w:rsidRPr="00B253A9">
        <w:rPr>
          <w:rFonts w:ascii="Times New Roman" w:hAnsi="Times New Roman" w:cs="Times New Roman"/>
          <w:i/>
          <w:sz w:val="24"/>
          <w:szCs w:val="24"/>
        </w:rPr>
        <w:t>Aframomum menegueta</w:t>
      </w:r>
      <w:r w:rsidRPr="00B253A9">
        <w:rPr>
          <w:rFonts w:ascii="Times New Roman" w:hAnsi="Times New Roman" w:cs="Times New Roman"/>
          <w:sz w:val="24"/>
          <w:szCs w:val="24"/>
        </w:rPr>
        <w:t xml:space="preserve"> seed extract using male Wistar rat. To evaluate this, the libido enhancing properties was assessed through the mating behavior parameters namely; mount, intromission and ejaculation frequencies as well as post-ejaculation interval, mount, intromission and ejaculation latencies.</w:t>
      </w:r>
    </w:p>
    <w:p w14:paraId="35F7BD77"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Mount frequency (MF) measures the total number of times a male animal mount a female from the rear without achieving vaginal penetration within a specified time frame and is widely used to evaluate  an animal’s sexual motivation, libido and social dominance while intromission frequency (IF) measures the total number of successful vaginal penetrations a male animal achieves before ejaculation. It is a primary biomarker for erectile function and copulatory performance. Ejaculation frequency (EF) is defined as the total number of times a male successfully ejaculate during a designated observation period. It reflects overall reproductive capability and stamina of the animal (Gao et al 2022). On the other hand, mount latency is a primary biomarker for sexual motivation, desire and libido. A shorter mount latency signifies higher level of sexual arousal or motivation, conversely a prolonged mount latency can indicate sexual dysfunction. It is a measure of the time between introducing a receptive female animal into a testing environment and the male animal’s first mount attempt. Intromission latency is the time interval between the introduction of a</w:t>
      </w:r>
    </w:p>
    <w:p w14:paraId="7C2C591D"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lastRenderedPageBreak/>
        <w:drawing>
          <wp:inline distT="0" distB="0" distL="0" distR="0" wp14:anchorId="666DC69A" wp14:editId="1C68DFAF">
            <wp:extent cx="5583555" cy="3551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1159" cy="3569361"/>
                    </a:xfrm>
                    <a:prstGeom prst="rect">
                      <a:avLst/>
                    </a:prstGeom>
                    <a:noFill/>
                    <a:ln>
                      <a:noFill/>
                    </a:ln>
                  </pic:spPr>
                </pic:pic>
              </a:graphicData>
            </a:graphic>
          </wp:inline>
        </w:drawing>
      </w:r>
    </w:p>
    <w:p w14:paraId="4C63BA66"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8F2C77A"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drawing>
          <wp:inline distT="0" distB="0" distL="0" distR="0" wp14:anchorId="7E59F8F7" wp14:editId="5CB10501">
            <wp:extent cx="5425175" cy="331753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3264" cy="3346941"/>
                    </a:xfrm>
                    <a:prstGeom prst="rect">
                      <a:avLst/>
                    </a:prstGeom>
                    <a:noFill/>
                    <a:ln>
                      <a:noFill/>
                    </a:ln>
                  </pic:spPr>
                </pic:pic>
              </a:graphicData>
            </a:graphic>
          </wp:inline>
        </w:drawing>
      </w:r>
    </w:p>
    <w:p w14:paraId="04DB66CB" w14:textId="77777777" w:rsidR="00800394"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70033A8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receptive female into the mating environment and the male’s first successful vaginal penetration while ejaculation latency is the total time that elapse between the male animal’s first successful vaginal penetration (intromission) and the exact moment of ejaculation. It is a mean of evaluating copulatory performance, ejaculatory threshold and sexual stamina. </w:t>
      </w:r>
    </w:p>
    <w:p w14:paraId="46EA5E5C" w14:textId="77777777" w:rsidR="00800394" w:rsidRPr="00B253A9"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2832C42B"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noProof/>
          <w:sz w:val="24"/>
          <w:szCs w:val="24"/>
        </w:rPr>
        <w:drawing>
          <wp:inline distT="0" distB="0" distL="0" distR="0" wp14:anchorId="0E19D926" wp14:editId="10AC3BDB">
            <wp:extent cx="5943600" cy="475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E9C69C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1193E8EB"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result of the study showed that the administration of seed extract of </w:t>
      </w:r>
      <w:r w:rsidRPr="00B253A9">
        <w:rPr>
          <w:rFonts w:ascii="Times New Roman" w:hAnsi="Times New Roman" w:cs="Times New Roman"/>
          <w:i/>
          <w:sz w:val="24"/>
          <w:szCs w:val="24"/>
        </w:rPr>
        <w:t xml:space="preserve">A menegueta </w:t>
      </w:r>
      <w:r w:rsidRPr="00B253A9">
        <w:rPr>
          <w:rFonts w:ascii="Times New Roman" w:hAnsi="Times New Roman" w:cs="Times New Roman"/>
          <w:sz w:val="24"/>
          <w:szCs w:val="24"/>
        </w:rPr>
        <w:t xml:space="preserve">produced a dose-dependent increased (P≤0.05) in MF, IF and EF compared to the negative control group while Mount latency (ML), intromission latency (IL) and ejaculation latency (EL) were decreased by the extract and the positive control group that received testosterone. </w:t>
      </w:r>
    </w:p>
    <w:p w14:paraId="725B341E"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Specifically, mount frequency, intromission frequency and ejaculation frequency are important biomarkers of sexual vigor, libido and potency while MF reflects sexual motivation and IF indicated the efficiency of erection, penile orientation and the ease of activating ejaculatory reflexes which is used to assess copulatory efficiency, pelvic thrusting capability and sensory feedback loop required to trigger ejaculation (Yakubu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2010; Ratnasooriya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2000 and Afoigwe-Ogeyemhe </w:t>
      </w:r>
      <w:r w:rsidRPr="00B253A9">
        <w:rPr>
          <w:rFonts w:ascii="Times New Roman" w:hAnsi="Times New Roman" w:cs="Times New Roman"/>
          <w:i/>
          <w:sz w:val="24"/>
          <w:szCs w:val="24"/>
        </w:rPr>
        <w:t>et al</w:t>
      </w:r>
      <w:r w:rsidRPr="00B253A9">
        <w:rPr>
          <w:rFonts w:ascii="Times New Roman" w:hAnsi="Times New Roman" w:cs="Times New Roman"/>
          <w:sz w:val="24"/>
          <w:szCs w:val="24"/>
        </w:rPr>
        <w:t>., 2019).</w:t>
      </w:r>
    </w:p>
    <w:p w14:paraId="2FEB5E4F"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observed decrease in intromission latency along with increased intromission frequency of the male rats in the treated groups supports the probable erectile function enhancing activity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Furthermore, sexual stimulation usually manifests in higher frequency of ejaculation within a specified time period (Chan, 2010; Gotep et al., 2021)</w:t>
      </w:r>
    </w:p>
    <w:p w14:paraId="738DB677"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The post ejaculatory interval (PEI) is considered a measure of potency, libido and the degree of recovery from exhaustion after the first set of mating and a critical parameter for evaluating the </w:t>
      </w:r>
      <w:r w:rsidRPr="00B253A9">
        <w:rPr>
          <w:rFonts w:ascii="Times New Roman" w:hAnsi="Times New Roman" w:cs="Times New Roman"/>
          <w:sz w:val="24"/>
          <w:szCs w:val="24"/>
        </w:rPr>
        <w:lastRenderedPageBreak/>
        <w:t xml:space="preserve">effect of administered extract on erectile function Sharma et al., 2010. Reduced PEI also indicated an improvement in erection and the ability to copulate excellently (Fouche </w:t>
      </w:r>
      <w:r w:rsidRPr="00B253A9">
        <w:rPr>
          <w:rFonts w:ascii="Times New Roman" w:hAnsi="Times New Roman" w:cs="Times New Roman"/>
          <w:i/>
          <w:sz w:val="24"/>
          <w:szCs w:val="24"/>
        </w:rPr>
        <w:t>et al</w:t>
      </w:r>
      <w:r w:rsidRPr="00B253A9">
        <w:rPr>
          <w:rFonts w:ascii="Times New Roman" w:hAnsi="Times New Roman" w:cs="Times New Roman"/>
          <w:sz w:val="24"/>
          <w:szCs w:val="24"/>
        </w:rPr>
        <w:t>., 2015).</w:t>
      </w:r>
    </w:p>
    <w:p w14:paraId="1E9DF529"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CD2D82C"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In animal studies, the levels follicle stimulating hormone (FSH), testosterone (T), luteinizing hormone (LH) could be used as the main index for evaluating sexual function. The hypothalamus – pituitary – gonad axis is very vital in the regulation of these functions. Hypothalamus response to and regulate blood sex hormone levels. It sends signal to anterior pituitary that regulate the release of LH, FSH and PRL. In the male, the release of LH, FSH increase the synthesis of testosterone while the release of PRL leads to decrease synthesis of testosterone or feedback inhibition of the pathway (Barbieri, 2014). While LH in male binds to leydig cells in the testes and activate the synthesis and secretion of testosterone and indirectly promote spermatogenesis, FSH acts directly on sertoli cells located within the seminiferous tubules of the testes stimulating spermatogenesis. Thus the increase in the blood concentration of LH and FSH produce a corresponding increase in the concentration of testosterone. Testosterone is the main hormone that enhances (libido) sexual desire, motivation and sexual performance and this requires a critical threshold concentration in the blood for these physiological functions to be expressed. Also it has been reported that the combination of normal levels of FSH and testosterone is responsible for a satisfactory quality and quantity of spermatogenesis. Put together, the enhancement of libido by the extract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as shown by the results of mating behavior parameter may be through its capacity to produce the observed increase in the concentration of LH, FSH, and testosterone as well as decreased concentration of PRL in the treated groups compared to the negative control group. Other researchers have reported that mating is associated with increasing the circulating concentration of testosterone during the acquisition of sexual experience (     ) and that the enhanced copulatory performance of male rats by the extract of </w:t>
      </w:r>
      <w:r w:rsidRPr="00B253A9">
        <w:rPr>
          <w:rFonts w:ascii="Times New Roman" w:hAnsi="Times New Roman" w:cs="Times New Roman"/>
          <w:i/>
          <w:sz w:val="24"/>
          <w:szCs w:val="24"/>
        </w:rPr>
        <w:t>M. angustifolia</w:t>
      </w:r>
      <w:r w:rsidRPr="00B253A9">
        <w:rPr>
          <w:rFonts w:ascii="Times New Roman" w:hAnsi="Times New Roman" w:cs="Times New Roman"/>
          <w:sz w:val="24"/>
          <w:szCs w:val="24"/>
        </w:rPr>
        <w:t xml:space="preserve"> could be attributed to the increase in serum testosterone concentration (Fouche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2015). The extract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produced similar effect suggesting that the extract enhances libido through this pathway.</w:t>
      </w:r>
    </w:p>
    <w:p w14:paraId="2FBBE541" w14:textId="77777777" w:rsidR="00800394" w:rsidRDefault="00800394" w:rsidP="00800394">
      <w:pPr>
        <w:autoSpaceDE w:val="0"/>
        <w:autoSpaceDN w:val="0"/>
        <w:adjustRightInd w:val="0"/>
        <w:spacing w:after="0" w:line="240" w:lineRule="auto"/>
        <w:jc w:val="both"/>
        <w:rPr>
          <w:rFonts w:ascii="Times New Roman" w:hAnsi="Times New Roman" w:cs="Times New Roman"/>
          <w:sz w:val="24"/>
          <w:szCs w:val="24"/>
        </w:rPr>
      </w:pPr>
      <w:r w:rsidRPr="00B253A9">
        <w:rPr>
          <w:rFonts w:ascii="Times New Roman" w:hAnsi="Times New Roman" w:cs="Times New Roman"/>
          <w:sz w:val="24"/>
          <w:szCs w:val="24"/>
        </w:rPr>
        <w:t xml:space="preserve">Oxidative stress arises when excessive ROS overwhelm intrinsic antioxidant defenses, causing cellular and molecular injury (Afzal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2023). The testes and spermatozoa are particularly vulnerable due to high polyunsaturated lipid content and limited antioxidant capacity, making oxidative stress a major contributor to male infertility (Agarwal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2014; Bisht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2017). In the male, it a vital contributor to infertility, acting working together with inflammation to impair spermatogenesis and sperm function (Agunloye </w:t>
      </w:r>
      <w:r w:rsidRPr="00B253A9">
        <w:rPr>
          <w:rFonts w:ascii="Times New Roman" w:hAnsi="Times New Roman" w:cs="Times New Roman"/>
          <w:i/>
          <w:sz w:val="24"/>
          <w:szCs w:val="24"/>
        </w:rPr>
        <w:t>et al</w:t>
      </w:r>
      <w:r w:rsidRPr="00B253A9">
        <w:rPr>
          <w:rFonts w:ascii="Times New Roman" w:hAnsi="Times New Roman" w:cs="Times New Roman"/>
          <w:sz w:val="24"/>
          <w:szCs w:val="24"/>
        </w:rPr>
        <w:t xml:space="preserve">., 2026). </w:t>
      </w:r>
      <w:r w:rsidRPr="00B253A9">
        <w:rPr>
          <w:rFonts w:ascii="Times New Roman" w:hAnsi="Times New Roman" w:cs="Times New Roman"/>
          <w:color w:val="212121"/>
          <w:sz w:val="24"/>
          <w:szCs w:val="24"/>
        </w:rPr>
        <w:t xml:space="preserve">Oxidative stress (OS) significantly contributes to male reproductive dysfunction, a factor implicated in a substantial fraction of infertility cases. </w:t>
      </w:r>
      <w:commentRangeStart w:id="22"/>
      <w:r w:rsidRPr="00B253A9">
        <w:rPr>
          <w:rFonts w:ascii="Times New Roman" w:hAnsi="Times New Roman" w:cs="Times New Roman"/>
          <w:color w:val="212121"/>
          <w:sz w:val="24"/>
          <w:szCs w:val="24"/>
        </w:rPr>
        <w:t xml:space="preserve">Yu </w:t>
      </w:r>
      <w:r w:rsidRPr="00B253A9">
        <w:rPr>
          <w:rFonts w:ascii="Times New Roman" w:hAnsi="Times New Roman" w:cs="Times New Roman"/>
          <w:i/>
          <w:color w:val="212121"/>
          <w:sz w:val="24"/>
          <w:szCs w:val="24"/>
        </w:rPr>
        <w:t>et al</w:t>
      </w:r>
      <w:r w:rsidRPr="00B253A9">
        <w:rPr>
          <w:rFonts w:ascii="Times New Roman" w:hAnsi="Times New Roman" w:cs="Times New Roman"/>
          <w:color w:val="212121"/>
          <w:sz w:val="24"/>
          <w:szCs w:val="24"/>
        </w:rPr>
        <w:t xml:space="preserve"> </w:t>
      </w:r>
      <w:commentRangeEnd w:id="22"/>
      <w:r w:rsidR="005E590F" w:rsidRPr="00B253A9">
        <w:rPr>
          <w:rStyle w:val="a8"/>
          <w:rFonts w:ascii="Times New Roman" w:hAnsi="Times New Roman" w:cs="Times New Roman"/>
          <w:color w:val="212121"/>
          <w:sz w:val="24"/>
          <w:szCs w:val="24"/>
        </w:rPr>
        <w:commentReference w:id="22"/>
      </w:r>
      <w:r w:rsidRPr="00B253A9">
        <w:rPr>
          <w:rFonts w:ascii="Times New Roman" w:hAnsi="Times New Roman" w:cs="Times New Roman"/>
          <w:color w:val="212121"/>
          <w:sz w:val="24"/>
          <w:szCs w:val="24"/>
        </w:rPr>
        <w:t xml:space="preserve">in his review elucidated the intricate interplay between oxidative stress and male reproductive health, emphasizing the molecular and cellular mechanisms through which reactive oxygen species (ROS) impair sperm function with special focus on lipid peroxidation of sperm membranes, DNA damage, and apoptotic cell death, which collectively undermine sperm viability and fertility potential (Yu </w:t>
      </w:r>
      <w:r w:rsidRPr="00B253A9">
        <w:rPr>
          <w:rFonts w:ascii="Times New Roman" w:hAnsi="Times New Roman" w:cs="Times New Roman"/>
          <w:i/>
          <w:color w:val="212121"/>
          <w:sz w:val="24"/>
          <w:szCs w:val="24"/>
        </w:rPr>
        <w:t>et al</w:t>
      </w:r>
      <w:r w:rsidRPr="00B253A9">
        <w:rPr>
          <w:rFonts w:ascii="Times New Roman" w:hAnsi="Times New Roman" w:cs="Times New Roman"/>
          <w:color w:val="212121"/>
          <w:sz w:val="24"/>
          <w:szCs w:val="24"/>
        </w:rPr>
        <w:t xml:space="preserve">., 2025). Also some disease conditions such as diabetes mellitus, cardiovascular disease, etc. are known to increase oxidative stress that ultimately contributes to low libido and erectile dysfunction. Previous studies have suggested that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extract have antioxidant properties and the result of this study shows that the ethanolic extract of </w:t>
      </w:r>
      <w:r w:rsidRPr="00B253A9">
        <w:rPr>
          <w:rFonts w:ascii="Times New Roman" w:hAnsi="Times New Roman" w:cs="Times New Roman"/>
          <w:i/>
          <w:sz w:val="24"/>
          <w:szCs w:val="24"/>
        </w:rPr>
        <w:t>A menegueta</w:t>
      </w:r>
      <w:r w:rsidRPr="00B253A9">
        <w:rPr>
          <w:rFonts w:ascii="Times New Roman" w:hAnsi="Times New Roman" w:cs="Times New Roman"/>
          <w:sz w:val="24"/>
          <w:szCs w:val="24"/>
        </w:rPr>
        <w:t xml:space="preserve"> seed increased the concentration of SOD, CAT GPx and GSH while decreasing the concentration of MDA when compared to the untreated group. This result suggest that some phytochemicals in the extract has the potential to improve the oxidative status </w:t>
      </w:r>
      <w:r w:rsidRPr="00B253A9">
        <w:rPr>
          <w:rFonts w:ascii="Times New Roman" w:hAnsi="Times New Roman" w:cs="Times New Roman"/>
          <w:sz w:val="24"/>
          <w:szCs w:val="24"/>
        </w:rPr>
        <w:lastRenderedPageBreak/>
        <w:t>of the testes and prevent oxidative stress that could have affected spermatogenesis (particularly through peroxidation) and other sexual functions as indicated by the level of MDA.</w:t>
      </w:r>
    </w:p>
    <w:p w14:paraId="5656BD36" w14:textId="77777777" w:rsidR="00800394" w:rsidRPr="00B253A9"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3A9F8D0E" w14:textId="77777777" w:rsidR="00772A1A" w:rsidRPr="00432188" w:rsidRDefault="00772A1A" w:rsidP="00772A1A">
      <w:pPr>
        <w:spacing w:before="100" w:beforeAutospacing="1" w:after="100" w:afterAutospacing="1" w:line="240" w:lineRule="auto"/>
        <w:outlineLvl w:val="1"/>
        <w:rPr>
          <w:rFonts w:ascii="Times New Roman" w:eastAsia="Times New Roman" w:hAnsi="Times New Roman" w:cs="Times New Roman"/>
          <w:b/>
          <w:bCs/>
          <w:sz w:val="36"/>
          <w:szCs w:val="36"/>
        </w:rPr>
      </w:pPr>
      <w:r w:rsidRPr="00432188">
        <w:rPr>
          <w:rFonts w:ascii="Times New Roman" w:eastAsia="Times New Roman" w:hAnsi="Times New Roman" w:cs="Times New Roman"/>
          <w:b/>
          <w:bCs/>
          <w:sz w:val="36"/>
          <w:szCs w:val="36"/>
        </w:rPr>
        <w:t>Conclusions</w:t>
      </w:r>
    </w:p>
    <w:p w14:paraId="15F31A05" w14:textId="77777777" w:rsidR="00772A1A" w:rsidRPr="00432188" w:rsidRDefault="00772A1A" w:rsidP="00772A1A">
      <w:pPr>
        <w:spacing w:before="100" w:beforeAutospacing="1" w:after="100" w:afterAutospacing="1" w:line="240" w:lineRule="auto"/>
        <w:rPr>
          <w:rFonts w:ascii="Times New Roman" w:eastAsia="Times New Roman" w:hAnsi="Times New Roman" w:cs="Times New Roman"/>
          <w:sz w:val="24"/>
          <w:szCs w:val="24"/>
        </w:rPr>
      </w:pPr>
      <w:r w:rsidRPr="00432188">
        <w:rPr>
          <w:rFonts w:ascii="Times New Roman" w:eastAsia="Times New Roman" w:hAnsi="Times New Roman" w:cs="Times New Roman"/>
          <w:sz w:val="24"/>
          <w:szCs w:val="24"/>
        </w:rPr>
        <w:t xml:space="preserve">The ethanolic seed extract of </w:t>
      </w:r>
      <w:r w:rsidRPr="00432188">
        <w:rPr>
          <w:rFonts w:ascii="Times New Roman" w:eastAsia="Times New Roman" w:hAnsi="Times New Roman" w:cs="Times New Roman"/>
          <w:i/>
          <w:iCs/>
          <w:sz w:val="24"/>
          <w:szCs w:val="24"/>
        </w:rPr>
        <w:t>Aframomum melegueta</w:t>
      </w:r>
      <w:r w:rsidRPr="00432188">
        <w:rPr>
          <w:rFonts w:ascii="Times New Roman" w:eastAsia="Times New Roman" w:hAnsi="Times New Roman" w:cs="Times New Roman"/>
          <w:sz w:val="24"/>
          <w:szCs w:val="24"/>
        </w:rPr>
        <w:t xml:space="preserve"> improved selected mating behaviour parameters in male Wistar rats after 14 days of administration. The extract-treated groups showed increased mating frequencies and reduced mating latencies compared with the negative control. The treatment was also associated with changes in reproductive hormones, including increased testosterone and follicle stimulating hormone and reduced prolactin in extract-treated animals. In addition, the extract improved antioxidant status by increasing superoxide dismutase, catalase, glutathione peroxidase, and reduced glutathione, while reducing malondialdehyde. These findings suggest that </w:t>
      </w:r>
      <w:r w:rsidRPr="00432188">
        <w:rPr>
          <w:rFonts w:ascii="Times New Roman" w:eastAsia="Times New Roman" w:hAnsi="Times New Roman" w:cs="Times New Roman"/>
          <w:i/>
          <w:iCs/>
          <w:sz w:val="24"/>
          <w:szCs w:val="24"/>
        </w:rPr>
        <w:t>A. melegueta</w:t>
      </w:r>
      <w:r w:rsidRPr="00432188">
        <w:rPr>
          <w:rFonts w:ascii="Times New Roman" w:eastAsia="Times New Roman" w:hAnsi="Times New Roman" w:cs="Times New Roman"/>
          <w:sz w:val="24"/>
          <w:szCs w:val="24"/>
        </w:rPr>
        <w:t xml:space="preserve"> seed extract may have libido-related activity in this rat model, with possible involvement of hormonal and antioxidant pathways.</w:t>
      </w:r>
    </w:p>
    <w:p w14:paraId="0B5EC774" w14:textId="77777777" w:rsidR="00800394" w:rsidRDefault="00800394" w:rsidP="00800394">
      <w:pPr>
        <w:spacing w:line="240" w:lineRule="auto"/>
        <w:jc w:val="both"/>
      </w:pPr>
      <w:r w:rsidRPr="003D3A7D">
        <w:rPr>
          <w:b/>
        </w:rPr>
        <w:t>COMPETING INTERESTS:</w:t>
      </w:r>
      <w:r>
        <w:t xml:space="preserve"> Authors declared that there is no conflict interests.</w:t>
      </w:r>
    </w:p>
    <w:p w14:paraId="2E911C41" w14:textId="77777777" w:rsidR="00772A1A" w:rsidRPr="000839CE" w:rsidRDefault="00772A1A" w:rsidP="00772A1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FF5B645" w14:textId="77777777" w:rsidR="00772A1A" w:rsidRPr="000839CE" w:rsidRDefault="00772A1A" w:rsidP="00772A1A">
      <w:pPr>
        <w:spacing w:after="0" w:line="240" w:lineRule="auto"/>
        <w:rPr>
          <w:rFonts w:ascii="Times New Roman" w:hAnsi="Times New Roman" w:cs="Times New Roman"/>
        </w:rPr>
      </w:pPr>
    </w:p>
    <w:p w14:paraId="605E2192" w14:textId="77777777" w:rsidR="00772A1A" w:rsidRPr="000839CE" w:rsidRDefault="00772A1A" w:rsidP="00772A1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1902E6" w14:textId="77777777" w:rsidR="00772A1A" w:rsidRDefault="00772A1A" w:rsidP="00800394">
      <w:pPr>
        <w:spacing w:line="240" w:lineRule="auto"/>
        <w:jc w:val="both"/>
      </w:pPr>
    </w:p>
    <w:p w14:paraId="4E16700D" w14:textId="77777777" w:rsidR="00800394" w:rsidRPr="00233ADC" w:rsidRDefault="00800394" w:rsidP="00800394">
      <w:pPr>
        <w:spacing w:line="240" w:lineRule="auto"/>
        <w:jc w:val="both"/>
        <w:rPr>
          <w:rFonts w:ascii="Times New Roman" w:hAnsi="Times New Roman" w:cs="Times New Roman"/>
          <w:b/>
          <w:sz w:val="24"/>
          <w:szCs w:val="24"/>
        </w:rPr>
      </w:pPr>
      <w:r w:rsidRPr="00233ADC">
        <w:rPr>
          <w:rFonts w:ascii="Times New Roman" w:hAnsi="Times New Roman" w:cs="Times New Roman"/>
          <w:b/>
          <w:sz w:val="24"/>
          <w:szCs w:val="24"/>
        </w:rPr>
        <w:t>Reference</w:t>
      </w:r>
    </w:p>
    <w:p w14:paraId="4DD5846E"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3"/>
      <w:r w:rsidRPr="00921D95">
        <w:rPr>
          <w:rFonts w:ascii="Times New Roman" w:hAnsi="Times New Roman"/>
          <w:sz w:val="24"/>
          <w:szCs w:val="24"/>
        </w:rPr>
        <w:t>Aebi H. Catalase In: Bergmeyer, H.U., Ed., Methods of Enzymatic Analysis, Verlag Chemie/Academic Press Inc., Weinheim/NewYork, 1974; 673-680.</w:t>
      </w:r>
      <w:commentRangeEnd w:id="23"/>
      <w:r w:rsidR="00E2551D">
        <w:rPr>
          <w:rStyle w:val="a8"/>
          <w:rFonts w:ascii="Times New Roman" w:hAnsi="Times New Roman"/>
          <w:sz w:val="24"/>
          <w:szCs w:val="24"/>
        </w:rPr>
        <w:commentReference w:id="23"/>
      </w:r>
    </w:p>
    <w:p w14:paraId="13464468"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Aebi H. (1984) Catalase in vitro. Methods Enzymol. 105(C):121-26</w:t>
      </w:r>
    </w:p>
    <w:p w14:paraId="09BB1876"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Afzal S, Abdul Manap AS, Attiq A, Albokhadaim I, Kandeel M, Alhojaily SM. (2023).  From imbalance to impairment: the central role of reactive oxygen species in oxidative stress-induced disorders and therapeutic exploration. Front Pharmacol. 14:1269581.  </w:t>
      </w:r>
    </w:p>
    <w:p w14:paraId="69A60FB3" w14:textId="77777777" w:rsidR="00800394" w:rsidRPr="00921D95" w:rsidRDefault="00800394" w:rsidP="00800394">
      <w:pPr>
        <w:pStyle w:val="a3"/>
        <w:numPr>
          <w:ilvl w:val="0"/>
          <w:numId w:val="1"/>
        </w:numPr>
        <w:spacing w:line="240" w:lineRule="auto"/>
        <w:jc w:val="both"/>
        <w:rPr>
          <w:rFonts w:ascii="Times New Roman" w:hAnsi="Times New Roman"/>
          <w:sz w:val="24"/>
          <w:szCs w:val="24"/>
        </w:rPr>
      </w:pPr>
      <w:r>
        <w:t>Agunloye, O. M Olawuyi, E. A. Oguntade, I A.  Aleruwa, S O.  Oboh, G. (2026)</w:t>
      </w:r>
      <w:r w:rsidRPr="00921D95">
        <w:rPr>
          <w:rFonts w:ascii="Times New Roman" w:hAnsi="Times New Roman"/>
          <w:sz w:val="24"/>
          <w:szCs w:val="24"/>
        </w:rPr>
        <w:t xml:space="preserve"> </w:t>
      </w:r>
      <w:r>
        <w:t>Restorative effects of Aframomum melegueta and Aframomum danielli-supplemented diets on sperm quality and testicular health following scopolamine-induced neurotoxicity in rats.</w:t>
      </w:r>
      <w:r w:rsidRPr="00921D95">
        <w:t xml:space="preserve"> </w:t>
      </w:r>
      <w:r>
        <w:t xml:space="preserve">Explor Neurosci. 5:1006123. https://doi.org/10.37349/en.2026.1006123 </w:t>
      </w:r>
    </w:p>
    <w:p w14:paraId="22B54602"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Agarwal A, Durairajanayagam D, Halabi J, Peng J, Vazquez-Levin M. (2014). Proteomics, oxidative stress and male infertility. Reprod Biomed Online. 29:32–58. </w:t>
      </w:r>
    </w:p>
    <w:p w14:paraId="1F4B777F"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4"/>
      <w:r w:rsidRPr="00921D95">
        <w:rPr>
          <w:rFonts w:ascii="Times New Roman" w:hAnsi="Times New Roman"/>
          <w:sz w:val="24"/>
          <w:szCs w:val="24"/>
        </w:rPr>
        <w:t>Amadi,A B., Agomuo, E N., Ibegbulem, C O (2004). Research Method in Biochemistry, Supreme Publishers, Owerri, Nigeria. 8(2): 458-463</w:t>
      </w:r>
      <w:commentRangeEnd w:id="24"/>
      <w:r w:rsidR="00E2551D">
        <w:rPr>
          <w:rStyle w:val="a8"/>
          <w:rFonts w:ascii="Times New Roman" w:hAnsi="Times New Roman"/>
          <w:sz w:val="24"/>
          <w:szCs w:val="24"/>
        </w:rPr>
        <w:commentReference w:id="24"/>
      </w:r>
    </w:p>
    <w:p w14:paraId="2D340287"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Andreasson, U., Perret-Liaudet, A., van Waalwijk van Doorn, L. J., Blennow, K., Chiasserini, D., Engelborghs, S., … Teunissen, C. E. (2015). A practical guide to immunoassay method validation. Frontiers in Neurology, 6, 179.</w:t>
      </w:r>
    </w:p>
    <w:p w14:paraId="3F51C225"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lastRenderedPageBreak/>
        <w:t xml:space="preserve">Beutler E, Duron O, Kelly BM (1963). Improved method for the determination of blood glutathione. J. Lab. Clin. Med. 61:882–888. </w:t>
      </w:r>
    </w:p>
    <w:p w14:paraId="3E91DBC2"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Bisht S, Faiq M, Tolahunase M, Dada R. (2017). Oxidative stress and male infertility. Nat Rev Urol. 14: 470–85.</w:t>
      </w:r>
    </w:p>
    <w:p w14:paraId="7CA884E7"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Brody S (2006). Blood pressure reactivity to stress is better for people who recently had penile-vaginal intercourse than for people who had other or no sexual activity. Biological Psychology 71(2):214-222. </w:t>
      </w:r>
      <w:hyperlink r:id="rId15" w:history="1">
        <w:r w:rsidRPr="00921D95">
          <w:rPr>
            <w:rStyle w:val="Hyperlink"/>
            <w:rFonts w:ascii="Times New Roman" w:hAnsi="Times New Roman"/>
            <w:sz w:val="24"/>
            <w:szCs w:val="24"/>
          </w:rPr>
          <w:t>https://doi.org/10.1016/j.biopsycho.2005.03.005</w:t>
        </w:r>
      </w:hyperlink>
    </w:p>
    <w:p w14:paraId="67FF938B"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Chan J (2010). In search of animal models for male sexual dysfunction. PhD. Dissertation, Division of Pharmacology, Utrecht Institute for Pharmaceutical Sciences. http://igitur archive.library.uu.nl/dissertations/2010-1105-200234/UUindex.html</w:t>
      </w:r>
    </w:p>
    <w:p w14:paraId="52CC1EA0"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commentRangeStart w:id="25"/>
      <w:r w:rsidRPr="00921D95">
        <w:rPr>
          <w:rFonts w:ascii="Times New Roman" w:hAnsi="Times New Roman"/>
          <w:sz w:val="24"/>
          <w:szCs w:val="24"/>
        </w:rPr>
        <w:t xml:space="preserve">Chena, L., </w:t>
      </w:r>
      <w:commentRangeEnd w:id="25"/>
      <w:r w:rsidR="00853E5B" w:rsidRPr="00921D95">
        <w:rPr>
          <w:rStyle w:val="a8"/>
          <w:rFonts w:ascii="Times New Roman" w:hAnsi="Times New Roman"/>
          <w:sz w:val="24"/>
          <w:szCs w:val="24"/>
        </w:rPr>
        <w:commentReference w:id="25"/>
      </w:r>
      <w:r w:rsidRPr="00921D95">
        <w:rPr>
          <w:rFonts w:ascii="Times New Roman" w:hAnsi="Times New Roman"/>
          <w:sz w:val="24"/>
          <w:szCs w:val="24"/>
        </w:rPr>
        <w:t xml:space="preserve">Shib, G.  Huangc, D.  Lid, Y. Mae, C. Shia, M. Suf, B. Shi G (2019) Male sexual dysfunction: A review of literature on its pathological mechanisms, potential risk factors, and herbal drug intervention. Biomedicine and Pharmacotherapy 112: 108585. </w:t>
      </w:r>
      <w:hyperlink r:id="rId16" w:history="1">
        <w:r w:rsidRPr="00921D95">
          <w:rPr>
            <w:rStyle w:val="Hyperlink"/>
            <w:rFonts w:ascii="Times New Roman" w:hAnsi="Times New Roman"/>
            <w:sz w:val="24"/>
            <w:szCs w:val="24"/>
          </w:rPr>
          <w:t>https://doi.org/10.1016/j.biopha.2019.01.046</w:t>
        </w:r>
      </w:hyperlink>
    </w:p>
    <w:p w14:paraId="7BBFC5E0"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Committee for the update of the guide for the care and use of laboratory animals, Institute for laboratory animal research, division on earth and life studies, national research council of the national academies. Guide for the care and use of laboratory animals. 8th ed. The National Academies Press, Washington, DC., USA. 2011.</w:t>
      </w:r>
    </w:p>
    <w:p w14:paraId="071715D8"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Crowther, J. R. (2022). The ELISA guidebook (3rd ed.). Humana Press. </w:t>
      </w:r>
      <w:hyperlink r:id="rId17" w:history="1">
        <w:r w:rsidRPr="00785213">
          <w:rPr>
            <w:rStyle w:val="Hyperlink"/>
            <w:rFonts w:ascii="Times New Roman" w:hAnsi="Times New Roman"/>
            <w:sz w:val="24"/>
            <w:szCs w:val="24"/>
          </w:rPr>
          <w:t>https://doi.org/10.1007/978-1-0716-2136-3</w:t>
        </w:r>
      </w:hyperlink>
    </w:p>
    <w:p w14:paraId="1BADAF80"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Enzo Life Sciences. (2024). Testosterone ELISA Kit (Catalog #ADI-900-065) Technical datasheet. Farmingdale, NY: Enzo Life Sciences. </w:t>
      </w:r>
      <w:hyperlink r:id="rId18" w:history="1">
        <w:r w:rsidRPr="00921D95">
          <w:rPr>
            <w:rStyle w:val="Hyperlink"/>
            <w:rFonts w:ascii="Times New Roman" w:hAnsi="Times New Roman"/>
            <w:sz w:val="24"/>
            <w:szCs w:val="24"/>
          </w:rPr>
          <w:t>https://www.enzolifesciences.com</w:t>
        </w:r>
      </w:hyperlink>
    </w:p>
    <w:p w14:paraId="71328588" w14:textId="77777777" w:rsidR="00800394" w:rsidRPr="00921D95"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color w:val="1B1B1B"/>
          <w:sz w:val="24"/>
          <w:szCs w:val="24"/>
          <w:shd w:val="clear" w:color="auto" w:fill="FFFFFF"/>
        </w:rPr>
        <w:t>Frantz AG. (1978)Enzyme immunosorbent assay for prolactin. New England Journal of Medicine. 298:201–205. doi: 10.1056/NEJM197801262980408.</w:t>
      </w:r>
    </w:p>
    <w:p w14:paraId="3A39AFE9"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Gauthaman, K., Grace, V. M., &amp; Nair, R. (2017). Plant-based natural aphrodisiacs and their mechanisms: A review. Journal of Ethnopharmacology, 202, 166–183. </w:t>
      </w:r>
      <w:hyperlink r:id="rId19" w:history="1">
        <w:r w:rsidRPr="00921D95">
          <w:rPr>
            <w:rStyle w:val="Hyperlink"/>
            <w:rFonts w:ascii="Times New Roman" w:hAnsi="Times New Roman"/>
            <w:sz w:val="24"/>
            <w:szCs w:val="24"/>
          </w:rPr>
          <w:t>https://doi.org/10.1016/j.jep.2017.03.047</w:t>
        </w:r>
      </w:hyperlink>
    </w:p>
    <w:p w14:paraId="521E6113"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Gotep, JG, Sabo, SY Makama, S,  Uguru, MO and Okwuasaba, FK (2021) Aphrodisiac activity of ethanol extract and fractions of Fadogia cienkowskii Shweinf. Rubiaceae roots in albino rats. Journal of Medicinal Plants Research Vol. 15(2), pp. 86-95, February, 2021 DOI: 10.5897/JMPR2020.7070</w:t>
      </w:r>
    </w:p>
    <w:p w14:paraId="727EF12A"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Gutteridge JM (1995). Lipit peroxidation and antioxidants as biomarkers of tissue damage, Clin. Chem 41(12):1819– 1828.</w:t>
      </w:r>
    </w:p>
    <w:p w14:paraId="0AF6BB3E"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6"/>
      <w:r w:rsidRPr="00921D95">
        <w:rPr>
          <w:rFonts w:ascii="Times New Roman" w:hAnsi="Times New Roman"/>
          <w:sz w:val="24"/>
          <w:szCs w:val="24"/>
        </w:rPr>
        <w:t xml:space="preserve">Gutteridge JMC. (1994). Biological </w:t>
      </w:r>
      <w:commentRangeEnd w:id="26"/>
      <w:r w:rsidR="00920643" w:rsidRPr="00921D95">
        <w:rPr>
          <w:rStyle w:val="a8"/>
          <w:rFonts w:ascii="Times New Roman" w:hAnsi="Times New Roman"/>
          <w:sz w:val="24"/>
          <w:szCs w:val="24"/>
        </w:rPr>
        <w:commentReference w:id="26"/>
      </w:r>
      <w:r w:rsidRPr="00921D95">
        <w:rPr>
          <w:rFonts w:ascii="Times New Roman" w:hAnsi="Times New Roman"/>
          <w:sz w:val="24"/>
          <w:szCs w:val="24"/>
        </w:rPr>
        <w:t>origin of free radicals, and mechanisms of antioxidant protection. Chem Biol Interact. 91(2-3):133-40.</w:t>
      </w:r>
    </w:p>
    <w:p w14:paraId="3679EB0D"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7"/>
      <w:r w:rsidRPr="00921D95">
        <w:rPr>
          <w:rFonts w:ascii="Times New Roman" w:hAnsi="Times New Roman"/>
          <w:sz w:val="24"/>
          <w:szCs w:val="24"/>
        </w:rPr>
        <w:t>Harborne</w:t>
      </w:r>
      <w:commentRangeEnd w:id="27"/>
      <w:r w:rsidR="00920643" w:rsidRPr="00921D95">
        <w:rPr>
          <w:rStyle w:val="a8"/>
          <w:rFonts w:ascii="Times New Roman" w:hAnsi="Times New Roman"/>
          <w:sz w:val="24"/>
          <w:szCs w:val="24"/>
        </w:rPr>
        <w:commentReference w:id="27"/>
      </w:r>
      <w:r w:rsidRPr="00921D95">
        <w:rPr>
          <w:rFonts w:ascii="Times New Roman" w:hAnsi="Times New Roman"/>
          <w:sz w:val="24"/>
          <w:szCs w:val="24"/>
        </w:rPr>
        <w:t>, J B (1984). Phytochemical methods: a guide to modern Techniques of plant analysis. 2</w:t>
      </w:r>
      <w:r w:rsidRPr="00921D95">
        <w:rPr>
          <w:rFonts w:ascii="Times New Roman" w:hAnsi="Times New Roman"/>
          <w:sz w:val="24"/>
          <w:szCs w:val="24"/>
          <w:vertAlign w:val="superscript"/>
        </w:rPr>
        <w:t>nd</w:t>
      </w:r>
      <w:r w:rsidRPr="00921D95">
        <w:rPr>
          <w:rFonts w:ascii="Times New Roman" w:hAnsi="Times New Roman"/>
          <w:sz w:val="24"/>
          <w:szCs w:val="24"/>
        </w:rPr>
        <w:t xml:space="preserve"> ed. Chapman and Hall, London, United Kingdom Pp4-16</w:t>
      </w:r>
    </w:p>
    <w:p w14:paraId="7E3B2E08"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Hui, Q., Yang, R., Lu, C., Bi, J., Li, L., Gong, J., Zhang, L., Jin, Z., &amp; Wang, X. (2020). Validation of a double-sandwich enzyme linked immunoassay for pharmacokinetic study of an rh-aFGF hydrogel in rat skin and serum. Frontiers in Pharmacology, 11, 700. </w:t>
      </w:r>
      <w:hyperlink r:id="rId20" w:history="1">
        <w:r w:rsidRPr="00921D95">
          <w:rPr>
            <w:rStyle w:val="Hyperlink"/>
            <w:rFonts w:ascii="Times New Roman" w:hAnsi="Times New Roman"/>
            <w:sz w:val="24"/>
            <w:szCs w:val="24"/>
          </w:rPr>
          <w:t>http://doi.org.10.3389/fphar.2020.00700</w:t>
        </w:r>
      </w:hyperlink>
    </w:p>
    <w:p w14:paraId="3F61E0B8"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Kessler A, Sollie S, Challacombe B, Briggs K and Hemelrijck (2019). The global prevalence of erectile dysfunction: a review. BJU International 124(4) 587-599).</w:t>
      </w:r>
    </w:p>
    <w:p w14:paraId="28F6B768"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Khedr, N M, A.A. Ibrahim, M. El-Metwally, S. Eldakroory , And M.I. Soliman (2024). Phytochemical Analysis, Antioxidant Activity, Antimicrobial Evaluation, And </w:t>
      </w:r>
      <w:r w:rsidRPr="00921D95">
        <w:rPr>
          <w:rFonts w:ascii="Times New Roman" w:hAnsi="Times New Roman"/>
          <w:sz w:val="24"/>
          <w:szCs w:val="24"/>
        </w:rPr>
        <w:lastRenderedPageBreak/>
        <w:t xml:space="preserve">Cytotoxicity Effects Of Wild Medicinal Plants SABRAO Journal of Breeding and Genetics 56 (4): 1552-1562, </w:t>
      </w:r>
      <w:hyperlink r:id="rId21" w:history="1">
        <w:r w:rsidRPr="00921D95">
          <w:rPr>
            <w:rStyle w:val="Hyperlink"/>
            <w:rFonts w:ascii="Times New Roman" w:hAnsi="Times New Roman"/>
            <w:sz w:val="24"/>
            <w:szCs w:val="24"/>
          </w:rPr>
          <w:t>http://doi.org/10.54910/sabrao2024.56.4.21</w:t>
        </w:r>
      </w:hyperlink>
    </w:p>
    <w:p w14:paraId="1BE6CBFA" w14:textId="77777777" w:rsidR="00800394" w:rsidRPr="00921D95" w:rsidRDefault="00800394" w:rsidP="00800394">
      <w:pPr>
        <w:pStyle w:val="a3"/>
        <w:numPr>
          <w:ilvl w:val="0"/>
          <w:numId w:val="1"/>
        </w:numPr>
        <w:spacing w:line="240" w:lineRule="auto"/>
        <w:jc w:val="both"/>
        <w:rPr>
          <w:rStyle w:val="Hyperlink"/>
          <w:rFonts w:ascii="Times New Roman" w:hAnsi="Times New Roman"/>
          <w:color w:val="auto"/>
          <w:sz w:val="24"/>
          <w:szCs w:val="24"/>
          <w:u w:val="none"/>
        </w:rPr>
      </w:pPr>
      <w:r w:rsidRPr="00921D95">
        <w:rPr>
          <w:rFonts w:ascii="Times New Roman" w:hAnsi="Times New Roman"/>
          <w:sz w:val="24"/>
          <w:szCs w:val="24"/>
        </w:rPr>
        <w:t xml:space="preserve">Kingsberg, S. A., &amp; Woodard, T. (2015). Female sexual dysfunction: Focus on low desire. Journal of Sexual Medicine, 12(7), 1640– 1651. </w:t>
      </w:r>
      <w:hyperlink r:id="rId22" w:history="1">
        <w:r w:rsidRPr="00921D95">
          <w:rPr>
            <w:rStyle w:val="Hyperlink"/>
            <w:rFonts w:ascii="Times New Roman" w:hAnsi="Times New Roman"/>
            <w:sz w:val="24"/>
            <w:szCs w:val="24"/>
          </w:rPr>
          <w:t>https://doi.org/10.1111/jsm.12949</w:t>
        </w:r>
      </w:hyperlink>
    </w:p>
    <w:p w14:paraId="002BFC55" w14:textId="77777777" w:rsidR="00800394" w:rsidRPr="00921D95"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color w:val="212121"/>
          <w:sz w:val="24"/>
          <w:szCs w:val="24"/>
          <w:shd w:val="clear" w:color="auto" w:fill="FFFFFF"/>
        </w:rPr>
        <w:t>Leiva LA, and de la Lastra M. (1992). Enzyme-linked immunosorbent assay for rat and human luteinizing hormone. Neuroendocrinology. 56(5):660-5. doi: 10.1159/000126290.</w:t>
      </w:r>
    </w:p>
    <w:p w14:paraId="327BF96F"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Lorke D. (1983). A new approach to practical acute toxicity testing. Archives of Toxicology 54(4):275-287.</w:t>
      </w:r>
    </w:p>
    <w:p w14:paraId="591CE5C6"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8"/>
      <w:r w:rsidRPr="00921D95">
        <w:rPr>
          <w:rFonts w:ascii="Times New Roman" w:hAnsi="Times New Roman"/>
          <w:sz w:val="24"/>
          <w:szCs w:val="24"/>
        </w:rPr>
        <w:t>Ojo, E.T.; Aluko</w:t>
      </w:r>
      <w:commentRangeEnd w:id="28"/>
      <w:r w:rsidR="00920643" w:rsidRPr="00921D95">
        <w:rPr>
          <w:rStyle w:val="a8"/>
          <w:rFonts w:ascii="Times New Roman" w:hAnsi="Times New Roman"/>
          <w:sz w:val="24"/>
          <w:szCs w:val="24"/>
        </w:rPr>
        <w:commentReference w:id="28"/>
      </w:r>
      <w:r w:rsidRPr="00921D95">
        <w:rPr>
          <w:rFonts w:ascii="Times New Roman" w:hAnsi="Times New Roman"/>
          <w:sz w:val="24"/>
          <w:szCs w:val="24"/>
        </w:rPr>
        <w:t>, O.M.; Umukoro, S. (</w:t>
      </w:r>
      <w:r w:rsidRPr="00921D95">
        <w:rPr>
          <w:rFonts w:ascii="Times New Roman" w:hAnsi="Times New Roman"/>
          <w:b/>
          <w:sz w:val="24"/>
          <w:szCs w:val="24"/>
        </w:rPr>
        <w:t>2018</w:t>
      </w:r>
      <w:r w:rsidRPr="00921D95">
        <w:rPr>
          <w:rFonts w:ascii="Times New Roman" w:hAnsi="Times New Roman"/>
          <w:sz w:val="24"/>
          <w:szCs w:val="24"/>
        </w:rPr>
        <w:t>). Psychopharmacological Evaluation of Antidepressant-like Activity of Ethanol Seed Extract of Grains of Paradise (</w:t>
      </w:r>
      <w:r w:rsidRPr="00921D95">
        <w:rPr>
          <w:rFonts w:ascii="Times New Roman" w:hAnsi="Times New Roman"/>
          <w:i/>
          <w:sz w:val="24"/>
          <w:szCs w:val="24"/>
        </w:rPr>
        <w:t xml:space="preserve">Aframomum melegueta </w:t>
      </w:r>
      <w:r w:rsidRPr="00921D95">
        <w:rPr>
          <w:rFonts w:ascii="Times New Roman" w:hAnsi="Times New Roman"/>
          <w:sz w:val="24"/>
          <w:szCs w:val="24"/>
        </w:rPr>
        <w:t xml:space="preserve">K. Schum.) in Mice. </w:t>
      </w:r>
      <w:r w:rsidRPr="00921D95">
        <w:rPr>
          <w:rFonts w:ascii="Times New Roman" w:hAnsi="Times New Roman"/>
          <w:i/>
          <w:sz w:val="24"/>
          <w:szCs w:val="24"/>
        </w:rPr>
        <w:t>J. Food Biochem. 42</w:t>
      </w:r>
      <w:r w:rsidRPr="00921D95">
        <w:rPr>
          <w:rFonts w:ascii="Times New Roman" w:hAnsi="Times New Roman"/>
          <w:sz w:val="24"/>
          <w:szCs w:val="24"/>
        </w:rPr>
        <w:t>, 12.</w:t>
      </w:r>
    </w:p>
    <w:p w14:paraId="44A7CBF9"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29"/>
      <w:r w:rsidRPr="00921D95">
        <w:rPr>
          <w:rFonts w:ascii="Times New Roman" w:hAnsi="Times New Roman"/>
          <w:sz w:val="24"/>
          <w:szCs w:val="24"/>
        </w:rPr>
        <w:t>Ogwu</w:t>
      </w:r>
      <w:commentRangeEnd w:id="29"/>
      <w:r w:rsidR="00920643" w:rsidRPr="00921D95">
        <w:rPr>
          <w:rStyle w:val="a8"/>
          <w:rFonts w:ascii="Times New Roman" w:hAnsi="Times New Roman"/>
          <w:sz w:val="24"/>
          <w:szCs w:val="24"/>
        </w:rPr>
        <w:commentReference w:id="29"/>
      </w:r>
      <w:r w:rsidRPr="00921D95">
        <w:rPr>
          <w:rFonts w:ascii="Times New Roman" w:hAnsi="Times New Roman"/>
          <w:sz w:val="24"/>
          <w:szCs w:val="24"/>
        </w:rPr>
        <w:t xml:space="preserve">, M.C.; Dunkwu-Okafor, A.; Omakor, I.A.; Izah, S.C. (2024). Medicinal Spice, </w:t>
      </w:r>
      <w:r w:rsidRPr="00921D95">
        <w:rPr>
          <w:rFonts w:ascii="Times New Roman" w:hAnsi="Times New Roman"/>
          <w:i/>
          <w:sz w:val="24"/>
          <w:szCs w:val="24"/>
        </w:rPr>
        <w:t>Aframomum melegueta</w:t>
      </w:r>
      <w:r w:rsidRPr="00921D95">
        <w:rPr>
          <w:rFonts w:ascii="Times New Roman" w:hAnsi="Times New Roman"/>
          <w:sz w:val="24"/>
          <w:szCs w:val="24"/>
        </w:rPr>
        <w:t xml:space="preserve">: An Overview of the Phytochemical Constituents, Nutritional Characteristics, and Ethnomedicinal Values for Sustainability. In </w:t>
      </w:r>
      <w:r w:rsidRPr="00921D95">
        <w:rPr>
          <w:rFonts w:ascii="Times New Roman" w:hAnsi="Times New Roman"/>
          <w:i/>
          <w:sz w:val="24"/>
          <w:szCs w:val="24"/>
        </w:rPr>
        <w:t>Herbal Medicine Phytochemstry</w:t>
      </w:r>
      <w:r w:rsidRPr="00921D95">
        <w:rPr>
          <w:rFonts w:ascii="Times New Roman" w:hAnsi="Times New Roman"/>
          <w:sz w:val="24"/>
          <w:szCs w:val="24"/>
        </w:rPr>
        <w:t>; Izah, S.C., Ogwu, M.C., Akram, M., Eds.; Springer Nature: Cham, Switzerland, pp. 1–23. ISBN 978-3-031-21973-3.</w:t>
      </w:r>
    </w:p>
    <w:p w14:paraId="7448F0A3"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30"/>
      <w:r w:rsidRPr="00921D95">
        <w:rPr>
          <w:rFonts w:ascii="Times New Roman" w:hAnsi="Times New Roman"/>
          <w:sz w:val="24"/>
          <w:szCs w:val="24"/>
        </w:rPr>
        <w:t>Paglia</w:t>
      </w:r>
      <w:commentRangeEnd w:id="30"/>
      <w:r w:rsidR="00920643" w:rsidRPr="00921D95">
        <w:rPr>
          <w:rStyle w:val="a8"/>
          <w:rFonts w:ascii="Times New Roman" w:hAnsi="Times New Roman"/>
          <w:sz w:val="24"/>
          <w:szCs w:val="24"/>
        </w:rPr>
        <w:commentReference w:id="30"/>
      </w:r>
      <w:r w:rsidRPr="00921D95">
        <w:rPr>
          <w:rFonts w:ascii="Times New Roman" w:hAnsi="Times New Roman"/>
          <w:sz w:val="24"/>
          <w:szCs w:val="24"/>
        </w:rPr>
        <w:t xml:space="preserve"> PE, Valentine WN. (1967). Studies on the quantitation and qualitative characterization of erythrocyte glutathione peroxidase. J Lab Clin Med 70:158–169. [PubMed: 6066618]</w:t>
      </w:r>
    </w:p>
    <w:p w14:paraId="2D448D9C"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Popov B, Gadjeva V, Valkanov P, Popova S, Tolekova A. (2003) Lipid peroxidation, superoxide dismutase and catalase activities in brain tumor tissues. Archives of physiology and biochemistry111 (5): 455-459. </w:t>
      </w:r>
    </w:p>
    <w:p w14:paraId="39F95ED5"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Sharma V, Thakur M, Chauhan NS, Dixit VK. (2010). Effects of petroleum ether extract of Anacyclus pyrethrum DC on sexual behaviour in male rats. J Chinese Integrate Med. 8:767–73.</w:t>
      </w:r>
    </w:p>
    <w:p w14:paraId="2EB7DDF5"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 xml:space="preserve">Sigma-Aldrich. (2024). Rat FSH ELISA Kit (Catalog #RAB0326) Technical datasheet. Sigma-Aldrich. Retrieved from </w:t>
      </w:r>
      <w:hyperlink r:id="rId23" w:history="1">
        <w:r w:rsidRPr="00785213">
          <w:rPr>
            <w:rStyle w:val="Hyperlink"/>
            <w:rFonts w:ascii="Times New Roman" w:hAnsi="Times New Roman"/>
            <w:sz w:val="24"/>
            <w:szCs w:val="24"/>
          </w:rPr>
          <w:t>https://www.sigmaaldrich.com/RAB0326</w:t>
        </w:r>
      </w:hyperlink>
    </w:p>
    <w:p w14:paraId="5ECACBE8"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31"/>
      <w:r w:rsidRPr="00921D95">
        <w:rPr>
          <w:rFonts w:ascii="Times New Roman" w:hAnsi="Times New Roman"/>
          <w:sz w:val="24"/>
          <w:szCs w:val="24"/>
        </w:rPr>
        <w:t xml:space="preserve">Sun Y, Oberley LW, </w:t>
      </w:r>
      <w:commentRangeEnd w:id="31"/>
      <w:r w:rsidR="005E590F" w:rsidRPr="00921D95">
        <w:rPr>
          <w:rStyle w:val="a8"/>
          <w:rFonts w:ascii="Times New Roman" w:hAnsi="Times New Roman"/>
          <w:sz w:val="24"/>
          <w:szCs w:val="24"/>
        </w:rPr>
        <w:commentReference w:id="31"/>
      </w:r>
      <w:r w:rsidRPr="00921D95">
        <w:rPr>
          <w:rFonts w:ascii="Times New Roman" w:hAnsi="Times New Roman"/>
          <w:sz w:val="24"/>
          <w:szCs w:val="24"/>
        </w:rPr>
        <w:t>Li Y. (1988). A simple method for clinical assay of superoxide dismutase. Clin Chem. 34(3):497-500.</w:t>
      </w:r>
    </w:p>
    <w:p w14:paraId="24FD5D32"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Ratnasooriya WD, Dharmasiri MG. (2000).  Effects of Terminalia catappa seeds on sexual behaviour and fertility of male rats. Asian J Androl. 2:213–9.</w:t>
      </w:r>
    </w:p>
    <w:p w14:paraId="26ED1FCE"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32"/>
      <w:r w:rsidRPr="00921D95">
        <w:rPr>
          <w:rFonts w:ascii="Times New Roman" w:hAnsi="Times New Roman"/>
          <w:sz w:val="24"/>
          <w:szCs w:val="24"/>
        </w:rPr>
        <w:t>Umukoro</w:t>
      </w:r>
      <w:commentRangeEnd w:id="32"/>
      <w:r w:rsidR="005E590F" w:rsidRPr="00921D95">
        <w:rPr>
          <w:rStyle w:val="a8"/>
          <w:rFonts w:ascii="Times New Roman" w:hAnsi="Times New Roman"/>
          <w:sz w:val="24"/>
          <w:szCs w:val="24"/>
        </w:rPr>
        <w:commentReference w:id="32"/>
      </w:r>
      <w:r w:rsidRPr="00921D95">
        <w:rPr>
          <w:rFonts w:ascii="Times New Roman" w:hAnsi="Times New Roman"/>
          <w:sz w:val="24"/>
          <w:szCs w:val="24"/>
        </w:rPr>
        <w:t>, S.; Ashorobi, R. (</w:t>
      </w:r>
      <w:r w:rsidRPr="00921D95">
        <w:rPr>
          <w:rFonts w:ascii="Times New Roman" w:hAnsi="Times New Roman"/>
          <w:b/>
          <w:sz w:val="24"/>
          <w:szCs w:val="24"/>
        </w:rPr>
        <w:t>2006</w:t>
      </w:r>
      <w:r w:rsidRPr="00921D95">
        <w:rPr>
          <w:rFonts w:ascii="Times New Roman" w:hAnsi="Times New Roman"/>
          <w:sz w:val="24"/>
          <w:szCs w:val="24"/>
        </w:rPr>
        <w:t xml:space="preserve">). Anti-Stress Potential of Aqueous Seed Extract of </w:t>
      </w:r>
      <w:r w:rsidRPr="00921D95">
        <w:rPr>
          <w:rFonts w:ascii="Times New Roman" w:hAnsi="Times New Roman"/>
          <w:i/>
          <w:sz w:val="24"/>
          <w:szCs w:val="24"/>
        </w:rPr>
        <w:t>Aframomum melegueta</w:t>
      </w:r>
      <w:r w:rsidRPr="00921D95">
        <w:rPr>
          <w:rFonts w:ascii="Times New Roman" w:hAnsi="Times New Roman"/>
          <w:sz w:val="24"/>
          <w:szCs w:val="24"/>
        </w:rPr>
        <w:t xml:space="preserve">. </w:t>
      </w:r>
      <w:r w:rsidRPr="00921D95">
        <w:rPr>
          <w:rFonts w:ascii="Times New Roman" w:hAnsi="Times New Roman"/>
          <w:i/>
          <w:sz w:val="24"/>
          <w:szCs w:val="24"/>
        </w:rPr>
        <w:t>Afr. J. Biomed. Res. 8</w:t>
      </w:r>
      <w:r w:rsidRPr="00921D95">
        <w:rPr>
          <w:rFonts w:ascii="Times New Roman" w:hAnsi="Times New Roman"/>
          <w:sz w:val="24"/>
          <w:szCs w:val="24"/>
        </w:rPr>
        <w:t>, 119–122.</w:t>
      </w:r>
    </w:p>
    <w:p w14:paraId="71E9F71A" w14:textId="77777777" w:rsidR="00800394"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sz w:val="24"/>
          <w:szCs w:val="24"/>
        </w:rPr>
        <w:t>Yakubu MT, Afolayan AJ.  (2009). Effect of aqueous extract of Bulbine natalensis (Baker) stem on the sexual behaviour of male rats. Int J Androl. 32:629–36.</w:t>
      </w:r>
    </w:p>
    <w:p w14:paraId="37B99569" w14:textId="77777777" w:rsidR="00800394" w:rsidRDefault="00800394" w:rsidP="00800394">
      <w:pPr>
        <w:pStyle w:val="a3"/>
        <w:numPr>
          <w:ilvl w:val="0"/>
          <w:numId w:val="1"/>
        </w:numPr>
        <w:spacing w:line="240" w:lineRule="auto"/>
        <w:jc w:val="both"/>
        <w:rPr>
          <w:rFonts w:ascii="Times New Roman" w:hAnsi="Times New Roman"/>
          <w:sz w:val="24"/>
          <w:szCs w:val="24"/>
        </w:rPr>
      </w:pPr>
      <w:commentRangeStart w:id="33"/>
      <w:r w:rsidRPr="00921D95">
        <w:rPr>
          <w:rFonts w:ascii="Times New Roman" w:hAnsi="Times New Roman"/>
          <w:sz w:val="24"/>
          <w:szCs w:val="24"/>
        </w:rPr>
        <w:t>Yakubu</w:t>
      </w:r>
      <w:commentRangeEnd w:id="33"/>
      <w:r w:rsidR="005E590F" w:rsidRPr="00921D95">
        <w:rPr>
          <w:rStyle w:val="a8"/>
          <w:rFonts w:ascii="Times New Roman" w:hAnsi="Times New Roman"/>
          <w:sz w:val="24"/>
          <w:szCs w:val="24"/>
        </w:rPr>
        <w:commentReference w:id="33"/>
      </w:r>
      <w:r w:rsidRPr="00921D95">
        <w:rPr>
          <w:rFonts w:ascii="Times New Roman" w:hAnsi="Times New Roman"/>
          <w:sz w:val="24"/>
          <w:szCs w:val="24"/>
        </w:rPr>
        <w:t xml:space="preserve"> MT, Akanji MA. (2010). Effect of Aqueous Extract of Massularia acuminata Stem on Sexual Behaviour of Male Wistar Rats. Evidence-Based Complement Alternate Med Article ID 738103, 10 pages doi:10.1155/2011/ 738103Article ID 738103, 10 pages doi:10.1155/201.</w:t>
      </w:r>
    </w:p>
    <w:p w14:paraId="65A5A573" w14:textId="77777777" w:rsidR="00800394" w:rsidRPr="00921D95" w:rsidRDefault="00800394" w:rsidP="00800394">
      <w:pPr>
        <w:pStyle w:val="a3"/>
        <w:numPr>
          <w:ilvl w:val="0"/>
          <w:numId w:val="1"/>
        </w:numPr>
        <w:spacing w:line="240" w:lineRule="auto"/>
        <w:jc w:val="both"/>
        <w:rPr>
          <w:rFonts w:ascii="Times New Roman" w:hAnsi="Times New Roman"/>
          <w:sz w:val="24"/>
          <w:szCs w:val="24"/>
        </w:rPr>
      </w:pPr>
      <w:r w:rsidRPr="00921D95">
        <w:rPr>
          <w:rFonts w:ascii="Times New Roman" w:hAnsi="Times New Roman"/>
          <w:color w:val="212121"/>
          <w:sz w:val="24"/>
          <w:szCs w:val="24"/>
          <w:shd w:val="clear" w:color="auto" w:fill="FFFFFF"/>
        </w:rPr>
        <w:t>Yu X, Jin M, Zhang Y, Lu Y, Zhu R, Liu YF, Jie Ma Y, Song J, Sun J. (2025).  Oxidative Stress and its Implications for Male Reproductive Dysfunction: Mechanistic Insights, Clinical Impacts, and Advances in Therapeutic Interventions. Andrology. 9. doi: 10.1111/andr.70143. Epub ahead of print. PMID: 41208294.</w:t>
      </w:r>
    </w:p>
    <w:p w14:paraId="67515F13" w14:textId="102A490A" w:rsidR="00551EC4" w:rsidRPr="00E912C7" w:rsidRDefault="00800394" w:rsidP="00E912C7">
      <w:pPr>
        <w:pStyle w:val="a3"/>
        <w:numPr>
          <w:ilvl w:val="0"/>
          <w:numId w:val="1"/>
        </w:numPr>
        <w:spacing w:line="240" w:lineRule="auto"/>
        <w:jc w:val="both"/>
        <w:rPr>
          <w:rFonts w:ascii="Times New Roman" w:hAnsi="Times New Roman"/>
          <w:sz w:val="24"/>
          <w:szCs w:val="24"/>
        </w:rPr>
      </w:pPr>
      <w:commentRangeStart w:id="34"/>
      <w:r>
        <w:rPr>
          <w:rFonts w:ascii="Times New Roman" w:hAnsi="Times New Roman"/>
          <w:color w:val="1B1B1B"/>
          <w:sz w:val="24"/>
          <w:szCs w:val="24"/>
          <w:shd w:val="clear" w:color="auto" w:fill="FFFFFF"/>
        </w:rPr>
        <w:t>World Health Organization</w:t>
      </w:r>
      <w:commentRangeEnd w:id="34"/>
      <w:r w:rsidR="005E590F" w:rsidRPr="00921D95">
        <w:rPr>
          <w:rStyle w:val="a8"/>
          <w:rFonts w:ascii="Times New Roman" w:hAnsi="Times New Roman"/>
          <w:color w:val="1B1B1B"/>
          <w:sz w:val="24"/>
          <w:szCs w:val="24"/>
          <w:shd w:val="clear" w:color="auto" w:fill="FFFFFF"/>
        </w:rPr>
        <w:commentReference w:id="34"/>
      </w:r>
      <w:r w:rsidRPr="00921D95">
        <w:rPr>
          <w:rFonts w:ascii="Times New Roman" w:hAnsi="Times New Roman"/>
          <w:color w:val="1B1B1B"/>
          <w:sz w:val="24"/>
          <w:szCs w:val="24"/>
          <w:shd w:val="clear" w:color="auto" w:fill="FFFFFF"/>
        </w:rPr>
        <w:t>. (2023)</w:t>
      </w:r>
      <w:r>
        <w:rPr>
          <w:rFonts w:ascii="Times New Roman" w:hAnsi="Times New Roman"/>
          <w:color w:val="1B1B1B"/>
          <w:sz w:val="24"/>
          <w:szCs w:val="24"/>
          <w:shd w:val="clear" w:color="auto" w:fill="FFFFFF"/>
        </w:rPr>
        <w:t xml:space="preserve"> Incidence of infertility: </w:t>
      </w:r>
      <w:r w:rsidRPr="00921D95">
        <w:rPr>
          <w:rFonts w:ascii="Times New Roman" w:hAnsi="Times New Roman"/>
          <w:color w:val="1B1B1B"/>
          <w:sz w:val="24"/>
          <w:szCs w:val="24"/>
          <w:shd w:val="clear" w:color="auto" w:fill="FFFFFF"/>
        </w:rPr>
        <w:t>1 in 6 people globally affected by infertility. Available online at: </w:t>
      </w:r>
      <w:hyperlink r:id="rId24" w:tgtFrame="_blank" w:history="1">
        <w:r w:rsidRPr="00921D95">
          <w:rPr>
            <w:rStyle w:val="Hyperlink"/>
            <w:rFonts w:ascii="Times New Roman" w:hAnsi="Times New Roman"/>
            <w:color w:val="005EA2"/>
            <w:sz w:val="24"/>
            <w:szCs w:val="24"/>
            <w:shd w:val="clear" w:color="auto" w:fill="FFFFFF"/>
          </w:rPr>
          <w:t>https://academic.oup.com/hropen/article/2023/2/hoad007/7066921</w:t>
        </w:r>
      </w:hyperlink>
    </w:p>
    <w:sectPr w:rsidR="00551EC4" w:rsidRPr="00E912C7">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k29022024" w:date="2026-07-31T17:08:00Z" w:initials="h">
    <w:p w14:paraId="3514340B" w14:textId="640F8E4E" w:rsidR="00B27CCF" w:rsidRDefault="00B27CCF">
      <w:pPr>
        <w:pStyle w:val="a9"/>
      </w:pPr>
      <w:r>
        <w:rPr>
          <w:rStyle w:val="a8"/>
        </w:rPr>
        <w:annotationRef/>
      </w:r>
      <w:r w:rsidRPr="00B27CCF">
        <w:t xml:space="preserve">The correct scientific name is </w:t>
      </w:r>
      <w:r w:rsidRPr="00B27CCF">
        <w:rPr>
          <w:i/>
          <w:iCs/>
        </w:rPr>
        <w:t>Aframomum melegueta</w:t>
      </w:r>
    </w:p>
  </w:comment>
  <w:comment w:id="1" w:author="hk29022024" w:date="2026-07-31T17:43:00Z" w:initials="h">
    <w:p w14:paraId="03B34D8E" w14:textId="5F3CD75A" w:rsidR="00DC1944" w:rsidRDefault="00DC1944">
      <w:pPr>
        <w:pStyle w:val="a9"/>
      </w:pPr>
      <w:r>
        <w:rPr>
          <w:rStyle w:val="a8"/>
        </w:rPr>
        <w:annotationRef/>
      </w:r>
      <w:r w:rsidRPr="00DC1944">
        <w:t>It is preferable to replace it with the word "divided".</w:t>
      </w:r>
    </w:p>
  </w:comment>
  <w:comment w:id="2" w:author="hk29022024" w:date="2026-07-31T17:27:00Z" w:initials="h">
    <w:p w14:paraId="3CEADC67" w14:textId="5B79FE08" w:rsidR="00664E44" w:rsidRDefault="00664E44">
      <w:pPr>
        <w:pStyle w:val="a9"/>
      </w:pPr>
      <w:r>
        <w:rPr>
          <w:rStyle w:val="a8"/>
        </w:rPr>
        <w:annotationRef/>
      </w:r>
      <w:r w:rsidRPr="00664E44">
        <w:t>The inconsistency in the ML result needs to be corrected, as it was first stated that it decreased and then later that it increased.</w:t>
      </w:r>
    </w:p>
  </w:comment>
  <w:comment w:id="3" w:author="hk29022024" w:date="2026-07-31T22:48:00Z" w:initials="h">
    <w:p w14:paraId="40D17538" w14:textId="78208026" w:rsidR="00D0285B" w:rsidRDefault="00D0285B">
      <w:pPr>
        <w:pStyle w:val="a9"/>
      </w:pPr>
      <w:r>
        <w:rPr>
          <w:rStyle w:val="a8"/>
        </w:rPr>
        <w:annotationRef/>
      </w:r>
      <w:r w:rsidRPr="00D0285B">
        <w:t>State the water-to-alcohol ratio as a volumetric ratio</w:t>
      </w:r>
      <w:r>
        <w:rPr>
          <w:rFonts w:hint="cs"/>
          <w:rtl/>
        </w:rPr>
        <w:t xml:space="preserve"> </w:t>
      </w:r>
      <w:r>
        <w:t>v/v</w:t>
      </w:r>
      <w:r w:rsidRPr="00D0285B">
        <w:t>.</w:t>
      </w:r>
    </w:p>
  </w:comment>
  <w:comment w:id="4" w:author="hk29022024" w:date="2026-07-31T22:43:00Z" w:initials="h">
    <w:p w14:paraId="22D1368C" w14:textId="0C45C710" w:rsidR="00D0285B" w:rsidRDefault="00D0285B">
      <w:pPr>
        <w:pStyle w:val="a9"/>
      </w:pPr>
      <w:r>
        <w:rPr>
          <w:rStyle w:val="a8"/>
        </w:rPr>
        <w:annotationRef/>
      </w:r>
      <w:r w:rsidRPr="00D0285B">
        <w:t>Is the duration 72 days or hours?</w:t>
      </w:r>
    </w:p>
  </w:comment>
  <w:comment w:id="5" w:author="hk29022024" w:date="2026-07-31T22:49:00Z" w:initials="h">
    <w:p w14:paraId="11E12353" w14:textId="6CC75BAB" w:rsidR="00D0285B" w:rsidRDefault="00D0285B">
      <w:pPr>
        <w:pStyle w:val="a9"/>
        <w:rPr>
          <w:rFonts w:hint="cs"/>
          <w:rtl/>
          <w:lang w:bidi="ar-IQ"/>
        </w:rPr>
      </w:pPr>
      <w:r>
        <w:rPr>
          <w:rStyle w:val="a8"/>
        </w:rPr>
        <w:annotationRef/>
      </w:r>
      <w:r w:rsidR="005F62C9" w:rsidRPr="005F62C9">
        <w:rPr>
          <w:lang w:bidi="ar-IQ"/>
        </w:rPr>
        <w:t>The degree of ethanol purity was not mentioned, and</w:t>
      </w:r>
      <w:r w:rsidR="005F62C9">
        <w:rPr>
          <w:rFonts w:hint="cs"/>
          <w:rtl/>
          <w:lang w:bidi="ar-IQ"/>
        </w:rPr>
        <w:t xml:space="preserve"> </w:t>
      </w:r>
      <w:r w:rsidR="005F62C9">
        <w:rPr>
          <w:lang w:bidi="ar-IQ"/>
        </w:rPr>
        <w:t>If</w:t>
      </w:r>
      <w:r w:rsidR="005F62C9" w:rsidRPr="005F62C9">
        <w:rPr>
          <w:lang w:bidi="ar-IQ"/>
        </w:rPr>
        <w:t xml:space="preserve"> a rotary evaporator was used to concentrate the compound, </w:t>
      </w:r>
      <w:r w:rsidR="005F62C9">
        <w:rPr>
          <w:lang w:bidi="ar-IQ"/>
        </w:rPr>
        <w:t>because</w:t>
      </w:r>
      <w:r w:rsidR="005F62C9" w:rsidRPr="005F62C9">
        <w:rPr>
          <w:lang w:bidi="ar-IQ"/>
        </w:rPr>
        <w:t xml:space="preserve"> it prevents the evaporation of any volatile compounds present.</w:t>
      </w:r>
    </w:p>
  </w:comment>
  <w:comment w:id="6" w:author="hk29022024" w:date="2026-07-31T23:00:00Z" w:initials="h">
    <w:p w14:paraId="160ACFE4" w14:textId="14A171CF" w:rsidR="005F62C9" w:rsidRDefault="005F62C9">
      <w:pPr>
        <w:pStyle w:val="a9"/>
        <w:rPr>
          <w:rFonts w:hint="cs"/>
          <w:rtl/>
          <w:lang w:bidi="ar-IQ"/>
        </w:rPr>
      </w:pPr>
      <w:r>
        <w:rPr>
          <w:rStyle w:val="a8"/>
        </w:rPr>
        <w:annotationRef/>
      </w:r>
      <w:r>
        <w:t>Of what method?</w:t>
      </w:r>
    </w:p>
  </w:comment>
  <w:comment w:id="7" w:author="hk29022024" w:date="2026-07-31T23:10:00Z" w:initials="h">
    <w:p w14:paraId="3D89018B" w14:textId="3BAB4349" w:rsidR="004460D6" w:rsidRDefault="004460D6">
      <w:pPr>
        <w:pStyle w:val="a9"/>
      </w:pPr>
      <w:r>
        <w:rPr>
          <w:rStyle w:val="a8"/>
        </w:rPr>
        <w:annotationRef/>
      </w:r>
      <w:r w:rsidRPr="004460D6">
        <w:t>The study used Wistar rats in the main experiment, while the LD₅₀ value was determined using Swiss albino mice. Furthermore, the experiment used oral administration, while the LD₅₀ was measured via intraperitoneal injection. This means that the LD₅₀ value does not accurately reflect the true toxicity, as toxicity varies depending on the route of administration.</w:t>
      </w:r>
    </w:p>
  </w:comment>
  <w:comment w:id="8" w:author="hk29022024" w:date="2026-07-31T23:22:00Z" w:initials="h">
    <w:p w14:paraId="283C0CF0" w14:textId="62BCD09D" w:rsidR="00991DD2" w:rsidRDefault="00991DD2">
      <w:pPr>
        <w:pStyle w:val="a9"/>
      </w:pPr>
      <w:r>
        <w:rPr>
          <w:rStyle w:val="a8"/>
        </w:rPr>
        <w:annotationRef/>
      </w:r>
      <w:r w:rsidRPr="00991DD2">
        <w:t>The age of the animals used in the experiment and the number of males and females in each group (since each group consisted of five animals) must be stated, as well as the ambient temperature.</w:t>
      </w:r>
    </w:p>
  </w:comment>
  <w:comment w:id="9" w:author="hk29022024" w:date="2026-07-31T23:36:00Z" w:initials="h">
    <w:p w14:paraId="4E78C454" w14:textId="0E5B7280" w:rsidR="00F37AF2" w:rsidRDefault="00F37AF2">
      <w:pPr>
        <w:pStyle w:val="a9"/>
      </w:pPr>
      <w:r>
        <w:rPr>
          <w:rStyle w:val="a8"/>
        </w:rPr>
        <w:annotationRef/>
      </w:r>
      <w:r w:rsidRPr="00F37AF2">
        <w:t>There is a contradiction in the information; previously you mentioned both females and males, but here it only mentions males. Where are the females?</w:t>
      </w:r>
    </w:p>
  </w:comment>
  <w:comment w:id="10" w:author="hk29022024" w:date="2026-07-31T23:32:00Z" w:initials="h">
    <w:p w14:paraId="684786DB" w14:textId="0999059B" w:rsidR="00F37AF2" w:rsidRDefault="00F37AF2">
      <w:pPr>
        <w:pStyle w:val="a9"/>
      </w:pPr>
      <w:r>
        <w:rPr>
          <w:rStyle w:val="a8"/>
        </w:rPr>
        <w:annotationRef/>
      </w:r>
      <w:r w:rsidRPr="00F37AF2">
        <w:t>The dissolving solution was not mentioned.</w:t>
      </w:r>
    </w:p>
  </w:comment>
  <w:comment w:id="11" w:author="hk29022024" w:date="2026-07-31T23:40:00Z" w:initials="h">
    <w:p w14:paraId="71195B4E" w14:textId="303A76EF" w:rsidR="0043620E" w:rsidRDefault="0043620E">
      <w:pPr>
        <w:pStyle w:val="a9"/>
      </w:pPr>
      <w:r>
        <w:rPr>
          <w:rStyle w:val="a8"/>
        </w:rPr>
        <w:annotationRef/>
      </w:r>
      <w:r w:rsidRPr="0043620E">
        <w:t>What tubes are used to collect blood samples?</w:t>
      </w:r>
    </w:p>
  </w:comment>
  <w:comment w:id="12" w:author="hk29022024" w:date="2026-08-01T11:45:00Z" w:initials="h">
    <w:p w14:paraId="43F84AFE" w14:textId="1D5FE070" w:rsidR="0033632F" w:rsidRDefault="0033632F">
      <w:pPr>
        <w:pStyle w:val="a9"/>
      </w:pPr>
      <w:r>
        <w:rPr>
          <w:rStyle w:val="a8"/>
        </w:rPr>
        <w:annotationRef/>
      </w:r>
      <w:r>
        <w:t>was</w:t>
      </w:r>
    </w:p>
  </w:comment>
  <w:comment w:id="13" w:author="hk29022024" w:date="2026-08-01T12:02:00Z" w:initials="h">
    <w:p w14:paraId="5402E073" w14:textId="5DD68F7A" w:rsidR="00B64CE7" w:rsidRDefault="00B64CE7">
      <w:pPr>
        <w:pStyle w:val="a9"/>
      </w:pPr>
      <w:r>
        <w:rPr>
          <w:rStyle w:val="a8"/>
        </w:rPr>
        <w:annotationRef/>
      </w:r>
      <w:r w:rsidRPr="00B64CE7">
        <w:t>This enzyme is not used as a standard but rather to generate free oxygen radicals and thus cause oxidative stress, as in the original reference Sun et al. (1988).</w:t>
      </w:r>
    </w:p>
  </w:comment>
  <w:comment w:id="15" w:author="hk29022024" w:date="2026-08-01T15:55:00Z" w:initials="h">
    <w:p w14:paraId="367DED97" w14:textId="0757B401" w:rsidR="00920643" w:rsidRDefault="00920643">
      <w:pPr>
        <w:pStyle w:val="a9"/>
      </w:pPr>
      <w:r>
        <w:rPr>
          <w:rStyle w:val="a8"/>
        </w:rPr>
        <w:annotationRef/>
      </w:r>
      <w:r>
        <w:t>You mean 1992</w:t>
      </w:r>
    </w:p>
  </w:comment>
  <w:comment w:id="14" w:author="hk29022024" w:date="2026-08-01T12:21:00Z" w:initials="h">
    <w:p w14:paraId="54F71F68" w14:textId="3E7D0A63" w:rsidR="00253228" w:rsidRDefault="00253228">
      <w:pPr>
        <w:pStyle w:val="a9"/>
      </w:pPr>
      <w:r>
        <w:rPr>
          <w:rStyle w:val="a8"/>
        </w:rPr>
        <w:annotationRef/>
      </w:r>
      <w:r w:rsidRPr="00253228">
        <w:t>When using a hormone testing kit</w:t>
      </w:r>
      <w:r>
        <w:t>s</w:t>
      </w:r>
      <w:r w:rsidRPr="00253228">
        <w:t>, it is not permissible to refer to other sources as the approved source of measurement.</w:t>
      </w:r>
      <w:r w:rsidRPr="00253228">
        <w:t xml:space="preserve"> </w:t>
      </w:r>
      <w:r w:rsidRPr="00253228">
        <w:t xml:space="preserve">Because the </w:t>
      </w:r>
      <w:r>
        <w:t>kits</w:t>
      </w:r>
      <w:r w:rsidRPr="00253228">
        <w:t xml:space="preserve"> contain a special protocol</w:t>
      </w:r>
      <w:r>
        <w:t>.</w:t>
      </w:r>
    </w:p>
  </w:comment>
  <w:comment w:id="16" w:author="hk29022024" w:date="2026-08-01T13:33:00Z" w:initials="h">
    <w:p w14:paraId="7096F959" w14:textId="5188029D" w:rsidR="00B55BE5" w:rsidRDefault="00B55BE5">
      <w:pPr>
        <w:pStyle w:val="a9"/>
      </w:pPr>
      <w:r>
        <w:rPr>
          <w:rStyle w:val="a8"/>
        </w:rPr>
        <w:annotationRef/>
      </w:r>
      <w:r w:rsidRPr="00B55BE5">
        <w:t xml:space="preserve">There is a clear discrepancy between the results mentioned in the table and the text, as it states that there is a </w:t>
      </w:r>
      <w:r w:rsidRPr="00B55BE5">
        <w:t>decrease</w:t>
      </w:r>
      <w:r>
        <w:rPr>
          <w:rFonts w:hint="cs"/>
          <w:rtl/>
        </w:rPr>
        <w:t xml:space="preserve"> </w:t>
      </w:r>
      <w:r>
        <w:t>in</w:t>
      </w:r>
      <w:r>
        <w:rPr>
          <w:rFonts w:ascii="Times New Roman" w:hAnsi="Times New Roman" w:cs="Times New Roman"/>
          <w:sz w:val="24"/>
          <w:szCs w:val="24"/>
        </w:rPr>
        <w:t xml:space="preserve"> </w:t>
      </w:r>
      <w:r w:rsidRPr="00B253A9">
        <w:rPr>
          <w:rFonts w:ascii="Times New Roman" w:hAnsi="Times New Roman" w:cs="Times New Roman"/>
          <w:sz w:val="24"/>
          <w:szCs w:val="24"/>
        </w:rPr>
        <w:t>ML</w:t>
      </w:r>
      <w:r w:rsidRPr="00B55BE5">
        <w:t>, while in the table the value was high according to the dose.</w:t>
      </w:r>
    </w:p>
  </w:comment>
  <w:comment w:id="17" w:author="hk29022024" w:date="2026-08-01T13:36:00Z" w:initials="h">
    <w:p w14:paraId="69D90F42" w14:textId="3B4AEDE0" w:rsidR="00B55BE5" w:rsidRDefault="00B55BE5">
      <w:pPr>
        <w:pStyle w:val="a9"/>
      </w:pPr>
      <w:r>
        <w:rPr>
          <w:rStyle w:val="a8"/>
        </w:rPr>
        <w:annotationRef/>
      </w:r>
      <w:r w:rsidRPr="00B55BE5">
        <w:t>There is a discrepancy between the results mentioned in the table and the text, as it states that there is a</w:t>
      </w:r>
      <w:r>
        <w:t>n</w:t>
      </w:r>
      <w:r w:rsidRPr="00B55BE5">
        <w:t xml:space="preserve"> </w:t>
      </w:r>
      <w:r>
        <w:t>in</w:t>
      </w:r>
      <w:r w:rsidRPr="00B55BE5">
        <w:t>crease</w:t>
      </w:r>
      <w:r>
        <w:rPr>
          <w:rFonts w:hint="cs"/>
          <w:rtl/>
        </w:rPr>
        <w:t xml:space="preserve"> </w:t>
      </w:r>
      <w:r>
        <w:t>in</w:t>
      </w:r>
      <w:r>
        <w:t xml:space="preserve"> </w:t>
      </w:r>
      <w:r w:rsidRPr="00B253A9">
        <w:rPr>
          <w:rFonts w:ascii="Times New Roman" w:hAnsi="Times New Roman" w:cs="Times New Roman"/>
          <w:sz w:val="24"/>
          <w:szCs w:val="24"/>
        </w:rPr>
        <w:t>PEI</w:t>
      </w:r>
      <w:r>
        <w:rPr>
          <w:rFonts w:ascii="Times New Roman" w:hAnsi="Times New Roman" w:cs="Times New Roman"/>
          <w:sz w:val="24"/>
          <w:szCs w:val="24"/>
        </w:rPr>
        <w:t>,</w:t>
      </w:r>
      <w:r w:rsidRPr="00B55BE5">
        <w:t xml:space="preserve"> while in the table the value was </w:t>
      </w:r>
      <w:r>
        <w:t xml:space="preserve">lower </w:t>
      </w:r>
      <w:r w:rsidRPr="00B55BE5">
        <w:t>according to the dose.</w:t>
      </w:r>
    </w:p>
  </w:comment>
  <w:comment w:id="18" w:author="hk29022024" w:date="2026-08-01T13:44:00Z" w:initials="h">
    <w:p w14:paraId="40A4D791" w14:textId="2DE46EA2" w:rsidR="00720FE0" w:rsidRDefault="00720FE0">
      <w:pPr>
        <w:pStyle w:val="a9"/>
      </w:pPr>
      <w:r>
        <w:rPr>
          <w:rStyle w:val="a8"/>
        </w:rPr>
        <w:annotationRef/>
      </w:r>
      <w:r w:rsidRPr="00720FE0">
        <w:t>There are no significant differences based on dose between the test groups as mentioned in the text because they all bear the same symbols.</w:t>
      </w:r>
    </w:p>
  </w:comment>
  <w:comment w:id="19" w:author="hk29022024" w:date="2026-08-01T13:52:00Z" w:initials="h">
    <w:p w14:paraId="4680C963" w14:textId="0C0EB050" w:rsidR="00720FE0" w:rsidRDefault="00720FE0">
      <w:pPr>
        <w:pStyle w:val="a9"/>
      </w:pPr>
      <w:r>
        <w:rPr>
          <w:rStyle w:val="a8"/>
        </w:rPr>
        <w:annotationRef/>
      </w:r>
      <w:r w:rsidR="009477AE" w:rsidRPr="009477AE">
        <w:t>Hormone measurements are shown in Figures 1 and 2, not 3 and 4.</w:t>
      </w:r>
    </w:p>
  </w:comment>
  <w:comment w:id="20" w:author="hk29022024" w:date="2026-08-01T13:59:00Z" w:initials="h">
    <w:p w14:paraId="2A8E9946" w14:textId="79CD1A7E" w:rsidR="009477AE" w:rsidRDefault="009477AE">
      <w:pPr>
        <w:pStyle w:val="a9"/>
      </w:pPr>
      <w:r>
        <w:rPr>
          <w:rStyle w:val="a8"/>
        </w:rPr>
        <w:annotationRef/>
      </w:r>
      <w:r>
        <w:t xml:space="preserve">LH </w:t>
      </w:r>
      <w:r w:rsidRPr="009477AE">
        <w:t xml:space="preserve"> </w:t>
      </w:r>
      <w:r>
        <w:t>was</w:t>
      </w:r>
      <w:r w:rsidRPr="009477AE">
        <w:t xml:space="preserve"> higher compared to groups one and three, as shown in Figure 1.</w:t>
      </w:r>
    </w:p>
  </w:comment>
  <w:comment w:id="21" w:author="hk29022024" w:date="2026-08-01T14:04:00Z" w:initials="h">
    <w:p w14:paraId="08AA05FD" w14:textId="7682F2BE" w:rsidR="00E2551D" w:rsidRDefault="00E2551D">
      <w:pPr>
        <w:pStyle w:val="a9"/>
      </w:pPr>
      <w:r>
        <w:rPr>
          <w:rStyle w:val="a8"/>
        </w:rPr>
        <w:annotationRef/>
      </w:r>
      <w:r>
        <w:t>Fig 3 and 4</w:t>
      </w:r>
    </w:p>
  </w:comment>
  <w:comment w:id="22" w:author="hk29022024" w:date="2026-08-01T16:04:00Z" w:initials="h">
    <w:p w14:paraId="2A808C9A" w14:textId="60E79D7D" w:rsidR="005E590F" w:rsidRDefault="005E590F">
      <w:pPr>
        <w:pStyle w:val="a9"/>
      </w:pPr>
      <w:r>
        <w:rPr>
          <w:rStyle w:val="a8"/>
        </w:rPr>
        <w:annotationRef/>
      </w:r>
      <w:r w:rsidRPr="005E590F">
        <w:t>Specify the year of the s</w:t>
      </w:r>
      <w:r w:rsidR="00DF27AB">
        <w:t>tudy</w:t>
      </w:r>
    </w:p>
  </w:comment>
  <w:comment w:id="23" w:author="hk29022024" w:date="2026-08-01T14:10:00Z" w:initials="h">
    <w:p w14:paraId="45B53E28" w14:textId="7A3BEDF1" w:rsidR="00E2551D" w:rsidRDefault="00E2551D">
      <w:pPr>
        <w:pStyle w:val="a9"/>
        <w:rPr>
          <w:rFonts w:hint="cs"/>
          <w:rtl/>
          <w:lang w:bidi="ar-IQ"/>
        </w:rPr>
      </w:pPr>
      <w:r>
        <w:rPr>
          <w:rStyle w:val="a8"/>
        </w:rPr>
        <w:annotationRef/>
      </w:r>
      <w:r w:rsidRPr="00E2551D">
        <w:rPr>
          <w:lang w:bidi="ar-IQ"/>
        </w:rPr>
        <w:t>Not found in the text</w:t>
      </w:r>
    </w:p>
  </w:comment>
  <w:comment w:id="24" w:author="hk29022024" w:date="2026-08-01T14:13:00Z" w:initials="h">
    <w:p w14:paraId="63A678CF" w14:textId="16B4F902" w:rsidR="00E2551D" w:rsidRDefault="00E2551D">
      <w:pPr>
        <w:pStyle w:val="a9"/>
      </w:pPr>
      <w:r>
        <w:rPr>
          <w:rStyle w:val="a8"/>
        </w:rPr>
        <w:annotationRef/>
      </w:r>
      <w:r w:rsidRPr="00E2551D">
        <w:rPr>
          <w:lang w:bidi="ar-IQ"/>
        </w:rPr>
        <w:t>Not found in the text</w:t>
      </w:r>
    </w:p>
  </w:comment>
  <w:comment w:id="25" w:author="hk29022024" w:date="2026-08-01T14:17:00Z" w:initials="h">
    <w:p w14:paraId="2D7188FE" w14:textId="3FB4F1A3" w:rsidR="00853E5B" w:rsidRDefault="00853E5B">
      <w:pPr>
        <w:pStyle w:val="a9"/>
      </w:pPr>
      <w:r>
        <w:rPr>
          <w:rStyle w:val="a8"/>
        </w:rPr>
        <w:annotationRef/>
      </w:r>
      <w:r w:rsidRPr="00E2551D">
        <w:rPr>
          <w:lang w:bidi="ar-IQ"/>
        </w:rPr>
        <w:t>Not found in the text</w:t>
      </w:r>
    </w:p>
  </w:comment>
  <w:comment w:id="26" w:author="hk29022024" w:date="2026-08-01T15:51:00Z" w:initials="h">
    <w:p w14:paraId="038C8FE1" w14:textId="76790534" w:rsidR="00920643" w:rsidRDefault="00920643">
      <w:pPr>
        <w:pStyle w:val="a9"/>
      </w:pPr>
      <w:r>
        <w:rPr>
          <w:rStyle w:val="a8"/>
        </w:rPr>
        <w:annotationRef/>
      </w:r>
      <w:r w:rsidRPr="00E2551D">
        <w:rPr>
          <w:lang w:bidi="ar-IQ"/>
        </w:rPr>
        <w:t>Not found in the text</w:t>
      </w:r>
    </w:p>
  </w:comment>
  <w:comment w:id="27" w:author="hk29022024" w:date="2026-08-01T15:53:00Z" w:initials="h">
    <w:p w14:paraId="79DEB803" w14:textId="1D80E690" w:rsidR="00920643" w:rsidRDefault="00920643">
      <w:pPr>
        <w:pStyle w:val="a9"/>
      </w:pPr>
      <w:r>
        <w:rPr>
          <w:rStyle w:val="a8"/>
        </w:rPr>
        <w:annotationRef/>
      </w:r>
      <w:r w:rsidRPr="00E2551D">
        <w:rPr>
          <w:lang w:bidi="ar-IQ"/>
        </w:rPr>
        <w:t>Not found in the text</w:t>
      </w:r>
    </w:p>
  </w:comment>
  <w:comment w:id="28" w:author="hk29022024" w:date="2026-08-01T15:57:00Z" w:initials="h">
    <w:p w14:paraId="02E7D689" w14:textId="3E080273" w:rsidR="00920643" w:rsidRDefault="00920643">
      <w:pPr>
        <w:pStyle w:val="a9"/>
      </w:pPr>
      <w:r>
        <w:rPr>
          <w:rStyle w:val="a8"/>
        </w:rPr>
        <w:annotationRef/>
      </w:r>
      <w:r w:rsidR="005E590F" w:rsidRPr="00E2551D">
        <w:rPr>
          <w:lang w:bidi="ar-IQ"/>
        </w:rPr>
        <w:t>Not found in the text</w:t>
      </w:r>
    </w:p>
  </w:comment>
  <w:comment w:id="29" w:author="hk29022024" w:date="2026-08-01T15:57:00Z" w:initials="h">
    <w:p w14:paraId="3CE3FA3F" w14:textId="7044B7FE" w:rsidR="00920643" w:rsidRDefault="00920643">
      <w:pPr>
        <w:pStyle w:val="a9"/>
      </w:pPr>
      <w:r>
        <w:rPr>
          <w:rStyle w:val="a8"/>
        </w:rPr>
        <w:annotationRef/>
      </w:r>
      <w:r w:rsidR="005E590F" w:rsidRPr="00E2551D">
        <w:rPr>
          <w:lang w:bidi="ar-IQ"/>
        </w:rPr>
        <w:t>Not found in the text</w:t>
      </w:r>
    </w:p>
  </w:comment>
  <w:comment w:id="30" w:author="hk29022024" w:date="2026-08-01T15:59:00Z" w:initials="h">
    <w:p w14:paraId="50915DCB" w14:textId="5DA680F6" w:rsidR="00920643" w:rsidRDefault="00920643">
      <w:pPr>
        <w:pStyle w:val="a9"/>
      </w:pPr>
      <w:r>
        <w:rPr>
          <w:rStyle w:val="a8"/>
        </w:rPr>
        <w:annotationRef/>
      </w:r>
      <w:r w:rsidR="005E590F" w:rsidRPr="00E2551D">
        <w:rPr>
          <w:lang w:bidi="ar-IQ"/>
        </w:rPr>
        <w:t>Not found in the text</w:t>
      </w:r>
    </w:p>
  </w:comment>
  <w:comment w:id="31" w:author="hk29022024" w:date="2026-08-01T16:01:00Z" w:initials="h">
    <w:p w14:paraId="4073FD44" w14:textId="6D3664DA" w:rsidR="005E590F" w:rsidRDefault="005E590F">
      <w:pPr>
        <w:pStyle w:val="a9"/>
      </w:pPr>
      <w:r>
        <w:rPr>
          <w:rStyle w:val="a8"/>
        </w:rPr>
        <w:annotationRef/>
      </w:r>
      <w:r w:rsidRPr="00E2551D">
        <w:rPr>
          <w:lang w:bidi="ar-IQ"/>
        </w:rPr>
        <w:t>Not found in the text</w:t>
      </w:r>
    </w:p>
  </w:comment>
  <w:comment w:id="32" w:author="hk29022024" w:date="2026-08-01T16:02:00Z" w:initials="h">
    <w:p w14:paraId="7FAD4C60" w14:textId="57A4FBAD" w:rsidR="005E590F" w:rsidRDefault="005E590F">
      <w:pPr>
        <w:pStyle w:val="a9"/>
      </w:pPr>
      <w:r>
        <w:rPr>
          <w:rStyle w:val="a8"/>
        </w:rPr>
        <w:annotationRef/>
      </w:r>
      <w:r w:rsidRPr="00E2551D">
        <w:rPr>
          <w:lang w:bidi="ar-IQ"/>
        </w:rPr>
        <w:t>Not found in the text</w:t>
      </w:r>
    </w:p>
  </w:comment>
  <w:comment w:id="33" w:author="hk29022024" w:date="2026-08-01T16:03:00Z" w:initials="h">
    <w:p w14:paraId="28CBFA0D" w14:textId="6D86F9B9" w:rsidR="005E590F" w:rsidRDefault="005E590F">
      <w:pPr>
        <w:pStyle w:val="a9"/>
      </w:pPr>
      <w:r>
        <w:rPr>
          <w:rStyle w:val="a8"/>
        </w:rPr>
        <w:annotationRef/>
      </w:r>
      <w:r w:rsidRPr="00E2551D">
        <w:rPr>
          <w:lang w:bidi="ar-IQ"/>
        </w:rPr>
        <w:t>Not found in the text</w:t>
      </w:r>
    </w:p>
  </w:comment>
  <w:comment w:id="34" w:author="hk29022024" w:date="2026-08-01T16:08:00Z" w:initials="h">
    <w:p w14:paraId="214AAFEB" w14:textId="4619CAD2" w:rsidR="005E590F" w:rsidRDefault="005E590F">
      <w:pPr>
        <w:pStyle w:val="a9"/>
      </w:pPr>
      <w:r>
        <w:rPr>
          <w:rStyle w:val="a8"/>
        </w:rPr>
        <w:annotationRef/>
      </w:r>
      <w:r w:rsidRPr="00E2551D">
        <w:rPr>
          <w:lang w:bidi="ar-IQ"/>
        </w:rPr>
        <w:t>Not found in the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14340B" w15:done="0"/>
  <w15:commentEx w15:paraId="03B34D8E" w15:done="0"/>
  <w15:commentEx w15:paraId="3CEADC67" w15:done="0"/>
  <w15:commentEx w15:paraId="40D17538" w15:done="0"/>
  <w15:commentEx w15:paraId="22D1368C" w15:done="0"/>
  <w15:commentEx w15:paraId="11E12353" w15:done="0"/>
  <w15:commentEx w15:paraId="160ACFE4" w15:done="0"/>
  <w15:commentEx w15:paraId="3D89018B" w15:done="0"/>
  <w15:commentEx w15:paraId="283C0CF0" w15:done="0"/>
  <w15:commentEx w15:paraId="4E78C454" w15:done="0"/>
  <w15:commentEx w15:paraId="684786DB" w15:done="0"/>
  <w15:commentEx w15:paraId="71195B4E" w15:done="0"/>
  <w15:commentEx w15:paraId="43F84AFE" w15:done="0"/>
  <w15:commentEx w15:paraId="5402E073" w15:done="0"/>
  <w15:commentEx w15:paraId="367DED97" w15:done="0"/>
  <w15:commentEx w15:paraId="54F71F68" w15:done="0"/>
  <w15:commentEx w15:paraId="7096F959" w15:done="0"/>
  <w15:commentEx w15:paraId="69D90F42" w15:done="0"/>
  <w15:commentEx w15:paraId="40A4D791" w15:done="0"/>
  <w15:commentEx w15:paraId="4680C963" w15:done="0"/>
  <w15:commentEx w15:paraId="2A8E9946" w15:done="0"/>
  <w15:commentEx w15:paraId="08AA05FD" w15:done="0"/>
  <w15:commentEx w15:paraId="2A808C9A" w15:done="0"/>
  <w15:commentEx w15:paraId="45B53E28" w15:done="0"/>
  <w15:commentEx w15:paraId="63A678CF" w15:done="0"/>
  <w15:commentEx w15:paraId="2D7188FE" w15:done="0"/>
  <w15:commentEx w15:paraId="038C8FE1" w15:done="0"/>
  <w15:commentEx w15:paraId="79DEB803" w15:done="0"/>
  <w15:commentEx w15:paraId="02E7D689" w15:done="0"/>
  <w15:commentEx w15:paraId="3CE3FA3F" w15:done="0"/>
  <w15:commentEx w15:paraId="50915DCB" w15:done="0"/>
  <w15:commentEx w15:paraId="4073FD44" w15:done="0"/>
  <w15:commentEx w15:paraId="7FAD4C60" w15:done="0"/>
  <w15:commentEx w15:paraId="28CBFA0D" w15:done="0"/>
  <w15:commentEx w15:paraId="214AAF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7613E1" w16cex:dateUtc="2026-07-31T14:08:00Z"/>
  <w16cex:commentExtensible w16cex:durableId="4D78FC34" w16cex:dateUtc="2026-07-31T14:43:00Z"/>
  <w16cex:commentExtensible w16cex:durableId="05D0DECA" w16cex:dateUtc="2026-07-31T14:27:00Z"/>
  <w16cex:commentExtensible w16cex:durableId="28CF4DC4" w16cex:dateUtc="2026-07-31T19:48:00Z"/>
  <w16cex:commentExtensible w16cex:durableId="5F879618" w16cex:dateUtc="2026-07-31T19:43:00Z"/>
  <w16cex:commentExtensible w16cex:durableId="34A8F6C5" w16cex:dateUtc="2026-07-31T19:49:00Z"/>
  <w16cex:commentExtensible w16cex:durableId="0014C7D3" w16cex:dateUtc="2026-07-31T20:00:00Z"/>
  <w16cex:commentExtensible w16cex:durableId="70D9287F" w16cex:dateUtc="2026-07-31T20:10:00Z"/>
  <w16cex:commentExtensible w16cex:durableId="5448E390" w16cex:dateUtc="2026-07-31T20:22:00Z"/>
  <w16cex:commentExtensible w16cex:durableId="358E3C6A" w16cex:dateUtc="2026-07-31T20:36:00Z"/>
  <w16cex:commentExtensible w16cex:durableId="30E4CF4C" w16cex:dateUtc="2026-07-31T20:32:00Z"/>
  <w16cex:commentExtensible w16cex:durableId="54FFC128" w16cex:dateUtc="2026-07-31T20:40:00Z"/>
  <w16cex:commentExtensible w16cex:durableId="5E8B6566" w16cex:dateUtc="2026-08-01T08:45:00Z"/>
  <w16cex:commentExtensible w16cex:durableId="3702E867" w16cex:dateUtc="2026-08-01T09:02:00Z"/>
  <w16cex:commentExtensible w16cex:durableId="7939F2DE" w16cex:dateUtc="2026-08-01T12:55:00Z"/>
  <w16cex:commentExtensible w16cex:durableId="476E71DE" w16cex:dateUtc="2026-08-01T09:21:00Z"/>
  <w16cex:commentExtensible w16cex:durableId="3BF311F8" w16cex:dateUtc="2026-08-01T10:33:00Z"/>
  <w16cex:commentExtensible w16cex:durableId="581C607F" w16cex:dateUtc="2026-08-01T10:36:00Z"/>
  <w16cex:commentExtensible w16cex:durableId="7761329E" w16cex:dateUtc="2026-08-01T10:44:00Z"/>
  <w16cex:commentExtensible w16cex:durableId="7BB9B9B9" w16cex:dateUtc="2026-08-01T10:52:00Z"/>
  <w16cex:commentExtensible w16cex:durableId="4CC178C0" w16cex:dateUtc="2026-08-01T10:59:00Z"/>
  <w16cex:commentExtensible w16cex:durableId="5BDD2815" w16cex:dateUtc="2026-08-01T11:04:00Z"/>
  <w16cex:commentExtensible w16cex:durableId="3E00C36C" w16cex:dateUtc="2026-08-01T13:04:00Z"/>
  <w16cex:commentExtensible w16cex:durableId="479E493C" w16cex:dateUtc="2026-08-01T11:10:00Z"/>
  <w16cex:commentExtensible w16cex:durableId="2543BA9E" w16cex:dateUtc="2026-08-01T11:13:00Z"/>
  <w16cex:commentExtensible w16cex:durableId="68E5AD74" w16cex:dateUtc="2026-08-01T11:17:00Z"/>
  <w16cex:commentExtensible w16cex:durableId="46F979B1" w16cex:dateUtc="2026-08-01T12:51:00Z"/>
  <w16cex:commentExtensible w16cex:durableId="6D789FCD" w16cex:dateUtc="2026-08-01T12:53:00Z"/>
  <w16cex:commentExtensible w16cex:durableId="2DA346A9" w16cex:dateUtc="2026-08-01T12:57:00Z"/>
  <w16cex:commentExtensible w16cex:durableId="1DD6DB26" w16cex:dateUtc="2026-08-01T12:57:00Z"/>
  <w16cex:commentExtensible w16cex:durableId="5A554307" w16cex:dateUtc="2026-08-01T12:59:00Z"/>
  <w16cex:commentExtensible w16cex:durableId="57E4BC8A" w16cex:dateUtc="2026-08-01T13:01:00Z"/>
  <w16cex:commentExtensible w16cex:durableId="5E642F7E" w16cex:dateUtc="2026-08-01T13:02:00Z"/>
  <w16cex:commentExtensible w16cex:durableId="6E6763AD" w16cex:dateUtc="2026-08-01T13:03:00Z"/>
  <w16cex:commentExtensible w16cex:durableId="2A8312E5" w16cex:dateUtc="2026-08-01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14340B" w16cid:durableId="487613E1"/>
  <w16cid:commentId w16cid:paraId="03B34D8E" w16cid:durableId="4D78FC34"/>
  <w16cid:commentId w16cid:paraId="3CEADC67" w16cid:durableId="05D0DECA"/>
  <w16cid:commentId w16cid:paraId="40D17538" w16cid:durableId="28CF4DC4"/>
  <w16cid:commentId w16cid:paraId="22D1368C" w16cid:durableId="5F879618"/>
  <w16cid:commentId w16cid:paraId="11E12353" w16cid:durableId="34A8F6C5"/>
  <w16cid:commentId w16cid:paraId="160ACFE4" w16cid:durableId="0014C7D3"/>
  <w16cid:commentId w16cid:paraId="3D89018B" w16cid:durableId="70D9287F"/>
  <w16cid:commentId w16cid:paraId="283C0CF0" w16cid:durableId="5448E390"/>
  <w16cid:commentId w16cid:paraId="4E78C454" w16cid:durableId="358E3C6A"/>
  <w16cid:commentId w16cid:paraId="684786DB" w16cid:durableId="30E4CF4C"/>
  <w16cid:commentId w16cid:paraId="71195B4E" w16cid:durableId="54FFC128"/>
  <w16cid:commentId w16cid:paraId="43F84AFE" w16cid:durableId="5E8B6566"/>
  <w16cid:commentId w16cid:paraId="5402E073" w16cid:durableId="3702E867"/>
  <w16cid:commentId w16cid:paraId="367DED97" w16cid:durableId="7939F2DE"/>
  <w16cid:commentId w16cid:paraId="54F71F68" w16cid:durableId="476E71DE"/>
  <w16cid:commentId w16cid:paraId="7096F959" w16cid:durableId="3BF311F8"/>
  <w16cid:commentId w16cid:paraId="69D90F42" w16cid:durableId="581C607F"/>
  <w16cid:commentId w16cid:paraId="40A4D791" w16cid:durableId="7761329E"/>
  <w16cid:commentId w16cid:paraId="4680C963" w16cid:durableId="7BB9B9B9"/>
  <w16cid:commentId w16cid:paraId="2A8E9946" w16cid:durableId="4CC178C0"/>
  <w16cid:commentId w16cid:paraId="08AA05FD" w16cid:durableId="5BDD2815"/>
  <w16cid:commentId w16cid:paraId="2A808C9A" w16cid:durableId="3E00C36C"/>
  <w16cid:commentId w16cid:paraId="45B53E28" w16cid:durableId="479E493C"/>
  <w16cid:commentId w16cid:paraId="63A678CF" w16cid:durableId="2543BA9E"/>
  <w16cid:commentId w16cid:paraId="2D7188FE" w16cid:durableId="68E5AD74"/>
  <w16cid:commentId w16cid:paraId="038C8FE1" w16cid:durableId="46F979B1"/>
  <w16cid:commentId w16cid:paraId="79DEB803" w16cid:durableId="6D789FCD"/>
  <w16cid:commentId w16cid:paraId="02E7D689" w16cid:durableId="2DA346A9"/>
  <w16cid:commentId w16cid:paraId="3CE3FA3F" w16cid:durableId="1DD6DB26"/>
  <w16cid:commentId w16cid:paraId="50915DCB" w16cid:durableId="5A554307"/>
  <w16cid:commentId w16cid:paraId="4073FD44" w16cid:durableId="57E4BC8A"/>
  <w16cid:commentId w16cid:paraId="7FAD4C60" w16cid:durableId="5E642F7E"/>
  <w16cid:commentId w16cid:paraId="28CBFA0D" w16cid:durableId="6E6763AD"/>
  <w16cid:commentId w16cid:paraId="214AAFEB" w16cid:durableId="2A8312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F2F3" w14:textId="77777777" w:rsidR="000E7665" w:rsidRDefault="000E7665" w:rsidP="00CC334B">
      <w:pPr>
        <w:spacing w:after="0" w:line="240" w:lineRule="auto"/>
      </w:pPr>
      <w:r>
        <w:separator/>
      </w:r>
    </w:p>
  </w:endnote>
  <w:endnote w:type="continuationSeparator" w:id="0">
    <w:p w14:paraId="6F8C3E8D" w14:textId="77777777" w:rsidR="000E7665" w:rsidRDefault="000E7665" w:rsidP="00CC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B757" w14:textId="77777777" w:rsidR="00CC334B" w:rsidRDefault="00CC334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0E2E" w14:textId="77777777" w:rsidR="00CC334B" w:rsidRDefault="00CC334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932F" w14:textId="77777777" w:rsidR="00CC334B" w:rsidRDefault="00CC334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4AEFE" w14:textId="77777777" w:rsidR="000E7665" w:rsidRDefault="000E7665" w:rsidP="00CC334B">
      <w:pPr>
        <w:spacing w:after="0" w:line="240" w:lineRule="auto"/>
      </w:pPr>
      <w:r>
        <w:separator/>
      </w:r>
    </w:p>
  </w:footnote>
  <w:footnote w:type="continuationSeparator" w:id="0">
    <w:p w14:paraId="2359AC35" w14:textId="77777777" w:rsidR="000E7665" w:rsidRDefault="000E7665" w:rsidP="00CC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AAA1" w14:textId="6D4EEE37" w:rsidR="00CC334B" w:rsidRDefault="00000000">
    <w:pPr>
      <w:pStyle w:val="a6"/>
    </w:pPr>
    <w:r>
      <w:rPr>
        <w:noProof/>
      </w:rPr>
      <w:pict w14:anchorId="26999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7E38" w14:textId="665093A8" w:rsidR="00CC334B" w:rsidRDefault="00000000">
    <w:pPr>
      <w:pStyle w:val="a6"/>
    </w:pPr>
    <w:r>
      <w:rPr>
        <w:noProof/>
      </w:rPr>
      <w:pict w14:anchorId="14003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0449" w14:textId="28934AD9" w:rsidR="00CC334B" w:rsidRDefault="00000000">
    <w:pPr>
      <w:pStyle w:val="a6"/>
    </w:pPr>
    <w:r>
      <w:rPr>
        <w:noProof/>
      </w:rPr>
      <w:pict w14:anchorId="241A8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4241C"/>
    <w:multiLevelType w:val="hybridMultilevel"/>
    <w:tmpl w:val="B4025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3275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k29022024">
    <w15:presenceInfo w15:providerId="None" w15:userId="hk29022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394"/>
    <w:rsid w:val="000C6F9C"/>
    <w:rsid w:val="000E7665"/>
    <w:rsid w:val="00196E31"/>
    <w:rsid w:val="00204B03"/>
    <w:rsid w:val="00253228"/>
    <w:rsid w:val="00313AAA"/>
    <w:rsid w:val="0033632F"/>
    <w:rsid w:val="0043620E"/>
    <w:rsid w:val="004460D6"/>
    <w:rsid w:val="004B4F9E"/>
    <w:rsid w:val="004C7CB7"/>
    <w:rsid w:val="00551EC4"/>
    <w:rsid w:val="005E590F"/>
    <w:rsid w:val="005F62C9"/>
    <w:rsid w:val="00664E44"/>
    <w:rsid w:val="00720FE0"/>
    <w:rsid w:val="00772A1A"/>
    <w:rsid w:val="00800394"/>
    <w:rsid w:val="00853E5B"/>
    <w:rsid w:val="008A7DB7"/>
    <w:rsid w:val="00920643"/>
    <w:rsid w:val="009477AE"/>
    <w:rsid w:val="00991DD2"/>
    <w:rsid w:val="00997265"/>
    <w:rsid w:val="00B27CCF"/>
    <w:rsid w:val="00B55BE5"/>
    <w:rsid w:val="00B64CE7"/>
    <w:rsid w:val="00BA142C"/>
    <w:rsid w:val="00CC334B"/>
    <w:rsid w:val="00D0285B"/>
    <w:rsid w:val="00D94356"/>
    <w:rsid w:val="00DC1944"/>
    <w:rsid w:val="00DF27AB"/>
    <w:rsid w:val="00E2551D"/>
    <w:rsid w:val="00E912C7"/>
    <w:rsid w:val="00F1330B"/>
    <w:rsid w:val="00F37A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E413"/>
  <w15:chartTrackingRefBased/>
  <w15:docId w15:val="{A483685D-354A-4C14-9B3D-C96623B4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3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00394"/>
    <w:rPr>
      <w:color w:val="0000FF"/>
      <w:u w:val="single"/>
    </w:rPr>
  </w:style>
  <w:style w:type="paragraph" w:styleId="a3">
    <w:name w:val="List Paragraph"/>
    <w:basedOn w:val="a"/>
    <w:uiPriority w:val="34"/>
    <w:qFormat/>
    <w:rsid w:val="00800394"/>
    <w:pPr>
      <w:spacing w:after="200" w:line="276" w:lineRule="auto"/>
      <w:ind w:left="720"/>
      <w:contextualSpacing/>
    </w:pPr>
    <w:rPr>
      <w:rFonts w:ascii="Calibri" w:eastAsia="Calibri" w:hAnsi="Calibri" w:cs="Times New Roman"/>
    </w:rPr>
  </w:style>
  <w:style w:type="paragraph" w:customStyle="1" w:styleId="Default">
    <w:name w:val="Default"/>
    <w:rsid w:val="008003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rmal (Web)"/>
    <w:basedOn w:val="a"/>
    <w:uiPriority w:val="99"/>
    <w:unhideWhenUsed/>
    <w:rsid w:val="00800394"/>
    <w:pPr>
      <w:spacing w:before="100" w:beforeAutospacing="1" w:after="100" w:afterAutospacing="1" w:line="240" w:lineRule="auto"/>
    </w:pPr>
    <w:rPr>
      <w:rFonts w:ascii="Times New Roman" w:eastAsia="Times New Roman" w:hAnsi="Times New Roman" w:cs="Times New Roman"/>
      <w:sz w:val="24"/>
      <w:szCs w:val="24"/>
    </w:rPr>
  </w:style>
  <w:style w:type="table" w:styleId="4">
    <w:name w:val="Plain Table 4"/>
    <w:basedOn w:val="a1"/>
    <w:uiPriority w:val="44"/>
    <w:rsid w:val="008003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5">
    <w:name w:val="Unresolved Mention"/>
    <w:basedOn w:val="a0"/>
    <w:uiPriority w:val="99"/>
    <w:semiHidden/>
    <w:unhideWhenUsed/>
    <w:rsid w:val="00F1330B"/>
    <w:rPr>
      <w:color w:val="605E5C"/>
      <w:shd w:val="clear" w:color="auto" w:fill="E1DFDD"/>
    </w:rPr>
  </w:style>
  <w:style w:type="paragraph" w:styleId="a6">
    <w:name w:val="header"/>
    <w:basedOn w:val="a"/>
    <w:link w:val="Char"/>
    <w:uiPriority w:val="99"/>
    <w:unhideWhenUsed/>
    <w:rsid w:val="00CC334B"/>
    <w:pPr>
      <w:tabs>
        <w:tab w:val="center" w:pos="4513"/>
        <w:tab w:val="right" w:pos="9026"/>
      </w:tabs>
      <w:spacing w:after="0" w:line="240" w:lineRule="auto"/>
    </w:pPr>
  </w:style>
  <w:style w:type="character" w:customStyle="1" w:styleId="Char">
    <w:name w:val="رأس الصفحة Char"/>
    <w:basedOn w:val="a0"/>
    <w:link w:val="a6"/>
    <w:uiPriority w:val="99"/>
    <w:rsid w:val="00CC334B"/>
  </w:style>
  <w:style w:type="paragraph" w:styleId="a7">
    <w:name w:val="footer"/>
    <w:basedOn w:val="a"/>
    <w:link w:val="Char0"/>
    <w:uiPriority w:val="99"/>
    <w:unhideWhenUsed/>
    <w:rsid w:val="00CC334B"/>
    <w:pPr>
      <w:tabs>
        <w:tab w:val="center" w:pos="4513"/>
        <w:tab w:val="right" w:pos="9026"/>
      </w:tabs>
      <w:spacing w:after="0" w:line="240" w:lineRule="auto"/>
    </w:pPr>
  </w:style>
  <w:style w:type="character" w:customStyle="1" w:styleId="Char0">
    <w:name w:val="تذييل الصفحة Char"/>
    <w:basedOn w:val="a0"/>
    <w:link w:val="a7"/>
    <w:uiPriority w:val="99"/>
    <w:rsid w:val="00CC334B"/>
  </w:style>
  <w:style w:type="character" w:styleId="a8">
    <w:name w:val="annotation reference"/>
    <w:basedOn w:val="a0"/>
    <w:uiPriority w:val="99"/>
    <w:semiHidden/>
    <w:unhideWhenUsed/>
    <w:rsid w:val="00B27CCF"/>
    <w:rPr>
      <w:sz w:val="16"/>
      <w:szCs w:val="16"/>
    </w:rPr>
  </w:style>
  <w:style w:type="paragraph" w:styleId="a9">
    <w:name w:val="annotation text"/>
    <w:basedOn w:val="a"/>
    <w:link w:val="Char1"/>
    <w:uiPriority w:val="99"/>
    <w:semiHidden/>
    <w:unhideWhenUsed/>
    <w:rsid w:val="00B27CCF"/>
    <w:pPr>
      <w:spacing w:line="240" w:lineRule="auto"/>
    </w:pPr>
    <w:rPr>
      <w:sz w:val="20"/>
      <w:szCs w:val="20"/>
    </w:rPr>
  </w:style>
  <w:style w:type="character" w:customStyle="1" w:styleId="Char1">
    <w:name w:val="نص تعليق Char"/>
    <w:basedOn w:val="a0"/>
    <w:link w:val="a9"/>
    <w:uiPriority w:val="99"/>
    <w:semiHidden/>
    <w:rsid w:val="00B27CCF"/>
    <w:rPr>
      <w:sz w:val="20"/>
      <w:szCs w:val="20"/>
    </w:rPr>
  </w:style>
  <w:style w:type="paragraph" w:styleId="aa">
    <w:name w:val="annotation subject"/>
    <w:basedOn w:val="a9"/>
    <w:next w:val="a9"/>
    <w:link w:val="Char2"/>
    <w:uiPriority w:val="99"/>
    <w:semiHidden/>
    <w:unhideWhenUsed/>
    <w:rsid w:val="00B27CCF"/>
    <w:rPr>
      <w:b/>
      <w:bCs/>
    </w:rPr>
  </w:style>
  <w:style w:type="character" w:customStyle="1" w:styleId="Char2">
    <w:name w:val="موضوع تعليق Char"/>
    <w:basedOn w:val="Char1"/>
    <w:link w:val="aa"/>
    <w:uiPriority w:val="99"/>
    <w:semiHidden/>
    <w:rsid w:val="00B27C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hyperlink" Target="https://www.enzolifesciences.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doi.org/10.54910/sabrao2024.56.4.21" TargetMode="Externa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yperlink" Target="https://doi.org/10.1007/978-1-0716-2136-3"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biopha.2019.01.046" TargetMode="External"/><Relationship Id="rId20" Type="http://schemas.openxmlformats.org/officeDocument/2006/relationships/hyperlink" Target="http://doi.org.10.3389/fphar.2020.00700"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academic.oup.com/hropen/article/2023/2/hoad007/7066921"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1016/j.biopsycho.2005.03.005" TargetMode="External"/><Relationship Id="rId23" Type="http://schemas.openxmlformats.org/officeDocument/2006/relationships/hyperlink" Target="https://www.sigmaaldrich.com/RAB0326" TargetMode="External"/><Relationship Id="rId28" Type="http://schemas.openxmlformats.org/officeDocument/2006/relationships/footer" Target="footer2.xml"/><Relationship Id="rId10" Type="http://schemas.microsoft.com/office/2018/08/relationships/commentsExtensible" Target="commentsExtensible.xml"/><Relationship Id="rId19" Type="http://schemas.openxmlformats.org/officeDocument/2006/relationships/hyperlink" Target="https://doi.org/10.1016/j.jep.2017.03.04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png"/><Relationship Id="rId22" Type="http://schemas.openxmlformats.org/officeDocument/2006/relationships/hyperlink" Target="https://doi.org/10.1111/jsm.12949"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1869</TotalTime>
  <Pages>1</Pages>
  <Words>4995</Words>
  <Characters>28478</Characters>
  <Application>Microsoft Office Word</Application>
  <DocSecurity>0</DocSecurity>
  <Lines>237</Lines>
  <Paragraphs>66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hk29022024</cp:lastModifiedBy>
  <cp:revision>13</cp:revision>
  <dcterms:created xsi:type="dcterms:W3CDTF">2026-07-29T18:11:00Z</dcterms:created>
  <dcterms:modified xsi:type="dcterms:W3CDTF">2026-08-01T13:12:00Z</dcterms:modified>
</cp:coreProperties>
</file>