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3EFDB8" w14:textId="77777777" w:rsidR="00E63C48" w:rsidRPr="00797676" w:rsidRDefault="00302EC0" w:rsidP="00425F66">
      <w:pPr>
        <w:jc w:val="center"/>
        <w:rPr>
          <w:rFonts w:cs="Times New Roman"/>
          <w:b/>
          <w:szCs w:val="24"/>
        </w:rPr>
      </w:pPr>
      <w:r w:rsidRPr="00797676">
        <w:rPr>
          <w:rFonts w:cs="Times New Roman"/>
          <w:b/>
          <w:szCs w:val="24"/>
        </w:rPr>
        <w:t>EFFECT OF SOYBEAN FORTIFICATION</w:t>
      </w:r>
      <w:r w:rsidR="002B1AB0" w:rsidRPr="00797676">
        <w:rPr>
          <w:rFonts w:cs="Times New Roman"/>
          <w:b/>
          <w:szCs w:val="24"/>
        </w:rPr>
        <w:t xml:space="preserve"> ON THE </w:t>
      </w:r>
      <w:r w:rsidR="00A633D9">
        <w:rPr>
          <w:rFonts w:cs="Times New Roman"/>
          <w:b/>
          <w:szCs w:val="24"/>
        </w:rPr>
        <w:t>PHYSICOCHEMICAL</w:t>
      </w:r>
      <w:r w:rsidRPr="00797676">
        <w:rPr>
          <w:rFonts w:cs="Times New Roman"/>
          <w:b/>
          <w:szCs w:val="24"/>
        </w:rPr>
        <w:t xml:space="preserve"> AND SENSORY PROPERTIES OF FERMENTED MAIZE PAP</w:t>
      </w:r>
    </w:p>
    <w:p w14:paraId="5A51D173" w14:textId="77777777" w:rsidR="005328DD" w:rsidRDefault="005328DD" w:rsidP="00425F66">
      <w:pPr>
        <w:jc w:val="both"/>
        <w:rPr>
          <w:rFonts w:cs="Times New Roman"/>
          <w:b/>
          <w:sz w:val="28"/>
          <w:szCs w:val="28"/>
        </w:rPr>
      </w:pPr>
    </w:p>
    <w:p w14:paraId="302F913D" w14:textId="77777777" w:rsidR="005328DD" w:rsidRDefault="005328DD" w:rsidP="00425F66">
      <w:pPr>
        <w:jc w:val="both"/>
        <w:rPr>
          <w:rFonts w:cs="Times New Roman"/>
          <w:b/>
          <w:sz w:val="28"/>
          <w:szCs w:val="28"/>
        </w:rPr>
      </w:pPr>
    </w:p>
    <w:p w14:paraId="2778D645" w14:textId="0FDD19B3" w:rsidR="00425F66" w:rsidRPr="002B1AB0" w:rsidRDefault="00302EC0" w:rsidP="00425F66">
      <w:pPr>
        <w:jc w:val="both"/>
        <w:rPr>
          <w:rFonts w:cs="Times New Roman"/>
          <w:b/>
          <w:sz w:val="28"/>
          <w:szCs w:val="28"/>
        </w:rPr>
      </w:pPr>
      <w:r w:rsidRPr="002B1AB0">
        <w:rPr>
          <w:rFonts w:cs="Times New Roman"/>
          <w:b/>
          <w:sz w:val="28"/>
          <w:szCs w:val="28"/>
        </w:rPr>
        <w:t>Abstract</w:t>
      </w:r>
    </w:p>
    <w:p w14:paraId="61C0D3B4" w14:textId="77777777" w:rsidR="00516D62" w:rsidRDefault="009C40FB" w:rsidP="002B1AB0">
      <w:pPr>
        <w:spacing w:line="240" w:lineRule="auto"/>
        <w:jc w:val="both"/>
        <w:rPr>
          <w:rFonts w:cs="Times New Roman"/>
          <w:sz w:val="22"/>
        </w:rPr>
      </w:pPr>
      <w:r w:rsidRPr="002B1AB0">
        <w:rPr>
          <w:rFonts w:cs="Times New Roman"/>
          <w:sz w:val="22"/>
        </w:rPr>
        <w:t>Fermented maize pap (</w:t>
      </w:r>
      <w:proofErr w:type="spellStart"/>
      <w:r w:rsidRPr="002B1AB0">
        <w:rPr>
          <w:rFonts w:cs="Times New Roman"/>
          <w:sz w:val="22"/>
        </w:rPr>
        <w:t>ogi</w:t>
      </w:r>
      <w:proofErr w:type="spellEnd"/>
      <w:r w:rsidRPr="002B1AB0">
        <w:rPr>
          <w:rFonts w:cs="Times New Roman"/>
          <w:sz w:val="22"/>
        </w:rPr>
        <w:t xml:space="preserve"> or </w:t>
      </w:r>
      <w:proofErr w:type="spellStart"/>
      <w:r w:rsidRPr="002B1AB0">
        <w:rPr>
          <w:rFonts w:cs="Times New Roman"/>
          <w:sz w:val="22"/>
        </w:rPr>
        <w:t>akamu</w:t>
      </w:r>
      <w:proofErr w:type="spellEnd"/>
      <w:r w:rsidRPr="002B1AB0">
        <w:rPr>
          <w:rFonts w:cs="Times New Roman"/>
          <w:sz w:val="22"/>
        </w:rPr>
        <w:t>) is a traditional cereal-based food widely consumed in Nigeria and other parts of West Africa. Although fermentation can improve cereal digestibility and sensory quality, maize pap remains predominantly carbohydrate-based and relatively limited in protein. Soybean (</w:t>
      </w:r>
      <w:r w:rsidRPr="002B1AB0">
        <w:rPr>
          <w:rFonts w:cs="Times New Roman"/>
          <w:i/>
          <w:sz w:val="22"/>
        </w:rPr>
        <w:t>Glycine max</w:t>
      </w:r>
      <w:r w:rsidRPr="002B1AB0">
        <w:rPr>
          <w:rFonts w:cs="Times New Roman"/>
          <w:sz w:val="22"/>
        </w:rPr>
        <w:t xml:space="preserve"> L.) is a protein- and lipid-rich legume that can complement the amino-acid limitations of maize and modify the functional characteristics of cereal-based foods. This study evaluated the effect of graded soybean fortification on the proximate composition, flour yield, functional properties and sensory acceptability of fermented maize pap powder. Yellow maize was naturally fermented for 72 h and converted to pap powder, while soybean was soaked, dehulled, blanched, dried and milled separately. The resulting flours were blended at 100:0, 90:10</w:t>
      </w:r>
      <w:r w:rsidR="00425F66" w:rsidRPr="002B1AB0">
        <w:rPr>
          <w:rFonts w:cs="Times New Roman"/>
          <w:sz w:val="22"/>
        </w:rPr>
        <w:t xml:space="preserve">, 80:20, 70:30, 60:40 and 50:50 </w:t>
      </w:r>
      <w:proofErr w:type="spellStart"/>
      <w:r w:rsidR="00425F66" w:rsidRPr="002B1AB0">
        <w:rPr>
          <w:rFonts w:cs="Times New Roman"/>
          <w:sz w:val="22"/>
        </w:rPr>
        <w:t>maize:</w:t>
      </w:r>
      <w:r w:rsidRPr="002B1AB0">
        <w:rPr>
          <w:rFonts w:cs="Times New Roman"/>
          <w:sz w:val="22"/>
        </w:rPr>
        <w:t>soybean</w:t>
      </w:r>
      <w:proofErr w:type="spellEnd"/>
      <w:r w:rsidRPr="002B1AB0">
        <w:rPr>
          <w:rFonts w:cs="Times New Roman"/>
          <w:sz w:val="22"/>
        </w:rPr>
        <w:t xml:space="preserve"> ratios. Moisture, ash, crude </w:t>
      </w:r>
      <w:proofErr w:type="spellStart"/>
      <w:r w:rsidRPr="002B1AB0">
        <w:rPr>
          <w:rFonts w:cs="Times New Roman"/>
          <w:sz w:val="22"/>
        </w:rPr>
        <w:t>fibre</w:t>
      </w:r>
      <w:proofErr w:type="spellEnd"/>
      <w:r w:rsidRPr="002B1AB0">
        <w:rPr>
          <w:rFonts w:cs="Times New Roman"/>
          <w:sz w:val="22"/>
        </w:rPr>
        <w:t>, fat, protein and carbohydrate were determined using standard procedures, while bulk density, water absorption capacity, pH, swelling index, solubility and flour yield were evaluated using established methods. Thirty semi-trained panelists evaluated reconstituted pap using a nine-point</w:t>
      </w:r>
      <w:r w:rsidR="00425F66" w:rsidRPr="002B1AB0">
        <w:rPr>
          <w:rFonts w:cs="Times New Roman"/>
          <w:sz w:val="22"/>
        </w:rPr>
        <w:t xml:space="preserve"> hedonic scale. Data were analyz</w:t>
      </w:r>
      <w:r w:rsidRPr="002B1AB0">
        <w:rPr>
          <w:rFonts w:cs="Times New Roman"/>
          <w:sz w:val="22"/>
        </w:rPr>
        <w:t xml:space="preserve">ed by one-way analysis of variance and treatment means were separated at p &lt; .05 using the least significant difference procedure. Soybean incorporation increased protein, fat and ash contents, with protein increasing from 8.80% in the control to 15.28% at 50% soybean. </w:t>
      </w:r>
      <w:proofErr w:type="spellStart"/>
      <w:r w:rsidRPr="002B1AB0">
        <w:rPr>
          <w:rFonts w:cs="Times New Roman"/>
          <w:sz w:val="22"/>
        </w:rPr>
        <w:t>Fibre</w:t>
      </w:r>
      <w:proofErr w:type="spellEnd"/>
      <w:r w:rsidRPr="002B1AB0">
        <w:rPr>
          <w:rFonts w:cs="Times New Roman"/>
          <w:sz w:val="22"/>
        </w:rPr>
        <w:t xml:space="preserve"> reached its maximum value at 40% soybean rather than increasing continuously. Water absorption capacity increased from 0.81 to 0.90 g/g, whereas swelling index and solubility decreased. Flour yield varied among formulations and was highest at 20% soybean. Overall acceptability was highest for the control (6.90) and 10% soybean blend (6.50); the 20% blend recorded 5.80 and was not statistically comparable with the control because the difference exceeded the reported LSD of 0.24. Thus, the study demonstrates that soybean fortification can improve the nutritional and selected functional properties of fermented maize pap, but increasing soybean concentration can reduce sensory acceptance. A 10% soybean formulation provides the most conservative fortified option under a stated decision rule combining protein improvement with an overall acce</w:t>
      </w:r>
      <w:r w:rsidR="00516D62">
        <w:rPr>
          <w:rFonts w:cs="Times New Roman"/>
          <w:sz w:val="22"/>
        </w:rPr>
        <w:t>ptability score of at least 6.0.</w:t>
      </w:r>
    </w:p>
    <w:p w14:paraId="3D869AE6" w14:textId="77777777" w:rsidR="009C40FB" w:rsidRPr="002B1AB0" w:rsidRDefault="00425F66" w:rsidP="002B1AB0">
      <w:pPr>
        <w:spacing w:line="240" w:lineRule="auto"/>
        <w:jc w:val="both"/>
        <w:rPr>
          <w:rFonts w:cs="Times New Roman"/>
          <w:sz w:val="22"/>
        </w:rPr>
      </w:pPr>
      <w:r w:rsidRPr="002B1AB0">
        <w:rPr>
          <w:rFonts w:cs="Times New Roman"/>
          <w:sz w:val="22"/>
        </w:rPr>
        <w:t xml:space="preserve">Keywords: </w:t>
      </w:r>
      <w:r w:rsidRPr="002B1AB0">
        <w:rPr>
          <w:rFonts w:cs="Times New Roman"/>
          <w:i/>
          <w:sz w:val="22"/>
        </w:rPr>
        <w:t>F</w:t>
      </w:r>
      <w:r w:rsidR="009C40FB" w:rsidRPr="002B1AB0">
        <w:rPr>
          <w:rFonts w:cs="Times New Roman"/>
          <w:i/>
          <w:sz w:val="22"/>
        </w:rPr>
        <w:t xml:space="preserve">ermented maize pap; </w:t>
      </w:r>
      <w:r w:rsidRPr="002B1AB0">
        <w:rPr>
          <w:rFonts w:cs="Times New Roman"/>
          <w:i/>
          <w:sz w:val="22"/>
        </w:rPr>
        <w:t>Composite flour; Proximate composition; Functional properties; S</w:t>
      </w:r>
      <w:r w:rsidR="009C40FB" w:rsidRPr="002B1AB0">
        <w:rPr>
          <w:rFonts w:cs="Times New Roman"/>
          <w:i/>
          <w:sz w:val="22"/>
        </w:rPr>
        <w:t>ensory evaluation</w:t>
      </w:r>
    </w:p>
    <w:p w14:paraId="6FF142B7" w14:textId="77777777" w:rsidR="00E63C48" w:rsidRPr="003A4706" w:rsidRDefault="00302EC0" w:rsidP="009C40FB">
      <w:pPr>
        <w:pStyle w:val="Heading1"/>
        <w:jc w:val="both"/>
        <w:rPr>
          <w:rFonts w:ascii="Times New Roman" w:hAnsi="Times New Roman" w:cs="Times New Roman"/>
          <w:color w:val="auto"/>
        </w:rPr>
      </w:pPr>
      <w:r w:rsidRPr="003A4706">
        <w:rPr>
          <w:rFonts w:ascii="Times New Roman" w:hAnsi="Times New Roman" w:cs="Times New Roman"/>
          <w:color w:val="auto"/>
        </w:rPr>
        <w:t>1.0 Introduction</w:t>
      </w:r>
    </w:p>
    <w:p w14:paraId="15996C88" w14:textId="77777777" w:rsidR="00E63C48" w:rsidRPr="003A4706" w:rsidRDefault="00302EC0" w:rsidP="002B1AB0">
      <w:pPr>
        <w:spacing w:line="240" w:lineRule="auto"/>
        <w:jc w:val="both"/>
        <w:rPr>
          <w:rFonts w:cs="Times New Roman"/>
        </w:rPr>
      </w:pPr>
      <w:r w:rsidRPr="003A4706">
        <w:rPr>
          <w:rFonts w:cs="Times New Roman"/>
          <w:sz w:val="22"/>
        </w:rPr>
        <w:t>Malnutrition remains a major nutritional and public-health challenge in many low- and middle-income countries. The problem is particularly important during infancy and early childhood because growth is rapid and requirements for energy, protein and micronutrients increase. The World Health Organization identifies 6–23 months as a critical period for complementary feeding because breast milk alone becomes insufficient to meet all nutritional requirements and the risk of growth faltering and nutrient deficiencies is high. Appropriate complementary foods should therefore be nutritionally adequate, safe, affordable, culturally acceptable and capable of being consumed in suitable quantities (WHO, 2023).</w:t>
      </w:r>
    </w:p>
    <w:p w14:paraId="39E54F3C" w14:textId="77777777" w:rsidR="00E63C48" w:rsidRPr="003A4706" w:rsidRDefault="00302EC0" w:rsidP="002B1AB0">
      <w:pPr>
        <w:spacing w:line="240" w:lineRule="auto"/>
        <w:jc w:val="both"/>
        <w:rPr>
          <w:rFonts w:cs="Times New Roman"/>
        </w:rPr>
      </w:pPr>
      <w:r w:rsidRPr="003A4706">
        <w:rPr>
          <w:rFonts w:cs="Times New Roman"/>
          <w:sz w:val="22"/>
        </w:rPr>
        <w:t xml:space="preserve">In Nigeria and other West African countries, traditional cereal-based foods constitute important components of complementary and family diets. Fermented maize pap, variously known as </w:t>
      </w:r>
      <w:proofErr w:type="spellStart"/>
      <w:r w:rsidRPr="003A4706">
        <w:rPr>
          <w:rFonts w:cs="Times New Roman"/>
          <w:sz w:val="22"/>
        </w:rPr>
        <w:t>ogi</w:t>
      </w:r>
      <w:proofErr w:type="spellEnd"/>
      <w:r w:rsidRPr="003A4706">
        <w:rPr>
          <w:rFonts w:cs="Times New Roman"/>
          <w:sz w:val="22"/>
        </w:rPr>
        <w:t xml:space="preserve">, </w:t>
      </w:r>
      <w:proofErr w:type="spellStart"/>
      <w:r w:rsidRPr="003A4706">
        <w:rPr>
          <w:rFonts w:cs="Times New Roman"/>
          <w:sz w:val="22"/>
        </w:rPr>
        <w:t>akamu</w:t>
      </w:r>
      <w:proofErr w:type="spellEnd"/>
      <w:r w:rsidRPr="003A4706">
        <w:rPr>
          <w:rFonts w:cs="Times New Roman"/>
          <w:sz w:val="22"/>
        </w:rPr>
        <w:t xml:space="preserve"> or </w:t>
      </w:r>
      <w:proofErr w:type="spellStart"/>
      <w:r w:rsidRPr="003A4706">
        <w:rPr>
          <w:rFonts w:cs="Times New Roman"/>
          <w:sz w:val="22"/>
        </w:rPr>
        <w:t>koko</w:t>
      </w:r>
      <w:proofErr w:type="spellEnd"/>
      <w:r w:rsidRPr="003A4706">
        <w:rPr>
          <w:rFonts w:cs="Times New Roman"/>
          <w:sz w:val="22"/>
        </w:rPr>
        <w:t xml:space="preserve">, is especially important because maize is widely cultivated, relatively inexpensive and familiar to consumers. Ogi is traditionally produced by steeping maize in water, wet milling, sieving, sedimentation and fermentation, followed by direct preparation of the wet paste or drying to obtain a powder. The process is embedded in local food systems and is </w:t>
      </w:r>
      <w:r w:rsidRPr="003A4706">
        <w:rPr>
          <w:rFonts w:cs="Times New Roman"/>
          <w:sz w:val="22"/>
        </w:rPr>
        <w:lastRenderedPageBreak/>
        <w:t xml:space="preserve">valued for its characteristic sour taste, soft consistency and relatively simple preparation. Fermentation can contribute to desirable acidification, </w:t>
      </w:r>
      <w:proofErr w:type="spellStart"/>
      <w:r w:rsidRPr="003A4706">
        <w:rPr>
          <w:rFonts w:cs="Times New Roman"/>
          <w:sz w:val="22"/>
        </w:rPr>
        <w:t>flavour</w:t>
      </w:r>
      <w:proofErr w:type="spellEnd"/>
      <w:r w:rsidRPr="003A4706">
        <w:rPr>
          <w:rFonts w:cs="Times New Roman"/>
          <w:sz w:val="22"/>
        </w:rPr>
        <w:t xml:space="preserve"> development and modification of cereal nutrients and </w:t>
      </w:r>
      <w:proofErr w:type="spellStart"/>
      <w:r w:rsidRPr="003A4706">
        <w:rPr>
          <w:rFonts w:cs="Times New Roman"/>
          <w:sz w:val="22"/>
        </w:rPr>
        <w:t>antinutritional</w:t>
      </w:r>
      <w:proofErr w:type="spellEnd"/>
      <w:r w:rsidRPr="003A4706">
        <w:rPr>
          <w:rFonts w:cs="Times New Roman"/>
          <w:sz w:val="22"/>
        </w:rPr>
        <w:t xml:space="preserve"> components (</w:t>
      </w:r>
      <w:commentRangeStart w:id="0"/>
      <w:proofErr w:type="spellStart"/>
      <w:r w:rsidRPr="003A4706">
        <w:rPr>
          <w:rFonts w:cs="Times New Roman"/>
          <w:sz w:val="22"/>
        </w:rPr>
        <w:t>Akingbala</w:t>
      </w:r>
      <w:proofErr w:type="spellEnd"/>
      <w:r w:rsidRPr="003A4706">
        <w:rPr>
          <w:rFonts w:cs="Times New Roman"/>
          <w:sz w:val="22"/>
        </w:rPr>
        <w:t xml:space="preserve"> et al., 1981</w:t>
      </w:r>
      <w:commentRangeEnd w:id="0"/>
      <w:r w:rsidR="00C05281">
        <w:rPr>
          <w:rStyle w:val="CommentReference"/>
        </w:rPr>
        <w:commentReference w:id="0"/>
      </w:r>
      <w:r w:rsidRPr="003A4706">
        <w:rPr>
          <w:rFonts w:cs="Times New Roman"/>
          <w:sz w:val="22"/>
        </w:rPr>
        <w:t xml:space="preserve">; </w:t>
      </w:r>
      <w:proofErr w:type="spellStart"/>
      <w:r w:rsidRPr="003A4706">
        <w:rPr>
          <w:rFonts w:cs="Times New Roman"/>
          <w:sz w:val="22"/>
        </w:rPr>
        <w:t>Nkhata</w:t>
      </w:r>
      <w:proofErr w:type="spellEnd"/>
      <w:r w:rsidRPr="003A4706">
        <w:rPr>
          <w:rFonts w:cs="Times New Roman"/>
          <w:sz w:val="22"/>
        </w:rPr>
        <w:t xml:space="preserve"> et al., 2018).</w:t>
      </w:r>
    </w:p>
    <w:p w14:paraId="2D1D829F" w14:textId="77777777" w:rsidR="00E63C48" w:rsidRPr="003A4706" w:rsidRDefault="00302EC0" w:rsidP="002B1AB0">
      <w:pPr>
        <w:spacing w:line="240" w:lineRule="auto"/>
        <w:jc w:val="both"/>
        <w:rPr>
          <w:rFonts w:cs="Times New Roman"/>
        </w:rPr>
      </w:pPr>
      <w:r w:rsidRPr="003A4706">
        <w:rPr>
          <w:rFonts w:cs="Times New Roman"/>
          <w:sz w:val="22"/>
        </w:rPr>
        <w:t xml:space="preserve">The nutritional limitation of maize pap is nevertheless important. Maize supplies substantial starch and energy, but its protein concentration is comparatively low and the quality of its protein is constrained by the relatively low contribution of lysine and other indispensable amino acids. When a cereal food is consumed repeatedly as a major dietary component, increasing its protein density can be useful. Food-based strategies that combine cereals with legumes are therefore attractive because they use familiar ingredients while exploiting complementary nutritional profiles (Temba et al., 2016; </w:t>
      </w:r>
      <w:proofErr w:type="spellStart"/>
      <w:r w:rsidRPr="003A4706">
        <w:rPr>
          <w:rFonts w:cs="Times New Roman"/>
          <w:sz w:val="22"/>
        </w:rPr>
        <w:t>Ijarotimi</w:t>
      </w:r>
      <w:proofErr w:type="spellEnd"/>
      <w:r w:rsidRPr="003A4706">
        <w:rPr>
          <w:rFonts w:cs="Times New Roman"/>
          <w:sz w:val="22"/>
        </w:rPr>
        <w:t xml:space="preserve"> </w:t>
      </w:r>
      <w:r w:rsidR="000D78E2">
        <w:rPr>
          <w:rFonts w:cs="Times New Roman"/>
          <w:sz w:val="22"/>
        </w:rPr>
        <w:t>and</w:t>
      </w:r>
      <w:r w:rsidRPr="003A4706">
        <w:rPr>
          <w:rFonts w:cs="Times New Roman"/>
          <w:sz w:val="22"/>
        </w:rPr>
        <w:t xml:space="preserve"> </w:t>
      </w:r>
      <w:proofErr w:type="spellStart"/>
      <w:r w:rsidRPr="003A4706">
        <w:rPr>
          <w:rFonts w:cs="Times New Roman"/>
          <w:sz w:val="22"/>
        </w:rPr>
        <w:t>Keshinro</w:t>
      </w:r>
      <w:proofErr w:type="spellEnd"/>
      <w:r w:rsidRPr="003A4706">
        <w:rPr>
          <w:rFonts w:cs="Times New Roman"/>
          <w:sz w:val="22"/>
        </w:rPr>
        <w:t>, 2021).</w:t>
      </w:r>
    </w:p>
    <w:p w14:paraId="6028CEB9" w14:textId="77777777" w:rsidR="00E63C48" w:rsidRPr="003A4706" w:rsidRDefault="00302EC0" w:rsidP="002B1AB0">
      <w:pPr>
        <w:spacing w:line="240" w:lineRule="auto"/>
        <w:jc w:val="both"/>
        <w:rPr>
          <w:rFonts w:cs="Times New Roman"/>
        </w:rPr>
      </w:pPr>
      <w:r w:rsidRPr="003A4706">
        <w:rPr>
          <w:rFonts w:cs="Times New Roman"/>
          <w:sz w:val="22"/>
        </w:rPr>
        <w:t>Soybean (</w:t>
      </w:r>
      <w:r w:rsidRPr="00C8603D">
        <w:rPr>
          <w:rFonts w:cs="Times New Roman"/>
          <w:i/>
          <w:sz w:val="22"/>
        </w:rPr>
        <w:t>Glycine max</w:t>
      </w:r>
      <w:r w:rsidRPr="003A4706">
        <w:rPr>
          <w:rFonts w:cs="Times New Roman"/>
          <w:sz w:val="22"/>
        </w:rPr>
        <w:t xml:space="preserve"> L.) is particularly suitable for cereal fortification because the seed contains substantial protein and lipid together with minerals, vitamins and other bioactive constituents. Soybean protein is relatively rich in lysine compared with cereal proteins and can therefore complement the amino-acid limitations of maize. Cereal–soybean blending has consequently been investigated in complementary foods, beverages, porridges and composite flours. The extent of improvement depends on the soybean-to-cereal ratio, processing conditions, moisture content, particle size and the analytical method used. It is therefore necessary to evaluate the actual formulation rather than assume that increasing soybean automatically produces the best food product.</w:t>
      </w:r>
      <w:r w:rsidR="00425F66" w:rsidRPr="003A4706">
        <w:rPr>
          <w:rFonts w:cs="Times New Roman"/>
        </w:rPr>
        <w:t xml:space="preserve"> </w:t>
      </w:r>
      <w:r w:rsidRPr="003A4706">
        <w:rPr>
          <w:rFonts w:cs="Times New Roman"/>
          <w:sz w:val="22"/>
        </w:rPr>
        <w:t xml:space="preserve">The processing history of soybean is important to the quality of the resulting pap. Raw soybean contains compounds that can influence </w:t>
      </w:r>
      <w:proofErr w:type="spellStart"/>
      <w:r w:rsidRPr="003A4706">
        <w:rPr>
          <w:rFonts w:cs="Times New Roman"/>
          <w:sz w:val="22"/>
        </w:rPr>
        <w:t>flavour</w:t>
      </w:r>
      <w:proofErr w:type="spellEnd"/>
      <w:r w:rsidRPr="003A4706">
        <w:rPr>
          <w:rFonts w:cs="Times New Roman"/>
          <w:sz w:val="22"/>
        </w:rPr>
        <w:t xml:space="preserve">, digestibility and functionality. Lipoxygenase activity is associated with volatile compounds responsible for characteristic beany notes, while heat treatment can reduce enzyme activity. Soaking, dehulling and blanching may also alter the composition and hydration </w:t>
      </w:r>
      <w:proofErr w:type="spellStart"/>
      <w:r w:rsidRPr="003A4706">
        <w:rPr>
          <w:rFonts w:cs="Times New Roman"/>
          <w:sz w:val="22"/>
        </w:rPr>
        <w:t>behaviour</w:t>
      </w:r>
      <w:proofErr w:type="spellEnd"/>
      <w:r w:rsidRPr="003A4706">
        <w:rPr>
          <w:rFonts w:cs="Times New Roman"/>
          <w:sz w:val="22"/>
        </w:rPr>
        <w:t xml:space="preserve"> of soybean flour. In the present work, soybean was soaked, dehulled, blanched, dried and milled before incorporation. This sequence was selected to provide a practical pre-treatment while avoiding the use of an external starter or highly specialized equipment.</w:t>
      </w:r>
    </w:p>
    <w:p w14:paraId="188F7B8E" w14:textId="77777777" w:rsidR="00E63C48" w:rsidRPr="003A4706" w:rsidRDefault="00302EC0" w:rsidP="002B1AB0">
      <w:pPr>
        <w:spacing w:line="240" w:lineRule="auto"/>
        <w:jc w:val="both"/>
        <w:rPr>
          <w:rFonts w:cs="Times New Roman"/>
        </w:rPr>
      </w:pPr>
      <w:r w:rsidRPr="003A4706">
        <w:rPr>
          <w:rFonts w:cs="Times New Roman"/>
          <w:sz w:val="22"/>
        </w:rPr>
        <w:t xml:space="preserve">Fermentation itself is also a critical processing variable. Spontaneous fermentation of maize produces a microbial succession that can acidify the substrate and modify starch and protein fractions. The resulting changes can influence </w:t>
      </w:r>
      <w:proofErr w:type="spellStart"/>
      <w:r w:rsidRPr="003A4706">
        <w:rPr>
          <w:rFonts w:cs="Times New Roman"/>
          <w:sz w:val="22"/>
        </w:rPr>
        <w:t>flavour</w:t>
      </w:r>
      <w:proofErr w:type="spellEnd"/>
      <w:r w:rsidRPr="003A4706">
        <w:rPr>
          <w:rFonts w:cs="Times New Roman"/>
          <w:sz w:val="22"/>
        </w:rPr>
        <w:t>, pH, hydration and reconstitution. Fermentation and germination have been reported to improve nutritional characteristics of cereals and legumes partly through enzymatic and microbial transformations (Nkhata et al., 2018; Adebo et al., 2022). However, the present study evaluated a fixed 72-h fermentation process and therefore focuses on the effect of soybean substitution after fermentation rather than on changes across fermentation time.</w:t>
      </w:r>
      <w:r w:rsidR="00425F66" w:rsidRPr="003A4706">
        <w:rPr>
          <w:rFonts w:cs="Times New Roman"/>
        </w:rPr>
        <w:t xml:space="preserve"> </w:t>
      </w:r>
      <w:r w:rsidRPr="003A4706">
        <w:rPr>
          <w:rFonts w:cs="Times New Roman"/>
          <w:sz w:val="22"/>
        </w:rPr>
        <w:t xml:space="preserve">Functional properties are essential in the development of a dry pap product because the consumer ultimately reconstitutes the flour with water and cooks it to a semi-fluid consistency. Bulk density affects packaging, transportation and the mass of flour that can occupy a given volume. Water absorption capacity describes the ability of flour constituents to bind and retain water and is affected by proteins, starch, </w:t>
      </w:r>
      <w:proofErr w:type="spellStart"/>
      <w:r w:rsidRPr="003A4706">
        <w:rPr>
          <w:rFonts w:cs="Times New Roman"/>
          <w:sz w:val="22"/>
        </w:rPr>
        <w:t>fibre</w:t>
      </w:r>
      <w:proofErr w:type="spellEnd"/>
      <w:r w:rsidRPr="003A4706">
        <w:rPr>
          <w:rFonts w:cs="Times New Roman"/>
          <w:sz w:val="22"/>
        </w:rPr>
        <w:t xml:space="preserve">, particle size and processing history. Swelling index reflects hydration and expansion of starch-containing particles, whereas solubility reflects the fraction of material released into the aqueous phase. Changes in these properties can influence pap thickness, mouthfeel and preparation </w:t>
      </w:r>
      <w:proofErr w:type="spellStart"/>
      <w:r w:rsidRPr="003A4706">
        <w:rPr>
          <w:rFonts w:cs="Times New Roman"/>
          <w:sz w:val="22"/>
        </w:rPr>
        <w:t>behaviour</w:t>
      </w:r>
      <w:proofErr w:type="spellEnd"/>
      <w:r w:rsidRPr="003A4706">
        <w:rPr>
          <w:rFonts w:cs="Times New Roman"/>
          <w:sz w:val="22"/>
        </w:rPr>
        <w:t xml:space="preserve"> (</w:t>
      </w:r>
      <w:commentRangeStart w:id="1"/>
      <w:proofErr w:type="spellStart"/>
      <w:r w:rsidRPr="003A4706">
        <w:rPr>
          <w:rFonts w:cs="Times New Roman"/>
          <w:sz w:val="22"/>
        </w:rPr>
        <w:t>Beuchat</w:t>
      </w:r>
      <w:proofErr w:type="spellEnd"/>
      <w:r w:rsidRPr="003A4706">
        <w:rPr>
          <w:rFonts w:cs="Times New Roman"/>
          <w:sz w:val="22"/>
        </w:rPr>
        <w:t>, 1977; Leach et al., 1959</w:t>
      </w:r>
      <w:commentRangeEnd w:id="1"/>
      <w:r w:rsidR="00C05281">
        <w:rPr>
          <w:rStyle w:val="CommentReference"/>
        </w:rPr>
        <w:commentReference w:id="1"/>
      </w:r>
      <w:r w:rsidRPr="003A4706">
        <w:rPr>
          <w:rFonts w:cs="Times New Roman"/>
          <w:sz w:val="22"/>
        </w:rPr>
        <w:t>).</w:t>
      </w:r>
    </w:p>
    <w:p w14:paraId="5383C316" w14:textId="77777777" w:rsidR="00E63C48" w:rsidRPr="003A4706" w:rsidRDefault="00302EC0" w:rsidP="002B1AB0">
      <w:pPr>
        <w:spacing w:line="240" w:lineRule="auto"/>
        <w:jc w:val="both"/>
        <w:rPr>
          <w:rFonts w:cs="Times New Roman"/>
        </w:rPr>
      </w:pPr>
      <w:r w:rsidRPr="003A4706">
        <w:rPr>
          <w:rFonts w:cs="Times New Roman"/>
          <w:sz w:val="22"/>
        </w:rPr>
        <w:t xml:space="preserve">Sensory acceptability is equally important. A nutritionally improved formulation has limited practical value if consumers reject its </w:t>
      </w:r>
      <w:proofErr w:type="spellStart"/>
      <w:r w:rsidRPr="003A4706">
        <w:rPr>
          <w:rFonts w:cs="Times New Roman"/>
          <w:sz w:val="22"/>
        </w:rPr>
        <w:t>flavour</w:t>
      </w:r>
      <w:proofErr w:type="spellEnd"/>
      <w:r w:rsidRPr="003A4706">
        <w:rPr>
          <w:rFonts w:cs="Times New Roman"/>
          <w:sz w:val="22"/>
        </w:rPr>
        <w:t xml:space="preserve">, taste, </w:t>
      </w:r>
      <w:proofErr w:type="spellStart"/>
      <w:r w:rsidRPr="003A4706">
        <w:rPr>
          <w:rFonts w:cs="Times New Roman"/>
          <w:sz w:val="22"/>
        </w:rPr>
        <w:t>colour</w:t>
      </w:r>
      <w:proofErr w:type="spellEnd"/>
      <w:r w:rsidRPr="003A4706">
        <w:rPr>
          <w:rFonts w:cs="Times New Roman"/>
          <w:sz w:val="22"/>
        </w:rPr>
        <w:t xml:space="preserve"> or mouthfeel. Soybean incorporation can alter the visual appearance and </w:t>
      </w:r>
      <w:proofErr w:type="spellStart"/>
      <w:r w:rsidRPr="003A4706">
        <w:rPr>
          <w:rFonts w:cs="Times New Roman"/>
          <w:sz w:val="22"/>
        </w:rPr>
        <w:t>flavour</w:t>
      </w:r>
      <w:proofErr w:type="spellEnd"/>
      <w:r w:rsidRPr="003A4706">
        <w:rPr>
          <w:rFonts w:cs="Times New Roman"/>
          <w:sz w:val="22"/>
        </w:rPr>
        <w:t xml:space="preserve"> balance of maize pap and may become more noticeable at higher inclusion levels. A formulation can consequently be nutritionally superior but commercially less acceptable. The present study therefore treats sensory evaluation as a separate but essential criterion rather than assuming that nutrient enrichment automatically translates into product preference.</w:t>
      </w:r>
      <w:r w:rsidR="00425F66" w:rsidRPr="003A4706">
        <w:rPr>
          <w:rFonts w:cs="Times New Roman"/>
        </w:rPr>
        <w:t xml:space="preserve"> </w:t>
      </w:r>
      <w:r w:rsidRPr="003A4706">
        <w:rPr>
          <w:rFonts w:cs="Times New Roman"/>
          <w:sz w:val="22"/>
        </w:rPr>
        <w:t xml:space="preserve">Another consideration is the distinction between laboratory evidence and health claims. Higher protein concentration in a flour is not equivalent to demonstrated improvement in protein status, growth or prevention of protein-energy malnutrition. Similarly, a measured pH value does not establish microbiological safety, and increased crude protein does not by itself establish amino-acid adequacy or mineral bioavailability. These distinctions are particularly important where products are discussed in the context of complementary feeding. The </w:t>
      </w:r>
      <w:commentRangeStart w:id="2"/>
      <w:r w:rsidRPr="003A4706">
        <w:rPr>
          <w:rFonts w:cs="Times New Roman"/>
          <w:sz w:val="22"/>
        </w:rPr>
        <w:t>present</w:t>
      </w:r>
      <w:commentRangeEnd w:id="2"/>
      <w:r w:rsidR="00C05281">
        <w:rPr>
          <w:rStyle w:val="CommentReference"/>
        </w:rPr>
        <w:commentReference w:id="2"/>
      </w:r>
      <w:r w:rsidRPr="003A4706">
        <w:rPr>
          <w:rFonts w:cs="Times New Roman"/>
          <w:sz w:val="22"/>
        </w:rPr>
        <w:t xml:space="preserve"> study consequently limits its conclusions to the measured nutritional, functional and sensory properties.</w:t>
      </w:r>
    </w:p>
    <w:p w14:paraId="00E00E4B" w14:textId="77777777" w:rsidR="00C8603D" w:rsidRDefault="00C8603D" w:rsidP="00C8603D">
      <w:pPr>
        <w:pStyle w:val="Heading1"/>
        <w:spacing w:line="240" w:lineRule="auto"/>
        <w:jc w:val="both"/>
        <w:rPr>
          <w:rFonts w:ascii="Times New Roman" w:eastAsiaTheme="minorEastAsia" w:hAnsi="Times New Roman" w:cs="Times New Roman"/>
          <w:b w:val="0"/>
          <w:bCs w:val="0"/>
          <w:color w:val="auto"/>
          <w:sz w:val="22"/>
          <w:szCs w:val="22"/>
        </w:rPr>
      </w:pPr>
      <w:r w:rsidRPr="00C8603D">
        <w:rPr>
          <w:rFonts w:ascii="Times New Roman" w:eastAsiaTheme="minorEastAsia" w:hAnsi="Times New Roman" w:cs="Times New Roman"/>
          <w:b w:val="0"/>
          <w:bCs w:val="0"/>
          <w:color w:val="auto"/>
          <w:sz w:val="22"/>
          <w:szCs w:val="22"/>
        </w:rPr>
        <w:lastRenderedPageBreak/>
        <w:t>Although previous investigations have reported the nutritional benefits of cereal–legume composite flours, there remains limited information on the combined effects of soybean fortification on the proximate composition, physicochemical characteristics, and sensory quality of fermented maize pap powder produced under conditions representative of household processing in Nigeria. Such information is important for optimizing soybean inclusion levels suitable for both domestic and small-scale commercial produc</w:t>
      </w:r>
      <w:r>
        <w:rPr>
          <w:rFonts w:ascii="Times New Roman" w:eastAsiaTheme="minorEastAsia" w:hAnsi="Times New Roman" w:cs="Times New Roman"/>
          <w:b w:val="0"/>
          <w:bCs w:val="0"/>
          <w:color w:val="auto"/>
          <w:sz w:val="22"/>
          <w:szCs w:val="22"/>
        </w:rPr>
        <w:t xml:space="preserve">tion. </w:t>
      </w:r>
      <w:r w:rsidRPr="00C8603D">
        <w:rPr>
          <w:rFonts w:ascii="Times New Roman" w:eastAsiaTheme="minorEastAsia" w:hAnsi="Times New Roman" w:cs="Times New Roman"/>
          <w:b w:val="0"/>
          <w:bCs w:val="0"/>
          <w:color w:val="auto"/>
          <w:sz w:val="22"/>
          <w:szCs w:val="22"/>
        </w:rPr>
        <w:t xml:space="preserve">Therefore, this study aimed to evaluate the effect of soybean fortification on the physicochemical properties, and sensory characteristics of fermented maize pap prepared from varying maize–soybean blend </w:t>
      </w:r>
      <w:commentRangeStart w:id="3"/>
      <w:r w:rsidRPr="00C8603D">
        <w:rPr>
          <w:rFonts w:ascii="Times New Roman" w:eastAsiaTheme="minorEastAsia" w:hAnsi="Times New Roman" w:cs="Times New Roman"/>
          <w:b w:val="0"/>
          <w:bCs w:val="0"/>
          <w:color w:val="auto"/>
          <w:sz w:val="22"/>
          <w:szCs w:val="22"/>
        </w:rPr>
        <w:t>ratios</w:t>
      </w:r>
      <w:commentRangeEnd w:id="3"/>
      <w:r w:rsidR="00C05281">
        <w:rPr>
          <w:rStyle w:val="CommentReference"/>
          <w:rFonts w:ascii="Times New Roman" w:eastAsiaTheme="minorEastAsia" w:hAnsi="Times New Roman" w:cstheme="minorBidi"/>
          <w:b w:val="0"/>
          <w:bCs w:val="0"/>
          <w:color w:val="auto"/>
        </w:rPr>
        <w:commentReference w:id="3"/>
      </w:r>
      <w:r w:rsidRPr="00C8603D">
        <w:rPr>
          <w:rFonts w:ascii="Times New Roman" w:eastAsiaTheme="minorEastAsia" w:hAnsi="Times New Roman" w:cs="Times New Roman"/>
          <w:b w:val="0"/>
          <w:bCs w:val="0"/>
          <w:color w:val="auto"/>
          <w:sz w:val="22"/>
          <w:szCs w:val="22"/>
        </w:rPr>
        <w:t>. The findings are expected to contribute to the development of nutritionally enhanced complementary foods using locally available raw materials while supporting efforts to reduce protein-energy malnutrition among infants, children, and other nutritionally vulnerable groups.</w:t>
      </w:r>
    </w:p>
    <w:p w14:paraId="2E910AEB" w14:textId="77777777" w:rsidR="00E63C48" w:rsidRPr="00C8603D" w:rsidRDefault="00302EC0" w:rsidP="00C8603D">
      <w:pPr>
        <w:pStyle w:val="Heading1"/>
        <w:spacing w:line="240" w:lineRule="auto"/>
        <w:jc w:val="both"/>
        <w:rPr>
          <w:rFonts w:ascii="Times New Roman" w:eastAsiaTheme="minorEastAsia" w:hAnsi="Times New Roman" w:cs="Times New Roman"/>
          <w:b w:val="0"/>
          <w:bCs w:val="0"/>
          <w:color w:val="auto"/>
          <w:sz w:val="22"/>
          <w:szCs w:val="22"/>
        </w:rPr>
      </w:pPr>
      <w:r w:rsidRPr="003A4706">
        <w:rPr>
          <w:rFonts w:ascii="Times New Roman" w:hAnsi="Times New Roman" w:cs="Times New Roman"/>
          <w:color w:val="auto"/>
        </w:rPr>
        <w:t>2.0 Materials and Methods</w:t>
      </w:r>
    </w:p>
    <w:p w14:paraId="0D5CB1A4" w14:textId="77777777" w:rsidR="00E63C48" w:rsidRPr="003A4706" w:rsidRDefault="00302EC0" w:rsidP="002B1AB0">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2.1 Study Area</w:t>
      </w:r>
    </w:p>
    <w:p w14:paraId="38179E82" w14:textId="77777777" w:rsidR="00E63C48" w:rsidRPr="003A4706" w:rsidRDefault="00302EC0" w:rsidP="002B1AB0">
      <w:pPr>
        <w:spacing w:line="240" w:lineRule="auto"/>
        <w:jc w:val="both"/>
        <w:rPr>
          <w:rFonts w:cs="Times New Roman"/>
        </w:rPr>
      </w:pPr>
      <w:r w:rsidRPr="003A4706">
        <w:rPr>
          <w:rFonts w:cs="Times New Roman"/>
          <w:sz w:val="22"/>
        </w:rPr>
        <w:t>The study was conducted in the Food Science and Technology Laboratory, University of Agriculture and Environmental Sciences, Umuagwo, Imo State, Nigeria. Raw-material processing, flour preparation, composite formulation and laboratory analyses were carried out under standardized laboratory conditions. Laboratory work was organized to minimize variation in processing time, temperature, sample handling and analytical measurement.</w:t>
      </w:r>
    </w:p>
    <w:p w14:paraId="7D28ACB7" w14:textId="77777777" w:rsidR="00E63C48" w:rsidRPr="003A4706" w:rsidRDefault="00302EC0" w:rsidP="002B1AB0">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2.2 Source and Selection of Raw Materials</w:t>
      </w:r>
    </w:p>
    <w:p w14:paraId="1C76D594" w14:textId="77777777" w:rsidR="00E63C48" w:rsidRPr="003A4706" w:rsidRDefault="00302EC0" w:rsidP="002B1AB0">
      <w:pPr>
        <w:spacing w:line="240" w:lineRule="auto"/>
        <w:jc w:val="both"/>
        <w:rPr>
          <w:rFonts w:cs="Times New Roman"/>
        </w:rPr>
      </w:pPr>
      <w:r w:rsidRPr="003A4706">
        <w:rPr>
          <w:rFonts w:cs="Times New Roman"/>
          <w:sz w:val="22"/>
        </w:rPr>
        <w:t>Yellow maize (</w:t>
      </w:r>
      <w:r w:rsidRPr="003A4706">
        <w:rPr>
          <w:rFonts w:cs="Times New Roman"/>
          <w:i/>
          <w:sz w:val="22"/>
        </w:rPr>
        <w:t>Zea mays</w:t>
      </w:r>
      <w:r w:rsidRPr="003A4706">
        <w:rPr>
          <w:rFonts w:cs="Times New Roman"/>
          <w:sz w:val="22"/>
        </w:rPr>
        <w:t xml:space="preserve"> L.) grains and soybean (</w:t>
      </w:r>
      <w:r w:rsidRPr="003A4706">
        <w:rPr>
          <w:rFonts w:cs="Times New Roman"/>
          <w:i/>
          <w:sz w:val="22"/>
        </w:rPr>
        <w:t>Glycine max</w:t>
      </w:r>
      <w:r w:rsidRPr="003A4706">
        <w:rPr>
          <w:rFonts w:cs="Times New Roman"/>
          <w:sz w:val="22"/>
        </w:rPr>
        <w:t xml:space="preserve"> L.) seeds were purchased from Relief Market, Owerri, Imo State, Nigeria, during the same procurement period. The materials were selected from sound, apparently mature lots. Stones, broken or damaged materials, </w:t>
      </w:r>
      <w:proofErr w:type="spellStart"/>
      <w:r w:rsidRPr="003A4706">
        <w:rPr>
          <w:rFonts w:cs="Times New Roman"/>
          <w:sz w:val="22"/>
        </w:rPr>
        <w:t>mouldy</w:t>
      </w:r>
      <w:proofErr w:type="spellEnd"/>
      <w:r w:rsidRPr="003A4706">
        <w:rPr>
          <w:rFonts w:cs="Times New Roman"/>
          <w:sz w:val="22"/>
        </w:rPr>
        <w:t xml:space="preserve"> grains or seeds, dirt and other foreign materials were removed manually. The selected materials were washed with potable water and stored separately in clean labelled containers before processing. The original manuscript did not record cultivar names, supplier lot numbers or harvest dates; these should be added if the information remains available because raw-material variety and lot can influence com</w:t>
      </w:r>
      <w:r w:rsidR="00425F66" w:rsidRPr="003A4706">
        <w:rPr>
          <w:rFonts w:cs="Times New Roman"/>
          <w:sz w:val="22"/>
        </w:rPr>
        <w:t>position and processing behavio</w:t>
      </w:r>
      <w:r w:rsidRPr="003A4706">
        <w:rPr>
          <w:rFonts w:cs="Times New Roman"/>
          <w:sz w:val="22"/>
        </w:rPr>
        <w:t>r.</w:t>
      </w:r>
    </w:p>
    <w:p w14:paraId="15EC543A" w14:textId="77777777" w:rsidR="00E63C48" w:rsidRPr="003A4706" w:rsidRDefault="00302EC0" w:rsidP="002B1AB0">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2.3 Experimental Design and Formulation</w:t>
      </w:r>
    </w:p>
    <w:p w14:paraId="2667F729" w14:textId="77777777" w:rsidR="00E63C48" w:rsidRPr="003A4706" w:rsidRDefault="00302EC0" w:rsidP="002B1AB0">
      <w:pPr>
        <w:spacing w:line="240" w:lineRule="auto"/>
        <w:jc w:val="both"/>
        <w:rPr>
          <w:rFonts w:cs="Times New Roman"/>
          <w:sz w:val="22"/>
        </w:rPr>
      </w:pPr>
      <w:r w:rsidRPr="003A4706">
        <w:rPr>
          <w:rFonts w:cs="Times New Roman"/>
          <w:sz w:val="22"/>
        </w:rPr>
        <w:t>Six formulations were prepared by substituting fermented maize pap powder with soybean flour at 0, 10, 20, 30, 40 and 50% on a weight/weight basis</w:t>
      </w:r>
      <w:r w:rsidR="00425F66" w:rsidRPr="003A4706">
        <w:rPr>
          <w:rFonts w:cs="Times New Roman"/>
          <w:sz w:val="22"/>
        </w:rPr>
        <w:t xml:space="preserve"> (Table 1)</w:t>
      </w:r>
      <w:r w:rsidRPr="003A4706">
        <w:rPr>
          <w:rFonts w:cs="Times New Roman"/>
          <w:sz w:val="22"/>
        </w:rPr>
        <w:t>. Sample A served as the unfortified control. The formulation matrix was deliberately kept simple so that the observed changes could be attributed primarily to soybean substitution within the limits of the experimental design.</w:t>
      </w:r>
    </w:p>
    <w:p w14:paraId="7D819B4F" w14:textId="77777777" w:rsidR="00425F66" w:rsidRPr="00BE7D1E" w:rsidRDefault="00425F66" w:rsidP="002B1AB0">
      <w:pPr>
        <w:spacing w:line="240" w:lineRule="auto"/>
        <w:jc w:val="both"/>
        <w:rPr>
          <w:rFonts w:cs="Times New Roman"/>
          <w:b/>
        </w:rPr>
      </w:pPr>
      <w:r w:rsidRPr="00BE7D1E">
        <w:rPr>
          <w:rFonts w:cs="Times New Roman"/>
          <w:b/>
          <w:sz w:val="22"/>
        </w:rPr>
        <w:t>Table1. Formulation of Fermented maize Powder and Soybean Flour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0"/>
        <w:gridCol w:w="3120"/>
      </w:tblGrid>
      <w:tr w:rsidR="003A4706" w:rsidRPr="00BE7D1E" w14:paraId="7B64E53D" w14:textId="77777777" w:rsidTr="00BE7D1E">
        <w:trPr>
          <w:trHeight w:val="333"/>
        </w:trPr>
        <w:tc>
          <w:tcPr>
            <w:tcW w:w="3120" w:type="dxa"/>
            <w:tcBorders>
              <w:top w:val="single" w:sz="4" w:space="0" w:color="auto"/>
              <w:bottom w:val="single" w:sz="4" w:space="0" w:color="auto"/>
            </w:tcBorders>
          </w:tcPr>
          <w:p w14:paraId="70302779" w14:textId="77777777" w:rsidR="00E63C48" w:rsidRPr="00BE7D1E" w:rsidRDefault="00302EC0" w:rsidP="002B1AB0">
            <w:pPr>
              <w:spacing w:line="240" w:lineRule="auto"/>
              <w:jc w:val="both"/>
              <w:rPr>
                <w:rFonts w:cs="Times New Roman"/>
                <w:szCs w:val="24"/>
              </w:rPr>
            </w:pPr>
            <w:r w:rsidRPr="00BE7D1E">
              <w:rPr>
                <w:rFonts w:cs="Times New Roman"/>
                <w:b/>
                <w:szCs w:val="24"/>
              </w:rPr>
              <w:t>Sample</w:t>
            </w:r>
          </w:p>
        </w:tc>
        <w:tc>
          <w:tcPr>
            <w:tcW w:w="3120" w:type="dxa"/>
            <w:tcBorders>
              <w:top w:val="single" w:sz="4" w:space="0" w:color="auto"/>
              <w:bottom w:val="single" w:sz="4" w:space="0" w:color="auto"/>
            </w:tcBorders>
          </w:tcPr>
          <w:p w14:paraId="02673DE1" w14:textId="77777777" w:rsidR="00E63C48" w:rsidRPr="00BE7D1E" w:rsidRDefault="00BE7D1E" w:rsidP="002B1AB0">
            <w:pPr>
              <w:spacing w:line="240" w:lineRule="auto"/>
              <w:rPr>
                <w:rFonts w:cs="Times New Roman"/>
                <w:szCs w:val="24"/>
              </w:rPr>
            </w:pPr>
            <w:r>
              <w:rPr>
                <w:rFonts w:cs="Times New Roman"/>
                <w:b/>
                <w:szCs w:val="24"/>
              </w:rPr>
              <w:t xml:space="preserve">Fermented </w:t>
            </w:r>
            <w:r w:rsidR="00425F66" w:rsidRPr="00BE7D1E">
              <w:rPr>
                <w:rFonts w:cs="Times New Roman"/>
                <w:b/>
                <w:szCs w:val="24"/>
              </w:rPr>
              <w:t xml:space="preserve">maize pap powder </w:t>
            </w:r>
          </w:p>
        </w:tc>
        <w:tc>
          <w:tcPr>
            <w:tcW w:w="3120" w:type="dxa"/>
            <w:tcBorders>
              <w:top w:val="single" w:sz="4" w:space="0" w:color="auto"/>
              <w:bottom w:val="single" w:sz="4" w:space="0" w:color="auto"/>
            </w:tcBorders>
          </w:tcPr>
          <w:p w14:paraId="4DBD8A06" w14:textId="77777777" w:rsidR="00E63C48" w:rsidRPr="00BE7D1E" w:rsidRDefault="00425F66" w:rsidP="002B1AB0">
            <w:pPr>
              <w:spacing w:line="240" w:lineRule="auto"/>
              <w:jc w:val="both"/>
              <w:rPr>
                <w:rFonts w:cs="Times New Roman"/>
                <w:szCs w:val="24"/>
              </w:rPr>
            </w:pPr>
            <w:r w:rsidRPr="00BE7D1E">
              <w:rPr>
                <w:rFonts w:cs="Times New Roman"/>
                <w:b/>
                <w:szCs w:val="24"/>
              </w:rPr>
              <w:t>Soybean flour</w:t>
            </w:r>
          </w:p>
        </w:tc>
      </w:tr>
      <w:tr w:rsidR="003A4706" w:rsidRPr="00BE7D1E" w14:paraId="4149330C" w14:textId="77777777" w:rsidTr="00BE7D1E">
        <w:trPr>
          <w:trHeight w:val="153"/>
        </w:trPr>
        <w:tc>
          <w:tcPr>
            <w:tcW w:w="3120" w:type="dxa"/>
            <w:tcBorders>
              <w:top w:val="single" w:sz="4" w:space="0" w:color="auto"/>
            </w:tcBorders>
          </w:tcPr>
          <w:p w14:paraId="68BB5CEE" w14:textId="77777777" w:rsidR="00E63C48" w:rsidRPr="00BE7D1E" w:rsidRDefault="00302EC0" w:rsidP="002B1AB0">
            <w:pPr>
              <w:spacing w:line="240" w:lineRule="auto"/>
              <w:jc w:val="both"/>
              <w:rPr>
                <w:rFonts w:cs="Times New Roman"/>
                <w:szCs w:val="24"/>
              </w:rPr>
            </w:pPr>
            <w:r w:rsidRPr="00BE7D1E">
              <w:rPr>
                <w:rFonts w:cs="Times New Roman"/>
                <w:szCs w:val="24"/>
              </w:rPr>
              <w:t>A (100:0)</w:t>
            </w:r>
          </w:p>
        </w:tc>
        <w:tc>
          <w:tcPr>
            <w:tcW w:w="3120" w:type="dxa"/>
            <w:tcBorders>
              <w:top w:val="single" w:sz="4" w:space="0" w:color="auto"/>
            </w:tcBorders>
          </w:tcPr>
          <w:p w14:paraId="76E8F564" w14:textId="77777777" w:rsidR="00E63C48" w:rsidRPr="00BE7D1E" w:rsidRDefault="00302EC0" w:rsidP="002B1AB0">
            <w:pPr>
              <w:spacing w:line="240" w:lineRule="auto"/>
              <w:jc w:val="both"/>
              <w:rPr>
                <w:rFonts w:cs="Times New Roman"/>
                <w:szCs w:val="24"/>
              </w:rPr>
            </w:pPr>
            <w:r w:rsidRPr="00BE7D1E">
              <w:rPr>
                <w:rFonts w:cs="Times New Roman"/>
                <w:szCs w:val="24"/>
              </w:rPr>
              <w:t>100</w:t>
            </w:r>
          </w:p>
        </w:tc>
        <w:tc>
          <w:tcPr>
            <w:tcW w:w="3120" w:type="dxa"/>
            <w:tcBorders>
              <w:top w:val="single" w:sz="4" w:space="0" w:color="auto"/>
            </w:tcBorders>
          </w:tcPr>
          <w:p w14:paraId="621B02D9" w14:textId="77777777" w:rsidR="00E63C48" w:rsidRPr="00BE7D1E" w:rsidRDefault="00302EC0" w:rsidP="002B1AB0">
            <w:pPr>
              <w:spacing w:line="240" w:lineRule="auto"/>
              <w:jc w:val="both"/>
              <w:rPr>
                <w:rFonts w:cs="Times New Roman"/>
                <w:szCs w:val="24"/>
              </w:rPr>
            </w:pPr>
            <w:r w:rsidRPr="00BE7D1E">
              <w:rPr>
                <w:rFonts w:cs="Times New Roman"/>
                <w:szCs w:val="24"/>
              </w:rPr>
              <w:t>0</w:t>
            </w:r>
          </w:p>
        </w:tc>
      </w:tr>
      <w:tr w:rsidR="003A4706" w:rsidRPr="00BE7D1E" w14:paraId="7E96C901" w14:textId="77777777" w:rsidTr="00BE7D1E">
        <w:tc>
          <w:tcPr>
            <w:tcW w:w="3120" w:type="dxa"/>
          </w:tcPr>
          <w:p w14:paraId="303822A3" w14:textId="77777777" w:rsidR="00E63C48" w:rsidRPr="00BE7D1E" w:rsidRDefault="00302EC0" w:rsidP="002B1AB0">
            <w:pPr>
              <w:spacing w:line="240" w:lineRule="auto"/>
              <w:jc w:val="both"/>
              <w:rPr>
                <w:rFonts w:cs="Times New Roman"/>
                <w:szCs w:val="24"/>
              </w:rPr>
            </w:pPr>
            <w:r w:rsidRPr="00BE7D1E">
              <w:rPr>
                <w:rFonts w:cs="Times New Roman"/>
                <w:szCs w:val="24"/>
              </w:rPr>
              <w:t>B (90:10)</w:t>
            </w:r>
          </w:p>
        </w:tc>
        <w:tc>
          <w:tcPr>
            <w:tcW w:w="3120" w:type="dxa"/>
          </w:tcPr>
          <w:p w14:paraId="7495816E" w14:textId="77777777" w:rsidR="00E63C48" w:rsidRPr="00BE7D1E" w:rsidRDefault="00302EC0" w:rsidP="002B1AB0">
            <w:pPr>
              <w:spacing w:line="240" w:lineRule="auto"/>
              <w:jc w:val="both"/>
              <w:rPr>
                <w:rFonts w:cs="Times New Roman"/>
                <w:szCs w:val="24"/>
              </w:rPr>
            </w:pPr>
            <w:r w:rsidRPr="00BE7D1E">
              <w:rPr>
                <w:rFonts w:cs="Times New Roman"/>
                <w:szCs w:val="24"/>
              </w:rPr>
              <w:t>90</w:t>
            </w:r>
          </w:p>
        </w:tc>
        <w:tc>
          <w:tcPr>
            <w:tcW w:w="3120" w:type="dxa"/>
          </w:tcPr>
          <w:p w14:paraId="26935E56" w14:textId="77777777" w:rsidR="00E63C48" w:rsidRPr="00BE7D1E" w:rsidRDefault="00302EC0" w:rsidP="002B1AB0">
            <w:pPr>
              <w:spacing w:line="240" w:lineRule="auto"/>
              <w:jc w:val="both"/>
              <w:rPr>
                <w:rFonts w:cs="Times New Roman"/>
                <w:szCs w:val="24"/>
              </w:rPr>
            </w:pPr>
            <w:r w:rsidRPr="00BE7D1E">
              <w:rPr>
                <w:rFonts w:cs="Times New Roman"/>
                <w:szCs w:val="24"/>
              </w:rPr>
              <w:t>10</w:t>
            </w:r>
          </w:p>
        </w:tc>
      </w:tr>
      <w:tr w:rsidR="003A4706" w:rsidRPr="00BE7D1E" w14:paraId="6DEC1515" w14:textId="77777777" w:rsidTr="00BE7D1E">
        <w:tc>
          <w:tcPr>
            <w:tcW w:w="3120" w:type="dxa"/>
          </w:tcPr>
          <w:p w14:paraId="79AA1B4E" w14:textId="77777777" w:rsidR="00E63C48" w:rsidRPr="00BE7D1E" w:rsidRDefault="00302EC0" w:rsidP="002B1AB0">
            <w:pPr>
              <w:spacing w:line="240" w:lineRule="auto"/>
              <w:jc w:val="both"/>
              <w:rPr>
                <w:rFonts w:cs="Times New Roman"/>
                <w:szCs w:val="24"/>
              </w:rPr>
            </w:pPr>
            <w:r w:rsidRPr="00BE7D1E">
              <w:rPr>
                <w:rFonts w:cs="Times New Roman"/>
                <w:szCs w:val="24"/>
              </w:rPr>
              <w:t>C (80:20)</w:t>
            </w:r>
          </w:p>
        </w:tc>
        <w:tc>
          <w:tcPr>
            <w:tcW w:w="3120" w:type="dxa"/>
          </w:tcPr>
          <w:p w14:paraId="0DE66791" w14:textId="77777777" w:rsidR="00E63C48" w:rsidRPr="00BE7D1E" w:rsidRDefault="00302EC0" w:rsidP="002B1AB0">
            <w:pPr>
              <w:spacing w:line="240" w:lineRule="auto"/>
              <w:jc w:val="both"/>
              <w:rPr>
                <w:rFonts w:cs="Times New Roman"/>
                <w:szCs w:val="24"/>
              </w:rPr>
            </w:pPr>
            <w:r w:rsidRPr="00BE7D1E">
              <w:rPr>
                <w:rFonts w:cs="Times New Roman"/>
                <w:szCs w:val="24"/>
              </w:rPr>
              <w:t>80</w:t>
            </w:r>
          </w:p>
        </w:tc>
        <w:tc>
          <w:tcPr>
            <w:tcW w:w="3120" w:type="dxa"/>
          </w:tcPr>
          <w:p w14:paraId="5B1FCC43" w14:textId="77777777" w:rsidR="00E63C48" w:rsidRPr="00BE7D1E" w:rsidRDefault="00302EC0" w:rsidP="002B1AB0">
            <w:pPr>
              <w:spacing w:line="240" w:lineRule="auto"/>
              <w:jc w:val="both"/>
              <w:rPr>
                <w:rFonts w:cs="Times New Roman"/>
                <w:szCs w:val="24"/>
              </w:rPr>
            </w:pPr>
            <w:r w:rsidRPr="00BE7D1E">
              <w:rPr>
                <w:rFonts w:cs="Times New Roman"/>
                <w:szCs w:val="24"/>
              </w:rPr>
              <w:t>20</w:t>
            </w:r>
          </w:p>
        </w:tc>
      </w:tr>
      <w:tr w:rsidR="003A4706" w:rsidRPr="00BE7D1E" w14:paraId="66641817" w14:textId="77777777" w:rsidTr="00BE7D1E">
        <w:tc>
          <w:tcPr>
            <w:tcW w:w="3120" w:type="dxa"/>
          </w:tcPr>
          <w:p w14:paraId="14F1B24E" w14:textId="77777777" w:rsidR="00E63C48" w:rsidRPr="00BE7D1E" w:rsidRDefault="00302EC0" w:rsidP="002B1AB0">
            <w:pPr>
              <w:spacing w:line="240" w:lineRule="auto"/>
              <w:jc w:val="both"/>
              <w:rPr>
                <w:rFonts w:cs="Times New Roman"/>
                <w:szCs w:val="24"/>
              </w:rPr>
            </w:pPr>
            <w:r w:rsidRPr="00BE7D1E">
              <w:rPr>
                <w:rFonts w:cs="Times New Roman"/>
                <w:szCs w:val="24"/>
              </w:rPr>
              <w:t>D (70:30)</w:t>
            </w:r>
          </w:p>
        </w:tc>
        <w:tc>
          <w:tcPr>
            <w:tcW w:w="3120" w:type="dxa"/>
          </w:tcPr>
          <w:p w14:paraId="17520E90" w14:textId="77777777" w:rsidR="00E63C48" w:rsidRPr="00BE7D1E" w:rsidRDefault="00302EC0" w:rsidP="002B1AB0">
            <w:pPr>
              <w:spacing w:line="240" w:lineRule="auto"/>
              <w:jc w:val="both"/>
              <w:rPr>
                <w:rFonts w:cs="Times New Roman"/>
                <w:szCs w:val="24"/>
              </w:rPr>
            </w:pPr>
            <w:r w:rsidRPr="00BE7D1E">
              <w:rPr>
                <w:rFonts w:cs="Times New Roman"/>
                <w:szCs w:val="24"/>
              </w:rPr>
              <w:t>70</w:t>
            </w:r>
          </w:p>
        </w:tc>
        <w:tc>
          <w:tcPr>
            <w:tcW w:w="3120" w:type="dxa"/>
          </w:tcPr>
          <w:p w14:paraId="420574F1" w14:textId="77777777" w:rsidR="00E63C48" w:rsidRPr="00BE7D1E" w:rsidRDefault="00302EC0" w:rsidP="002B1AB0">
            <w:pPr>
              <w:spacing w:line="240" w:lineRule="auto"/>
              <w:jc w:val="both"/>
              <w:rPr>
                <w:rFonts w:cs="Times New Roman"/>
                <w:szCs w:val="24"/>
              </w:rPr>
            </w:pPr>
            <w:r w:rsidRPr="00BE7D1E">
              <w:rPr>
                <w:rFonts w:cs="Times New Roman"/>
                <w:szCs w:val="24"/>
              </w:rPr>
              <w:t>30</w:t>
            </w:r>
          </w:p>
        </w:tc>
      </w:tr>
      <w:tr w:rsidR="003A4706" w:rsidRPr="00BE7D1E" w14:paraId="59EEE31A" w14:textId="77777777" w:rsidTr="00BE7D1E">
        <w:tc>
          <w:tcPr>
            <w:tcW w:w="3120" w:type="dxa"/>
          </w:tcPr>
          <w:p w14:paraId="28FD22B1" w14:textId="77777777" w:rsidR="00E63C48" w:rsidRPr="00BE7D1E" w:rsidRDefault="00302EC0" w:rsidP="002B1AB0">
            <w:pPr>
              <w:spacing w:line="240" w:lineRule="auto"/>
              <w:jc w:val="both"/>
              <w:rPr>
                <w:rFonts w:cs="Times New Roman"/>
                <w:szCs w:val="24"/>
              </w:rPr>
            </w:pPr>
            <w:r w:rsidRPr="00BE7D1E">
              <w:rPr>
                <w:rFonts w:cs="Times New Roman"/>
                <w:szCs w:val="24"/>
              </w:rPr>
              <w:t>E (60:40)</w:t>
            </w:r>
          </w:p>
        </w:tc>
        <w:tc>
          <w:tcPr>
            <w:tcW w:w="3120" w:type="dxa"/>
          </w:tcPr>
          <w:p w14:paraId="1228AF34" w14:textId="77777777" w:rsidR="00E63C48" w:rsidRPr="00BE7D1E" w:rsidRDefault="00302EC0" w:rsidP="002B1AB0">
            <w:pPr>
              <w:spacing w:line="240" w:lineRule="auto"/>
              <w:jc w:val="both"/>
              <w:rPr>
                <w:rFonts w:cs="Times New Roman"/>
                <w:szCs w:val="24"/>
              </w:rPr>
            </w:pPr>
            <w:r w:rsidRPr="00BE7D1E">
              <w:rPr>
                <w:rFonts w:cs="Times New Roman"/>
                <w:szCs w:val="24"/>
              </w:rPr>
              <w:t>60</w:t>
            </w:r>
          </w:p>
        </w:tc>
        <w:tc>
          <w:tcPr>
            <w:tcW w:w="3120" w:type="dxa"/>
          </w:tcPr>
          <w:p w14:paraId="3DD61BA2" w14:textId="77777777" w:rsidR="00E63C48" w:rsidRPr="00BE7D1E" w:rsidRDefault="00302EC0" w:rsidP="002B1AB0">
            <w:pPr>
              <w:spacing w:line="240" w:lineRule="auto"/>
              <w:jc w:val="both"/>
              <w:rPr>
                <w:rFonts w:cs="Times New Roman"/>
                <w:szCs w:val="24"/>
              </w:rPr>
            </w:pPr>
            <w:r w:rsidRPr="00BE7D1E">
              <w:rPr>
                <w:rFonts w:cs="Times New Roman"/>
                <w:szCs w:val="24"/>
              </w:rPr>
              <w:t>40</w:t>
            </w:r>
          </w:p>
        </w:tc>
      </w:tr>
      <w:tr w:rsidR="003A4706" w:rsidRPr="00BE7D1E" w14:paraId="3BE8DF36" w14:textId="77777777" w:rsidTr="00BE7D1E">
        <w:tc>
          <w:tcPr>
            <w:tcW w:w="3120" w:type="dxa"/>
          </w:tcPr>
          <w:p w14:paraId="3C8B40B3" w14:textId="77777777" w:rsidR="00E63C48" w:rsidRPr="00BE7D1E" w:rsidRDefault="00302EC0" w:rsidP="002B1AB0">
            <w:pPr>
              <w:spacing w:line="240" w:lineRule="auto"/>
              <w:jc w:val="both"/>
              <w:rPr>
                <w:rFonts w:cs="Times New Roman"/>
                <w:szCs w:val="24"/>
              </w:rPr>
            </w:pPr>
            <w:r w:rsidRPr="00BE7D1E">
              <w:rPr>
                <w:rFonts w:cs="Times New Roman"/>
                <w:szCs w:val="24"/>
              </w:rPr>
              <w:t>F (50:50)</w:t>
            </w:r>
          </w:p>
        </w:tc>
        <w:tc>
          <w:tcPr>
            <w:tcW w:w="3120" w:type="dxa"/>
          </w:tcPr>
          <w:p w14:paraId="453DEE37" w14:textId="77777777" w:rsidR="00E63C48" w:rsidRPr="00BE7D1E" w:rsidRDefault="00302EC0" w:rsidP="002B1AB0">
            <w:pPr>
              <w:spacing w:line="240" w:lineRule="auto"/>
              <w:jc w:val="both"/>
              <w:rPr>
                <w:rFonts w:cs="Times New Roman"/>
                <w:szCs w:val="24"/>
              </w:rPr>
            </w:pPr>
            <w:r w:rsidRPr="00BE7D1E">
              <w:rPr>
                <w:rFonts w:cs="Times New Roman"/>
                <w:szCs w:val="24"/>
              </w:rPr>
              <w:t>50</w:t>
            </w:r>
          </w:p>
        </w:tc>
        <w:tc>
          <w:tcPr>
            <w:tcW w:w="3120" w:type="dxa"/>
          </w:tcPr>
          <w:p w14:paraId="73E88FFD" w14:textId="77777777" w:rsidR="00E63C48" w:rsidRPr="00BE7D1E" w:rsidRDefault="00302EC0" w:rsidP="002B1AB0">
            <w:pPr>
              <w:spacing w:line="240" w:lineRule="auto"/>
              <w:jc w:val="both"/>
              <w:rPr>
                <w:rFonts w:cs="Times New Roman"/>
                <w:szCs w:val="24"/>
              </w:rPr>
            </w:pPr>
            <w:r w:rsidRPr="00BE7D1E">
              <w:rPr>
                <w:rFonts w:cs="Times New Roman"/>
                <w:szCs w:val="24"/>
              </w:rPr>
              <w:t>50</w:t>
            </w:r>
          </w:p>
        </w:tc>
      </w:tr>
    </w:tbl>
    <w:p w14:paraId="6FC7EFA9" w14:textId="77777777" w:rsidR="00E63C48" w:rsidRPr="003A4706" w:rsidRDefault="00E63C48" w:rsidP="009C40FB">
      <w:pPr>
        <w:jc w:val="both"/>
        <w:rPr>
          <w:rFonts w:cs="Times New Roman"/>
        </w:rPr>
      </w:pPr>
    </w:p>
    <w:p w14:paraId="64420673" w14:textId="77777777" w:rsidR="00E63C48" w:rsidRPr="003A4706" w:rsidRDefault="00302EC0" w:rsidP="00682DD4">
      <w:pPr>
        <w:spacing w:line="240" w:lineRule="auto"/>
        <w:jc w:val="both"/>
        <w:rPr>
          <w:rFonts w:cs="Times New Roman"/>
        </w:rPr>
      </w:pPr>
      <w:r w:rsidRPr="003A4706">
        <w:rPr>
          <w:rFonts w:cs="Times New Roman"/>
          <w:sz w:val="22"/>
        </w:rPr>
        <w:t xml:space="preserve">For each formulation, the required quantities were weighed using a calibrated analytical balance and mixed for approximately 10 min using a laboratory mixer. The blends were packaged in airtight polyethylene bags and labelled </w:t>
      </w:r>
      <w:r w:rsidRPr="003A4706">
        <w:rPr>
          <w:rFonts w:cs="Times New Roman"/>
          <w:sz w:val="22"/>
        </w:rPr>
        <w:lastRenderedPageBreak/>
        <w:t>according to treatment code. The same mixing procedure was applied to all treatments to reduce variation attributable to blending time.</w:t>
      </w:r>
    </w:p>
    <w:p w14:paraId="53FE64E2" w14:textId="77777777" w:rsidR="00E63C48" w:rsidRPr="003A4706" w:rsidRDefault="00302EC0" w:rsidP="00682DD4">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2.4 Preparation of Fermented Maize Pap Powder</w:t>
      </w:r>
    </w:p>
    <w:p w14:paraId="61711CA6" w14:textId="77777777" w:rsidR="00E63C48" w:rsidRPr="003A4706" w:rsidRDefault="00302EC0" w:rsidP="00682DD4">
      <w:pPr>
        <w:spacing w:line="240" w:lineRule="auto"/>
        <w:jc w:val="both"/>
        <w:rPr>
          <w:rFonts w:cs="Times New Roman"/>
        </w:rPr>
      </w:pPr>
      <w:r w:rsidRPr="003A4706">
        <w:rPr>
          <w:rFonts w:cs="Times New Roman"/>
          <w:sz w:val="22"/>
        </w:rPr>
        <w:t xml:space="preserve">Fermented maize pap powder was prepared using a modified traditional procedure based on </w:t>
      </w:r>
      <w:proofErr w:type="spellStart"/>
      <w:r w:rsidRPr="003A4706">
        <w:rPr>
          <w:rFonts w:cs="Times New Roman"/>
          <w:sz w:val="22"/>
        </w:rPr>
        <w:t>Akingbala</w:t>
      </w:r>
      <w:proofErr w:type="spellEnd"/>
      <w:r w:rsidRPr="003A4706">
        <w:rPr>
          <w:rFonts w:cs="Times New Roman"/>
          <w:sz w:val="22"/>
        </w:rPr>
        <w:t xml:space="preserve"> et al. (1981) and Onwuka (2018). Cleaned maize was steeped in distilled water at 28 ± 2 °C for 72 h at a maize-to-water ratio of 1:5 (w/v). No external starter culture was added; fermentation was therefore spontaneous. The steep water was changed every 24 h. After 72 h, the softened grains were wet-milled, and the slurry was passed through muslin cloth with an aperture of approximately 0.2 mm. The filtrate was allowed to sediment for 24 h, after which the supernatant was decanted. The wet pap was dried at 60 °C for 24 h to constant weight, milled and passed through a 250-µm sieve. The resulting powder was packaged in airtight polyethylene bags and stored under ambient laboratory conditions until formulation.</w:t>
      </w:r>
    </w:p>
    <w:p w14:paraId="4B64F162" w14:textId="77777777" w:rsidR="00E63C48" w:rsidRPr="003A4706" w:rsidRDefault="00302EC0" w:rsidP="00682DD4">
      <w:pPr>
        <w:spacing w:line="240" w:lineRule="auto"/>
        <w:jc w:val="both"/>
        <w:rPr>
          <w:rFonts w:cs="Times New Roman"/>
        </w:rPr>
      </w:pPr>
      <w:r w:rsidRPr="003A4706">
        <w:rPr>
          <w:rFonts w:cs="Times New Roman"/>
          <w:sz w:val="22"/>
        </w:rPr>
        <w:t xml:space="preserve">The same fermentation duration, temperature range, water-replacement schedule, milling, sedimentation and drying conditions were applied to all batches. Fermentation pH and titratable acidity were not determined in the present study and are therefore not interpreted as measured fermentation outcomes. Likewise, no microbial enumeration was performed during fermentation, so the study cannot attribute the observed changes to a particular microbial species or succession </w:t>
      </w:r>
      <w:commentRangeStart w:id="4"/>
      <w:r w:rsidRPr="003A4706">
        <w:rPr>
          <w:rFonts w:cs="Times New Roman"/>
          <w:sz w:val="22"/>
        </w:rPr>
        <w:t>pattern</w:t>
      </w:r>
      <w:commentRangeEnd w:id="4"/>
      <w:r w:rsidR="00C05281">
        <w:rPr>
          <w:rStyle w:val="CommentReference"/>
        </w:rPr>
        <w:commentReference w:id="4"/>
      </w:r>
      <w:r w:rsidRPr="003A4706">
        <w:rPr>
          <w:rFonts w:cs="Times New Roman"/>
          <w:sz w:val="22"/>
        </w:rPr>
        <w:t>.</w:t>
      </w:r>
    </w:p>
    <w:p w14:paraId="7A8D17B6" w14:textId="77777777" w:rsidR="00E63C48" w:rsidRPr="003A4706" w:rsidRDefault="00302EC0" w:rsidP="00682DD4">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2.6 Preparation of Soybean Flour</w:t>
      </w:r>
    </w:p>
    <w:p w14:paraId="11D39C87" w14:textId="77777777" w:rsidR="00E63C48" w:rsidRPr="003A4706" w:rsidRDefault="00302EC0" w:rsidP="00682DD4">
      <w:pPr>
        <w:spacing w:line="240" w:lineRule="auto"/>
        <w:jc w:val="both"/>
        <w:rPr>
          <w:rFonts w:cs="Times New Roman"/>
        </w:rPr>
      </w:pPr>
      <w:r w:rsidRPr="003A4706">
        <w:rPr>
          <w:rFonts w:cs="Times New Roman"/>
          <w:sz w:val="22"/>
        </w:rPr>
        <w:t xml:space="preserve">Soybean seeds were cleaned, washed and soaked in water for 12 h. The seeds were manually dehulled, rinsed and blanched at 95 °C for 20 min. They were then dried at 60 °C for 24 h to constant weight, milled and passed through a 250-µm sieve. The flour was packaged in airtight polyethylene bags until use. Heat treatment was used as a processing step to reduce enzyme activity associated with soybean </w:t>
      </w:r>
      <w:proofErr w:type="spellStart"/>
      <w:r w:rsidRPr="003A4706">
        <w:rPr>
          <w:rFonts w:cs="Times New Roman"/>
          <w:sz w:val="22"/>
        </w:rPr>
        <w:t>flavour</w:t>
      </w:r>
      <w:proofErr w:type="spellEnd"/>
      <w:r w:rsidRPr="003A4706">
        <w:rPr>
          <w:rFonts w:cs="Times New Roman"/>
          <w:sz w:val="22"/>
        </w:rPr>
        <w:t xml:space="preserve"> development. The manuscript does not contain a direct measurement of residual lipoxygenase activity; therefore, the treatment is described as a processing intervention rather than quantified enzyme inactivation.</w:t>
      </w:r>
    </w:p>
    <w:p w14:paraId="7E28A0CF" w14:textId="77777777" w:rsidR="00E63C48" w:rsidRPr="003A4706" w:rsidRDefault="00302EC0" w:rsidP="00682DD4">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2.7 Experimental Replication and Quality Control</w:t>
      </w:r>
    </w:p>
    <w:p w14:paraId="77AE271F" w14:textId="77777777" w:rsidR="00E63C48" w:rsidRPr="003A4706" w:rsidRDefault="00302EC0" w:rsidP="00682DD4">
      <w:pPr>
        <w:spacing w:line="240" w:lineRule="auto"/>
        <w:jc w:val="both"/>
        <w:rPr>
          <w:rFonts w:cs="Times New Roman"/>
        </w:rPr>
      </w:pPr>
      <w:r w:rsidRPr="003A4706">
        <w:rPr>
          <w:rFonts w:cs="Times New Roman"/>
          <w:sz w:val="22"/>
        </w:rPr>
        <w:t>Three independent processing batches were used for the study, and each analytical determination was performed in triplicate. Independent batches constituted the experimental units, whereas repeated measurements on the same batch were considered technical replicates. Technical replicates were not treated as independent observations during statistical analysis. Analytical balances and the pH meter were calibrated before use according to the laboratory's standard operating procedures. Sample containers were labelled before analysis, and analyses were conducted using the same equipment settings and procedural sequence across treatments.</w:t>
      </w:r>
    </w:p>
    <w:p w14:paraId="6F1FCF43" w14:textId="77777777" w:rsidR="00CF6F49" w:rsidRPr="0018724C" w:rsidRDefault="00302EC0" w:rsidP="00682DD4">
      <w:pPr>
        <w:pStyle w:val="Heading2"/>
        <w:spacing w:line="240" w:lineRule="auto"/>
        <w:jc w:val="both"/>
        <w:rPr>
          <w:rFonts w:ascii="Times New Roman" w:hAnsi="Times New Roman" w:cs="Times New Roman"/>
          <w:color w:val="auto"/>
          <w:sz w:val="24"/>
          <w:szCs w:val="24"/>
        </w:rPr>
      </w:pPr>
      <w:proofErr w:type="gramStart"/>
      <w:r w:rsidRPr="003A4706">
        <w:rPr>
          <w:rFonts w:ascii="Times New Roman" w:hAnsi="Times New Roman" w:cs="Times New Roman"/>
          <w:color w:val="auto"/>
          <w:sz w:val="24"/>
          <w:szCs w:val="24"/>
        </w:rPr>
        <w:t xml:space="preserve">2.8 </w:t>
      </w:r>
      <w:r w:rsidR="0018724C">
        <w:rPr>
          <w:rFonts w:ascii="Times New Roman" w:hAnsi="Times New Roman" w:cs="Times New Roman"/>
          <w:color w:val="auto"/>
          <w:sz w:val="24"/>
          <w:szCs w:val="24"/>
        </w:rPr>
        <w:t xml:space="preserve"> </w:t>
      </w:r>
      <w:r w:rsidR="00CF6F49" w:rsidRPr="0018724C">
        <w:rPr>
          <w:rFonts w:ascii="Times New Roman" w:hAnsi="Times New Roman" w:cs="Times New Roman"/>
          <w:color w:val="auto"/>
          <w:sz w:val="24"/>
          <w:szCs w:val="24"/>
        </w:rPr>
        <w:t>Determination</w:t>
      </w:r>
      <w:proofErr w:type="gramEnd"/>
      <w:r w:rsidR="00CF6F49" w:rsidRPr="0018724C">
        <w:rPr>
          <w:rFonts w:ascii="Times New Roman" w:hAnsi="Times New Roman" w:cs="Times New Roman"/>
          <w:color w:val="auto"/>
          <w:sz w:val="24"/>
          <w:szCs w:val="24"/>
        </w:rPr>
        <w:t xml:space="preserve"> of proximate composition of flour samples</w:t>
      </w:r>
    </w:p>
    <w:p w14:paraId="325F390C" w14:textId="77777777" w:rsidR="0018724C" w:rsidRDefault="0018724C" w:rsidP="00682DD4">
      <w:pPr>
        <w:spacing w:line="240" w:lineRule="auto"/>
        <w:jc w:val="both"/>
        <w:rPr>
          <w:rFonts w:cs="Times New Roman"/>
          <w:sz w:val="22"/>
        </w:rPr>
      </w:pPr>
    </w:p>
    <w:p w14:paraId="0A1C5702" w14:textId="77777777" w:rsidR="0018724C" w:rsidRDefault="00CF6F49" w:rsidP="00682DD4">
      <w:pPr>
        <w:spacing w:after="200" w:line="240" w:lineRule="auto"/>
        <w:jc w:val="both"/>
        <w:rPr>
          <w:rFonts w:eastAsia="Times New Roman" w:cs="Times New Roman"/>
          <w:b/>
          <w:color w:val="000000"/>
          <w:sz w:val="20"/>
          <w:szCs w:val="20"/>
          <w:lang w:eastAsia="zh-CN"/>
        </w:rPr>
      </w:pPr>
      <w:r w:rsidRPr="00CF6F49">
        <w:rPr>
          <w:rFonts w:cs="Times New Roman"/>
          <w:sz w:val="22"/>
        </w:rPr>
        <w:t xml:space="preserve">Moisture, fat, crude </w:t>
      </w:r>
      <w:proofErr w:type="spellStart"/>
      <w:r w:rsidRPr="00CF6F49">
        <w:rPr>
          <w:rFonts w:cs="Times New Roman"/>
          <w:sz w:val="22"/>
        </w:rPr>
        <w:t>fibre</w:t>
      </w:r>
      <w:proofErr w:type="spellEnd"/>
      <w:r w:rsidRPr="00CF6F49">
        <w:rPr>
          <w:rFonts w:cs="Times New Roman"/>
          <w:sz w:val="22"/>
        </w:rPr>
        <w:t>, protein, ash and carbohydrates content of the seed flours were determined according to the methods of AOAC (2023).</w:t>
      </w:r>
      <w:r w:rsidR="0018724C" w:rsidRPr="0018724C">
        <w:rPr>
          <w:rFonts w:eastAsia="Times New Roman" w:cs="Times New Roman"/>
          <w:b/>
          <w:color w:val="000000"/>
          <w:sz w:val="20"/>
          <w:szCs w:val="20"/>
          <w:lang w:eastAsia="zh-CN"/>
        </w:rPr>
        <w:t xml:space="preserve"> </w:t>
      </w:r>
    </w:p>
    <w:p w14:paraId="7C428C70" w14:textId="77777777" w:rsidR="0018724C" w:rsidRPr="0018724C" w:rsidRDefault="0018724C" w:rsidP="00682DD4">
      <w:pPr>
        <w:spacing w:after="200" w:line="240" w:lineRule="auto"/>
        <w:jc w:val="both"/>
        <w:rPr>
          <w:rFonts w:eastAsia="Times New Roman" w:cs="Times New Roman"/>
          <w:b/>
          <w:bCs/>
          <w:color w:val="000000"/>
          <w:sz w:val="22"/>
          <w:lang w:eastAsia="zh-CN"/>
        </w:rPr>
      </w:pPr>
      <w:r w:rsidRPr="0018724C">
        <w:rPr>
          <w:rFonts w:eastAsia="Times New Roman" w:cs="Times New Roman"/>
          <w:b/>
          <w:color w:val="000000"/>
          <w:sz w:val="22"/>
          <w:lang w:eastAsia="zh-CN"/>
        </w:rPr>
        <w:t>2.8.1</w:t>
      </w:r>
      <w:r w:rsidRPr="0018724C">
        <w:rPr>
          <w:rFonts w:eastAsia="Times New Roman" w:cs="Times New Roman"/>
          <w:b/>
          <w:color w:val="000000"/>
          <w:sz w:val="22"/>
          <w:lang w:eastAsia="zh-CN"/>
        </w:rPr>
        <w:tab/>
        <w:t>Moisture content determination</w:t>
      </w:r>
    </w:p>
    <w:p w14:paraId="2012A50B"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Two grams of each of the developed sample was weighed into dried weighed crucible. The samples were put into a moisture extraction oven at 105</w:t>
      </w:r>
      <w:r w:rsidRPr="0018724C">
        <w:rPr>
          <w:rFonts w:eastAsia="Times New Roman" w:cs="Times New Roman"/>
          <w:bCs/>
          <w:color w:val="000000"/>
          <w:sz w:val="22"/>
          <w:vertAlign w:val="superscript"/>
          <w:lang w:val="en-ZA" w:eastAsia="zh-CN"/>
        </w:rPr>
        <w:t>o</w:t>
      </w:r>
      <w:r w:rsidRPr="0018724C">
        <w:rPr>
          <w:rFonts w:eastAsia="Times New Roman" w:cs="Times New Roman"/>
          <w:bCs/>
          <w:color w:val="000000"/>
          <w:sz w:val="22"/>
          <w:lang w:val="en-ZA" w:eastAsia="zh-CN"/>
        </w:rPr>
        <w:t>C and heated for 3 h. The dried samples were put into desiccators, allowed to cool and reweighed. The process was reported until constant weights were obtained. The difference in weight was calculated as a percentage of the original sample.</w:t>
      </w:r>
    </w:p>
    <w:p w14:paraId="06525052"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Percentage moisture (%)  </w:t>
      </w:r>
      <m:oMath>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3</m:t>
                </m:r>
              </m:sub>
            </m:sSub>
          </m:num>
          <m:den>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1</m:t>
                </m:r>
              </m:sub>
            </m:sSub>
          </m:den>
        </m:f>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r>
              <w:rPr>
                <w:rFonts w:ascii="Cambria Math" w:eastAsia="Times New Roman" w:hAnsi="Cambria Math" w:cs="Times New Roman"/>
                <w:color w:val="000000"/>
                <w:sz w:val="22"/>
                <w:lang w:eastAsia="zh-CN"/>
              </w:rPr>
              <m:t>100</m:t>
            </m:r>
          </m:num>
          <m:den>
            <m:r>
              <w:rPr>
                <w:rFonts w:ascii="Cambria Math" w:eastAsia="Times New Roman" w:hAnsi="Cambria Math" w:cs="Times New Roman"/>
                <w:color w:val="000000"/>
                <w:sz w:val="22"/>
                <w:lang w:eastAsia="zh-CN"/>
              </w:rPr>
              <m:t>1</m:t>
            </m:r>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r>
        <w:rPr>
          <w:rFonts w:eastAsia="Times New Roman" w:cs="Times New Roman"/>
          <w:bCs/>
          <w:color w:val="000000"/>
          <w:sz w:val="22"/>
          <w:lang w:val="en-ZA" w:eastAsia="zh-CN"/>
        </w:rPr>
        <w:t xml:space="preserve">                   </w:t>
      </w:r>
      <w:r w:rsidRPr="0018724C">
        <w:rPr>
          <w:rFonts w:eastAsia="Times New Roman" w:cs="Times New Roman"/>
          <w:bCs/>
          <w:color w:val="000000"/>
          <w:sz w:val="22"/>
          <w:lang w:val="en-ZA" w:eastAsia="zh-CN"/>
        </w:rPr>
        <w:t>1</w:t>
      </w:r>
    </w:p>
    <w:p w14:paraId="1EE00B8B" w14:textId="77777777" w:rsidR="0018724C" w:rsidRPr="0018724C" w:rsidRDefault="0018724C" w:rsidP="00682DD4">
      <w:pPr>
        <w:spacing w:after="200" w:line="240" w:lineRule="auto"/>
        <w:jc w:val="both"/>
        <w:rPr>
          <w:rFonts w:eastAsia="Times New Roman" w:cs="Times New Roman"/>
          <w:b/>
          <w:color w:val="000000"/>
          <w:sz w:val="22"/>
          <w:lang w:val="en-ZA" w:eastAsia="zh-CN"/>
        </w:rPr>
      </w:pPr>
      <w:r w:rsidRPr="0018724C">
        <w:rPr>
          <w:rFonts w:eastAsia="Times New Roman" w:cs="Times New Roman"/>
          <w:b/>
          <w:bCs/>
          <w:color w:val="000000"/>
          <w:sz w:val="22"/>
          <w:lang w:val="en-ZA" w:eastAsia="zh-CN"/>
        </w:rPr>
        <w:t>Where:</w:t>
      </w:r>
    </w:p>
    <w:p w14:paraId="14279E5A"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Initial weight of empty dish </w:t>
      </w:r>
    </w:p>
    <w:p w14:paraId="4EF2A7C7"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lastRenderedPageBreak/>
        <w:t>W</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xml:space="preserve"> = Weight of dish + un-dried sample</w:t>
      </w:r>
    </w:p>
    <w:p w14:paraId="4E1B6944"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 W</w:t>
      </w:r>
      <w:r w:rsidRPr="0018724C">
        <w:rPr>
          <w:rFonts w:eastAsia="Times New Roman" w:cs="Times New Roman"/>
          <w:bCs/>
          <w:color w:val="000000"/>
          <w:sz w:val="22"/>
          <w:vertAlign w:val="subscript"/>
          <w:lang w:val="en-ZA" w:eastAsia="zh-CN"/>
        </w:rPr>
        <w:t>3</w:t>
      </w:r>
      <w:r w:rsidRPr="0018724C">
        <w:rPr>
          <w:rFonts w:eastAsia="Times New Roman" w:cs="Times New Roman"/>
          <w:bCs/>
          <w:color w:val="000000"/>
          <w:sz w:val="22"/>
          <w:lang w:val="en-ZA" w:eastAsia="zh-CN"/>
        </w:rPr>
        <w:t xml:space="preserve"> = Weight of dish + dried sample</w:t>
      </w:r>
    </w:p>
    <w:p w14:paraId="0CA225BB" w14:textId="77777777" w:rsidR="0018724C" w:rsidRPr="0018724C" w:rsidRDefault="0018724C" w:rsidP="0018724C">
      <w:pPr>
        <w:spacing w:after="200" w:line="240" w:lineRule="auto"/>
        <w:jc w:val="both"/>
        <w:rPr>
          <w:rFonts w:eastAsia="Times New Roman" w:cs="Times New Roman"/>
          <w:b/>
          <w:bCs/>
          <w:color w:val="000000"/>
          <w:sz w:val="22"/>
          <w:lang w:eastAsia="zh-CN"/>
        </w:rPr>
      </w:pPr>
      <w:r w:rsidRPr="0018724C">
        <w:rPr>
          <w:rFonts w:eastAsia="Times New Roman" w:cs="Times New Roman"/>
          <w:b/>
          <w:bCs/>
          <w:color w:val="000000"/>
          <w:sz w:val="22"/>
          <w:lang w:val="en-ZA" w:eastAsia="zh-CN"/>
        </w:rPr>
        <w:t>2.</w:t>
      </w:r>
      <w:r>
        <w:rPr>
          <w:rFonts w:eastAsia="Times New Roman" w:cs="Times New Roman"/>
          <w:b/>
          <w:bCs/>
          <w:color w:val="000000"/>
          <w:sz w:val="22"/>
          <w:lang w:val="en-ZA" w:eastAsia="zh-CN"/>
        </w:rPr>
        <w:t>8</w:t>
      </w:r>
      <w:r w:rsidRPr="0018724C">
        <w:rPr>
          <w:rFonts w:eastAsia="Times New Roman" w:cs="Times New Roman"/>
          <w:b/>
          <w:bCs/>
          <w:color w:val="000000"/>
          <w:sz w:val="22"/>
          <w:lang w:val="en-ZA" w:eastAsia="zh-CN"/>
        </w:rPr>
        <w:t>.2</w:t>
      </w:r>
      <w:r w:rsidRPr="0018724C">
        <w:rPr>
          <w:rFonts w:eastAsia="Times New Roman" w:cs="Times New Roman"/>
          <w:b/>
          <w:color w:val="000000"/>
          <w:sz w:val="22"/>
          <w:lang w:eastAsia="zh-CN"/>
        </w:rPr>
        <w:tab/>
        <w:t xml:space="preserve">Fat content determination </w:t>
      </w:r>
    </w:p>
    <w:p w14:paraId="438E2A1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Two grams of each of the sample was loosely wrapped</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with a filter paper and put into the thimble which was fitted to a clean round bottom flask, which has been</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cleaned, dried and weighed. The flask contained 120 ml</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of petroleum ether. The sample was heated with a</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heating mantle and allowed to reflux for 5 h. The heating</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was then stopped and the thimbles with the spent</w:t>
      </w:r>
      <w:r w:rsidRPr="0018724C">
        <w:rPr>
          <w:rFonts w:eastAsia="Times New Roman" w:cs="Times New Roman"/>
          <w:b/>
          <w:color w:val="000000"/>
          <w:sz w:val="22"/>
          <w:lang w:val="en-ZA" w:eastAsia="zh-CN"/>
        </w:rPr>
        <w:t xml:space="preserve"> </w:t>
      </w:r>
      <w:r w:rsidRPr="0018724C">
        <w:rPr>
          <w:rFonts w:eastAsia="Times New Roman" w:cs="Times New Roman"/>
          <w:bCs/>
          <w:color w:val="000000"/>
          <w:sz w:val="22"/>
          <w:lang w:val="en-ZA" w:eastAsia="zh-CN"/>
        </w:rPr>
        <w:t>samples kept and later weighed. The difference in weight was received as mass of fat and is expressed in percentage of the sample.</w:t>
      </w:r>
    </w:p>
    <w:p w14:paraId="3FF25056"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Percentage fat (%)</w:t>
      </w:r>
      <m:oMath>
        <m:r>
          <w:rPr>
            <w:rFonts w:ascii="Cambria Math" w:eastAsia="Times New Roman" w:hAnsi="Cambria Math" w:cs="Times New Roman"/>
            <w:color w:val="000000"/>
            <w:sz w:val="22"/>
            <w:lang w:eastAsia="zh-CN"/>
          </w:rPr>
          <m:t xml:space="preserve">  =</m:t>
        </m:r>
        <m:f>
          <m:fPr>
            <m:ctrlPr>
              <w:rPr>
                <w:rFonts w:ascii="Cambria Math" w:eastAsia="Times New Roman" w:hAnsi="Cambria Math" w:cs="Times New Roman"/>
                <w:i/>
                <w:color w:val="000000"/>
                <w:sz w:val="22"/>
                <w:lang w:eastAsia="zh-CN"/>
              </w:rPr>
            </m:ctrlPr>
          </m:fPr>
          <m:num>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1</m:t>
                </m:r>
              </m:sub>
            </m:sSub>
          </m:num>
          <m:den>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3</m:t>
                </m:r>
              </m:sub>
            </m:sSub>
          </m:den>
        </m:f>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r>
              <w:rPr>
                <w:rFonts w:ascii="Cambria Math" w:eastAsia="Times New Roman" w:hAnsi="Cambria Math" w:cs="Times New Roman"/>
                <w:color w:val="000000"/>
                <w:sz w:val="22"/>
                <w:lang w:eastAsia="zh-CN"/>
              </w:rPr>
              <m:t>100</m:t>
            </m:r>
          </m:num>
          <m:den>
            <m:r>
              <w:rPr>
                <w:rFonts w:ascii="Cambria Math" w:eastAsia="Times New Roman" w:hAnsi="Cambria Math" w:cs="Times New Roman"/>
                <w:color w:val="000000"/>
                <w:sz w:val="22"/>
                <w:lang w:eastAsia="zh-CN"/>
              </w:rPr>
              <m:t>1</m:t>
            </m:r>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r>
        <w:rPr>
          <w:rFonts w:eastAsia="Times New Roman" w:cs="Times New Roman"/>
          <w:bCs/>
          <w:color w:val="000000"/>
          <w:sz w:val="22"/>
          <w:lang w:val="en-ZA" w:eastAsia="zh-CN"/>
        </w:rPr>
        <w:t xml:space="preserve">     </w:t>
      </w:r>
      <w:r w:rsidRPr="0018724C">
        <w:rPr>
          <w:rFonts w:eastAsia="Times New Roman" w:cs="Times New Roman"/>
          <w:bCs/>
          <w:color w:val="000000"/>
          <w:sz w:val="22"/>
          <w:lang w:val="en-ZA" w:eastAsia="zh-CN"/>
        </w:rPr>
        <w:t>2</w:t>
      </w:r>
    </w:p>
    <w:p w14:paraId="4E00B6C1" w14:textId="77777777" w:rsidR="0018724C" w:rsidRPr="0018724C" w:rsidRDefault="0018724C" w:rsidP="0018724C">
      <w:pPr>
        <w:spacing w:after="200" w:line="240" w:lineRule="auto"/>
        <w:jc w:val="both"/>
        <w:rPr>
          <w:rFonts w:eastAsia="Times New Roman" w:cs="Times New Roman"/>
          <w:b/>
          <w:color w:val="000000"/>
          <w:sz w:val="22"/>
          <w:lang w:val="en-ZA" w:eastAsia="zh-CN"/>
        </w:rPr>
      </w:pPr>
      <w:r w:rsidRPr="0018724C">
        <w:rPr>
          <w:rFonts w:eastAsia="Times New Roman" w:cs="Times New Roman"/>
          <w:b/>
          <w:bCs/>
          <w:color w:val="000000"/>
          <w:sz w:val="22"/>
          <w:lang w:val="en-ZA" w:eastAsia="zh-CN"/>
        </w:rPr>
        <w:t>Where:</w:t>
      </w:r>
    </w:p>
    <w:p w14:paraId="0C6FD6D8"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weight of the empty extraction flask</w:t>
      </w:r>
    </w:p>
    <w:p w14:paraId="3991CFF2"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xml:space="preserve"> = weight of the flask and oil extracted</w:t>
      </w:r>
    </w:p>
    <w:p w14:paraId="29E34896"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3</w:t>
      </w:r>
      <w:r w:rsidRPr="0018724C">
        <w:rPr>
          <w:rFonts w:eastAsia="Times New Roman" w:cs="Times New Roman"/>
          <w:bCs/>
          <w:color w:val="000000"/>
          <w:sz w:val="22"/>
          <w:lang w:val="en-ZA" w:eastAsia="zh-CN"/>
        </w:rPr>
        <w:t xml:space="preserve"> = weight of the sample</w:t>
      </w:r>
    </w:p>
    <w:p w14:paraId="0F647BE3" w14:textId="77777777" w:rsidR="0018724C" w:rsidRPr="0018724C" w:rsidRDefault="0018724C" w:rsidP="0018724C">
      <w:pPr>
        <w:spacing w:after="200" w:line="240" w:lineRule="auto"/>
        <w:jc w:val="both"/>
        <w:rPr>
          <w:rFonts w:eastAsia="Times New Roman" w:cs="Times New Roman"/>
          <w:b/>
          <w:bCs/>
          <w:color w:val="000000"/>
          <w:sz w:val="22"/>
          <w:lang w:eastAsia="zh-CN"/>
        </w:rPr>
      </w:pPr>
      <w:r>
        <w:rPr>
          <w:rFonts w:eastAsia="Times New Roman" w:cs="Times New Roman"/>
          <w:b/>
          <w:color w:val="000000"/>
          <w:sz w:val="22"/>
          <w:lang w:eastAsia="zh-CN"/>
        </w:rPr>
        <w:t>2.8.</w:t>
      </w:r>
      <w:r w:rsidRPr="0018724C">
        <w:rPr>
          <w:rFonts w:eastAsia="Times New Roman" w:cs="Times New Roman"/>
          <w:b/>
          <w:color w:val="000000"/>
          <w:sz w:val="22"/>
          <w:lang w:eastAsia="zh-CN"/>
        </w:rPr>
        <w:t>3</w:t>
      </w:r>
      <w:r w:rsidRPr="0018724C">
        <w:rPr>
          <w:rFonts w:eastAsia="Times New Roman" w:cs="Times New Roman"/>
          <w:b/>
          <w:color w:val="000000"/>
          <w:sz w:val="22"/>
          <w:lang w:eastAsia="zh-CN"/>
        </w:rPr>
        <w:tab/>
        <w:t xml:space="preserve">Crude </w:t>
      </w:r>
      <w:proofErr w:type="spellStart"/>
      <w:r w:rsidRPr="0018724C">
        <w:rPr>
          <w:rFonts w:eastAsia="Times New Roman" w:cs="Times New Roman"/>
          <w:b/>
          <w:color w:val="000000"/>
          <w:sz w:val="22"/>
          <w:lang w:eastAsia="zh-CN"/>
        </w:rPr>
        <w:t>fibre</w:t>
      </w:r>
      <w:proofErr w:type="spellEnd"/>
      <w:r w:rsidRPr="0018724C">
        <w:rPr>
          <w:rFonts w:eastAsia="Times New Roman" w:cs="Times New Roman"/>
          <w:b/>
          <w:color w:val="000000"/>
          <w:sz w:val="22"/>
          <w:lang w:eastAsia="zh-CN"/>
        </w:rPr>
        <w:t xml:space="preserve"> determination</w:t>
      </w:r>
    </w:p>
    <w:p w14:paraId="1CF15B54"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Two grams (2 g) of each sample and 1g asbestos was put into 200 ml of 1.25 % of H</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SO</w:t>
      </w:r>
      <w:r w:rsidRPr="0018724C">
        <w:rPr>
          <w:rFonts w:eastAsia="Times New Roman" w:cs="Times New Roman"/>
          <w:bCs/>
          <w:color w:val="000000"/>
          <w:sz w:val="22"/>
          <w:vertAlign w:val="subscript"/>
          <w:lang w:val="en-ZA" w:eastAsia="zh-CN"/>
        </w:rPr>
        <w:t>4</w:t>
      </w:r>
      <w:r w:rsidRPr="0018724C">
        <w:rPr>
          <w:rFonts w:eastAsia="Times New Roman" w:cs="Times New Roman"/>
          <w:bCs/>
          <w:color w:val="000000"/>
          <w:sz w:val="22"/>
          <w:lang w:val="en-ZA" w:eastAsia="zh-CN"/>
        </w:rPr>
        <w:t xml:space="preserve"> and boiled for 30 minutes. The solution and content then poured into Buchner funnel equipped with muslin cloth and secured with elastic band. This were allowed to filter and residue were then put into 200 ml boiled NaOH and boiling continued for 30 minutes, then transferred to the Buchner funnel and filtered</w:t>
      </w:r>
      <w:r w:rsidRPr="0018724C">
        <w:rPr>
          <w:rFonts w:eastAsia="Times New Roman" w:cs="Times New Roman"/>
          <w:color w:val="000000"/>
          <w:sz w:val="22"/>
          <w:lang w:eastAsia="zh-CN"/>
        </w:rPr>
        <w:t xml:space="preserve"> and washed thoroughly with hot distilled water. The precipitate</w:t>
      </w:r>
      <w:r w:rsidRPr="0018724C">
        <w:rPr>
          <w:rFonts w:eastAsia="Times New Roman" w:cs="Times New Roman"/>
          <w:bCs/>
          <w:color w:val="000000"/>
          <w:sz w:val="22"/>
          <w:lang w:val="en-ZA" w:eastAsia="zh-CN"/>
        </w:rPr>
        <w:t>s were then rinsed twice with alcohol and thrice with petroleum ether. The residues obtained were</w:t>
      </w:r>
      <w:r w:rsidRPr="0018724C">
        <w:rPr>
          <w:rFonts w:eastAsia="Times New Roman" w:cs="Times New Roman"/>
          <w:color w:val="000000"/>
          <w:sz w:val="22"/>
          <w:lang w:eastAsia="zh-CN"/>
        </w:rPr>
        <w:t xml:space="preserve"> scrapped into a clean weighed crucible</w:t>
      </w:r>
      <w:r w:rsidRPr="0018724C">
        <w:rPr>
          <w:rFonts w:eastAsia="Times New Roman" w:cs="Times New Roman"/>
          <w:bCs/>
          <w:color w:val="000000"/>
          <w:sz w:val="22"/>
          <w:lang w:val="en-ZA" w:eastAsia="zh-CN"/>
        </w:rPr>
        <w:t xml:space="preserve"> and dried in the moisture extraction oven to a constant weight. The crucibles were removed, cooled in desiccators and re - weighed</w:t>
      </w:r>
      <w:r w:rsidR="00122AB3">
        <w:rPr>
          <w:rFonts w:eastAsia="Times New Roman" w:cs="Times New Roman"/>
          <w:color w:val="000000"/>
          <w:sz w:val="22"/>
          <w:lang w:eastAsia="zh-CN"/>
        </w:rPr>
        <w:t xml:space="preserve"> (AOAC, 2023)</w:t>
      </w:r>
      <w:r w:rsidRPr="0018724C">
        <w:rPr>
          <w:rFonts w:eastAsia="Times New Roman" w:cs="Times New Roman"/>
          <w:bCs/>
          <w:color w:val="000000"/>
          <w:sz w:val="22"/>
          <w:lang w:val="en-ZA" w:eastAsia="zh-CN"/>
        </w:rPr>
        <w:t>. Then, difference of weight (i.e. loss in ignition) is recorded as crucible fibre and expressed in percentage crude fibre</w:t>
      </w:r>
    </w:p>
    <w:p w14:paraId="72497144"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 Percentage Crude Fibre (%)</w:t>
      </w:r>
      <m:oMath>
        <m:r>
          <w:rPr>
            <w:rFonts w:ascii="Cambria Math" w:eastAsia="Times New Roman" w:hAnsi="Cambria Math" w:cs="Times New Roman"/>
            <w:color w:val="000000"/>
            <w:sz w:val="22"/>
            <w:lang w:eastAsia="zh-CN"/>
          </w:rPr>
          <m:t xml:space="preserve"> =</m:t>
        </m:r>
        <m:f>
          <m:fPr>
            <m:ctrlPr>
              <w:rPr>
                <w:rFonts w:ascii="Cambria Math" w:eastAsia="Times New Roman" w:hAnsi="Cambria Math" w:cs="Times New Roman"/>
                <w:i/>
                <w:color w:val="000000"/>
                <w:sz w:val="22"/>
                <w:lang w:eastAsia="zh-CN"/>
              </w:rPr>
            </m:ctrlPr>
          </m:fPr>
          <m:num>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1</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num>
          <m:den>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3</m:t>
                </m:r>
              </m:sub>
            </m:sSub>
          </m:den>
        </m:f>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r>
              <w:rPr>
                <w:rFonts w:ascii="Cambria Math" w:eastAsia="Times New Roman" w:hAnsi="Cambria Math" w:cs="Times New Roman"/>
                <w:color w:val="000000"/>
                <w:sz w:val="22"/>
                <w:lang w:eastAsia="zh-CN"/>
              </w:rPr>
              <m:t>100</m:t>
            </m:r>
          </m:num>
          <m:den>
            <m:r>
              <w:rPr>
                <w:rFonts w:ascii="Cambria Math" w:eastAsia="Times New Roman" w:hAnsi="Cambria Math" w:cs="Times New Roman"/>
                <w:color w:val="000000"/>
                <w:sz w:val="22"/>
                <w:lang w:eastAsia="zh-CN"/>
              </w:rPr>
              <m:t>1</m:t>
            </m:r>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3</w:t>
      </w:r>
    </w:p>
    <w:p w14:paraId="068B300C" w14:textId="77777777" w:rsidR="0018724C" w:rsidRPr="0018724C" w:rsidRDefault="0018724C" w:rsidP="0018724C">
      <w:pPr>
        <w:spacing w:after="200" w:line="240" w:lineRule="auto"/>
        <w:jc w:val="both"/>
        <w:rPr>
          <w:rFonts w:eastAsia="Times New Roman" w:cs="Times New Roman"/>
          <w:b/>
          <w:color w:val="000000"/>
          <w:sz w:val="22"/>
          <w:lang w:val="en-ZA" w:eastAsia="zh-CN"/>
        </w:rPr>
      </w:pPr>
      <w:r w:rsidRPr="0018724C">
        <w:rPr>
          <w:rFonts w:eastAsia="Times New Roman" w:cs="Times New Roman"/>
          <w:b/>
          <w:bCs/>
          <w:color w:val="000000"/>
          <w:sz w:val="22"/>
          <w:lang w:val="en-ZA" w:eastAsia="zh-CN"/>
        </w:rPr>
        <w:t>Where:</w:t>
      </w:r>
    </w:p>
    <w:p w14:paraId="24BEF708"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weight of sample before incineration</w:t>
      </w:r>
    </w:p>
    <w:p w14:paraId="4D17AA00"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xml:space="preserve"> = weight of sample after incineration</w:t>
      </w:r>
    </w:p>
    <w:p w14:paraId="1FE18F67"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3</w:t>
      </w:r>
      <w:r w:rsidRPr="0018724C">
        <w:rPr>
          <w:rFonts w:eastAsia="Times New Roman" w:cs="Times New Roman"/>
          <w:bCs/>
          <w:color w:val="000000"/>
          <w:sz w:val="22"/>
          <w:lang w:val="en-ZA" w:eastAsia="zh-CN"/>
        </w:rPr>
        <w:t xml:space="preserve"> = weight of original sample</w:t>
      </w:r>
    </w:p>
    <w:p w14:paraId="2B472E3F" w14:textId="77777777" w:rsidR="0018724C" w:rsidRPr="0018724C" w:rsidRDefault="0018724C" w:rsidP="0018724C">
      <w:pPr>
        <w:spacing w:after="200" w:line="240" w:lineRule="auto"/>
        <w:jc w:val="both"/>
        <w:rPr>
          <w:rFonts w:eastAsia="Times New Roman" w:cs="Times New Roman"/>
          <w:b/>
          <w:bCs/>
          <w:color w:val="000000"/>
          <w:sz w:val="22"/>
          <w:lang w:eastAsia="zh-CN"/>
        </w:rPr>
      </w:pPr>
      <w:r>
        <w:rPr>
          <w:rFonts w:eastAsia="Times New Roman" w:cs="Times New Roman"/>
          <w:b/>
          <w:color w:val="000000"/>
          <w:sz w:val="22"/>
          <w:lang w:eastAsia="zh-CN"/>
        </w:rPr>
        <w:t>2.8</w:t>
      </w:r>
      <w:r w:rsidRPr="0018724C">
        <w:rPr>
          <w:rFonts w:eastAsia="Times New Roman" w:cs="Times New Roman"/>
          <w:b/>
          <w:color w:val="000000"/>
          <w:sz w:val="22"/>
          <w:lang w:eastAsia="zh-CN"/>
        </w:rPr>
        <w:t>.4</w:t>
      </w:r>
      <w:r w:rsidRPr="0018724C">
        <w:rPr>
          <w:rFonts w:eastAsia="Times New Roman" w:cs="Times New Roman"/>
          <w:b/>
          <w:color w:val="000000"/>
          <w:sz w:val="22"/>
          <w:lang w:eastAsia="zh-CN"/>
        </w:rPr>
        <w:tab/>
        <w:t xml:space="preserve">Crude protein determination </w:t>
      </w:r>
    </w:p>
    <w:p w14:paraId="64C5F9D5"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The micro </w:t>
      </w:r>
      <w:proofErr w:type="spellStart"/>
      <w:r w:rsidRPr="0018724C">
        <w:rPr>
          <w:rFonts w:eastAsia="Times New Roman" w:cs="Times New Roman"/>
          <w:bCs/>
          <w:color w:val="000000"/>
          <w:sz w:val="22"/>
          <w:lang w:val="en-ZA" w:eastAsia="zh-CN"/>
        </w:rPr>
        <w:t>kjeldahl</w:t>
      </w:r>
      <w:proofErr w:type="spellEnd"/>
      <w:r w:rsidRPr="0018724C">
        <w:rPr>
          <w:rFonts w:eastAsia="Times New Roman" w:cs="Times New Roman"/>
          <w:bCs/>
          <w:color w:val="000000"/>
          <w:sz w:val="22"/>
          <w:lang w:val="en-ZA" w:eastAsia="zh-CN"/>
        </w:rPr>
        <w:t xml:space="preserve"> method described by A.O.A.C</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(20</w:t>
      </w:r>
      <w:r w:rsidR="00682DD4">
        <w:rPr>
          <w:rFonts w:eastAsia="Times New Roman" w:cs="Times New Roman"/>
          <w:bCs/>
          <w:color w:val="000000"/>
          <w:sz w:val="22"/>
          <w:lang w:val="en-ZA" w:eastAsia="zh-CN"/>
        </w:rPr>
        <w:t>23</w:t>
      </w:r>
      <w:r w:rsidRPr="0018724C">
        <w:rPr>
          <w:rFonts w:eastAsia="Times New Roman" w:cs="Times New Roman"/>
          <w:bCs/>
          <w:color w:val="000000"/>
          <w:sz w:val="22"/>
          <w:lang w:val="en-ZA" w:eastAsia="zh-CN"/>
        </w:rPr>
        <w:t>) was used. Two grams of each of the samples was mixed with 10ml of concentrated H</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SO</w:t>
      </w:r>
      <w:r w:rsidRPr="0018724C">
        <w:rPr>
          <w:rFonts w:eastAsia="Times New Roman" w:cs="Times New Roman"/>
          <w:bCs/>
          <w:color w:val="000000"/>
          <w:sz w:val="22"/>
          <w:vertAlign w:val="subscript"/>
          <w:lang w:val="en-ZA" w:eastAsia="zh-CN"/>
        </w:rPr>
        <w:t>4</w:t>
      </w:r>
      <w:r w:rsidRPr="0018724C">
        <w:rPr>
          <w:rFonts w:eastAsia="Times New Roman" w:cs="Times New Roman"/>
          <w:bCs/>
          <w:color w:val="000000"/>
          <w:sz w:val="22"/>
          <w:lang w:val="en-ZA" w:eastAsia="zh-CN"/>
        </w:rPr>
        <w:t xml:space="preserve"> in a heating</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tube. One table of selenium catalyst was added to the</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tube and mixture heated inside a fume cupboard. The</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digest was transferred into distilled water. Ten</w:t>
      </w:r>
      <w:r w:rsidRPr="0018724C">
        <w:rPr>
          <w:rFonts w:eastAsia="Times New Roman" w:cs="Times New Roman"/>
          <w:b/>
          <w:bCs/>
          <w:color w:val="000000"/>
          <w:sz w:val="22"/>
          <w:lang w:val="en-ZA" w:eastAsia="zh-CN"/>
        </w:rPr>
        <w:t>-</w:t>
      </w:r>
      <w:proofErr w:type="spellStart"/>
      <w:r w:rsidRPr="0018724C">
        <w:rPr>
          <w:rFonts w:eastAsia="Times New Roman" w:cs="Times New Roman"/>
          <w:color w:val="000000"/>
          <w:sz w:val="22"/>
          <w:lang w:val="en-ZA" w:eastAsia="zh-CN"/>
        </w:rPr>
        <w:t>millimeter</w:t>
      </w:r>
      <w:proofErr w:type="spellEnd"/>
      <w:r w:rsidRPr="0018724C">
        <w:rPr>
          <w:rFonts w:eastAsia="Times New Roman" w:cs="Times New Roman"/>
          <w:bCs/>
          <w:color w:val="000000"/>
          <w:sz w:val="22"/>
          <w:lang w:val="en-ZA" w:eastAsia="zh-CN"/>
        </w:rPr>
        <w:t xml:space="preserve"> portion of the digest mixed with equal</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volume of 45 % NaOH solution and poured into a</w:t>
      </w:r>
      <w:r w:rsidRPr="0018724C">
        <w:rPr>
          <w:rFonts w:eastAsia="Times New Roman" w:cs="Times New Roman"/>
          <w:b/>
          <w:bCs/>
          <w:color w:val="000000"/>
          <w:sz w:val="22"/>
          <w:lang w:val="en-ZA" w:eastAsia="zh-CN"/>
        </w:rPr>
        <w:t xml:space="preserve"> </w:t>
      </w:r>
      <w:proofErr w:type="spellStart"/>
      <w:r w:rsidRPr="0018724C">
        <w:rPr>
          <w:rFonts w:eastAsia="Times New Roman" w:cs="Times New Roman"/>
          <w:bCs/>
          <w:color w:val="000000"/>
          <w:sz w:val="22"/>
          <w:lang w:val="en-ZA" w:eastAsia="zh-CN"/>
        </w:rPr>
        <w:t>kjeldahl</w:t>
      </w:r>
      <w:proofErr w:type="spellEnd"/>
      <w:r w:rsidRPr="0018724C">
        <w:rPr>
          <w:rFonts w:eastAsia="Times New Roman" w:cs="Times New Roman"/>
          <w:bCs/>
          <w:color w:val="000000"/>
          <w:sz w:val="22"/>
          <w:lang w:val="en-ZA" w:eastAsia="zh-CN"/>
        </w:rPr>
        <w:t xml:space="preserve"> distillation apparatus. The mixture was distilled</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and the distillate collected into 4 % boric acid solution</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containing 3 drops of methyl red indicator. A total of</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50 ml distillate was collected and titrated as well. The sample was duplicated and the average value taken. The</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Nitrogen content was calculated and multiplied with</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6.25 to obtain the crude protein content.</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 xml:space="preserve">This is given as: </w:t>
      </w:r>
    </w:p>
    <w:p w14:paraId="1A0E3D25"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lastRenderedPageBreak/>
        <w:t xml:space="preserve"> Percentage Nitrogen (%) </w:t>
      </w:r>
      <m:oMath>
        <m:r>
          <w:rPr>
            <w:rFonts w:ascii="Cambria Math" w:eastAsia="Times New Roman" w:hAnsi="Cambria Math" w:cs="Times New Roman"/>
            <w:color w:val="000000"/>
            <w:sz w:val="22"/>
            <w:lang w:eastAsia="zh-CN"/>
          </w:rPr>
          <m:t xml:space="preserve"> =</m:t>
        </m:r>
        <m:f>
          <m:fPr>
            <m:ctrlPr>
              <w:rPr>
                <w:rFonts w:ascii="Cambria Math" w:eastAsia="Times New Roman" w:hAnsi="Cambria Math" w:cs="Times New Roman"/>
                <w:i/>
                <w:color w:val="000000"/>
                <w:sz w:val="22"/>
                <w:lang w:eastAsia="zh-CN"/>
              </w:rPr>
            </m:ctrlPr>
          </m:fPr>
          <m:num>
            <m:d>
              <m:dPr>
                <m:ctrlPr>
                  <w:rPr>
                    <w:rFonts w:ascii="Cambria Math" w:eastAsia="Times New Roman" w:hAnsi="Cambria Math" w:cs="Times New Roman"/>
                    <w:i/>
                    <w:color w:val="000000"/>
                    <w:sz w:val="22"/>
                    <w:lang w:eastAsia="zh-CN"/>
                  </w:rPr>
                </m:ctrlPr>
              </m:dPr>
              <m:e>
                <m:r>
                  <w:rPr>
                    <w:rFonts w:ascii="Cambria Math" w:eastAsia="Times New Roman" w:hAnsi="Cambria Math" w:cs="Times New Roman"/>
                    <w:color w:val="000000"/>
                    <w:sz w:val="22"/>
                    <w:lang w:eastAsia="zh-CN"/>
                  </w:rPr>
                  <m:t>100×N×VF</m:t>
                </m:r>
              </m:e>
            </m:d>
            <m:r>
              <w:rPr>
                <w:rFonts w:ascii="Cambria Math" w:eastAsia="Times New Roman" w:hAnsi="Cambria Math" w:cs="Times New Roman"/>
                <w:color w:val="000000"/>
                <w:sz w:val="22"/>
                <w:lang w:eastAsia="zh-CN"/>
              </w:rPr>
              <m:t>T</m:t>
            </m:r>
          </m:num>
          <m:den>
            <m:r>
              <w:rPr>
                <w:rFonts w:ascii="Cambria Math" w:eastAsia="Times New Roman" w:hAnsi="Cambria Math" w:cs="Times New Roman"/>
                <w:color w:val="000000"/>
                <w:sz w:val="22"/>
                <w:lang w:eastAsia="zh-CN"/>
              </w:rPr>
              <m:t>100×</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V</m:t>
                </m:r>
              </m:e>
              <m:sub>
                <m:r>
                  <w:rPr>
                    <w:rFonts w:ascii="Cambria Math" w:eastAsia="Times New Roman" w:hAnsi="Cambria Math" w:cs="Times New Roman"/>
                    <w:color w:val="000000"/>
                    <w:sz w:val="22"/>
                    <w:lang w:eastAsia="zh-CN"/>
                  </w:rPr>
                  <m:t>a</m:t>
                </m:r>
              </m:sub>
            </m:sSub>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4</w:t>
      </w:r>
      <w:r w:rsidRPr="0018724C">
        <w:rPr>
          <w:rFonts w:eastAsia="Times New Roman" w:cs="Times New Roman"/>
          <w:bCs/>
          <w:color w:val="000000"/>
          <w:sz w:val="22"/>
          <w:lang w:val="en-ZA" w:eastAsia="zh-CN"/>
        </w:rPr>
        <w:tab/>
        <w:t xml:space="preserve">   </w:t>
      </w:r>
      <w:r w:rsidRPr="0018724C">
        <w:rPr>
          <w:rFonts w:eastAsia="Times New Roman" w:cs="Times New Roman"/>
          <w:b/>
          <w:bCs/>
          <w:color w:val="000000"/>
          <w:sz w:val="22"/>
          <w:lang w:val="en-ZA" w:eastAsia="zh-CN"/>
        </w:rPr>
        <w:t>Where:</w:t>
      </w:r>
    </w:p>
    <w:p w14:paraId="2F4C62F9"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N= Normality of the titrate (0.1N)</w:t>
      </w:r>
    </w:p>
    <w:p w14:paraId="207DBC95"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VF= Total volume of the digest= 100 ml</w:t>
      </w:r>
    </w:p>
    <w:p w14:paraId="12B8569B"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 Titre Value</w:t>
      </w:r>
    </w:p>
    <w:p w14:paraId="44DF2DCF"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Va= Aliquot Volume distilled</w:t>
      </w:r>
    </w:p>
    <w:p w14:paraId="40ED2C33" w14:textId="77777777" w:rsidR="0018724C" w:rsidRPr="0018724C" w:rsidRDefault="0018724C" w:rsidP="0018724C">
      <w:pPr>
        <w:spacing w:after="200" w:line="240" w:lineRule="auto"/>
        <w:jc w:val="both"/>
        <w:rPr>
          <w:rFonts w:eastAsia="Times New Roman" w:cs="Times New Roman"/>
          <w:b/>
          <w:color w:val="000000"/>
          <w:sz w:val="22"/>
          <w:lang w:eastAsia="zh-CN"/>
        </w:rPr>
      </w:pPr>
      <w:r>
        <w:rPr>
          <w:rFonts w:eastAsia="Times New Roman" w:cs="Times New Roman"/>
          <w:b/>
          <w:color w:val="000000"/>
          <w:sz w:val="22"/>
          <w:lang w:eastAsia="zh-CN"/>
        </w:rPr>
        <w:t>2.8</w:t>
      </w:r>
      <w:r w:rsidRPr="0018724C">
        <w:rPr>
          <w:rFonts w:eastAsia="Times New Roman" w:cs="Times New Roman"/>
          <w:b/>
          <w:color w:val="000000"/>
          <w:sz w:val="22"/>
          <w:lang w:eastAsia="zh-CN"/>
        </w:rPr>
        <w:t>.5</w:t>
      </w:r>
      <w:r w:rsidRPr="0018724C">
        <w:rPr>
          <w:rFonts w:eastAsia="Times New Roman" w:cs="Times New Roman"/>
          <w:b/>
          <w:color w:val="000000"/>
          <w:sz w:val="22"/>
          <w:lang w:eastAsia="zh-CN"/>
        </w:rPr>
        <w:tab/>
        <w:t>Ash content determination</w:t>
      </w:r>
    </w:p>
    <w:p w14:paraId="65C57DB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Two grams of each of the samples was weighed into a crucible, heated in a moisture extraction oven for 3 h at 100</w:t>
      </w:r>
      <w:r w:rsidRPr="0018724C">
        <w:rPr>
          <w:rFonts w:eastAsia="Times New Roman" w:cs="Times New Roman"/>
          <w:bCs/>
          <w:color w:val="000000"/>
          <w:sz w:val="22"/>
          <w:vertAlign w:val="superscript"/>
          <w:lang w:val="en-ZA" w:eastAsia="zh-CN"/>
        </w:rPr>
        <w:t>o</w:t>
      </w:r>
      <w:r w:rsidRPr="0018724C">
        <w:rPr>
          <w:rFonts w:eastAsia="Times New Roman" w:cs="Times New Roman"/>
          <w:bCs/>
          <w:color w:val="000000"/>
          <w:sz w:val="22"/>
          <w:lang w:val="en-ZA" w:eastAsia="zh-CN"/>
        </w:rPr>
        <w:t>C before being transferred into a muffle furnace at 550</w:t>
      </w:r>
      <w:r w:rsidRPr="0018724C">
        <w:rPr>
          <w:rFonts w:eastAsia="Times New Roman" w:cs="Times New Roman"/>
          <w:bCs/>
          <w:color w:val="000000"/>
          <w:sz w:val="22"/>
          <w:vertAlign w:val="superscript"/>
          <w:lang w:val="en-ZA" w:eastAsia="zh-CN"/>
        </w:rPr>
        <w:t>o</w:t>
      </w:r>
      <w:r w:rsidRPr="0018724C">
        <w:rPr>
          <w:rFonts w:eastAsia="Times New Roman" w:cs="Times New Roman"/>
          <w:bCs/>
          <w:color w:val="000000"/>
          <w:sz w:val="22"/>
          <w:lang w:val="en-ZA" w:eastAsia="zh-CN"/>
        </w:rPr>
        <w:t>C until it turned white and free of carbon. The sample was then removed from the furnace, cooled in a desiccator to a room temperature and reweighed immediately. The weight of the residual ash was then calculated as ash Content.</w:t>
      </w:r>
    </w:p>
    <w:p w14:paraId="64759400" w14:textId="77777777" w:rsidR="0018724C" w:rsidRPr="0018724C" w:rsidRDefault="0018724C" w:rsidP="0018724C">
      <w:pPr>
        <w:spacing w:after="200" w:line="240" w:lineRule="auto"/>
        <w:jc w:val="both"/>
        <w:rPr>
          <w:rFonts w:eastAsia="Times New Roman" w:cs="Times New Roman"/>
          <w:b/>
          <w:bCs/>
          <w:color w:val="000000"/>
          <w:sz w:val="22"/>
          <w:lang w:val="en-ZA" w:eastAsia="zh-CN"/>
        </w:rPr>
      </w:pPr>
      <m:oMath>
        <m:r>
          <m:rPr>
            <m:sty m:val="bi"/>
          </m:rPr>
          <w:rPr>
            <w:rFonts w:ascii="Cambria Math" w:eastAsia="Times New Roman" w:hAnsi="Cambria Math" w:cs="Times New Roman"/>
            <w:color w:val="000000"/>
            <w:sz w:val="22"/>
            <w:lang w:eastAsia="zh-CN"/>
          </w:rPr>
          <m:t>Percentage Ash (%)=</m:t>
        </m:r>
        <m:f>
          <m:fPr>
            <m:ctrlPr>
              <w:rPr>
                <w:rFonts w:ascii="Cambria Math" w:eastAsia="Times New Roman" w:hAnsi="Cambria Math" w:cs="Times New Roman"/>
                <w:b/>
                <w:i/>
                <w:color w:val="000000"/>
                <w:sz w:val="22"/>
                <w:lang w:eastAsia="zh-CN"/>
              </w:rPr>
            </m:ctrlPr>
          </m:fPr>
          <m:num>
            <m:r>
              <m:rPr>
                <m:sty m:val="bi"/>
              </m:rPr>
              <w:rPr>
                <w:rFonts w:ascii="Cambria Math" w:eastAsia="Times New Roman" w:hAnsi="Cambria Math" w:cs="Times New Roman"/>
                <w:color w:val="000000"/>
                <w:sz w:val="22"/>
                <w:lang w:eastAsia="zh-CN"/>
              </w:rPr>
              <m:t xml:space="preserve">Weight of Ash  </m:t>
            </m:r>
          </m:num>
          <m:den>
            <m:r>
              <m:rPr>
                <m:sty m:val="bi"/>
              </m:rPr>
              <w:rPr>
                <w:rFonts w:ascii="Cambria Math" w:eastAsia="Times New Roman" w:hAnsi="Cambria Math" w:cs="Times New Roman"/>
                <w:color w:val="000000"/>
                <w:sz w:val="22"/>
                <w:lang w:eastAsia="zh-CN"/>
              </w:rPr>
              <m:t>Weight of original sample</m:t>
            </m:r>
          </m:den>
        </m:f>
        <m:r>
          <m:rPr>
            <m:sty m:val="bi"/>
          </m:rPr>
          <w:rPr>
            <w:rFonts w:ascii="Cambria Math" w:eastAsia="Times New Roman" w:hAnsi="Cambria Math" w:cs="Times New Roman"/>
            <w:color w:val="000000"/>
            <w:sz w:val="22"/>
            <w:lang w:eastAsia="zh-CN"/>
          </w:rPr>
          <m:t xml:space="preserve">x </m:t>
        </m:r>
        <m:f>
          <m:fPr>
            <m:ctrlPr>
              <w:rPr>
                <w:rFonts w:ascii="Cambria Math" w:eastAsia="Times New Roman" w:hAnsi="Cambria Math" w:cs="Times New Roman"/>
                <w:b/>
                <w:i/>
                <w:color w:val="000000"/>
                <w:sz w:val="22"/>
                <w:lang w:eastAsia="zh-CN"/>
              </w:rPr>
            </m:ctrlPr>
          </m:fPr>
          <m:num>
            <m:r>
              <m:rPr>
                <m:sty m:val="bi"/>
              </m:rPr>
              <w:rPr>
                <w:rFonts w:ascii="Cambria Math" w:eastAsia="Times New Roman" w:hAnsi="Cambria Math" w:cs="Times New Roman"/>
                <w:color w:val="000000"/>
                <w:sz w:val="22"/>
                <w:lang w:eastAsia="zh-CN"/>
              </w:rPr>
              <m:t>100</m:t>
            </m:r>
          </m:num>
          <m:den>
            <m:r>
              <m:rPr>
                <m:sty m:val="bi"/>
              </m:rPr>
              <w:rPr>
                <w:rFonts w:ascii="Cambria Math" w:eastAsia="Times New Roman" w:hAnsi="Cambria Math" w:cs="Times New Roman"/>
                <w:color w:val="000000"/>
                <w:sz w:val="22"/>
                <w:lang w:eastAsia="zh-CN"/>
              </w:rPr>
              <m:t>1</m:t>
            </m:r>
          </m:den>
        </m:f>
      </m:oMath>
      <w:r w:rsidRPr="0018724C">
        <w:rPr>
          <w:rFonts w:eastAsia="Times New Roman" w:cs="Times New Roman"/>
          <w:b/>
          <w:bCs/>
          <w:color w:val="000000"/>
          <w:sz w:val="22"/>
          <w:lang w:val="en-ZA" w:eastAsia="zh-CN"/>
        </w:rPr>
        <w:t xml:space="preserve">    </w:t>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t xml:space="preserve">            </w:t>
      </w:r>
      <w:r w:rsidRPr="0018724C">
        <w:rPr>
          <w:rFonts w:eastAsia="Times New Roman" w:cs="Times New Roman"/>
          <w:bCs/>
          <w:color w:val="000000"/>
          <w:sz w:val="22"/>
          <w:lang w:val="en-ZA" w:eastAsia="zh-CN"/>
        </w:rPr>
        <w:t>5</w:t>
      </w:r>
      <w:r w:rsidRPr="0018724C">
        <w:rPr>
          <w:rFonts w:eastAsia="Times New Roman" w:cs="Times New Roman"/>
          <w:b/>
          <w:bCs/>
          <w:color w:val="000000"/>
          <w:sz w:val="22"/>
          <w:lang w:val="en-ZA" w:eastAsia="zh-CN"/>
        </w:rPr>
        <w:t xml:space="preserve">                                           </w:t>
      </w:r>
    </w:p>
    <w:p w14:paraId="0DBBA3C3" w14:textId="77777777" w:rsidR="0018724C" w:rsidRPr="0018724C" w:rsidRDefault="0018724C" w:rsidP="0018724C">
      <w:pPr>
        <w:spacing w:after="200" w:line="240" w:lineRule="auto"/>
        <w:jc w:val="both"/>
        <w:rPr>
          <w:rFonts w:eastAsia="Times New Roman" w:cs="Times New Roman"/>
          <w:b/>
          <w:bCs/>
          <w:color w:val="000000"/>
          <w:sz w:val="22"/>
          <w:lang w:val="en-ZA" w:eastAsia="zh-CN"/>
        </w:rPr>
      </w:pPr>
      <w:r>
        <w:rPr>
          <w:rFonts w:eastAsia="Times New Roman" w:cs="Times New Roman"/>
          <w:b/>
          <w:bCs/>
          <w:color w:val="000000"/>
          <w:sz w:val="22"/>
          <w:lang w:val="en-ZA" w:eastAsia="zh-CN"/>
        </w:rPr>
        <w:t>2.8</w:t>
      </w:r>
      <w:r w:rsidRPr="0018724C">
        <w:rPr>
          <w:rFonts w:eastAsia="Times New Roman" w:cs="Times New Roman"/>
          <w:b/>
          <w:bCs/>
          <w:color w:val="000000"/>
          <w:sz w:val="22"/>
          <w:lang w:val="en-ZA" w:eastAsia="zh-CN"/>
        </w:rPr>
        <w:t>.6</w:t>
      </w:r>
      <w:r w:rsidRPr="0018724C">
        <w:rPr>
          <w:rFonts w:eastAsia="Times New Roman" w:cs="Times New Roman"/>
          <w:b/>
          <w:bCs/>
          <w:color w:val="000000"/>
          <w:sz w:val="22"/>
          <w:lang w:val="en-ZA" w:eastAsia="zh-CN"/>
        </w:rPr>
        <w:tab/>
        <w:t>Carbohydrate Content Determination</w:t>
      </w:r>
    </w:p>
    <w:p w14:paraId="7286288F"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The Nitrogen free method described by Onwuka (2018) was used. The carbohydrate was calculated as weight by difference between 100 and the summation of other proximate parameters as Nitrogen free Extract (NFE) percentage carbohydrate</w:t>
      </w:r>
    </w:p>
    <w:p w14:paraId="1FCEE30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Nitrogen Free Extract (%) = 100- (m +p + F</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A + F</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w:t>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r>
        <w:rPr>
          <w:rFonts w:eastAsia="Times New Roman" w:cs="Times New Roman"/>
          <w:bCs/>
          <w:color w:val="000000"/>
          <w:sz w:val="22"/>
          <w:lang w:val="en-ZA" w:eastAsia="zh-CN"/>
        </w:rPr>
        <w:t xml:space="preserve">               </w:t>
      </w:r>
      <w:r w:rsidRPr="0018724C">
        <w:rPr>
          <w:rFonts w:eastAsia="Times New Roman" w:cs="Times New Roman"/>
          <w:bCs/>
          <w:color w:val="000000"/>
          <w:sz w:val="22"/>
          <w:lang w:val="en-ZA" w:eastAsia="zh-CN"/>
        </w:rPr>
        <w:t xml:space="preserve"> 6</w:t>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p>
    <w:p w14:paraId="5EE908D1"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Where:</w:t>
      </w:r>
    </w:p>
    <w:p w14:paraId="2D042261"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m = moisture</w:t>
      </w:r>
    </w:p>
    <w:p w14:paraId="12A79EA9"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p = protein</w:t>
      </w:r>
    </w:p>
    <w:p w14:paraId="437E6E72"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F</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Fat</w:t>
      </w:r>
    </w:p>
    <w:p w14:paraId="645FD5F7"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A = ash</w:t>
      </w:r>
    </w:p>
    <w:p w14:paraId="4BA05AAB"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F</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Crude fibre</w:t>
      </w:r>
    </w:p>
    <w:p w14:paraId="61C32836" w14:textId="77777777" w:rsidR="00CF6F49" w:rsidRPr="00CF6F49" w:rsidRDefault="00CF6F49" w:rsidP="0018724C">
      <w:pPr>
        <w:spacing w:line="240" w:lineRule="auto"/>
        <w:jc w:val="both"/>
        <w:rPr>
          <w:rFonts w:cs="Times New Roman"/>
          <w:sz w:val="22"/>
        </w:rPr>
      </w:pPr>
    </w:p>
    <w:p w14:paraId="16EA9482" w14:textId="77777777" w:rsidR="00CF6F49" w:rsidRPr="0018724C" w:rsidRDefault="003D2280" w:rsidP="0018724C">
      <w:pPr>
        <w:spacing w:line="240" w:lineRule="auto"/>
        <w:jc w:val="both"/>
        <w:rPr>
          <w:rFonts w:cs="Times New Roman"/>
          <w:b/>
          <w:szCs w:val="24"/>
        </w:rPr>
      </w:pPr>
      <w:r>
        <w:rPr>
          <w:rFonts w:cs="Times New Roman"/>
          <w:b/>
          <w:szCs w:val="24"/>
        </w:rPr>
        <w:t>2.9</w:t>
      </w:r>
      <w:r w:rsidR="00CF6F49" w:rsidRPr="0018724C">
        <w:rPr>
          <w:rFonts w:cs="Times New Roman"/>
          <w:b/>
          <w:szCs w:val="24"/>
        </w:rPr>
        <w:tab/>
        <w:t xml:space="preserve">Determination of </w:t>
      </w:r>
      <w:r>
        <w:rPr>
          <w:rFonts w:cs="Times New Roman"/>
          <w:b/>
          <w:szCs w:val="24"/>
        </w:rPr>
        <w:t>Functional</w:t>
      </w:r>
      <w:r w:rsidR="00CF6F49" w:rsidRPr="0018724C">
        <w:rPr>
          <w:rFonts w:cs="Times New Roman"/>
          <w:b/>
          <w:szCs w:val="24"/>
        </w:rPr>
        <w:t xml:space="preserve"> Properties</w:t>
      </w:r>
      <w:r>
        <w:rPr>
          <w:rFonts w:cs="Times New Roman"/>
          <w:b/>
          <w:szCs w:val="24"/>
        </w:rPr>
        <w:t xml:space="preserve"> of Flour Samples</w:t>
      </w:r>
    </w:p>
    <w:p w14:paraId="4050007D" w14:textId="77777777" w:rsidR="006D6C60" w:rsidRPr="006D6C60" w:rsidRDefault="003D2280" w:rsidP="006D6C60">
      <w:pPr>
        <w:pStyle w:val="Heading3"/>
        <w:jc w:val="both"/>
        <w:rPr>
          <w:rFonts w:ascii="Times New Roman" w:eastAsia="Times New Roman" w:hAnsi="Times New Roman" w:cs="Times New Roman"/>
          <w:color w:val="auto"/>
          <w:sz w:val="22"/>
        </w:rPr>
      </w:pPr>
      <w:r>
        <w:rPr>
          <w:rFonts w:ascii="Times New Roman" w:eastAsia="Times New Roman" w:hAnsi="Times New Roman" w:cs="Times New Roman"/>
          <w:color w:val="auto"/>
          <w:sz w:val="22"/>
        </w:rPr>
        <w:t>2.9.1 Bulk density d</w:t>
      </w:r>
      <w:r w:rsidR="006D6C60" w:rsidRPr="006D6C60">
        <w:rPr>
          <w:rFonts w:ascii="Times New Roman" w:eastAsia="Times New Roman" w:hAnsi="Times New Roman" w:cs="Times New Roman"/>
          <w:color w:val="auto"/>
          <w:sz w:val="22"/>
        </w:rPr>
        <w:t>etermination</w:t>
      </w:r>
    </w:p>
    <w:p w14:paraId="582F9D44" w14:textId="77777777" w:rsidR="006D6C60" w:rsidRPr="006D6C60" w:rsidRDefault="006D6C60" w:rsidP="006D6C6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 xml:space="preserve">Bulk density was determined using the graduated-cylinder method described for plant flour systems by Joshi et al. (2015), with minor modifications as reported by Adebowale et al. (2017). Approximately </w:t>
      </w:r>
      <w:r w:rsidRPr="003D2280">
        <w:rPr>
          <w:rFonts w:eastAsia="Times New Roman" w:cs="Times New Roman"/>
          <w:bCs/>
          <w:sz w:val="22"/>
        </w:rPr>
        <w:t>50.0 g of each flour sample</w:t>
      </w:r>
      <w:r w:rsidRPr="006D6C60">
        <w:rPr>
          <w:rFonts w:eastAsia="Times New Roman" w:cs="Times New Roman"/>
          <w:sz w:val="22"/>
        </w:rPr>
        <w:t xml:space="preserve"> was accurately weighed into a clean and dry </w:t>
      </w:r>
      <w:r w:rsidRPr="003D2280">
        <w:rPr>
          <w:rFonts w:eastAsia="Times New Roman" w:cs="Times New Roman"/>
          <w:bCs/>
          <w:sz w:val="22"/>
        </w:rPr>
        <w:t>100-mL graduated measuring cylinder</w:t>
      </w:r>
      <w:r w:rsidRPr="006D6C60">
        <w:rPr>
          <w:rFonts w:eastAsia="Times New Roman" w:cs="Times New Roman"/>
          <w:sz w:val="22"/>
        </w:rPr>
        <w:t xml:space="preserve">. The flour was transferred carefully into the cylinder without deliberate compaction, and the initial volume occupied by the sample was recorded. The cylinder was then gently tapped vertically against a firm laboratory surface from a height of approximately </w:t>
      </w:r>
      <w:r w:rsidRPr="003D2280">
        <w:rPr>
          <w:rFonts w:eastAsia="Times New Roman" w:cs="Times New Roman"/>
          <w:bCs/>
          <w:sz w:val="22"/>
        </w:rPr>
        <w:t>2–3 cm</w:t>
      </w:r>
      <w:r w:rsidRPr="006D6C60">
        <w:rPr>
          <w:rFonts w:eastAsia="Times New Roman" w:cs="Times New Roman"/>
          <w:sz w:val="22"/>
        </w:rPr>
        <w:t>, at a consistent rate, until no further appreciable reduction in volume occurred. The final volume occupied by the flour after tapping was recorded.</w:t>
      </w:r>
    </w:p>
    <w:p w14:paraId="35B11C16" w14:textId="77777777" w:rsidR="006D6C60" w:rsidRPr="003D2280" w:rsidRDefault="006D6C60" w:rsidP="006D6C6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lastRenderedPageBreak/>
        <w:t>Bulk density was calculated using the equation:</w:t>
      </w:r>
    </w:p>
    <w:p w14:paraId="668F3E6C" w14:textId="77777777" w:rsidR="006D6C60" w:rsidRPr="006D6C60" w:rsidRDefault="006D6C60" w:rsidP="006D6C60">
      <w:pPr>
        <w:spacing w:before="100" w:beforeAutospacing="1" w:after="100" w:afterAutospacing="1" w:line="240" w:lineRule="auto"/>
        <w:jc w:val="both"/>
        <w:rPr>
          <w:rFonts w:eastAsia="Times New Roman" w:cs="Times New Roman"/>
          <w:sz w:val="22"/>
        </w:rPr>
      </w:pPr>
      <m:oMath>
        <m:r>
          <m:rPr>
            <m:sty m:val="bi"/>
          </m:rPr>
          <w:rPr>
            <w:rFonts w:ascii="Cambria Math" w:eastAsia="Times New Roman" w:hAnsi="Cambria Math" w:cs="Times New Roman"/>
            <w:sz w:val="22"/>
          </w:rPr>
          <m:t xml:space="preserve"> Bulk Density (g/ml)=W/V </m:t>
        </m:r>
      </m:oMath>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t xml:space="preserve">  7</w:t>
      </w:r>
    </w:p>
    <w:p w14:paraId="205AAB8C" w14:textId="77777777" w:rsidR="006D6C60" w:rsidRPr="006D6C60" w:rsidRDefault="006D6C60" w:rsidP="006D6C6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where:</w:t>
      </w:r>
    </w:p>
    <w:p w14:paraId="5173EC6E" w14:textId="77777777" w:rsidR="006D6C60" w:rsidRPr="006D6C60" w:rsidRDefault="006D6C60" w:rsidP="006D6C60">
      <w:pPr>
        <w:spacing w:before="100" w:beforeAutospacing="1" w:after="100" w:afterAutospacing="1" w:line="240" w:lineRule="auto"/>
        <w:rPr>
          <w:rFonts w:eastAsia="Times New Roman" w:cs="Times New Roman"/>
          <w:sz w:val="22"/>
        </w:rPr>
      </w:pPr>
      <w:r w:rsidRPr="003D2280">
        <w:rPr>
          <w:rFonts w:eastAsia="Times New Roman" w:cs="Times New Roman"/>
          <w:b/>
          <w:bCs/>
          <w:sz w:val="22"/>
        </w:rPr>
        <w:t>W</w:t>
      </w:r>
      <w:r w:rsidRPr="006D6C60">
        <w:rPr>
          <w:rFonts w:eastAsia="Times New Roman" w:cs="Times New Roman"/>
          <w:sz w:val="22"/>
        </w:rPr>
        <w:t>= weight of flour sample (g)</w:t>
      </w:r>
      <w:r w:rsidRPr="006D6C60">
        <w:rPr>
          <w:rFonts w:eastAsia="Times New Roman" w:cs="Times New Roman"/>
          <w:sz w:val="22"/>
        </w:rPr>
        <w:br/>
      </w:r>
      <w:r w:rsidRPr="003D2280">
        <w:rPr>
          <w:rFonts w:eastAsia="Times New Roman" w:cs="Times New Roman"/>
          <w:b/>
          <w:bCs/>
          <w:sz w:val="22"/>
        </w:rPr>
        <w:t>V</w:t>
      </w:r>
      <w:r w:rsidRPr="006D6C60">
        <w:rPr>
          <w:rFonts w:eastAsia="Times New Roman" w:cs="Times New Roman"/>
          <w:sz w:val="22"/>
        </w:rPr>
        <w:t xml:space="preserve"> = final volume occupied by the flour after tapping (mL)</w:t>
      </w:r>
    </w:p>
    <w:p w14:paraId="6742183E" w14:textId="77777777" w:rsidR="006D6C60" w:rsidRPr="006D6C60" w:rsidRDefault="003D2280" w:rsidP="006D6C60">
      <w:pPr>
        <w:spacing w:before="100" w:beforeAutospacing="1" w:after="100" w:afterAutospacing="1" w:line="240" w:lineRule="auto"/>
        <w:jc w:val="both"/>
        <w:outlineLvl w:val="2"/>
        <w:rPr>
          <w:rFonts w:eastAsia="Times New Roman" w:cs="Times New Roman"/>
          <w:b/>
          <w:bCs/>
          <w:szCs w:val="24"/>
        </w:rPr>
      </w:pPr>
      <w:r>
        <w:rPr>
          <w:rFonts w:eastAsia="Times New Roman" w:cs="Times New Roman"/>
          <w:b/>
          <w:bCs/>
          <w:szCs w:val="24"/>
        </w:rPr>
        <w:t>2.9</w:t>
      </w:r>
      <w:r w:rsidR="006D6C60" w:rsidRPr="006D6C60">
        <w:rPr>
          <w:rFonts w:eastAsia="Times New Roman" w:cs="Times New Roman"/>
          <w:b/>
          <w:bCs/>
          <w:szCs w:val="24"/>
        </w:rPr>
        <w:t>.2 Water Absorption Capacity (WAC)</w:t>
      </w:r>
      <w:r>
        <w:rPr>
          <w:rFonts w:eastAsia="Times New Roman" w:cs="Times New Roman"/>
          <w:b/>
          <w:bCs/>
          <w:szCs w:val="24"/>
        </w:rPr>
        <w:t xml:space="preserve"> Determination</w:t>
      </w:r>
    </w:p>
    <w:p w14:paraId="6DA8EC05" w14:textId="77777777" w:rsidR="006D6C60" w:rsidRPr="006D6C60" w:rsidRDefault="006D6C60" w:rsidP="003D228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 xml:space="preserve">Water absorption capacity (WAC) was determined using the centrifugation method described by Onwuka (2018). Briefly, </w:t>
      </w:r>
      <w:r w:rsidRPr="003D2280">
        <w:rPr>
          <w:rFonts w:eastAsia="Times New Roman" w:cs="Times New Roman"/>
          <w:bCs/>
          <w:sz w:val="22"/>
        </w:rPr>
        <w:t>1.0 g of each flour sample</w:t>
      </w:r>
      <w:r w:rsidRPr="006D6C60">
        <w:rPr>
          <w:rFonts w:eastAsia="Times New Roman" w:cs="Times New Roman"/>
          <w:sz w:val="22"/>
        </w:rPr>
        <w:t xml:space="preserve"> was accurately weighed into a previously weighed </w:t>
      </w:r>
      <w:r w:rsidRPr="003D2280">
        <w:rPr>
          <w:rFonts w:eastAsia="Times New Roman" w:cs="Times New Roman"/>
          <w:bCs/>
          <w:sz w:val="22"/>
        </w:rPr>
        <w:t>15-mL centrifuge tube</w:t>
      </w:r>
      <w:r w:rsidRPr="006D6C60">
        <w:rPr>
          <w:rFonts w:eastAsia="Times New Roman" w:cs="Times New Roman"/>
          <w:sz w:val="22"/>
        </w:rPr>
        <w:t xml:space="preserve">. </w:t>
      </w:r>
      <w:r w:rsidRPr="003D2280">
        <w:rPr>
          <w:rFonts w:eastAsia="Times New Roman" w:cs="Times New Roman"/>
          <w:bCs/>
          <w:sz w:val="22"/>
        </w:rPr>
        <w:t>10 mL of distilled water</w:t>
      </w:r>
      <w:r w:rsidRPr="006D6C60">
        <w:rPr>
          <w:rFonts w:eastAsia="Times New Roman" w:cs="Times New Roman"/>
          <w:sz w:val="22"/>
        </w:rPr>
        <w:t xml:space="preserve"> was added, and the mixture was thoroughly dispersed using a vortex mixer. The dispersion was allowed to equilibrate at room temperature (</w:t>
      </w:r>
      <w:r w:rsidRPr="003D2280">
        <w:rPr>
          <w:rFonts w:eastAsia="Times New Roman" w:cs="Times New Roman"/>
          <w:bCs/>
          <w:sz w:val="22"/>
        </w:rPr>
        <w:t>approximately 25 ± 2°C</w:t>
      </w:r>
      <w:r w:rsidRPr="006D6C60">
        <w:rPr>
          <w:rFonts w:eastAsia="Times New Roman" w:cs="Times New Roman"/>
          <w:sz w:val="22"/>
        </w:rPr>
        <w:t xml:space="preserve">) for </w:t>
      </w:r>
      <w:r w:rsidRPr="003D2280">
        <w:rPr>
          <w:rFonts w:eastAsia="Times New Roman" w:cs="Times New Roman"/>
          <w:bCs/>
          <w:sz w:val="22"/>
        </w:rPr>
        <w:t>30 min</w:t>
      </w:r>
      <w:r w:rsidRPr="006D6C60">
        <w:rPr>
          <w:rFonts w:eastAsia="Times New Roman" w:cs="Times New Roman"/>
          <w:sz w:val="22"/>
        </w:rPr>
        <w:t>, with intermittent mixing to facilitate hydration of the flour components.</w:t>
      </w:r>
      <w:r w:rsidRPr="003D2280">
        <w:rPr>
          <w:rFonts w:eastAsia="Times New Roman" w:cs="Times New Roman"/>
          <w:sz w:val="22"/>
        </w:rPr>
        <w:t xml:space="preserve"> </w:t>
      </w:r>
      <w:r w:rsidRPr="006D6C60">
        <w:rPr>
          <w:rFonts w:eastAsia="Times New Roman" w:cs="Times New Roman"/>
          <w:sz w:val="22"/>
        </w:rPr>
        <w:t xml:space="preserve">Following hydration, the samples were centrifuged at </w:t>
      </w:r>
      <w:r w:rsidRPr="003D2280">
        <w:rPr>
          <w:rFonts w:eastAsia="Times New Roman" w:cs="Times New Roman"/>
          <w:bCs/>
          <w:sz w:val="22"/>
        </w:rPr>
        <w:t>3,000 × g for 15 min</w:t>
      </w:r>
      <w:r w:rsidRPr="006D6C60">
        <w:rPr>
          <w:rFonts w:eastAsia="Times New Roman" w:cs="Times New Roman"/>
          <w:sz w:val="22"/>
        </w:rPr>
        <w:t>. The supernatant was carefully decanted without disturbing the hydrated sediment, and the centrifuge tube containing the retained hydrated sample was weighed. The amount of water retained by the sample was determined from the difference between the weight of the hydrated sample and the original sample weight.</w:t>
      </w:r>
    </w:p>
    <w:p w14:paraId="0473726F" w14:textId="77777777" w:rsidR="006D6C60" w:rsidRPr="006D6C60" w:rsidRDefault="006D6C60" w:rsidP="003D228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Water absorption capacity was calculated using:</w:t>
      </w:r>
    </w:p>
    <w:p w14:paraId="5BF9AE1E" w14:textId="77777777" w:rsidR="006D6C60" w:rsidRPr="006D6C60" w:rsidRDefault="003D2280" w:rsidP="003D2280">
      <w:pPr>
        <w:spacing w:before="100" w:beforeAutospacing="1" w:after="100" w:afterAutospacing="1" w:line="240" w:lineRule="auto"/>
        <w:jc w:val="both"/>
        <w:rPr>
          <w:rFonts w:eastAsia="Times New Roman" w:cs="Times New Roman"/>
          <w:b/>
          <w:sz w:val="22"/>
        </w:rPr>
      </w:pPr>
      <m:oMath>
        <m:r>
          <m:rPr>
            <m:sty m:val="bi"/>
          </m:rPr>
          <w:rPr>
            <w:rFonts w:ascii="Cambria Math" w:eastAsia="Times New Roman" w:hAnsi="Cambria Math" w:cs="Times New Roman"/>
            <w:sz w:val="22"/>
          </w:rPr>
          <m:t>Water Absorption capacity (g/g)=(W</m:t>
        </m:r>
        <m:r>
          <m:rPr>
            <m:sty m:val="bi"/>
          </m:rPr>
          <w:rPr>
            <w:rFonts w:ascii="Cambria Math" w:eastAsia="Times New Roman" w:hAnsi="Cambria Math" w:cs="Times New Roman"/>
            <w:sz w:val="22"/>
            <w:vertAlign w:val="subscript"/>
          </w:rPr>
          <m:t>2</m:t>
        </m:r>
        <m:r>
          <m:rPr>
            <m:sty m:val="bi"/>
          </m:rPr>
          <w:rPr>
            <w:rFonts w:ascii="Cambria Math" w:eastAsia="Times New Roman" w:hAnsi="Cambria Math" w:cs="Times New Roman"/>
            <w:sz w:val="22"/>
          </w:rPr>
          <m:t>-W</m:t>
        </m:r>
        <m:r>
          <m:rPr>
            <m:sty m:val="bi"/>
          </m:rPr>
          <w:rPr>
            <w:rFonts w:ascii="Cambria Math" w:eastAsia="Times New Roman" w:hAnsi="Cambria Math" w:cs="Times New Roman"/>
            <w:sz w:val="22"/>
            <w:vertAlign w:val="subscript"/>
          </w:rPr>
          <m:t>1</m:t>
        </m:r>
        <m:r>
          <m:rPr>
            <m:sty m:val="bi"/>
          </m:rPr>
          <w:rPr>
            <w:rFonts w:ascii="Cambria Math" w:eastAsia="Times New Roman" w:hAnsi="Cambria Math" w:cs="Times New Roman"/>
            <w:sz w:val="22"/>
          </w:rPr>
          <m:t>)/Ws</m:t>
        </m:r>
      </m:oMath>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t xml:space="preserve"> 8</w:t>
      </w:r>
    </w:p>
    <w:p w14:paraId="14998BAB" w14:textId="77777777" w:rsidR="006D6C60" w:rsidRPr="006D6C60" w:rsidRDefault="006D6C60" w:rsidP="003D2280">
      <w:pPr>
        <w:spacing w:before="100" w:beforeAutospacing="1" w:after="100" w:afterAutospacing="1" w:line="240" w:lineRule="auto"/>
        <w:rPr>
          <w:rFonts w:eastAsia="Times New Roman" w:cs="Times New Roman"/>
          <w:sz w:val="22"/>
        </w:rPr>
      </w:pPr>
      <w:r w:rsidRPr="006D6C60">
        <w:rPr>
          <w:rFonts w:eastAsia="Times New Roman" w:cs="Times New Roman"/>
          <w:sz w:val="22"/>
        </w:rPr>
        <w:t>where:</w:t>
      </w:r>
      <w:r w:rsidRPr="003D2280">
        <w:rPr>
          <w:rFonts w:eastAsia="Times New Roman" w:cs="Times New Roman"/>
          <w:sz w:val="22"/>
        </w:rPr>
        <w:t xml:space="preserve"> </w:t>
      </w:r>
      <w:r w:rsidRPr="006D6C60">
        <w:rPr>
          <w:rFonts w:eastAsia="Times New Roman" w:cs="Times New Roman"/>
          <w:sz w:val="22"/>
        </w:rPr>
        <w:br/>
      </w:r>
      <w:r w:rsidRPr="003D2280">
        <w:rPr>
          <w:rFonts w:eastAsia="Times New Roman" w:cs="Times New Roman"/>
          <w:b/>
          <w:bCs/>
          <w:sz w:val="22"/>
        </w:rPr>
        <w:t>W₁</w:t>
      </w:r>
      <w:r w:rsidRPr="006D6C60">
        <w:rPr>
          <w:rFonts w:eastAsia="Times New Roman" w:cs="Times New Roman"/>
          <w:sz w:val="22"/>
        </w:rPr>
        <w:t xml:space="preserve"> = weight of empty centrifuge tube (g)</w:t>
      </w:r>
      <w:r w:rsidRPr="006D6C60">
        <w:rPr>
          <w:rFonts w:eastAsia="Times New Roman" w:cs="Times New Roman"/>
          <w:sz w:val="22"/>
        </w:rPr>
        <w:br/>
      </w:r>
      <w:r w:rsidRPr="003D2280">
        <w:rPr>
          <w:rFonts w:eastAsia="Times New Roman" w:cs="Times New Roman"/>
          <w:b/>
          <w:bCs/>
          <w:sz w:val="22"/>
        </w:rPr>
        <w:t>W₂</w:t>
      </w:r>
      <w:r w:rsidRPr="006D6C60">
        <w:rPr>
          <w:rFonts w:eastAsia="Times New Roman" w:cs="Times New Roman"/>
          <w:sz w:val="22"/>
        </w:rPr>
        <w:t xml:space="preserve"> = weight of centrifuge tube plus hydrated sample (g)</w:t>
      </w:r>
      <w:r w:rsidRPr="006D6C60">
        <w:rPr>
          <w:rFonts w:eastAsia="Times New Roman" w:cs="Times New Roman"/>
          <w:sz w:val="22"/>
        </w:rPr>
        <w:br/>
      </w:r>
      <w:proofErr w:type="spellStart"/>
      <w:r w:rsidRPr="003D2280">
        <w:rPr>
          <w:rFonts w:eastAsia="Times New Roman" w:cs="Times New Roman"/>
          <w:b/>
          <w:bCs/>
          <w:sz w:val="22"/>
        </w:rPr>
        <w:t>Ws</w:t>
      </w:r>
      <w:proofErr w:type="spellEnd"/>
      <w:r w:rsidRPr="006D6C60">
        <w:rPr>
          <w:rFonts w:eastAsia="Times New Roman" w:cs="Times New Roman"/>
          <w:sz w:val="22"/>
        </w:rPr>
        <w:t xml:space="preserve"> = weight of flour sample used (g)</w:t>
      </w:r>
    </w:p>
    <w:p w14:paraId="618FDFA2" w14:textId="77777777" w:rsidR="006D6C60" w:rsidRPr="006D6C60" w:rsidRDefault="006D6C60" w:rsidP="003D2280">
      <w:pPr>
        <w:spacing w:line="240" w:lineRule="auto"/>
        <w:jc w:val="both"/>
        <w:rPr>
          <w:rFonts w:eastAsia="Times New Roman" w:cs="Times New Roman"/>
          <w:b/>
          <w:bCs/>
          <w:sz w:val="22"/>
        </w:rPr>
      </w:pPr>
    </w:p>
    <w:p w14:paraId="678332C0" w14:textId="77777777" w:rsidR="006D6C60" w:rsidRPr="006D6C60" w:rsidRDefault="003D2280" w:rsidP="003D2280">
      <w:pPr>
        <w:spacing w:before="100" w:beforeAutospacing="1" w:after="100" w:afterAutospacing="1" w:line="240" w:lineRule="auto"/>
        <w:jc w:val="both"/>
        <w:outlineLvl w:val="2"/>
        <w:rPr>
          <w:rFonts w:eastAsia="Times New Roman" w:cs="Times New Roman"/>
          <w:b/>
          <w:bCs/>
          <w:sz w:val="22"/>
        </w:rPr>
      </w:pPr>
      <w:r>
        <w:rPr>
          <w:rFonts w:eastAsia="Times New Roman" w:cs="Times New Roman"/>
          <w:b/>
          <w:bCs/>
          <w:sz w:val="22"/>
        </w:rPr>
        <w:t>2.9.3 Swelling index determination</w:t>
      </w:r>
    </w:p>
    <w:p w14:paraId="2F3ED4FB"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Swelling index was determined according to the method of Leach et al. (1959), with slight modifications. Briefly, 1.0 g of flour sample was weighed into a graduated centrifuge tube, and 10 mL of distilled water was added. The mixture was thoroughly mixed and heated in a thermostatically controlled water bath at 80°C for 30 min, with intermittent mixing to ensure uniform hydration. After heating, the samples were allowed to cool to room temperature and centrifuged at 3,000 × g for 15 min. The volume of the hydrated sediment was then read directly from the graduated centrifuge tube.</w:t>
      </w:r>
    </w:p>
    <w:p w14:paraId="187D63DF"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1D6D2ED1"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The swelling index was calculated as the volume of the swollen sediment per gram of flour sample:</w:t>
      </w:r>
    </w:p>
    <w:p w14:paraId="00A9C260"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0B928411"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Swelling index (mL/g) = Volume of swollen sediment (mL) / Weight of sample (g)</w:t>
      </w:r>
    </w:p>
    <w:p w14:paraId="0EE13395"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70848AF8" w14:textId="77777777" w:rsidR="006D6C60" w:rsidRPr="00A21E0B" w:rsidRDefault="00A21E0B" w:rsidP="003D2280">
      <w:pPr>
        <w:widowControl w:val="0"/>
        <w:autoSpaceDE w:val="0"/>
        <w:autoSpaceDN w:val="0"/>
        <w:spacing w:before="14" w:after="0" w:line="240" w:lineRule="auto"/>
        <w:jc w:val="both"/>
        <w:rPr>
          <w:rFonts w:eastAsia="Times New Roman" w:cs="Times New Roman"/>
          <w:b/>
          <w:sz w:val="22"/>
        </w:rPr>
      </w:pPr>
      <m:oMath>
        <m:r>
          <m:rPr>
            <m:sty m:val="bi"/>
          </m:rPr>
          <w:rPr>
            <w:rFonts w:ascii="Cambria Math" w:eastAsia="Times New Roman" w:hAnsi="Cambria Math" w:cs="Times New Roman"/>
            <w:sz w:val="22"/>
          </w:rPr>
          <m:t>Swelling index(ml/g)=Volume of Swollen sediment ml/ Weight of sample (g)</m:t>
        </m:r>
      </m:oMath>
      <w:r>
        <w:rPr>
          <w:rFonts w:eastAsia="Times New Roman" w:cs="Times New Roman"/>
          <w:b/>
          <w:sz w:val="22"/>
        </w:rPr>
        <w:tab/>
      </w:r>
      <w:r>
        <w:rPr>
          <w:rFonts w:eastAsia="Times New Roman" w:cs="Times New Roman"/>
          <w:b/>
          <w:sz w:val="22"/>
        </w:rPr>
        <w:tab/>
      </w:r>
      <w:r>
        <w:rPr>
          <w:rFonts w:eastAsia="Times New Roman" w:cs="Times New Roman"/>
          <w:b/>
          <w:sz w:val="22"/>
        </w:rPr>
        <w:tab/>
        <w:t xml:space="preserve">  9</w:t>
      </w:r>
    </w:p>
    <w:p w14:paraId="27D43841" w14:textId="77777777" w:rsidR="00A21E0B" w:rsidRDefault="00A21E0B" w:rsidP="003D2280">
      <w:pPr>
        <w:widowControl w:val="0"/>
        <w:autoSpaceDE w:val="0"/>
        <w:autoSpaceDN w:val="0"/>
        <w:spacing w:before="14" w:after="0" w:line="240" w:lineRule="auto"/>
        <w:jc w:val="both"/>
        <w:rPr>
          <w:rFonts w:eastAsia="Times New Roman" w:cs="Times New Roman"/>
          <w:b/>
          <w:sz w:val="22"/>
        </w:rPr>
      </w:pPr>
    </w:p>
    <w:p w14:paraId="137EE3EB" w14:textId="77777777" w:rsidR="006D6C60" w:rsidRPr="00A21E0B" w:rsidRDefault="00A21E0B" w:rsidP="003D2280">
      <w:pPr>
        <w:widowControl w:val="0"/>
        <w:autoSpaceDE w:val="0"/>
        <w:autoSpaceDN w:val="0"/>
        <w:spacing w:before="14" w:after="0" w:line="240" w:lineRule="auto"/>
        <w:jc w:val="both"/>
        <w:rPr>
          <w:rFonts w:eastAsia="Times New Roman" w:cs="Times New Roman"/>
          <w:b/>
          <w:sz w:val="22"/>
        </w:rPr>
      </w:pPr>
      <w:r w:rsidRPr="00A21E0B">
        <w:rPr>
          <w:rFonts w:eastAsia="Times New Roman" w:cs="Times New Roman"/>
          <w:b/>
          <w:sz w:val="22"/>
        </w:rPr>
        <w:t>2.9</w:t>
      </w:r>
      <w:r>
        <w:rPr>
          <w:rFonts w:eastAsia="Times New Roman" w:cs="Times New Roman"/>
          <w:b/>
          <w:sz w:val="22"/>
        </w:rPr>
        <w:t>.4 Solubility d</w:t>
      </w:r>
      <w:r w:rsidR="006D6C60" w:rsidRPr="00A21E0B">
        <w:rPr>
          <w:rFonts w:eastAsia="Times New Roman" w:cs="Times New Roman"/>
          <w:b/>
          <w:sz w:val="22"/>
        </w:rPr>
        <w:t>etermination</w:t>
      </w:r>
    </w:p>
    <w:p w14:paraId="05FA5ABC" w14:textId="77777777" w:rsidR="00A21E0B" w:rsidRPr="003D2280" w:rsidRDefault="00A21E0B" w:rsidP="003D2280">
      <w:pPr>
        <w:widowControl w:val="0"/>
        <w:autoSpaceDE w:val="0"/>
        <w:autoSpaceDN w:val="0"/>
        <w:spacing w:before="14" w:after="0" w:line="240" w:lineRule="auto"/>
        <w:jc w:val="both"/>
        <w:rPr>
          <w:rFonts w:eastAsia="Times New Roman" w:cs="Times New Roman"/>
          <w:sz w:val="22"/>
        </w:rPr>
      </w:pPr>
    </w:p>
    <w:p w14:paraId="70777FCA"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 xml:space="preserve">Solubility was determined simultaneously with the swelling index using the supernatant obtained after centrifugation, following the procedure of Leach et al. (1959). After centrifugation of the hydrated flour suspension at 3,000 × g for </w:t>
      </w:r>
      <w:r w:rsidRPr="003D2280">
        <w:rPr>
          <w:rFonts w:eastAsia="Times New Roman" w:cs="Times New Roman"/>
          <w:sz w:val="22"/>
        </w:rPr>
        <w:lastRenderedPageBreak/>
        <w:t>15 min, the supernatant was carefully decanted into a previously weighed clean evaporating dish. The supernatant was evaporated to dryness in a hot-air oven at 105°C until a constant weight was obtained. The dish was cooled in a desiccator and weighed, and the weight of the dried soluble solids was determined by difference.</w:t>
      </w:r>
    </w:p>
    <w:p w14:paraId="336E49A4"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290BE9BA"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Solubility was calculated as the percentage weight of soluble solids relative to the original flour sample:</w:t>
      </w:r>
    </w:p>
    <w:p w14:paraId="4912538B"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5F1BE691" w14:textId="77777777" w:rsidR="00A21E0B" w:rsidRPr="00A21E0B" w:rsidRDefault="00A21E0B" w:rsidP="003D2280">
      <w:pPr>
        <w:widowControl w:val="0"/>
        <w:autoSpaceDE w:val="0"/>
        <w:autoSpaceDN w:val="0"/>
        <w:spacing w:before="14" w:after="0" w:line="240" w:lineRule="auto"/>
        <w:jc w:val="both"/>
        <w:rPr>
          <w:rFonts w:eastAsia="Times New Roman" w:cs="Times New Roman"/>
          <w:b/>
          <w:sz w:val="22"/>
        </w:rPr>
      </w:pPr>
      <m:oMath>
        <m:r>
          <m:rPr>
            <m:sty m:val="bi"/>
          </m:rPr>
          <w:rPr>
            <w:rFonts w:ascii="Cambria Math" w:eastAsia="Times New Roman" w:hAnsi="Cambria Math" w:cs="Times New Roman"/>
            <w:sz w:val="22"/>
          </w:rPr>
          <m:t>Solubility (%)=Weight of dried soluble solid g/ Weight of flour sample (g)x 100</m:t>
        </m:r>
      </m:oMath>
      <w:r>
        <w:rPr>
          <w:rFonts w:eastAsia="Times New Roman" w:cs="Times New Roman"/>
          <w:b/>
          <w:sz w:val="22"/>
        </w:rPr>
        <w:t xml:space="preserve">                       10</w:t>
      </w:r>
    </w:p>
    <w:p w14:paraId="4C69382B" w14:textId="77777777" w:rsidR="00A21E0B" w:rsidRDefault="00A21E0B" w:rsidP="006D6C60">
      <w:pPr>
        <w:widowControl w:val="0"/>
        <w:autoSpaceDE w:val="0"/>
        <w:autoSpaceDN w:val="0"/>
        <w:spacing w:before="14" w:after="0" w:line="240" w:lineRule="auto"/>
        <w:rPr>
          <w:rFonts w:eastAsia="Times New Roman" w:cs="Times New Roman"/>
          <w:b/>
          <w:szCs w:val="24"/>
        </w:rPr>
      </w:pPr>
    </w:p>
    <w:p w14:paraId="7B9CAE3F" w14:textId="77777777" w:rsidR="003D2280" w:rsidRPr="003D2280" w:rsidRDefault="003D2280" w:rsidP="006D6C60">
      <w:pPr>
        <w:widowControl w:val="0"/>
        <w:autoSpaceDE w:val="0"/>
        <w:autoSpaceDN w:val="0"/>
        <w:spacing w:before="14" w:after="0" w:line="240" w:lineRule="auto"/>
        <w:rPr>
          <w:rFonts w:eastAsia="Times New Roman" w:cs="Times New Roman"/>
          <w:b/>
          <w:szCs w:val="24"/>
        </w:rPr>
      </w:pPr>
      <w:r w:rsidRPr="003D2280">
        <w:rPr>
          <w:rFonts w:eastAsia="Times New Roman" w:cs="Times New Roman"/>
          <w:b/>
          <w:szCs w:val="24"/>
        </w:rPr>
        <w:t>2.7.5 pH Determination</w:t>
      </w:r>
    </w:p>
    <w:p w14:paraId="44D5A4EB" w14:textId="77777777" w:rsidR="003D2280" w:rsidRPr="003D2280" w:rsidRDefault="003D2280" w:rsidP="003D2280">
      <w:pPr>
        <w:pStyle w:val="isselectedend"/>
        <w:jc w:val="both"/>
        <w:rPr>
          <w:sz w:val="22"/>
          <w:szCs w:val="22"/>
        </w:rPr>
      </w:pPr>
      <w:r w:rsidRPr="003D2280">
        <w:rPr>
          <w:sz w:val="22"/>
          <w:szCs w:val="22"/>
        </w:rPr>
        <w:t>The pH of the flour samples was determined according to the procedure described by AOAC (2023). Ten</w:t>
      </w:r>
      <w:r w:rsidRPr="003D2280">
        <w:rPr>
          <w:b/>
          <w:sz w:val="22"/>
          <w:szCs w:val="22"/>
        </w:rPr>
        <w:t xml:space="preserve"> </w:t>
      </w:r>
      <w:r w:rsidRPr="003D2280">
        <w:rPr>
          <w:rStyle w:val="Strong"/>
          <w:b w:val="0"/>
          <w:sz w:val="22"/>
          <w:szCs w:val="22"/>
        </w:rPr>
        <w:t>10.0 g of each flour sample</w:t>
      </w:r>
      <w:r w:rsidR="00A21E0B">
        <w:rPr>
          <w:sz w:val="22"/>
          <w:szCs w:val="22"/>
        </w:rPr>
        <w:t xml:space="preserve"> was weighed into a clean 250-ml</w:t>
      </w:r>
      <w:r w:rsidRPr="003D2280">
        <w:rPr>
          <w:sz w:val="22"/>
          <w:szCs w:val="22"/>
        </w:rPr>
        <w:t xml:space="preserve"> beaker and dispersed </w:t>
      </w:r>
      <w:r w:rsidRPr="00A21E0B">
        <w:rPr>
          <w:sz w:val="22"/>
          <w:szCs w:val="22"/>
        </w:rPr>
        <w:t>in</w:t>
      </w:r>
      <w:r w:rsidRPr="003D2280">
        <w:rPr>
          <w:b/>
          <w:sz w:val="22"/>
          <w:szCs w:val="22"/>
        </w:rPr>
        <w:t xml:space="preserve"> </w:t>
      </w:r>
      <w:r w:rsidRPr="003D2280">
        <w:rPr>
          <w:rStyle w:val="Strong"/>
          <w:b w:val="0"/>
          <w:sz w:val="22"/>
          <w:szCs w:val="22"/>
        </w:rPr>
        <w:t>100 ml of</w:t>
      </w:r>
      <w:r w:rsidRPr="003D2280">
        <w:rPr>
          <w:rStyle w:val="Strong"/>
          <w:sz w:val="22"/>
          <w:szCs w:val="22"/>
        </w:rPr>
        <w:t xml:space="preserve"> </w:t>
      </w:r>
      <w:r w:rsidRPr="003D2280">
        <w:rPr>
          <w:rStyle w:val="Strong"/>
          <w:b w:val="0"/>
          <w:sz w:val="22"/>
          <w:szCs w:val="22"/>
        </w:rPr>
        <w:t>distilled water</w:t>
      </w:r>
      <w:r w:rsidRPr="003D2280">
        <w:rPr>
          <w:sz w:val="22"/>
          <w:szCs w:val="22"/>
        </w:rPr>
        <w:t xml:space="preserve"> to obtain a 1:10 (w/v) flour-to-water suspension. The suspension was stirred continuously for </w:t>
      </w:r>
      <w:r w:rsidRPr="003D2280">
        <w:rPr>
          <w:rStyle w:val="Strong"/>
          <w:b w:val="0"/>
          <w:sz w:val="22"/>
          <w:szCs w:val="22"/>
        </w:rPr>
        <w:t>30 min</w:t>
      </w:r>
      <w:r w:rsidRPr="003D2280">
        <w:rPr>
          <w:sz w:val="22"/>
          <w:szCs w:val="22"/>
        </w:rPr>
        <w:t xml:space="preserve"> using a magnetic stirrer to ensure adequate dispersion and equilibration. The pH was measured at approximately </w:t>
      </w:r>
      <w:r w:rsidRPr="003D2280">
        <w:rPr>
          <w:rStyle w:val="Strong"/>
          <w:b w:val="0"/>
          <w:sz w:val="22"/>
          <w:szCs w:val="22"/>
        </w:rPr>
        <w:t>25 ± 2°C</w:t>
      </w:r>
      <w:r w:rsidRPr="003D2280">
        <w:rPr>
          <w:sz w:val="22"/>
          <w:szCs w:val="22"/>
        </w:rPr>
        <w:t xml:space="preserve"> using a calibrated digital pH meter fitted with a combination glass electrode. Before measurement, the pH meter was calibrated using standard buffer solutions of </w:t>
      </w:r>
      <w:r w:rsidRPr="003D2280">
        <w:rPr>
          <w:rStyle w:val="Strong"/>
          <w:b w:val="0"/>
          <w:sz w:val="22"/>
          <w:szCs w:val="22"/>
        </w:rPr>
        <w:t>pH 4.00, 7.00, and 10.00</w:t>
      </w:r>
      <w:r w:rsidRPr="003D2280">
        <w:rPr>
          <w:b/>
          <w:sz w:val="22"/>
          <w:szCs w:val="22"/>
        </w:rPr>
        <w:t>.</w:t>
      </w:r>
      <w:r w:rsidRPr="003D2280">
        <w:rPr>
          <w:sz w:val="22"/>
          <w:szCs w:val="22"/>
        </w:rPr>
        <w:t xml:space="preserve"> The electrode was rinsed with distilled water and gently blotted dry between measurements. The electrode was then immersed in the flour suspension, and the pH value was recorded after the reading had stabilized. </w:t>
      </w:r>
    </w:p>
    <w:p w14:paraId="532492ED" w14:textId="77777777" w:rsidR="00E63C48" w:rsidRPr="0018724C" w:rsidRDefault="003D2280" w:rsidP="003D2280">
      <w:pPr>
        <w:pStyle w:val="Heading2"/>
        <w:spacing w:line="240" w:lineRule="auto"/>
        <w:jc w:val="both"/>
        <w:rPr>
          <w:rFonts w:ascii="Times New Roman" w:hAnsi="Times New Roman" w:cs="Times New Roman"/>
          <w:color w:val="auto"/>
          <w:sz w:val="24"/>
          <w:szCs w:val="24"/>
        </w:rPr>
      </w:pPr>
      <w:r w:rsidRPr="0018724C">
        <w:rPr>
          <w:rFonts w:ascii="Times New Roman" w:hAnsi="Times New Roman" w:cs="Times New Roman"/>
          <w:color w:val="auto"/>
          <w:sz w:val="24"/>
          <w:szCs w:val="24"/>
        </w:rPr>
        <w:t xml:space="preserve"> </w:t>
      </w:r>
      <w:r>
        <w:rPr>
          <w:rFonts w:ascii="Times New Roman" w:hAnsi="Times New Roman" w:cs="Times New Roman"/>
          <w:color w:val="auto"/>
          <w:sz w:val="24"/>
          <w:szCs w:val="24"/>
        </w:rPr>
        <w:t>2.8</w:t>
      </w:r>
      <w:r w:rsidR="00302EC0" w:rsidRPr="0018724C">
        <w:rPr>
          <w:rFonts w:ascii="Times New Roman" w:hAnsi="Times New Roman" w:cs="Times New Roman"/>
          <w:color w:val="auto"/>
          <w:sz w:val="24"/>
          <w:szCs w:val="24"/>
        </w:rPr>
        <w:t xml:space="preserve"> Sensory Evaluation and Ethical Considerations</w:t>
      </w:r>
    </w:p>
    <w:p w14:paraId="3D2579D8" w14:textId="77777777" w:rsidR="003D2280" w:rsidRPr="003D2280" w:rsidRDefault="003D2280" w:rsidP="0018724C">
      <w:pPr>
        <w:spacing w:line="240" w:lineRule="auto"/>
        <w:jc w:val="both"/>
        <w:rPr>
          <w:rFonts w:cs="Times New Roman"/>
          <w:sz w:val="22"/>
        </w:rPr>
      </w:pPr>
    </w:p>
    <w:p w14:paraId="61C034F3" w14:textId="77777777" w:rsidR="00E63C48" w:rsidRPr="003D2280" w:rsidRDefault="00302EC0" w:rsidP="0018724C">
      <w:pPr>
        <w:spacing w:line="240" w:lineRule="auto"/>
        <w:jc w:val="both"/>
        <w:rPr>
          <w:rFonts w:cs="Times New Roman"/>
          <w:sz w:val="22"/>
        </w:rPr>
      </w:pPr>
      <w:r w:rsidRPr="003D2280">
        <w:rPr>
          <w:rFonts w:cs="Times New Roman"/>
          <w:sz w:val="22"/>
        </w:rPr>
        <w:t xml:space="preserve">Sensory evaluation involved 30 </w:t>
      </w:r>
      <w:commentRangeStart w:id="5"/>
      <w:r w:rsidRPr="003D2280">
        <w:rPr>
          <w:rFonts w:cs="Times New Roman"/>
          <w:sz w:val="22"/>
        </w:rPr>
        <w:t xml:space="preserve">semi-trained panelists </w:t>
      </w:r>
      <w:commentRangeEnd w:id="5"/>
      <w:r w:rsidR="00A67E19">
        <w:rPr>
          <w:rStyle w:val="CommentReference"/>
        </w:rPr>
        <w:commentReference w:id="5"/>
      </w:r>
      <w:r w:rsidRPr="003D2280">
        <w:rPr>
          <w:rFonts w:cs="Times New Roman"/>
          <w:sz w:val="22"/>
        </w:rPr>
        <w:t>recruited from staff and students of the Department of Food Science and Technology. The prepared pap samples were evaluated using a nine-point hedonic scale, where 9 = like extremely, 8 = like very much, 7 = like moderately, 6 = like slightly, 5 = neither like nor dislike, 4 = dislike slightly, 3 = dislike moderately, 2 = dislike very much and 1 = dislike extremely</w:t>
      </w:r>
      <w:r w:rsidR="00122AB3">
        <w:rPr>
          <w:rFonts w:cs="Times New Roman"/>
          <w:sz w:val="22"/>
        </w:rPr>
        <w:t xml:space="preserve"> (</w:t>
      </w:r>
      <w:proofErr w:type="spellStart"/>
      <w:r w:rsidR="00122AB3">
        <w:rPr>
          <w:rFonts w:cs="Times New Roman"/>
          <w:sz w:val="22"/>
        </w:rPr>
        <w:t>Iwe</w:t>
      </w:r>
      <w:proofErr w:type="spellEnd"/>
      <w:r w:rsidR="00122AB3">
        <w:rPr>
          <w:rFonts w:cs="Times New Roman"/>
          <w:sz w:val="22"/>
        </w:rPr>
        <w:t>, 2010</w:t>
      </w:r>
      <w:r w:rsidR="00E813CA">
        <w:rPr>
          <w:rFonts w:cs="Times New Roman"/>
          <w:sz w:val="22"/>
        </w:rPr>
        <w:t>)</w:t>
      </w:r>
      <w:r w:rsidRPr="003D2280">
        <w:rPr>
          <w:rFonts w:cs="Times New Roman"/>
          <w:sz w:val="22"/>
        </w:rPr>
        <w:t>.</w:t>
      </w:r>
      <w:r w:rsidR="00682DD4">
        <w:rPr>
          <w:rFonts w:cs="Times New Roman"/>
          <w:sz w:val="22"/>
        </w:rPr>
        <w:t xml:space="preserve"> </w:t>
      </w:r>
      <w:r w:rsidRPr="003D2280">
        <w:rPr>
          <w:rFonts w:cs="Times New Roman"/>
          <w:sz w:val="22"/>
        </w:rPr>
        <w:t>Fresh pap was prepared from each formulation using the same flour-to-water ratio</w:t>
      </w:r>
      <w:r w:rsidR="003A4706" w:rsidRPr="003D2280">
        <w:rPr>
          <w:rFonts w:cs="Times New Roman"/>
          <w:sz w:val="22"/>
        </w:rPr>
        <w:t xml:space="preserve"> (3:1)</w:t>
      </w:r>
      <w:r w:rsidRPr="003D2280">
        <w:rPr>
          <w:rFonts w:cs="Times New Roman"/>
          <w:sz w:val="22"/>
        </w:rPr>
        <w:t>, cooking procedure and serving conditions. Samples were assigned random three-digit codes and presented in randomized order to reduce order effects. Potable water was provided for palate cleansing between samples. Where practical, evaluation was conducted under comparable environmental conditions to minimize distractions and uncontrolled variation.</w:t>
      </w:r>
      <w:r w:rsidR="003D2280">
        <w:rPr>
          <w:rFonts w:cs="Times New Roman"/>
          <w:sz w:val="22"/>
        </w:rPr>
        <w:t xml:space="preserve"> </w:t>
      </w:r>
      <w:r w:rsidRPr="003D2280">
        <w:rPr>
          <w:rFonts w:cs="Times New Roman"/>
          <w:sz w:val="22"/>
        </w:rPr>
        <w:t>Participation was voluntary and informed consent was obtained. Participants were informed about the purpose and procedures of the evaluation. Participants were screened for known soybean allergy or intolerance and were excluded where a relevant allergy was reported. No names or unnecessary personal identifiers were recorded, and sensory forms were identified by participant codes. Individual responses were treated confidentially and only aggregate results were reported.</w:t>
      </w:r>
    </w:p>
    <w:p w14:paraId="25BC342F" w14:textId="77777777" w:rsidR="00E63C48" w:rsidRPr="003A4706" w:rsidRDefault="0018724C" w:rsidP="0018724C">
      <w:pPr>
        <w:pStyle w:val="Heading2"/>
        <w:spacing w:line="240" w:lineRule="auto"/>
        <w:jc w:val="both"/>
        <w:rPr>
          <w:rFonts w:ascii="Times New Roman" w:hAnsi="Times New Roman" w:cs="Times New Roman"/>
          <w:color w:val="auto"/>
        </w:rPr>
      </w:pPr>
      <w:r>
        <w:rPr>
          <w:rFonts w:ascii="Times New Roman" w:hAnsi="Times New Roman" w:cs="Times New Roman"/>
          <w:color w:val="auto"/>
          <w:sz w:val="22"/>
        </w:rPr>
        <w:t>2.9</w:t>
      </w:r>
      <w:r w:rsidR="00302EC0" w:rsidRPr="003A4706">
        <w:rPr>
          <w:rFonts w:ascii="Times New Roman" w:hAnsi="Times New Roman" w:cs="Times New Roman"/>
          <w:color w:val="auto"/>
          <w:sz w:val="22"/>
        </w:rPr>
        <w:t xml:space="preserve"> Statistical Analysis</w:t>
      </w:r>
    </w:p>
    <w:p w14:paraId="402AA3C0" w14:textId="77777777" w:rsidR="003A4706" w:rsidRDefault="00302EC0" w:rsidP="0018724C">
      <w:pPr>
        <w:spacing w:line="240" w:lineRule="auto"/>
        <w:jc w:val="both"/>
        <w:rPr>
          <w:rFonts w:cs="Times New Roman"/>
          <w:sz w:val="22"/>
        </w:rPr>
      </w:pPr>
      <w:r w:rsidRPr="003A4706">
        <w:rPr>
          <w:rFonts w:cs="Times New Roman"/>
          <w:sz w:val="22"/>
        </w:rPr>
        <w:t xml:space="preserve">The experiment was arranged in a completely randomized design. Data were </w:t>
      </w:r>
      <w:proofErr w:type="spellStart"/>
      <w:r w:rsidRPr="003A4706">
        <w:rPr>
          <w:rFonts w:cs="Times New Roman"/>
          <w:sz w:val="22"/>
        </w:rPr>
        <w:t>analysed</w:t>
      </w:r>
      <w:proofErr w:type="spellEnd"/>
      <w:r w:rsidRPr="003A4706">
        <w:rPr>
          <w:rFonts w:cs="Times New Roman"/>
          <w:sz w:val="22"/>
        </w:rPr>
        <w:t xml:space="preserve"> using IBM SPSS Statistics version 25.0. Results are presented as mean ± standard deviation (SD). One-way ANOVA was used to test the effect of soybean substitution level. Where the treatment effect was significant at p &lt; .05, means were separated using the least significant difference (LSD) test. The independent processing batch was treated as the experimental unit. For sensory evaluation, the panelist-level observations were summarized by treatment. The nine-point hedonic scores are treated as approximately continuous for the purpose of the stated ANOVA procedure, consistent with the analysis reported in the source manuscript. The statistical interpretation focuses on treatment differences and does not infer consumer-market acceptance beyond the participating panel.</w:t>
      </w:r>
    </w:p>
    <w:p w14:paraId="3ED8CAD3" w14:textId="77777777" w:rsidR="00E63C48" w:rsidRPr="003A4706" w:rsidRDefault="003A4706" w:rsidP="0018724C">
      <w:pPr>
        <w:spacing w:line="240" w:lineRule="auto"/>
        <w:jc w:val="both"/>
        <w:rPr>
          <w:rFonts w:cs="Times New Roman"/>
          <w:b/>
        </w:rPr>
      </w:pPr>
      <w:r w:rsidRPr="003A4706">
        <w:rPr>
          <w:rFonts w:cs="Times New Roman"/>
          <w:b/>
          <w:sz w:val="28"/>
          <w:szCs w:val="28"/>
        </w:rPr>
        <w:t>3.</w:t>
      </w:r>
      <w:r w:rsidR="00302EC0" w:rsidRPr="003A4706">
        <w:rPr>
          <w:rFonts w:cs="Times New Roman"/>
          <w:b/>
          <w:sz w:val="28"/>
          <w:szCs w:val="28"/>
        </w:rPr>
        <w:t xml:space="preserve"> Results and Discussion</w:t>
      </w:r>
    </w:p>
    <w:p w14:paraId="1DE9E4D5" w14:textId="77777777" w:rsidR="00E51B0E" w:rsidRPr="002D2E3D" w:rsidRDefault="00E51B0E" w:rsidP="00E51B0E">
      <w:pPr>
        <w:widowControl w:val="0"/>
        <w:autoSpaceDE w:val="0"/>
        <w:autoSpaceDN w:val="0"/>
        <w:spacing w:after="0" w:line="240" w:lineRule="auto"/>
        <w:jc w:val="both"/>
        <w:outlineLvl w:val="0"/>
        <w:rPr>
          <w:rFonts w:eastAsia="Times New Roman" w:cs="Times New Roman"/>
          <w:b/>
          <w:bCs/>
          <w:szCs w:val="24"/>
        </w:rPr>
      </w:pPr>
      <w:r w:rsidRPr="00E51B0E">
        <w:rPr>
          <w:rFonts w:cs="Times New Roman"/>
          <w:b/>
          <w:szCs w:val="24"/>
        </w:rPr>
        <w:t xml:space="preserve">3.1 </w:t>
      </w:r>
      <w:r w:rsidRPr="002D2E3D">
        <w:rPr>
          <w:rFonts w:eastAsia="Times New Roman" w:cs="Times New Roman"/>
          <w:b/>
          <w:bCs/>
          <w:szCs w:val="24"/>
        </w:rPr>
        <w:t>Proximate</w:t>
      </w:r>
      <w:r w:rsidRPr="002D2E3D">
        <w:rPr>
          <w:rFonts w:eastAsia="Times New Roman" w:cs="Times New Roman"/>
          <w:b/>
          <w:bCs/>
          <w:spacing w:val="-4"/>
          <w:szCs w:val="24"/>
        </w:rPr>
        <w:t xml:space="preserve"> </w:t>
      </w:r>
      <w:r w:rsidRPr="002D2E3D">
        <w:rPr>
          <w:rFonts w:eastAsia="Times New Roman" w:cs="Times New Roman"/>
          <w:b/>
          <w:bCs/>
          <w:szCs w:val="24"/>
        </w:rPr>
        <w:t>Compositions</w:t>
      </w:r>
      <w:r w:rsidRPr="002D2E3D">
        <w:rPr>
          <w:rFonts w:eastAsia="Times New Roman" w:cs="Times New Roman"/>
          <w:b/>
          <w:bCs/>
          <w:spacing w:val="1"/>
          <w:szCs w:val="24"/>
        </w:rPr>
        <w:t xml:space="preserve"> </w:t>
      </w:r>
      <w:r w:rsidRPr="002D2E3D">
        <w:rPr>
          <w:rFonts w:eastAsia="Times New Roman" w:cs="Times New Roman"/>
          <w:b/>
          <w:bCs/>
          <w:szCs w:val="24"/>
        </w:rPr>
        <w:t>(%)</w:t>
      </w:r>
      <w:r w:rsidRPr="002D2E3D">
        <w:rPr>
          <w:rFonts w:eastAsia="Times New Roman" w:cs="Times New Roman"/>
          <w:b/>
          <w:bCs/>
          <w:spacing w:val="-3"/>
          <w:szCs w:val="24"/>
        </w:rPr>
        <w:t xml:space="preserve"> </w:t>
      </w:r>
      <w:r w:rsidRPr="002D2E3D">
        <w:rPr>
          <w:rFonts w:eastAsia="Times New Roman" w:cs="Times New Roman"/>
          <w:b/>
          <w:bCs/>
          <w:szCs w:val="24"/>
        </w:rPr>
        <w:t>of Maize-Soybean</w:t>
      </w:r>
      <w:r w:rsidRPr="002D2E3D">
        <w:rPr>
          <w:rFonts w:eastAsia="Times New Roman" w:cs="Times New Roman"/>
          <w:b/>
          <w:bCs/>
          <w:spacing w:val="-2"/>
          <w:szCs w:val="24"/>
        </w:rPr>
        <w:t xml:space="preserve"> </w:t>
      </w:r>
      <w:r w:rsidRPr="002D2E3D">
        <w:rPr>
          <w:rFonts w:eastAsia="Times New Roman" w:cs="Times New Roman"/>
          <w:b/>
          <w:bCs/>
          <w:szCs w:val="24"/>
        </w:rPr>
        <w:t>Pap</w:t>
      </w:r>
      <w:r w:rsidRPr="002D2E3D">
        <w:rPr>
          <w:rFonts w:eastAsia="Times New Roman" w:cs="Times New Roman"/>
          <w:b/>
          <w:bCs/>
          <w:spacing w:val="-1"/>
          <w:szCs w:val="24"/>
        </w:rPr>
        <w:t xml:space="preserve"> </w:t>
      </w:r>
      <w:r w:rsidRPr="002D2E3D">
        <w:rPr>
          <w:rFonts w:eastAsia="Times New Roman" w:cs="Times New Roman"/>
          <w:b/>
          <w:bCs/>
          <w:szCs w:val="24"/>
        </w:rPr>
        <w:t>Blends</w:t>
      </w:r>
      <w:r w:rsidRPr="002D2E3D">
        <w:rPr>
          <w:rFonts w:eastAsia="Times New Roman" w:cs="Times New Roman"/>
          <w:b/>
          <w:bCs/>
          <w:spacing w:val="-1"/>
          <w:szCs w:val="24"/>
        </w:rPr>
        <w:t xml:space="preserve"> </w:t>
      </w:r>
      <w:r w:rsidRPr="002D2E3D">
        <w:rPr>
          <w:rFonts w:eastAsia="Times New Roman" w:cs="Times New Roman"/>
          <w:b/>
          <w:bCs/>
          <w:spacing w:val="-2"/>
          <w:szCs w:val="24"/>
        </w:rPr>
        <w:t>Powder</w:t>
      </w:r>
    </w:p>
    <w:p w14:paraId="30FC9399" w14:textId="77777777" w:rsidR="00E51B0E" w:rsidRPr="00387302" w:rsidRDefault="00E51B0E" w:rsidP="0018724C">
      <w:pPr>
        <w:spacing w:line="240" w:lineRule="auto"/>
        <w:jc w:val="both"/>
        <w:rPr>
          <w:rFonts w:eastAsiaTheme="majorEastAsia" w:cs="Times New Roman"/>
          <w:bCs/>
          <w:sz w:val="22"/>
        </w:rPr>
      </w:pPr>
    </w:p>
    <w:p w14:paraId="64B734B7"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The proximate composition of the flou</w:t>
      </w:r>
      <w:r w:rsidR="00387302">
        <w:rPr>
          <w:rFonts w:eastAsiaTheme="majorEastAsia" w:cs="Times New Roman"/>
          <w:bCs/>
          <w:sz w:val="22"/>
        </w:rPr>
        <w:t>r blends is presented in Table 2</w:t>
      </w:r>
      <w:r w:rsidRPr="00387302">
        <w:rPr>
          <w:rFonts w:eastAsiaTheme="majorEastAsia" w:cs="Times New Roman"/>
          <w:bCs/>
          <w:sz w:val="22"/>
        </w:rPr>
        <w:t xml:space="preserve">. Significant differences (p &lt; 0.05) were observed among the formulations for moisture, ash,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fat, protein and carbohydrate contents. The progressive changes observed across the formulations demonstrate that variation in the blending ratio substantially influenced the </w:t>
      </w:r>
      <w:r w:rsidRPr="00387302">
        <w:rPr>
          <w:rFonts w:eastAsiaTheme="majorEastAsia" w:cs="Times New Roman"/>
          <w:bCs/>
          <w:sz w:val="22"/>
        </w:rPr>
        <w:lastRenderedPageBreak/>
        <w:t xml:space="preserve">nutritional composition of the flour. Such changes are expected in composite flour systems because the relative proportions of the component flours determine the contribution of their respective macronutrients and mineral-containing fractions to the final product. Similar formulation-dependent changes in proximate composition have been reported in composite flour studies involving wheat and plant-based ingredients (Adebowale </w:t>
      </w:r>
      <w:r w:rsidR="000D78E2">
        <w:rPr>
          <w:rFonts w:eastAsiaTheme="majorEastAsia" w:cs="Times New Roman"/>
          <w:bCs/>
          <w:sz w:val="22"/>
        </w:rPr>
        <w:t>and</w:t>
      </w:r>
      <w:r w:rsidRPr="00387302">
        <w:rPr>
          <w:rFonts w:eastAsiaTheme="majorEastAsia" w:cs="Times New Roman"/>
          <w:bCs/>
          <w:sz w:val="22"/>
        </w:rPr>
        <w:t xml:space="preserve"> Lawal, 2004; Peter-Ikechukwu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 2023; Adebowale et al., 2025).</w:t>
      </w:r>
    </w:p>
    <w:p w14:paraId="636E2C0A"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149C7A7D"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The moisture content increased progressively from 9.83% in sample A (100:0) to 10.21% in sample F (50:50). Intermediate formulations B (90:10), C (80:20), D (70:30) and E (60:40) recorded 9.96, 10.05, 10.10 and 10.15%, respectively. The progressive increase indicates that increasing incorporation of the substituted flour altered the moisture-retention characteristics of the composite system. The moisture content of flour is influenced by the chemical composition of the constituent materials, particularly the presence of hydrophilic components such as proteins,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and other polar constituents capable of interacting with water. Similar changes in moisture content have been reported as the proportion of alternative plant materials increased in composite flour formulations (Peter-Ikechukwu et al</w:t>
      </w:r>
      <w:r w:rsidR="00387302">
        <w:rPr>
          <w:rFonts w:eastAsiaTheme="majorEastAsia" w:cs="Times New Roman"/>
          <w:bCs/>
          <w:sz w:val="22"/>
        </w:rPr>
        <w:t xml:space="preserve">., 2020; </w:t>
      </w:r>
      <w:proofErr w:type="spellStart"/>
      <w:r w:rsidR="00387302">
        <w:rPr>
          <w:rFonts w:eastAsiaTheme="majorEastAsia" w:cs="Times New Roman"/>
          <w:bCs/>
          <w:sz w:val="22"/>
        </w:rPr>
        <w:t>Ewunetu</w:t>
      </w:r>
      <w:proofErr w:type="spellEnd"/>
      <w:r w:rsidR="00387302">
        <w:rPr>
          <w:rFonts w:eastAsiaTheme="majorEastAsia" w:cs="Times New Roman"/>
          <w:bCs/>
          <w:sz w:val="22"/>
        </w:rPr>
        <w:t xml:space="preserve"> et al., 2023). </w:t>
      </w:r>
      <w:r w:rsidRPr="00387302">
        <w:rPr>
          <w:rFonts w:eastAsiaTheme="majorEastAsia" w:cs="Times New Roman"/>
          <w:bCs/>
          <w:sz w:val="22"/>
        </w:rPr>
        <w:t xml:space="preserve">The relatively low moisture values observed across the formulations are technologically desirable because excessive moisture can facilitate microbial growth and accelerate chemical and enzymatic deterioration during storage. Thus, the values recorded from A (100:0) through F (50:50) suggest that all the flour blends were produced at </w:t>
      </w:r>
      <w:r w:rsidR="00E813CA">
        <w:rPr>
          <w:rFonts w:eastAsiaTheme="majorEastAsia" w:cs="Times New Roman"/>
          <w:bCs/>
          <w:sz w:val="22"/>
        </w:rPr>
        <w:t>moisture levels that could favo</w:t>
      </w:r>
      <w:r w:rsidRPr="00387302">
        <w:rPr>
          <w:rFonts w:eastAsiaTheme="majorEastAsia" w:cs="Times New Roman"/>
          <w:bCs/>
          <w:sz w:val="22"/>
        </w:rPr>
        <w:t xml:space="preserve">r reasonable storage stability when appropriate packaging and storage conditions are maintained (Fellows, 2017). </w:t>
      </w:r>
    </w:p>
    <w:p w14:paraId="5213D4BE"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5DD553DD"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The ash content increased from 2.03% in sample A (100:0) to 3.02% in sample F (50:50). Samples B (90:10) and C (80:20) recorded 2.08 and 2.09%, respectively, while D (70:30), E (60:40) and F (50:50) recorded 2.35, 2.55 and 3.02%, respectively. The progressive increase in ash suggests that the substituted flour contributed a greater proportion of mineral-containing constituents than the flour used in the control. Ash represents the inorganic residue remaining after incineration and is therefore commonly used as an approximate measure of the total mineral fraction of a food material. The pattern observed in the present study is cons</w:t>
      </w:r>
      <w:r w:rsidR="00E813CA">
        <w:rPr>
          <w:rFonts w:eastAsiaTheme="majorEastAsia" w:cs="Times New Roman"/>
          <w:bCs/>
          <w:sz w:val="22"/>
        </w:rPr>
        <w:t>istent with the general behavio</w:t>
      </w:r>
      <w:r w:rsidRPr="00387302">
        <w:rPr>
          <w:rFonts w:eastAsiaTheme="majorEastAsia" w:cs="Times New Roman"/>
          <w:bCs/>
          <w:sz w:val="22"/>
        </w:rPr>
        <w:t xml:space="preserve">r of composite flour systems in which incorporation of nutritionally complementary plant materials increases the ash fraction (Peter-Ikechukwu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w:t>
      </w:r>
      <w:r w:rsidR="00387302">
        <w:rPr>
          <w:rFonts w:eastAsiaTheme="majorEastAsia" w:cs="Times New Roman"/>
          <w:bCs/>
          <w:sz w:val="22"/>
        </w:rPr>
        <w:t xml:space="preserve"> 2023; Adebowale et al., 2025). </w:t>
      </w:r>
      <w:r w:rsidRPr="00387302">
        <w:rPr>
          <w:rFonts w:eastAsiaTheme="majorEastAsia" w:cs="Times New Roman"/>
          <w:bCs/>
          <w:sz w:val="22"/>
        </w:rPr>
        <w:t>The increase in ash from A (100:0) to F (50:50) is nutritionally relevant because mineral-rich ingredients can improve the overall mineral contribution of composite foods. However, ash determination alone cannot establish the concentration of individual minerals. Consequently, the increase observed in the present study should be regarded as an indication of increased total inorganic matter rather than evidence of an increase in any particular mineral. Individual mineral analysis would be necessary to establish the contributions of calcium, iron, magnesium, phosphorus, potassium, zinc and other elements.</w:t>
      </w:r>
    </w:p>
    <w:p w14:paraId="5BFF3321"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68595DC4"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The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content increased from 0.05% in sample A (100:0) to 0.11% in sample B (90:10) and 0.11% in sample C (80:20). It increased further to 0.17% in sample D (70:30) and reached the highest value of 0.25% in sample E (60:40) before declining to 0.18% in sample F (50:50). The general increase from A (100:0) through E (60:40) indicates that the substituted flour contributed a greater amount of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-containing material to the blends than the control flour. Similar increases in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have been reported in composite flour systems following incorporation of plant-derived ingredients with higher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concentrations (Peter-</w:t>
      </w:r>
      <w:proofErr w:type="spellStart"/>
      <w:r w:rsidRPr="00387302">
        <w:rPr>
          <w:rFonts w:eastAsiaTheme="majorEastAsia" w:cs="Times New Roman"/>
          <w:bCs/>
          <w:sz w:val="22"/>
        </w:rPr>
        <w:t>Ikechukwu</w:t>
      </w:r>
      <w:proofErr w:type="spellEnd"/>
      <w:r w:rsidRPr="00387302">
        <w:rPr>
          <w:rFonts w:eastAsiaTheme="majorEastAsia" w:cs="Times New Roman"/>
          <w:bCs/>
          <w:sz w:val="22"/>
        </w:rPr>
        <w:t xml:space="preserve">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 </w:t>
      </w:r>
      <w:r w:rsidR="00387302">
        <w:rPr>
          <w:rFonts w:eastAsiaTheme="majorEastAsia" w:cs="Times New Roman"/>
          <w:bCs/>
          <w:sz w:val="22"/>
        </w:rPr>
        <w:t xml:space="preserve">2023). </w:t>
      </w:r>
      <w:r w:rsidRPr="00387302">
        <w:rPr>
          <w:rFonts w:eastAsiaTheme="majorEastAsia" w:cs="Times New Roman"/>
          <w:bCs/>
          <w:sz w:val="22"/>
        </w:rPr>
        <w:t xml:space="preserve">The nutritional importance of this increase is noteworthy because dietary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contributes to gastrointestinal function and has been associated with beneficial effects on satiety, bowel function and metabolic health (Slavin, 2013). Slavin reported that adequate dietary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intake is associated with several health benefits, including improved gastrointestinal health and reduced risk of some chronic diseases. Nevertheless, the reduction from 0.25% in E (60:40) to 0.18% in F (50:50) indicates that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did not increase in a strictly linear manner with substitution. This may be related to the specific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contribution of the two component flours and their relative proportions at the different blending levels. Therefore, the maximum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value observed at E (60:40), rather than F (50:50), suggests that the relationship between blending ratio and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concentration is formulation-dependent.</w:t>
      </w:r>
    </w:p>
    <w:p w14:paraId="476F0DCE"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0A717D5E"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A pronounced increase was observed in fat content, which increased progressively from 7.96% in sample A (100:0) to 10.11% in B (90:10), 12.56% in C (80:20), 13.22% in D (70:30), 14.11% in E (60:40) and 14.56% in F (50:50). The consistent increase indicates that the substituted flour was richer in lipid than the flour represented by the control. Similar increases in fat content have been reported when lipid-containing plant ingredients are incorporated into </w:t>
      </w:r>
      <w:r w:rsidRPr="00387302">
        <w:rPr>
          <w:rFonts w:eastAsiaTheme="majorEastAsia" w:cs="Times New Roman"/>
          <w:bCs/>
          <w:sz w:val="22"/>
        </w:rPr>
        <w:lastRenderedPageBreak/>
        <w:t>composite flour systems (Peter-Ikechukwu et al., 2020; Adebowale et al., 2025). The 2025 study by Adebowale et al. similarly reported nutritional enhancement following incorporation of okara</w:t>
      </w:r>
      <w:r w:rsidR="00387302">
        <w:rPr>
          <w:rFonts w:eastAsiaTheme="majorEastAsia" w:cs="Times New Roman"/>
          <w:bCs/>
          <w:sz w:val="22"/>
        </w:rPr>
        <w:t xml:space="preserve"> powder into whole-wheat flour. </w:t>
      </w:r>
      <w:r w:rsidRPr="00387302">
        <w:rPr>
          <w:rFonts w:eastAsiaTheme="majorEastAsia" w:cs="Times New Roman"/>
          <w:bCs/>
          <w:sz w:val="22"/>
        </w:rPr>
        <w:t>The increase in fat from A (100:0) to F (50:50) is nutritionally important because lipids provide a concentrated source of ene</w:t>
      </w:r>
      <w:r w:rsidR="00E813CA">
        <w:rPr>
          <w:rFonts w:eastAsiaTheme="majorEastAsia" w:cs="Times New Roman"/>
          <w:bCs/>
          <w:sz w:val="22"/>
        </w:rPr>
        <w:t>rgy and can contribute to flavo</w:t>
      </w:r>
      <w:r w:rsidRPr="00387302">
        <w:rPr>
          <w:rFonts w:eastAsiaTheme="majorEastAsia" w:cs="Times New Roman"/>
          <w:bCs/>
          <w:sz w:val="22"/>
        </w:rPr>
        <w:t>r and mouth</w:t>
      </w:r>
      <w:r w:rsidR="00E813CA">
        <w:rPr>
          <w:rFonts w:eastAsiaTheme="majorEastAsia" w:cs="Times New Roman"/>
          <w:bCs/>
          <w:sz w:val="22"/>
        </w:rPr>
        <w:t>-</w:t>
      </w:r>
      <w:r w:rsidRPr="00387302">
        <w:rPr>
          <w:rFonts w:eastAsiaTheme="majorEastAsia" w:cs="Times New Roman"/>
          <w:bCs/>
          <w:sz w:val="22"/>
        </w:rPr>
        <w:t>feel in foods prepared from the flour. However, higher fat content can also increase susceptibility to oxidative deterioration, depending on the fatty-acid composition of the lipid fraction and the storage conditions. Choe and Min (2006) noted that lipid oxidation is influenced by factors including fatty-acid composition, oxygen, temperature, light and pro-oxidant compounds. Consequently, the higher-fat formulations, particularly E (60:40) and F (50:50), may require suitable packaging and storage conditions to minimize oxidative deterioration.</w:t>
      </w:r>
    </w:p>
    <w:p w14:paraId="3EE33758"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2DCF0DA7"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The protein content increased markedly with increasing substitution. Sample A (100:0) recorded the lowest protein content of 8.80%, while B (90:10), C (80:20), D (70:30), E (60:40) and F (50:50) recorded 13.80, 14.40, 14.86, 15.10 and 15.28%, respectively. The progressive increase demonstrates that the substituted flour made a substantial contribution to the protein content of the composite blends. The difference between A (100:0) and F (50:50) represents an increase of approximately 73.6% relative to the control, indicating a substantial improvement in crude protein concentration with increasing incorpor</w:t>
      </w:r>
      <w:r w:rsidR="00387302">
        <w:rPr>
          <w:rFonts w:eastAsiaTheme="majorEastAsia" w:cs="Times New Roman"/>
          <w:bCs/>
          <w:sz w:val="22"/>
        </w:rPr>
        <w:t xml:space="preserve">ation of the substituted flour. </w:t>
      </w:r>
      <w:r w:rsidRPr="00387302">
        <w:rPr>
          <w:rFonts w:eastAsiaTheme="majorEastAsia" w:cs="Times New Roman"/>
          <w:bCs/>
          <w:sz w:val="22"/>
        </w:rPr>
        <w:t xml:space="preserve">This trend agrees with findings from composite flour studies in which incorporation of protein-rich plant materials increased the protein concentration of the resulting blends (Peter-Ikechukwu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 2023; Adebowale et al., 2025). In particular, Adebowale et al. (2025) reported nutritional improvement in whole-wheat flour following substitution with okara powder, which is naturally rich in protein. The increased protein concentration observed from A (100:0) to F (50:50) may therefore be considered a major nutritional advantag</w:t>
      </w:r>
      <w:r w:rsidR="00387302">
        <w:rPr>
          <w:rFonts w:eastAsiaTheme="majorEastAsia" w:cs="Times New Roman"/>
          <w:bCs/>
          <w:sz w:val="22"/>
        </w:rPr>
        <w:t xml:space="preserve">e of the composite formulation. </w:t>
      </w:r>
      <w:r w:rsidRPr="00387302">
        <w:rPr>
          <w:rFonts w:eastAsiaTheme="majorEastAsia" w:cs="Times New Roman"/>
          <w:bCs/>
          <w:sz w:val="22"/>
        </w:rPr>
        <w:t>Apart from its nutritional importance, protein can influence the technological properties of flour. Protein molecules possess hydrophilic and hydrophobic groups that can interact with water and other food components, thereby influencing hydration and other functional characteristics. Adebowale and Lawal (2004), for example, demonstra</w:t>
      </w:r>
      <w:r w:rsidR="00387302">
        <w:rPr>
          <w:rFonts w:eastAsiaTheme="majorEastAsia" w:cs="Times New Roman"/>
          <w:bCs/>
          <w:sz w:val="22"/>
        </w:rPr>
        <w:t>ted that the functional behavio</w:t>
      </w:r>
      <w:r w:rsidRPr="00387302">
        <w:rPr>
          <w:rFonts w:eastAsiaTheme="majorEastAsia" w:cs="Times New Roman"/>
          <w:bCs/>
          <w:sz w:val="22"/>
        </w:rPr>
        <w:t>r of legume flours is strongly influenced by their protein characteristics and composition. Consequently, the progressive increase in protein from A (100:0) to F (50:50) may partly contribute to differences subsequently observed in water absorption and other functional properties of the flour.</w:t>
      </w:r>
    </w:p>
    <w:p w14:paraId="7B4B7B9B"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19D1F581"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In contrast, carbohydrate content decreased progressively from 71.34% in sample A (100:0) to 63.96% in B (90:10), 61.81% in C (80:20), 59.31% in D (70:30), 57.86% in E (60:40) and 57.77% in F (50:50). The progressive decline corresponds closely with the increases observed in protein, fat and ash contents. This pattern is expected because carbohydrate in conventional proximate analysis is commonly estimated by difference. Consequently, when the proportions of protein, fat, ash and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increase, the calculated carbohydrate frac</w:t>
      </w:r>
      <w:r w:rsidR="00387302">
        <w:rPr>
          <w:rFonts w:eastAsiaTheme="majorEastAsia" w:cs="Times New Roman"/>
          <w:bCs/>
          <w:sz w:val="22"/>
        </w:rPr>
        <w:t xml:space="preserve">tion decreases correspondingly. </w:t>
      </w:r>
      <w:r w:rsidRPr="00387302">
        <w:rPr>
          <w:rFonts w:eastAsiaTheme="majorEastAsia" w:cs="Times New Roman"/>
          <w:bCs/>
          <w:sz w:val="22"/>
        </w:rPr>
        <w:t xml:space="preserve">The </w:t>
      </w:r>
      <w:r w:rsidR="00387302">
        <w:rPr>
          <w:rFonts w:eastAsiaTheme="majorEastAsia" w:cs="Times New Roman"/>
          <w:bCs/>
          <w:sz w:val="22"/>
        </w:rPr>
        <w:t>reduction</w:t>
      </w:r>
      <w:r w:rsidRPr="00387302">
        <w:rPr>
          <w:rFonts w:eastAsiaTheme="majorEastAsia" w:cs="Times New Roman"/>
          <w:bCs/>
          <w:sz w:val="22"/>
        </w:rPr>
        <w:t xml:space="preserve"> in carbohydrate from A (100:0) to F (50:50) should therefore not automatically be interpreted as destruction of carbohydrate during processing or blending. Rather, it largely represents a redistribution of the relative proportions of the proximate components. The same general pattern has been reported in composite flour studies where incorporation of protein-, lipid- or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-rich ingredients resulted in lower calculated carbohydrate values (Peter-Ikechukwu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w:t>
      </w:r>
      <w:r w:rsidR="00387302">
        <w:rPr>
          <w:rFonts w:eastAsiaTheme="majorEastAsia" w:cs="Times New Roman"/>
          <w:bCs/>
          <w:sz w:val="22"/>
        </w:rPr>
        <w:t xml:space="preserve"> 2023; Adebowale et al., 2025). </w:t>
      </w:r>
      <w:r w:rsidRPr="00387302">
        <w:rPr>
          <w:rFonts w:eastAsiaTheme="majorEastAsia" w:cs="Times New Roman"/>
          <w:bCs/>
          <w:sz w:val="22"/>
        </w:rPr>
        <w:t>The relatively close carbohydrate values observed in E (60:40; 57.86%) and F (50:50; 57.77%) indicate that increasing the proportion of the substituted flour beyond the 60:40 ratio produced only a small additional reduction in the calculated carbohydrate concentration. This observation is consistent with the corresponding relatively small increase in protein from E (60:40; 15.10%) to F (50:50; 15.28%) and fat from E (60:40; 14.11%) to F (50:50; 14.56%). Thus, the nutritional differences between the two highest substitution levels were less pronounced than those observed between the control and</w:t>
      </w:r>
      <w:r w:rsidR="00387302">
        <w:rPr>
          <w:rFonts w:eastAsiaTheme="majorEastAsia" w:cs="Times New Roman"/>
          <w:bCs/>
          <w:sz w:val="22"/>
        </w:rPr>
        <w:t xml:space="preserve"> the intermediate formulations.</w:t>
      </w:r>
    </w:p>
    <w:p w14:paraId="26C403A5" w14:textId="77777777" w:rsidR="002D2E3D" w:rsidRDefault="002D2E3D" w:rsidP="00B809FF">
      <w:pPr>
        <w:widowControl w:val="0"/>
        <w:autoSpaceDE w:val="0"/>
        <w:autoSpaceDN w:val="0"/>
        <w:spacing w:after="0" w:line="240" w:lineRule="auto"/>
        <w:ind w:left="720"/>
        <w:jc w:val="both"/>
        <w:outlineLvl w:val="0"/>
        <w:rPr>
          <w:rFonts w:eastAsia="Times New Roman" w:cs="Times New Roman"/>
          <w:b/>
          <w:bCs/>
          <w:szCs w:val="24"/>
        </w:rPr>
      </w:pPr>
    </w:p>
    <w:p w14:paraId="48CCAA1B"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6EA6AD7D"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0B5A92E5"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2CC1FFAF"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297AA1A9"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60989600"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58BF7463" w14:textId="77777777" w:rsidR="002D2E3D" w:rsidRPr="002D2E3D" w:rsidRDefault="002D2E3D" w:rsidP="002D2E3D">
      <w:pPr>
        <w:widowControl w:val="0"/>
        <w:autoSpaceDE w:val="0"/>
        <w:autoSpaceDN w:val="0"/>
        <w:spacing w:after="0" w:line="240" w:lineRule="auto"/>
        <w:ind w:left="720"/>
        <w:jc w:val="both"/>
        <w:outlineLvl w:val="0"/>
        <w:rPr>
          <w:rFonts w:eastAsia="Times New Roman" w:cs="Times New Roman"/>
          <w:b/>
          <w:bCs/>
          <w:szCs w:val="24"/>
        </w:rPr>
      </w:pPr>
      <w:r w:rsidRPr="002D2E3D">
        <w:rPr>
          <w:rFonts w:eastAsia="Times New Roman" w:cs="Times New Roman"/>
          <w:b/>
          <w:bCs/>
          <w:szCs w:val="24"/>
        </w:rPr>
        <w:lastRenderedPageBreak/>
        <w:t>Table</w:t>
      </w:r>
      <w:r w:rsidRPr="002D2E3D">
        <w:rPr>
          <w:rFonts w:eastAsia="Times New Roman" w:cs="Times New Roman"/>
          <w:b/>
          <w:bCs/>
          <w:spacing w:val="-5"/>
          <w:szCs w:val="24"/>
        </w:rPr>
        <w:t xml:space="preserve"> </w:t>
      </w:r>
      <w:r w:rsidRPr="002D2E3D">
        <w:rPr>
          <w:rFonts w:eastAsia="Times New Roman" w:cs="Times New Roman"/>
          <w:b/>
          <w:bCs/>
          <w:szCs w:val="24"/>
        </w:rPr>
        <w:t>2:</w:t>
      </w:r>
      <w:r w:rsidRPr="002D2E3D">
        <w:rPr>
          <w:rFonts w:eastAsia="Times New Roman" w:cs="Times New Roman"/>
          <w:b/>
          <w:bCs/>
          <w:spacing w:val="-1"/>
          <w:szCs w:val="24"/>
        </w:rPr>
        <w:t xml:space="preserve"> </w:t>
      </w:r>
      <w:r w:rsidRPr="002D2E3D">
        <w:rPr>
          <w:rFonts w:eastAsia="Times New Roman" w:cs="Times New Roman"/>
          <w:b/>
          <w:bCs/>
          <w:szCs w:val="24"/>
        </w:rPr>
        <w:t>Proximate</w:t>
      </w:r>
      <w:r w:rsidRPr="002D2E3D">
        <w:rPr>
          <w:rFonts w:eastAsia="Times New Roman" w:cs="Times New Roman"/>
          <w:b/>
          <w:bCs/>
          <w:spacing w:val="-4"/>
          <w:szCs w:val="24"/>
        </w:rPr>
        <w:t xml:space="preserve"> </w:t>
      </w:r>
      <w:r w:rsidRPr="002D2E3D">
        <w:rPr>
          <w:rFonts w:eastAsia="Times New Roman" w:cs="Times New Roman"/>
          <w:b/>
          <w:bCs/>
          <w:szCs w:val="24"/>
        </w:rPr>
        <w:t>Compositions</w:t>
      </w:r>
      <w:r w:rsidRPr="002D2E3D">
        <w:rPr>
          <w:rFonts w:eastAsia="Times New Roman" w:cs="Times New Roman"/>
          <w:b/>
          <w:bCs/>
          <w:spacing w:val="1"/>
          <w:szCs w:val="24"/>
        </w:rPr>
        <w:t xml:space="preserve"> </w:t>
      </w:r>
      <w:r w:rsidRPr="002D2E3D">
        <w:rPr>
          <w:rFonts w:eastAsia="Times New Roman" w:cs="Times New Roman"/>
          <w:b/>
          <w:bCs/>
          <w:szCs w:val="24"/>
        </w:rPr>
        <w:t>(%)</w:t>
      </w:r>
      <w:r w:rsidRPr="002D2E3D">
        <w:rPr>
          <w:rFonts w:eastAsia="Times New Roman" w:cs="Times New Roman"/>
          <w:b/>
          <w:bCs/>
          <w:spacing w:val="-3"/>
          <w:szCs w:val="24"/>
        </w:rPr>
        <w:t xml:space="preserve"> </w:t>
      </w:r>
      <w:r w:rsidRPr="002D2E3D">
        <w:rPr>
          <w:rFonts w:eastAsia="Times New Roman" w:cs="Times New Roman"/>
          <w:b/>
          <w:bCs/>
          <w:szCs w:val="24"/>
        </w:rPr>
        <w:t>of Maize-Soybean</w:t>
      </w:r>
      <w:r w:rsidRPr="002D2E3D">
        <w:rPr>
          <w:rFonts w:eastAsia="Times New Roman" w:cs="Times New Roman"/>
          <w:b/>
          <w:bCs/>
          <w:spacing w:val="-2"/>
          <w:szCs w:val="24"/>
        </w:rPr>
        <w:t xml:space="preserve"> </w:t>
      </w:r>
      <w:r w:rsidRPr="002D2E3D">
        <w:rPr>
          <w:rFonts w:eastAsia="Times New Roman" w:cs="Times New Roman"/>
          <w:b/>
          <w:bCs/>
          <w:szCs w:val="24"/>
        </w:rPr>
        <w:t>Pap</w:t>
      </w:r>
      <w:r w:rsidRPr="002D2E3D">
        <w:rPr>
          <w:rFonts w:eastAsia="Times New Roman" w:cs="Times New Roman"/>
          <w:b/>
          <w:bCs/>
          <w:spacing w:val="-1"/>
          <w:szCs w:val="24"/>
        </w:rPr>
        <w:t xml:space="preserve"> </w:t>
      </w:r>
      <w:r w:rsidRPr="002D2E3D">
        <w:rPr>
          <w:rFonts w:eastAsia="Times New Roman" w:cs="Times New Roman"/>
          <w:b/>
          <w:bCs/>
          <w:szCs w:val="24"/>
        </w:rPr>
        <w:t>Blends</w:t>
      </w:r>
      <w:r w:rsidRPr="002D2E3D">
        <w:rPr>
          <w:rFonts w:eastAsia="Times New Roman" w:cs="Times New Roman"/>
          <w:b/>
          <w:bCs/>
          <w:spacing w:val="-1"/>
          <w:szCs w:val="24"/>
        </w:rPr>
        <w:t xml:space="preserve"> </w:t>
      </w:r>
      <w:commentRangeStart w:id="6"/>
      <w:r w:rsidRPr="002D2E3D">
        <w:rPr>
          <w:rFonts w:eastAsia="Times New Roman" w:cs="Times New Roman"/>
          <w:b/>
          <w:bCs/>
          <w:spacing w:val="-2"/>
          <w:szCs w:val="24"/>
        </w:rPr>
        <w:t>Powder</w:t>
      </w:r>
      <w:commentRangeEnd w:id="6"/>
      <w:r w:rsidR="00A906F7">
        <w:rPr>
          <w:rStyle w:val="CommentReference"/>
        </w:rPr>
        <w:commentReference w:id="6"/>
      </w:r>
    </w:p>
    <w:p w14:paraId="43E0D381" w14:textId="77777777" w:rsidR="002D2E3D" w:rsidRPr="002D2E3D" w:rsidRDefault="002D2E3D" w:rsidP="002D2E3D">
      <w:pPr>
        <w:widowControl w:val="0"/>
        <w:autoSpaceDE w:val="0"/>
        <w:autoSpaceDN w:val="0"/>
        <w:spacing w:after="0" w:line="240" w:lineRule="auto"/>
        <w:rPr>
          <w:rFonts w:eastAsia="Times New Roman" w:cs="Times New Roman"/>
          <w:b/>
          <w:sz w:val="20"/>
          <w:szCs w:val="24"/>
        </w:rPr>
      </w:pPr>
    </w:p>
    <w:p w14:paraId="231ED807" w14:textId="77777777" w:rsidR="003A4706" w:rsidRPr="003A4706" w:rsidRDefault="003A4706" w:rsidP="003A4706">
      <w:pPr>
        <w:jc w:val="both"/>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337"/>
        <w:gridCol w:w="1337"/>
        <w:gridCol w:w="1337"/>
        <w:gridCol w:w="1337"/>
        <w:gridCol w:w="1337"/>
        <w:gridCol w:w="1493"/>
      </w:tblGrid>
      <w:tr w:rsidR="003A4706" w:rsidRPr="00080A35" w14:paraId="76C089A8" w14:textId="77777777" w:rsidTr="00E51B0E">
        <w:trPr>
          <w:jc w:val="center"/>
        </w:trPr>
        <w:tc>
          <w:tcPr>
            <w:tcW w:w="1337" w:type="dxa"/>
            <w:tcBorders>
              <w:top w:val="single" w:sz="4" w:space="0" w:color="auto"/>
              <w:bottom w:val="single" w:sz="4" w:space="0" w:color="auto"/>
            </w:tcBorders>
            <w:tcMar>
              <w:top w:w="80" w:type="dxa"/>
              <w:left w:w="80" w:type="dxa"/>
              <w:bottom w:w="80" w:type="dxa"/>
              <w:right w:w="80" w:type="dxa"/>
            </w:tcMar>
          </w:tcPr>
          <w:p w14:paraId="7152480D" w14:textId="77777777" w:rsidR="00E63C48" w:rsidRPr="00436E81" w:rsidRDefault="00302EC0" w:rsidP="002B1AB0">
            <w:pPr>
              <w:spacing w:line="240" w:lineRule="auto"/>
              <w:rPr>
                <w:rFonts w:cs="Times New Roman"/>
                <w:sz w:val="22"/>
              </w:rPr>
            </w:pPr>
            <w:r w:rsidRPr="00436E81">
              <w:rPr>
                <w:rFonts w:cs="Times New Roman"/>
                <w:b/>
                <w:sz w:val="22"/>
              </w:rPr>
              <w:t>Sample</w:t>
            </w:r>
            <w:r w:rsidR="00E51B0E" w:rsidRPr="00436E81">
              <w:rPr>
                <w:rFonts w:cs="Times New Roman"/>
                <w:b/>
                <w:sz w:val="22"/>
              </w:rPr>
              <w:t xml:space="preserve"> Codes/ Ratios</w:t>
            </w:r>
          </w:p>
        </w:tc>
        <w:tc>
          <w:tcPr>
            <w:tcW w:w="1337" w:type="dxa"/>
            <w:tcBorders>
              <w:top w:val="single" w:sz="4" w:space="0" w:color="auto"/>
              <w:bottom w:val="single" w:sz="4" w:space="0" w:color="auto"/>
            </w:tcBorders>
            <w:tcMar>
              <w:top w:w="80" w:type="dxa"/>
              <w:left w:w="80" w:type="dxa"/>
              <w:bottom w:w="80" w:type="dxa"/>
              <w:right w:w="80" w:type="dxa"/>
            </w:tcMar>
          </w:tcPr>
          <w:p w14:paraId="7CA30DCF"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Moisture </w:t>
            </w:r>
          </w:p>
        </w:tc>
        <w:tc>
          <w:tcPr>
            <w:tcW w:w="1337" w:type="dxa"/>
            <w:tcBorders>
              <w:top w:val="single" w:sz="4" w:space="0" w:color="auto"/>
              <w:bottom w:val="single" w:sz="4" w:space="0" w:color="auto"/>
            </w:tcBorders>
            <w:tcMar>
              <w:top w:w="80" w:type="dxa"/>
              <w:left w:w="80" w:type="dxa"/>
              <w:bottom w:w="80" w:type="dxa"/>
              <w:right w:w="80" w:type="dxa"/>
            </w:tcMar>
          </w:tcPr>
          <w:p w14:paraId="1655BE68"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Ash </w:t>
            </w:r>
          </w:p>
        </w:tc>
        <w:tc>
          <w:tcPr>
            <w:tcW w:w="1337" w:type="dxa"/>
            <w:tcBorders>
              <w:top w:val="single" w:sz="4" w:space="0" w:color="auto"/>
              <w:bottom w:val="single" w:sz="4" w:space="0" w:color="auto"/>
            </w:tcBorders>
            <w:tcMar>
              <w:top w:w="80" w:type="dxa"/>
              <w:left w:w="80" w:type="dxa"/>
              <w:bottom w:w="80" w:type="dxa"/>
              <w:right w:w="80" w:type="dxa"/>
            </w:tcMar>
          </w:tcPr>
          <w:p w14:paraId="72764729" w14:textId="77777777" w:rsidR="00E63C48" w:rsidRPr="00436E81" w:rsidRDefault="003A4706" w:rsidP="002B1AB0">
            <w:pPr>
              <w:spacing w:line="240" w:lineRule="auto"/>
              <w:jc w:val="both"/>
              <w:rPr>
                <w:rFonts w:cs="Times New Roman"/>
                <w:sz w:val="22"/>
              </w:rPr>
            </w:pPr>
            <w:proofErr w:type="spellStart"/>
            <w:r w:rsidRPr="00436E81">
              <w:rPr>
                <w:rFonts w:cs="Times New Roman"/>
                <w:b/>
                <w:sz w:val="22"/>
              </w:rPr>
              <w:t>Fibre</w:t>
            </w:r>
            <w:proofErr w:type="spellEnd"/>
            <w:r w:rsidRPr="00436E81">
              <w:rPr>
                <w:rFonts w:cs="Times New Roman"/>
                <w:b/>
                <w:sz w:val="22"/>
              </w:rPr>
              <w:t xml:space="preserve"> </w:t>
            </w:r>
          </w:p>
        </w:tc>
        <w:tc>
          <w:tcPr>
            <w:tcW w:w="1337" w:type="dxa"/>
            <w:tcBorders>
              <w:top w:val="single" w:sz="4" w:space="0" w:color="auto"/>
              <w:bottom w:val="single" w:sz="4" w:space="0" w:color="auto"/>
            </w:tcBorders>
            <w:tcMar>
              <w:top w:w="80" w:type="dxa"/>
              <w:left w:w="80" w:type="dxa"/>
              <w:bottom w:w="80" w:type="dxa"/>
              <w:right w:w="80" w:type="dxa"/>
            </w:tcMar>
          </w:tcPr>
          <w:p w14:paraId="3E94F69E"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Fat </w:t>
            </w:r>
          </w:p>
        </w:tc>
        <w:tc>
          <w:tcPr>
            <w:tcW w:w="1337" w:type="dxa"/>
            <w:tcBorders>
              <w:top w:val="single" w:sz="4" w:space="0" w:color="auto"/>
              <w:bottom w:val="single" w:sz="4" w:space="0" w:color="auto"/>
            </w:tcBorders>
            <w:tcMar>
              <w:top w:w="80" w:type="dxa"/>
              <w:left w:w="80" w:type="dxa"/>
              <w:bottom w:w="80" w:type="dxa"/>
              <w:right w:w="80" w:type="dxa"/>
            </w:tcMar>
          </w:tcPr>
          <w:p w14:paraId="73C5D5A6"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Protein </w:t>
            </w:r>
          </w:p>
        </w:tc>
        <w:tc>
          <w:tcPr>
            <w:tcW w:w="1337" w:type="dxa"/>
            <w:tcBorders>
              <w:top w:val="single" w:sz="4" w:space="0" w:color="auto"/>
              <w:bottom w:val="single" w:sz="4" w:space="0" w:color="auto"/>
            </w:tcBorders>
            <w:tcMar>
              <w:top w:w="80" w:type="dxa"/>
              <w:left w:w="80" w:type="dxa"/>
              <w:bottom w:w="80" w:type="dxa"/>
              <w:right w:w="80" w:type="dxa"/>
            </w:tcMar>
          </w:tcPr>
          <w:p w14:paraId="07A241BC"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Carbohydrate </w:t>
            </w:r>
          </w:p>
        </w:tc>
      </w:tr>
      <w:tr w:rsidR="003A4706" w:rsidRPr="00080A35" w14:paraId="35CA327C" w14:textId="77777777" w:rsidTr="00E51B0E">
        <w:trPr>
          <w:jc w:val="center"/>
        </w:trPr>
        <w:tc>
          <w:tcPr>
            <w:tcW w:w="1337" w:type="dxa"/>
            <w:tcBorders>
              <w:top w:val="single" w:sz="4" w:space="0" w:color="auto"/>
            </w:tcBorders>
            <w:tcMar>
              <w:top w:w="80" w:type="dxa"/>
              <w:left w:w="80" w:type="dxa"/>
              <w:bottom w:w="80" w:type="dxa"/>
              <w:right w:w="80" w:type="dxa"/>
            </w:tcMar>
            <w:vAlign w:val="center"/>
          </w:tcPr>
          <w:p w14:paraId="536DF35B" w14:textId="77777777" w:rsidR="00E63C48" w:rsidRPr="00436E81" w:rsidRDefault="00302EC0" w:rsidP="002B1AB0">
            <w:pPr>
              <w:spacing w:line="240" w:lineRule="auto"/>
              <w:jc w:val="both"/>
              <w:rPr>
                <w:rFonts w:cs="Times New Roman"/>
                <w:sz w:val="22"/>
              </w:rPr>
            </w:pPr>
            <w:r w:rsidRPr="00436E81">
              <w:rPr>
                <w:rFonts w:cs="Times New Roman"/>
                <w:sz w:val="22"/>
              </w:rPr>
              <w:t>A (100:0)</w:t>
            </w:r>
          </w:p>
        </w:tc>
        <w:tc>
          <w:tcPr>
            <w:tcW w:w="1337" w:type="dxa"/>
            <w:tcBorders>
              <w:top w:val="single" w:sz="4" w:space="0" w:color="auto"/>
            </w:tcBorders>
            <w:tcMar>
              <w:top w:w="80" w:type="dxa"/>
              <w:left w:w="80" w:type="dxa"/>
              <w:bottom w:w="80" w:type="dxa"/>
              <w:right w:w="80" w:type="dxa"/>
            </w:tcMar>
            <w:vAlign w:val="center"/>
          </w:tcPr>
          <w:p w14:paraId="3C1DD7AE" w14:textId="77777777" w:rsidR="00E63C48" w:rsidRPr="00436E81" w:rsidRDefault="00302EC0" w:rsidP="002B1AB0">
            <w:pPr>
              <w:spacing w:line="240" w:lineRule="auto"/>
              <w:jc w:val="both"/>
              <w:rPr>
                <w:rFonts w:cs="Times New Roman"/>
                <w:sz w:val="22"/>
              </w:rPr>
            </w:pPr>
            <w:r w:rsidRPr="00436E81">
              <w:rPr>
                <w:rFonts w:cs="Times New Roman"/>
                <w:sz w:val="22"/>
              </w:rPr>
              <w:t>9.83 ± 0.02ᵃ</w:t>
            </w:r>
          </w:p>
        </w:tc>
        <w:tc>
          <w:tcPr>
            <w:tcW w:w="1337" w:type="dxa"/>
            <w:tcBorders>
              <w:top w:val="single" w:sz="4" w:space="0" w:color="auto"/>
            </w:tcBorders>
            <w:tcMar>
              <w:top w:w="80" w:type="dxa"/>
              <w:left w:w="80" w:type="dxa"/>
              <w:bottom w:w="80" w:type="dxa"/>
              <w:right w:w="80" w:type="dxa"/>
            </w:tcMar>
            <w:vAlign w:val="center"/>
          </w:tcPr>
          <w:p w14:paraId="5FE7FE15" w14:textId="77777777" w:rsidR="00E63C48" w:rsidRPr="00436E81" w:rsidRDefault="00302EC0" w:rsidP="002B1AB0">
            <w:pPr>
              <w:spacing w:line="240" w:lineRule="auto"/>
              <w:jc w:val="both"/>
              <w:rPr>
                <w:rFonts w:cs="Times New Roman"/>
                <w:sz w:val="22"/>
              </w:rPr>
            </w:pPr>
            <w:r w:rsidRPr="00436E81">
              <w:rPr>
                <w:rFonts w:cs="Times New Roman"/>
                <w:sz w:val="22"/>
              </w:rPr>
              <w:t>2.03 ± 0.01ᵇ</w:t>
            </w:r>
          </w:p>
        </w:tc>
        <w:tc>
          <w:tcPr>
            <w:tcW w:w="1337" w:type="dxa"/>
            <w:tcBorders>
              <w:top w:val="single" w:sz="4" w:space="0" w:color="auto"/>
            </w:tcBorders>
            <w:tcMar>
              <w:top w:w="80" w:type="dxa"/>
              <w:left w:w="80" w:type="dxa"/>
              <w:bottom w:w="80" w:type="dxa"/>
              <w:right w:w="80" w:type="dxa"/>
            </w:tcMar>
            <w:vAlign w:val="center"/>
          </w:tcPr>
          <w:p w14:paraId="620B5D98" w14:textId="77777777" w:rsidR="00E63C48" w:rsidRPr="00436E81" w:rsidRDefault="00302EC0" w:rsidP="002B1AB0">
            <w:pPr>
              <w:spacing w:line="240" w:lineRule="auto"/>
              <w:jc w:val="both"/>
              <w:rPr>
                <w:rFonts w:cs="Times New Roman"/>
                <w:sz w:val="22"/>
              </w:rPr>
            </w:pPr>
            <w:r w:rsidRPr="00436E81">
              <w:rPr>
                <w:rFonts w:cs="Times New Roman"/>
                <w:sz w:val="22"/>
              </w:rPr>
              <w:t>0.05 ± 0.00ᶜ</w:t>
            </w:r>
          </w:p>
        </w:tc>
        <w:tc>
          <w:tcPr>
            <w:tcW w:w="1337" w:type="dxa"/>
            <w:tcBorders>
              <w:top w:val="single" w:sz="4" w:space="0" w:color="auto"/>
            </w:tcBorders>
            <w:tcMar>
              <w:top w:w="80" w:type="dxa"/>
              <w:left w:w="80" w:type="dxa"/>
              <w:bottom w:w="80" w:type="dxa"/>
              <w:right w:w="80" w:type="dxa"/>
            </w:tcMar>
            <w:vAlign w:val="center"/>
          </w:tcPr>
          <w:p w14:paraId="6912749F" w14:textId="77777777" w:rsidR="00E63C48" w:rsidRPr="00436E81" w:rsidRDefault="00302EC0" w:rsidP="002B1AB0">
            <w:pPr>
              <w:spacing w:line="240" w:lineRule="auto"/>
              <w:jc w:val="both"/>
              <w:rPr>
                <w:rFonts w:cs="Times New Roman"/>
                <w:sz w:val="22"/>
              </w:rPr>
            </w:pPr>
            <w:r w:rsidRPr="00436E81">
              <w:rPr>
                <w:rFonts w:cs="Times New Roman"/>
                <w:sz w:val="22"/>
              </w:rPr>
              <w:t>7.96 ± 0.01ᵃ</w:t>
            </w:r>
          </w:p>
        </w:tc>
        <w:tc>
          <w:tcPr>
            <w:tcW w:w="1337" w:type="dxa"/>
            <w:tcBorders>
              <w:top w:val="single" w:sz="4" w:space="0" w:color="auto"/>
            </w:tcBorders>
            <w:tcMar>
              <w:top w:w="80" w:type="dxa"/>
              <w:left w:w="80" w:type="dxa"/>
              <w:bottom w:w="80" w:type="dxa"/>
              <w:right w:w="80" w:type="dxa"/>
            </w:tcMar>
            <w:vAlign w:val="center"/>
          </w:tcPr>
          <w:p w14:paraId="0410E0E4" w14:textId="77777777" w:rsidR="00E63C48" w:rsidRPr="00436E81" w:rsidRDefault="00302EC0" w:rsidP="002B1AB0">
            <w:pPr>
              <w:spacing w:line="240" w:lineRule="auto"/>
              <w:jc w:val="both"/>
              <w:rPr>
                <w:rFonts w:cs="Times New Roman"/>
                <w:sz w:val="22"/>
              </w:rPr>
            </w:pPr>
            <w:r w:rsidRPr="00436E81">
              <w:rPr>
                <w:rFonts w:cs="Times New Roman"/>
                <w:sz w:val="22"/>
              </w:rPr>
              <w:t>8.80 ± 0.01ᵃ</w:t>
            </w:r>
          </w:p>
        </w:tc>
        <w:tc>
          <w:tcPr>
            <w:tcW w:w="1337" w:type="dxa"/>
            <w:tcBorders>
              <w:top w:val="single" w:sz="4" w:space="0" w:color="auto"/>
            </w:tcBorders>
            <w:tcMar>
              <w:top w:w="80" w:type="dxa"/>
              <w:left w:w="80" w:type="dxa"/>
              <w:bottom w:w="80" w:type="dxa"/>
              <w:right w:w="80" w:type="dxa"/>
            </w:tcMar>
            <w:vAlign w:val="center"/>
          </w:tcPr>
          <w:p w14:paraId="1690383D" w14:textId="77777777" w:rsidR="00E63C48" w:rsidRPr="00436E81" w:rsidRDefault="00302EC0" w:rsidP="002B1AB0">
            <w:pPr>
              <w:spacing w:line="240" w:lineRule="auto"/>
              <w:jc w:val="both"/>
              <w:rPr>
                <w:rFonts w:cs="Times New Roman"/>
                <w:sz w:val="22"/>
              </w:rPr>
            </w:pPr>
            <w:r w:rsidRPr="00436E81">
              <w:rPr>
                <w:rFonts w:cs="Times New Roman"/>
                <w:sz w:val="22"/>
              </w:rPr>
              <w:t>71.34 ± 0.04ᵇ</w:t>
            </w:r>
          </w:p>
        </w:tc>
      </w:tr>
      <w:tr w:rsidR="003A4706" w:rsidRPr="00080A35" w14:paraId="2EA7E0ED" w14:textId="77777777" w:rsidTr="00E51B0E">
        <w:trPr>
          <w:jc w:val="center"/>
        </w:trPr>
        <w:tc>
          <w:tcPr>
            <w:tcW w:w="1337" w:type="dxa"/>
            <w:tcMar>
              <w:top w:w="80" w:type="dxa"/>
              <w:left w:w="80" w:type="dxa"/>
              <w:bottom w:w="80" w:type="dxa"/>
              <w:right w:w="80" w:type="dxa"/>
            </w:tcMar>
            <w:vAlign w:val="center"/>
          </w:tcPr>
          <w:p w14:paraId="28FF8CF9" w14:textId="77777777" w:rsidR="00E63C48" w:rsidRPr="00436E81" w:rsidRDefault="00302EC0" w:rsidP="002B1AB0">
            <w:pPr>
              <w:spacing w:line="240" w:lineRule="auto"/>
              <w:jc w:val="both"/>
              <w:rPr>
                <w:rFonts w:cs="Times New Roman"/>
                <w:sz w:val="22"/>
              </w:rPr>
            </w:pPr>
            <w:r w:rsidRPr="00436E81">
              <w:rPr>
                <w:rFonts w:cs="Times New Roman"/>
                <w:sz w:val="22"/>
              </w:rPr>
              <w:t>B (90:10)</w:t>
            </w:r>
          </w:p>
        </w:tc>
        <w:tc>
          <w:tcPr>
            <w:tcW w:w="1337" w:type="dxa"/>
            <w:tcMar>
              <w:top w:w="80" w:type="dxa"/>
              <w:left w:w="80" w:type="dxa"/>
              <w:bottom w:w="80" w:type="dxa"/>
              <w:right w:w="80" w:type="dxa"/>
            </w:tcMar>
            <w:vAlign w:val="center"/>
          </w:tcPr>
          <w:p w14:paraId="6ED002B2" w14:textId="77777777" w:rsidR="00E63C48" w:rsidRPr="00436E81" w:rsidRDefault="00302EC0" w:rsidP="002B1AB0">
            <w:pPr>
              <w:spacing w:line="240" w:lineRule="auto"/>
              <w:jc w:val="both"/>
              <w:rPr>
                <w:rFonts w:cs="Times New Roman"/>
                <w:sz w:val="22"/>
              </w:rPr>
            </w:pPr>
            <w:r w:rsidRPr="00436E81">
              <w:rPr>
                <w:rFonts w:cs="Times New Roman"/>
                <w:sz w:val="22"/>
              </w:rPr>
              <w:t>9.96 ± 0.08ᵇ</w:t>
            </w:r>
          </w:p>
        </w:tc>
        <w:tc>
          <w:tcPr>
            <w:tcW w:w="1337" w:type="dxa"/>
            <w:tcMar>
              <w:top w:w="80" w:type="dxa"/>
              <w:left w:w="80" w:type="dxa"/>
              <w:bottom w:w="80" w:type="dxa"/>
              <w:right w:w="80" w:type="dxa"/>
            </w:tcMar>
            <w:vAlign w:val="center"/>
          </w:tcPr>
          <w:p w14:paraId="3D04697D" w14:textId="77777777" w:rsidR="00E63C48" w:rsidRPr="00436E81" w:rsidRDefault="00302EC0" w:rsidP="002B1AB0">
            <w:pPr>
              <w:spacing w:line="240" w:lineRule="auto"/>
              <w:jc w:val="both"/>
              <w:rPr>
                <w:rFonts w:cs="Times New Roman"/>
                <w:sz w:val="22"/>
              </w:rPr>
            </w:pPr>
            <w:r w:rsidRPr="00436E81">
              <w:rPr>
                <w:rFonts w:cs="Times New Roman"/>
                <w:sz w:val="22"/>
              </w:rPr>
              <w:t>2.08 ± 0.01ᵃ</w:t>
            </w:r>
          </w:p>
        </w:tc>
        <w:tc>
          <w:tcPr>
            <w:tcW w:w="1337" w:type="dxa"/>
            <w:tcMar>
              <w:top w:w="80" w:type="dxa"/>
              <w:left w:w="80" w:type="dxa"/>
              <w:bottom w:w="80" w:type="dxa"/>
              <w:right w:w="80" w:type="dxa"/>
            </w:tcMar>
            <w:vAlign w:val="center"/>
          </w:tcPr>
          <w:p w14:paraId="6D4FBFF1" w14:textId="77777777" w:rsidR="00E63C48" w:rsidRPr="00436E81" w:rsidRDefault="00302EC0" w:rsidP="002B1AB0">
            <w:pPr>
              <w:spacing w:line="240" w:lineRule="auto"/>
              <w:jc w:val="both"/>
              <w:rPr>
                <w:rFonts w:cs="Times New Roman"/>
                <w:sz w:val="22"/>
              </w:rPr>
            </w:pPr>
            <w:r w:rsidRPr="00436E81">
              <w:rPr>
                <w:rFonts w:cs="Times New Roman"/>
                <w:sz w:val="22"/>
              </w:rPr>
              <w:t>0.11 ± 0.01ᵃ</w:t>
            </w:r>
          </w:p>
        </w:tc>
        <w:tc>
          <w:tcPr>
            <w:tcW w:w="1337" w:type="dxa"/>
            <w:tcMar>
              <w:top w:w="80" w:type="dxa"/>
              <w:left w:w="80" w:type="dxa"/>
              <w:bottom w:w="80" w:type="dxa"/>
              <w:right w:w="80" w:type="dxa"/>
            </w:tcMar>
            <w:vAlign w:val="center"/>
          </w:tcPr>
          <w:p w14:paraId="27837118" w14:textId="77777777" w:rsidR="00E63C48" w:rsidRPr="00436E81" w:rsidRDefault="00436E81" w:rsidP="002B1AB0">
            <w:pPr>
              <w:spacing w:line="240" w:lineRule="auto"/>
              <w:jc w:val="both"/>
              <w:rPr>
                <w:rFonts w:cs="Times New Roman"/>
                <w:sz w:val="22"/>
              </w:rPr>
            </w:pPr>
            <w:r>
              <w:rPr>
                <w:rFonts w:cs="Times New Roman"/>
                <w:sz w:val="22"/>
              </w:rPr>
              <w:t>10.11</w:t>
            </w:r>
            <w:r w:rsidR="00302EC0" w:rsidRPr="00436E81">
              <w:rPr>
                <w:rFonts w:cs="Times New Roman"/>
                <w:sz w:val="22"/>
              </w:rPr>
              <w:t>± 0.01ᵇ</w:t>
            </w:r>
          </w:p>
        </w:tc>
        <w:tc>
          <w:tcPr>
            <w:tcW w:w="1337" w:type="dxa"/>
            <w:tcMar>
              <w:top w:w="80" w:type="dxa"/>
              <w:left w:w="80" w:type="dxa"/>
              <w:bottom w:w="80" w:type="dxa"/>
              <w:right w:w="80" w:type="dxa"/>
            </w:tcMar>
            <w:vAlign w:val="center"/>
          </w:tcPr>
          <w:p w14:paraId="789678F6" w14:textId="77777777" w:rsidR="00E63C48" w:rsidRPr="00436E81" w:rsidRDefault="00436E81" w:rsidP="002B1AB0">
            <w:pPr>
              <w:spacing w:line="240" w:lineRule="auto"/>
              <w:jc w:val="both"/>
              <w:rPr>
                <w:rFonts w:cs="Times New Roman"/>
                <w:sz w:val="22"/>
              </w:rPr>
            </w:pPr>
            <w:r>
              <w:rPr>
                <w:rFonts w:cs="Times New Roman"/>
                <w:sz w:val="22"/>
              </w:rPr>
              <w:t>13.80</w:t>
            </w:r>
            <w:r w:rsidR="00302EC0" w:rsidRPr="00436E81">
              <w:rPr>
                <w:rFonts w:cs="Times New Roman"/>
                <w:sz w:val="22"/>
              </w:rPr>
              <w:t>± 0.01ᵇ</w:t>
            </w:r>
          </w:p>
        </w:tc>
        <w:tc>
          <w:tcPr>
            <w:tcW w:w="1337" w:type="dxa"/>
            <w:tcMar>
              <w:top w:w="80" w:type="dxa"/>
              <w:left w:w="80" w:type="dxa"/>
              <w:bottom w:w="80" w:type="dxa"/>
              <w:right w:w="80" w:type="dxa"/>
            </w:tcMar>
            <w:vAlign w:val="center"/>
          </w:tcPr>
          <w:p w14:paraId="3FAB6E01" w14:textId="77777777" w:rsidR="00E63C48" w:rsidRPr="00436E81" w:rsidRDefault="00302EC0" w:rsidP="002B1AB0">
            <w:pPr>
              <w:spacing w:line="240" w:lineRule="auto"/>
              <w:jc w:val="both"/>
              <w:rPr>
                <w:rFonts w:cs="Times New Roman"/>
                <w:sz w:val="22"/>
              </w:rPr>
            </w:pPr>
            <w:r w:rsidRPr="00436E81">
              <w:rPr>
                <w:rFonts w:cs="Times New Roman"/>
                <w:sz w:val="22"/>
              </w:rPr>
              <w:t>63.96 ± 0.01ᶜ</w:t>
            </w:r>
          </w:p>
        </w:tc>
      </w:tr>
      <w:tr w:rsidR="003A4706" w:rsidRPr="00080A35" w14:paraId="22D3CF74" w14:textId="77777777" w:rsidTr="00E51B0E">
        <w:trPr>
          <w:jc w:val="center"/>
        </w:trPr>
        <w:tc>
          <w:tcPr>
            <w:tcW w:w="1337" w:type="dxa"/>
            <w:tcMar>
              <w:top w:w="80" w:type="dxa"/>
              <w:left w:w="80" w:type="dxa"/>
              <w:bottom w:w="80" w:type="dxa"/>
              <w:right w:w="80" w:type="dxa"/>
            </w:tcMar>
            <w:vAlign w:val="center"/>
          </w:tcPr>
          <w:p w14:paraId="796C9F4A" w14:textId="77777777" w:rsidR="00E63C48" w:rsidRPr="00436E81" w:rsidRDefault="00302EC0" w:rsidP="002B1AB0">
            <w:pPr>
              <w:spacing w:line="240" w:lineRule="auto"/>
              <w:jc w:val="both"/>
              <w:rPr>
                <w:rFonts w:cs="Times New Roman"/>
                <w:sz w:val="22"/>
              </w:rPr>
            </w:pPr>
            <w:r w:rsidRPr="00436E81">
              <w:rPr>
                <w:rFonts w:cs="Times New Roman"/>
                <w:sz w:val="22"/>
              </w:rPr>
              <w:t>C (80:20)</w:t>
            </w:r>
          </w:p>
        </w:tc>
        <w:tc>
          <w:tcPr>
            <w:tcW w:w="1337" w:type="dxa"/>
            <w:tcMar>
              <w:top w:w="80" w:type="dxa"/>
              <w:left w:w="80" w:type="dxa"/>
              <w:bottom w:w="80" w:type="dxa"/>
              <w:right w:w="80" w:type="dxa"/>
            </w:tcMar>
            <w:vAlign w:val="center"/>
          </w:tcPr>
          <w:p w14:paraId="5727C6C1" w14:textId="77777777" w:rsidR="00E63C48" w:rsidRPr="00436E81" w:rsidRDefault="00302EC0" w:rsidP="002B1AB0">
            <w:pPr>
              <w:spacing w:line="240" w:lineRule="auto"/>
              <w:jc w:val="both"/>
              <w:rPr>
                <w:rFonts w:cs="Times New Roman"/>
                <w:sz w:val="22"/>
              </w:rPr>
            </w:pPr>
            <w:r w:rsidRPr="00436E81">
              <w:rPr>
                <w:rFonts w:cs="Times New Roman"/>
                <w:sz w:val="22"/>
              </w:rPr>
              <w:t>10.05 ± 0.01ᶜ</w:t>
            </w:r>
          </w:p>
        </w:tc>
        <w:tc>
          <w:tcPr>
            <w:tcW w:w="1337" w:type="dxa"/>
            <w:tcMar>
              <w:top w:w="80" w:type="dxa"/>
              <w:left w:w="80" w:type="dxa"/>
              <w:bottom w:w="80" w:type="dxa"/>
              <w:right w:w="80" w:type="dxa"/>
            </w:tcMar>
            <w:vAlign w:val="center"/>
          </w:tcPr>
          <w:p w14:paraId="2C00B11B" w14:textId="77777777" w:rsidR="00E63C48" w:rsidRPr="00436E81" w:rsidRDefault="00302EC0" w:rsidP="002B1AB0">
            <w:pPr>
              <w:spacing w:line="240" w:lineRule="auto"/>
              <w:jc w:val="both"/>
              <w:rPr>
                <w:rFonts w:cs="Times New Roman"/>
                <w:sz w:val="22"/>
              </w:rPr>
            </w:pPr>
            <w:r w:rsidRPr="00436E81">
              <w:rPr>
                <w:rFonts w:cs="Times New Roman"/>
                <w:sz w:val="22"/>
              </w:rPr>
              <w:t>2.09 ± 0.01ᵃ</w:t>
            </w:r>
          </w:p>
        </w:tc>
        <w:tc>
          <w:tcPr>
            <w:tcW w:w="1337" w:type="dxa"/>
            <w:tcMar>
              <w:top w:w="80" w:type="dxa"/>
              <w:left w:w="80" w:type="dxa"/>
              <w:bottom w:w="80" w:type="dxa"/>
              <w:right w:w="80" w:type="dxa"/>
            </w:tcMar>
            <w:vAlign w:val="center"/>
          </w:tcPr>
          <w:p w14:paraId="31972E3A" w14:textId="77777777" w:rsidR="00E63C48" w:rsidRPr="00436E81" w:rsidRDefault="00302EC0" w:rsidP="002B1AB0">
            <w:pPr>
              <w:spacing w:line="240" w:lineRule="auto"/>
              <w:jc w:val="both"/>
              <w:rPr>
                <w:rFonts w:cs="Times New Roman"/>
                <w:sz w:val="22"/>
              </w:rPr>
            </w:pPr>
            <w:r w:rsidRPr="00436E81">
              <w:rPr>
                <w:rFonts w:cs="Times New Roman"/>
                <w:sz w:val="22"/>
              </w:rPr>
              <w:t>0.11 ± 0.01ᵃ</w:t>
            </w:r>
          </w:p>
        </w:tc>
        <w:tc>
          <w:tcPr>
            <w:tcW w:w="1337" w:type="dxa"/>
            <w:tcMar>
              <w:top w:w="80" w:type="dxa"/>
              <w:left w:w="80" w:type="dxa"/>
              <w:bottom w:w="80" w:type="dxa"/>
              <w:right w:w="80" w:type="dxa"/>
            </w:tcMar>
            <w:vAlign w:val="center"/>
          </w:tcPr>
          <w:p w14:paraId="0FD5439C" w14:textId="77777777" w:rsidR="00E63C48" w:rsidRPr="00436E81" w:rsidRDefault="00302EC0" w:rsidP="002B1AB0">
            <w:pPr>
              <w:spacing w:line="240" w:lineRule="auto"/>
              <w:jc w:val="both"/>
              <w:rPr>
                <w:rFonts w:cs="Times New Roman"/>
                <w:sz w:val="22"/>
              </w:rPr>
            </w:pPr>
            <w:r w:rsidRPr="00436E81">
              <w:rPr>
                <w:rFonts w:cs="Times New Roman"/>
                <w:sz w:val="22"/>
              </w:rPr>
              <w:t>12.56 ± 0.01ᶜ</w:t>
            </w:r>
          </w:p>
        </w:tc>
        <w:tc>
          <w:tcPr>
            <w:tcW w:w="1337" w:type="dxa"/>
            <w:tcMar>
              <w:top w:w="80" w:type="dxa"/>
              <w:left w:w="80" w:type="dxa"/>
              <w:bottom w:w="80" w:type="dxa"/>
              <w:right w:w="80" w:type="dxa"/>
            </w:tcMar>
            <w:vAlign w:val="center"/>
          </w:tcPr>
          <w:p w14:paraId="038F77AA" w14:textId="77777777" w:rsidR="00E63C48" w:rsidRPr="00436E81" w:rsidRDefault="00302EC0" w:rsidP="002B1AB0">
            <w:pPr>
              <w:spacing w:line="240" w:lineRule="auto"/>
              <w:jc w:val="both"/>
              <w:rPr>
                <w:rFonts w:cs="Times New Roman"/>
                <w:sz w:val="22"/>
              </w:rPr>
            </w:pPr>
            <w:r w:rsidRPr="00436E81">
              <w:rPr>
                <w:rFonts w:cs="Times New Roman"/>
                <w:sz w:val="22"/>
              </w:rPr>
              <w:t>14.40 ± 0.01ᶜ</w:t>
            </w:r>
          </w:p>
        </w:tc>
        <w:tc>
          <w:tcPr>
            <w:tcW w:w="1337" w:type="dxa"/>
            <w:tcMar>
              <w:top w:w="80" w:type="dxa"/>
              <w:left w:w="80" w:type="dxa"/>
              <w:bottom w:w="80" w:type="dxa"/>
              <w:right w:w="80" w:type="dxa"/>
            </w:tcMar>
            <w:vAlign w:val="center"/>
          </w:tcPr>
          <w:p w14:paraId="31EE6CE1" w14:textId="77777777" w:rsidR="00E63C48" w:rsidRPr="00436E81" w:rsidRDefault="00302EC0" w:rsidP="002B1AB0">
            <w:pPr>
              <w:spacing w:line="240" w:lineRule="auto"/>
              <w:jc w:val="both"/>
              <w:rPr>
                <w:rFonts w:cs="Times New Roman"/>
                <w:sz w:val="22"/>
              </w:rPr>
            </w:pPr>
            <w:r w:rsidRPr="00436E81">
              <w:rPr>
                <w:rFonts w:cs="Times New Roman"/>
                <w:sz w:val="22"/>
              </w:rPr>
              <w:t>61.81 ± 0.02ᵈ</w:t>
            </w:r>
          </w:p>
        </w:tc>
      </w:tr>
      <w:tr w:rsidR="003A4706" w:rsidRPr="00080A35" w14:paraId="503A5F86" w14:textId="77777777" w:rsidTr="00E51B0E">
        <w:trPr>
          <w:jc w:val="center"/>
        </w:trPr>
        <w:tc>
          <w:tcPr>
            <w:tcW w:w="1337" w:type="dxa"/>
            <w:tcMar>
              <w:top w:w="80" w:type="dxa"/>
              <w:left w:w="80" w:type="dxa"/>
              <w:bottom w:w="80" w:type="dxa"/>
              <w:right w:w="80" w:type="dxa"/>
            </w:tcMar>
            <w:vAlign w:val="center"/>
          </w:tcPr>
          <w:p w14:paraId="32CA5535" w14:textId="77777777" w:rsidR="00E63C48" w:rsidRPr="00436E81" w:rsidRDefault="00302EC0" w:rsidP="002B1AB0">
            <w:pPr>
              <w:spacing w:line="240" w:lineRule="auto"/>
              <w:jc w:val="both"/>
              <w:rPr>
                <w:rFonts w:cs="Times New Roman"/>
                <w:sz w:val="22"/>
              </w:rPr>
            </w:pPr>
            <w:r w:rsidRPr="00436E81">
              <w:rPr>
                <w:rFonts w:cs="Times New Roman"/>
                <w:sz w:val="22"/>
              </w:rPr>
              <w:t>D (70:30)</w:t>
            </w:r>
          </w:p>
        </w:tc>
        <w:tc>
          <w:tcPr>
            <w:tcW w:w="1337" w:type="dxa"/>
            <w:tcMar>
              <w:top w:w="80" w:type="dxa"/>
              <w:left w:w="80" w:type="dxa"/>
              <w:bottom w:w="80" w:type="dxa"/>
              <w:right w:w="80" w:type="dxa"/>
            </w:tcMar>
            <w:vAlign w:val="center"/>
          </w:tcPr>
          <w:p w14:paraId="17339159" w14:textId="77777777" w:rsidR="00E63C48" w:rsidRPr="00436E81" w:rsidRDefault="00436E81" w:rsidP="002B1AB0">
            <w:pPr>
              <w:spacing w:line="240" w:lineRule="auto"/>
              <w:jc w:val="both"/>
              <w:rPr>
                <w:rFonts w:cs="Times New Roman"/>
                <w:sz w:val="22"/>
              </w:rPr>
            </w:pPr>
            <w:r>
              <w:rPr>
                <w:rFonts w:cs="Times New Roman"/>
                <w:sz w:val="22"/>
              </w:rPr>
              <w:t>10.10</w:t>
            </w:r>
            <w:r w:rsidR="00302EC0" w:rsidRPr="00436E81">
              <w:rPr>
                <w:rFonts w:cs="Times New Roman"/>
                <w:sz w:val="22"/>
              </w:rPr>
              <w:t>± 0.00ᵈ</w:t>
            </w:r>
          </w:p>
        </w:tc>
        <w:tc>
          <w:tcPr>
            <w:tcW w:w="1337" w:type="dxa"/>
            <w:tcMar>
              <w:top w:w="80" w:type="dxa"/>
              <w:left w:w="80" w:type="dxa"/>
              <w:bottom w:w="80" w:type="dxa"/>
              <w:right w:w="80" w:type="dxa"/>
            </w:tcMar>
            <w:vAlign w:val="center"/>
          </w:tcPr>
          <w:p w14:paraId="305BB490" w14:textId="77777777" w:rsidR="00E63C48" w:rsidRPr="00436E81" w:rsidRDefault="00302EC0" w:rsidP="002B1AB0">
            <w:pPr>
              <w:spacing w:line="240" w:lineRule="auto"/>
              <w:jc w:val="both"/>
              <w:rPr>
                <w:rFonts w:cs="Times New Roman"/>
                <w:sz w:val="22"/>
              </w:rPr>
            </w:pPr>
            <w:r w:rsidRPr="00436E81">
              <w:rPr>
                <w:rFonts w:cs="Times New Roman"/>
                <w:sz w:val="22"/>
              </w:rPr>
              <w:t>2.35 ± 0.01ᶜ</w:t>
            </w:r>
          </w:p>
        </w:tc>
        <w:tc>
          <w:tcPr>
            <w:tcW w:w="1337" w:type="dxa"/>
            <w:tcMar>
              <w:top w:w="80" w:type="dxa"/>
              <w:left w:w="80" w:type="dxa"/>
              <w:bottom w:w="80" w:type="dxa"/>
              <w:right w:w="80" w:type="dxa"/>
            </w:tcMar>
            <w:vAlign w:val="center"/>
          </w:tcPr>
          <w:p w14:paraId="492AB8C0" w14:textId="77777777" w:rsidR="00E63C48" w:rsidRPr="00436E81" w:rsidRDefault="00302EC0" w:rsidP="002B1AB0">
            <w:pPr>
              <w:spacing w:line="240" w:lineRule="auto"/>
              <w:jc w:val="both"/>
              <w:rPr>
                <w:rFonts w:cs="Times New Roman"/>
                <w:sz w:val="22"/>
              </w:rPr>
            </w:pPr>
            <w:r w:rsidRPr="00436E81">
              <w:rPr>
                <w:rFonts w:cs="Times New Roman"/>
                <w:sz w:val="22"/>
              </w:rPr>
              <w:t>0.17 ± 0.01ᵇ</w:t>
            </w:r>
          </w:p>
        </w:tc>
        <w:tc>
          <w:tcPr>
            <w:tcW w:w="1337" w:type="dxa"/>
            <w:tcMar>
              <w:top w:w="80" w:type="dxa"/>
              <w:left w:w="80" w:type="dxa"/>
              <w:bottom w:w="80" w:type="dxa"/>
              <w:right w:w="80" w:type="dxa"/>
            </w:tcMar>
            <w:vAlign w:val="center"/>
          </w:tcPr>
          <w:p w14:paraId="06FE7FAF" w14:textId="77777777" w:rsidR="00E63C48" w:rsidRPr="00436E81" w:rsidRDefault="00436E81" w:rsidP="002B1AB0">
            <w:pPr>
              <w:spacing w:line="240" w:lineRule="auto"/>
              <w:jc w:val="both"/>
              <w:rPr>
                <w:rFonts w:cs="Times New Roman"/>
                <w:sz w:val="22"/>
              </w:rPr>
            </w:pPr>
            <w:r>
              <w:rPr>
                <w:rFonts w:cs="Times New Roman"/>
                <w:sz w:val="22"/>
              </w:rPr>
              <w:t>13.22</w:t>
            </w:r>
            <w:r w:rsidR="00302EC0" w:rsidRPr="00436E81">
              <w:rPr>
                <w:rFonts w:cs="Times New Roman"/>
                <w:sz w:val="22"/>
              </w:rPr>
              <w:t>± 0.01ᵈ</w:t>
            </w:r>
          </w:p>
        </w:tc>
        <w:tc>
          <w:tcPr>
            <w:tcW w:w="1337" w:type="dxa"/>
            <w:tcMar>
              <w:top w:w="80" w:type="dxa"/>
              <w:left w:w="80" w:type="dxa"/>
              <w:bottom w:w="80" w:type="dxa"/>
              <w:right w:w="80" w:type="dxa"/>
            </w:tcMar>
            <w:vAlign w:val="center"/>
          </w:tcPr>
          <w:p w14:paraId="6C751F8F" w14:textId="77777777" w:rsidR="00E63C48" w:rsidRPr="00436E81" w:rsidRDefault="00436E81" w:rsidP="002B1AB0">
            <w:pPr>
              <w:spacing w:line="240" w:lineRule="auto"/>
              <w:jc w:val="both"/>
              <w:rPr>
                <w:rFonts w:cs="Times New Roman"/>
                <w:sz w:val="22"/>
              </w:rPr>
            </w:pPr>
            <w:r>
              <w:rPr>
                <w:rFonts w:cs="Times New Roman"/>
                <w:sz w:val="22"/>
              </w:rPr>
              <w:t>14.86</w:t>
            </w:r>
            <w:r w:rsidR="00302EC0" w:rsidRPr="00436E81">
              <w:rPr>
                <w:rFonts w:cs="Times New Roman"/>
                <w:sz w:val="22"/>
              </w:rPr>
              <w:t>± 0.01ᵈ</w:t>
            </w:r>
          </w:p>
        </w:tc>
        <w:tc>
          <w:tcPr>
            <w:tcW w:w="1337" w:type="dxa"/>
            <w:tcMar>
              <w:top w:w="80" w:type="dxa"/>
              <w:left w:w="80" w:type="dxa"/>
              <w:bottom w:w="80" w:type="dxa"/>
              <w:right w:w="80" w:type="dxa"/>
            </w:tcMar>
            <w:vAlign w:val="center"/>
          </w:tcPr>
          <w:p w14:paraId="6448999F" w14:textId="77777777" w:rsidR="00E63C48" w:rsidRPr="00436E81" w:rsidRDefault="00302EC0" w:rsidP="002B1AB0">
            <w:pPr>
              <w:spacing w:line="240" w:lineRule="auto"/>
              <w:jc w:val="both"/>
              <w:rPr>
                <w:rFonts w:cs="Times New Roman"/>
                <w:sz w:val="22"/>
              </w:rPr>
            </w:pPr>
            <w:r w:rsidRPr="00436E81">
              <w:rPr>
                <w:rFonts w:cs="Times New Roman"/>
                <w:sz w:val="22"/>
              </w:rPr>
              <w:t>59.31 ± 0.04ᵉ</w:t>
            </w:r>
          </w:p>
        </w:tc>
        <w:bookmarkStart w:id="7" w:name="_GoBack"/>
        <w:bookmarkEnd w:id="7"/>
      </w:tr>
      <w:tr w:rsidR="003A4706" w:rsidRPr="00080A35" w14:paraId="33B9E343" w14:textId="77777777" w:rsidTr="00E51B0E">
        <w:trPr>
          <w:jc w:val="center"/>
        </w:trPr>
        <w:tc>
          <w:tcPr>
            <w:tcW w:w="1337" w:type="dxa"/>
            <w:tcMar>
              <w:top w:w="80" w:type="dxa"/>
              <w:left w:w="80" w:type="dxa"/>
              <w:bottom w:w="80" w:type="dxa"/>
              <w:right w:w="80" w:type="dxa"/>
            </w:tcMar>
            <w:vAlign w:val="center"/>
          </w:tcPr>
          <w:p w14:paraId="6A6F6DB2" w14:textId="77777777" w:rsidR="00E63C48" w:rsidRPr="00436E81" w:rsidRDefault="00302EC0" w:rsidP="002B1AB0">
            <w:pPr>
              <w:spacing w:line="240" w:lineRule="auto"/>
              <w:jc w:val="both"/>
              <w:rPr>
                <w:rFonts w:cs="Times New Roman"/>
                <w:sz w:val="22"/>
              </w:rPr>
            </w:pPr>
            <w:r w:rsidRPr="00436E81">
              <w:rPr>
                <w:rFonts w:cs="Times New Roman"/>
                <w:sz w:val="22"/>
              </w:rPr>
              <w:t>E (60:40)</w:t>
            </w:r>
          </w:p>
        </w:tc>
        <w:tc>
          <w:tcPr>
            <w:tcW w:w="1337" w:type="dxa"/>
            <w:tcMar>
              <w:top w:w="80" w:type="dxa"/>
              <w:left w:w="80" w:type="dxa"/>
              <w:bottom w:w="80" w:type="dxa"/>
              <w:right w:w="80" w:type="dxa"/>
            </w:tcMar>
            <w:vAlign w:val="center"/>
          </w:tcPr>
          <w:p w14:paraId="4FD03395" w14:textId="77777777" w:rsidR="00E63C48" w:rsidRPr="00436E81" w:rsidRDefault="00302EC0" w:rsidP="002B1AB0">
            <w:pPr>
              <w:spacing w:line="240" w:lineRule="auto"/>
              <w:jc w:val="both"/>
              <w:rPr>
                <w:rFonts w:cs="Times New Roman"/>
                <w:sz w:val="22"/>
              </w:rPr>
            </w:pPr>
            <w:r w:rsidRPr="00436E81">
              <w:rPr>
                <w:rFonts w:cs="Times New Roman"/>
                <w:sz w:val="22"/>
              </w:rPr>
              <w:t>10.15 ± 0.01ᵉ</w:t>
            </w:r>
          </w:p>
        </w:tc>
        <w:tc>
          <w:tcPr>
            <w:tcW w:w="1337" w:type="dxa"/>
            <w:tcMar>
              <w:top w:w="80" w:type="dxa"/>
              <w:left w:w="80" w:type="dxa"/>
              <w:bottom w:w="80" w:type="dxa"/>
              <w:right w:w="80" w:type="dxa"/>
            </w:tcMar>
            <w:vAlign w:val="center"/>
          </w:tcPr>
          <w:p w14:paraId="0157C6E1" w14:textId="77777777" w:rsidR="00E63C48" w:rsidRPr="00436E81" w:rsidRDefault="00302EC0" w:rsidP="002B1AB0">
            <w:pPr>
              <w:spacing w:line="240" w:lineRule="auto"/>
              <w:jc w:val="both"/>
              <w:rPr>
                <w:rFonts w:cs="Times New Roman"/>
                <w:sz w:val="22"/>
              </w:rPr>
            </w:pPr>
            <w:r w:rsidRPr="00436E81">
              <w:rPr>
                <w:rFonts w:cs="Times New Roman"/>
                <w:sz w:val="22"/>
              </w:rPr>
              <w:t>2.55 ± 0.01ᵈ</w:t>
            </w:r>
          </w:p>
        </w:tc>
        <w:tc>
          <w:tcPr>
            <w:tcW w:w="1337" w:type="dxa"/>
            <w:tcMar>
              <w:top w:w="80" w:type="dxa"/>
              <w:left w:w="80" w:type="dxa"/>
              <w:bottom w:w="80" w:type="dxa"/>
              <w:right w:w="80" w:type="dxa"/>
            </w:tcMar>
            <w:vAlign w:val="center"/>
          </w:tcPr>
          <w:p w14:paraId="1F7560DC" w14:textId="77777777" w:rsidR="00E63C48" w:rsidRPr="00436E81" w:rsidRDefault="00302EC0" w:rsidP="002B1AB0">
            <w:pPr>
              <w:spacing w:line="240" w:lineRule="auto"/>
              <w:jc w:val="both"/>
              <w:rPr>
                <w:rFonts w:cs="Times New Roman"/>
                <w:sz w:val="22"/>
              </w:rPr>
            </w:pPr>
            <w:r w:rsidRPr="00436E81">
              <w:rPr>
                <w:rFonts w:cs="Times New Roman"/>
                <w:sz w:val="22"/>
              </w:rPr>
              <w:t>0.25 ± 0.01ᵈ</w:t>
            </w:r>
          </w:p>
        </w:tc>
        <w:tc>
          <w:tcPr>
            <w:tcW w:w="1337" w:type="dxa"/>
            <w:tcMar>
              <w:top w:w="80" w:type="dxa"/>
              <w:left w:w="80" w:type="dxa"/>
              <w:bottom w:w="80" w:type="dxa"/>
              <w:right w:w="80" w:type="dxa"/>
            </w:tcMar>
            <w:vAlign w:val="center"/>
          </w:tcPr>
          <w:p w14:paraId="75119776" w14:textId="77777777" w:rsidR="00E63C48" w:rsidRPr="00436E81" w:rsidRDefault="00302EC0" w:rsidP="002B1AB0">
            <w:pPr>
              <w:spacing w:line="240" w:lineRule="auto"/>
              <w:jc w:val="both"/>
              <w:rPr>
                <w:rFonts w:cs="Times New Roman"/>
                <w:sz w:val="22"/>
              </w:rPr>
            </w:pPr>
            <w:r w:rsidRPr="00436E81">
              <w:rPr>
                <w:rFonts w:cs="Times New Roman"/>
                <w:sz w:val="22"/>
              </w:rPr>
              <w:t>14.11 ± 0.01ᵉ</w:t>
            </w:r>
          </w:p>
        </w:tc>
        <w:tc>
          <w:tcPr>
            <w:tcW w:w="1337" w:type="dxa"/>
            <w:tcMar>
              <w:top w:w="80" w:type="dxa"/>
              <w:left w:w="80" w:type="dxa"/>
              <w:bottom w:w="80" w:type="dxa"/>
              <w:right w:w="80" w:type="dxa"/>
            </w:tcMar>
            <w:vAlign w:val="center"/>
          </w:tcPr>
          <w:p w14:paraId="3EEC7068" w14:textId="77777777" w:rsidR="00E63C48" w:rsidRPr="00436E81" w:rsidRDefault="00302EC0" w:rsidP="002B1AB0">
            <w:pPr>
              <w:spacing w:line="240" w:lineRule="auto"/>
              <w:jc w:val="both"/>
              <w:rPr>
                <w:rFonts w:cs="Times New Roman"/>
                <w:sz w:val="22"/>
              </w:rPr>
            </w:pPr>
            <w:r w:rsidRPr="00436E81">
              <w:rPr>
                <w:rFonts w:cs="Times New Roman"/>
                <w:sz w:val="22"/>
              </w:rPr>
              <w:t>15.10 ± 0.01ᵉ</w:t>
            </w:r>
          </w:p>
        </w:tc>
        <w:tc>
          <w:tcPr>
            <w:tcW w:w="1337" w:type="dxa"/>
            <w:tcMar>
              <w:top w:w="80" w:type="dxa"/>
              <w:left w:w="80" w:type="dxa"/>
              <w:bottom w:w="80" w:type="dxa"/>
              <w:right w:w="80" w:type="dxa"/>
            </w:tcMar>
            <w:vAlign w:val="center"/>
          </w:tcPr>
          <w:p w14:paraId="0FA1229F" w14:textId="77777777" w:rsidR="00E63C48" w:rsidRPr="00436E81" w:rsidRDefault="00302EC0" w:rsidP="002B1AB0">
            <w:pPr>
              <w:spacing w:line="240" w:lineRule="auto"/>
              <w:jc w:val="both"/>
              <w:rPr>
                <w:rFonts w:cs="Times New Roman"/>
                <w:sz w:val="22"/>
              </w:rPr>
            </w:pPr>
            <w:r w:rsidRPr="00436E81">
              <w:rPr>
                <w:rFonts w:cs="Times New Roman"/>
                <w:sz w:val="22"/>
              </w:rPr>
              <w:t>57.86 ± 0.03ᵃ</w:t>
            </w:r>
          </w:p>
        </w:tc>
      </w:tr>
      <w:tr w:rsidR="003A4706" w:rsidRPr="00080A35" w14:paraId="159C807B" w14:textId="77777777" w:rsidTr="00E51B0E">
        <w:trPr>
          <w:jc w:val="center"/>
        </w:trPr>
        <w:tc>
          <w:tcPr>
            <w:tcW w:w="1337" w:type="dxa"/>
            <w:tcMar>
              <w:top w:w="80" w:type="dxa"/>
              <w:left w:w="80" w:type="dxa"/>
              <w:bottom w:w="80" w:type="dxa"/>
              <w:right w:w="80" w:type="dxa"/>
            </w:tcMar>
            <w:vAlign w:val="center"/>
          </w:tcPr>
          <w:p w14:paraId="7D504F56" w14:textId="77777777" w:rsidR="00E63C48" w:rsidRPr="00436E81" w:rsidRDefault="00302EC0" w:rsidP="002B1AB0">
            <w:pPr>
              <w:spacing w:line="240" w:lineRule="auto"/>
              <w:jc w:val="both"/>
              <w:rPr>
                <w:rFonts w:cs="Times New Roman"/>
                <w:sz w:val="22"/>
              </w:rPr>
            </w:pPr>
            <w:r w:rsidRPr="00436E81">
              <w:rPr>
                <w:rFonts w:cs="Times New Roman"/>
                <w:sz w:val="22"/>
              </w:rPr>
              <w:t>F (50:50)</w:t>
            </w:r>
          </w:p>
        </w:tc>
        <w:tc>
          <w:tcPr>
            <w:tcW w:w="1337" w:type="dxa"/>
            <w:tcMar>
              <w:top w:w="80" w:type="dxa"/>
              <w:left w:w="80" w:type="dxa"/>
              <w:bottom w:w="80" w:type="dxa"/>
              <w:right w:w="80" w:type="dxa"/>
            </w:tcMar>
            <w:vAlign w:val="center"/>
          </w:tcPr>
          <w:p w14:paraId="0D0099D2" w14:textId="77777777" w:rsidR="00E63C48" w:rsidRPr="00436E81" w:rsidRDefault="00302EC0" w:rsidP="002B1AB0">
            <w:pPr>
              <w:spacing w:line="240" w:lineRule="auto"/>
              <w:jc w:val="both"/>
              <w:rPr>
                <w:rFonts w:cs="Times New Roman"/>
                <w:sz w:val="22"/>
              </w:rPr>
            </w:pPr>
            <w:r w:rsidRPr="00436E81">
              <w:rPr>
                <w:rFonts w:cs="Times New Roman"/>
                <w:sz w:val="22"/>
              </w:rPr>
              <w:t>10.21 ± 0.13ᶠ</w:t>
            </w:r>
          </w:p>
        </w:tc>
        <w:tc>
          <w:tcPr>
            <w:tcW w:w="1337" w:type="dxa"/>
            <w:tcMar>
              <w:top w:w="80" w:type="dxa"/>
              <w:left w:w="80" w:type="dxa"/>
              <w:bottom w:w="80" w:type="dxa"/>
              <w:right w:w="80" w:type="dxa"/>
            </w:tcMar>
            <w:vAlign w:val="center"/>
          </w:tcPr>
          <w:p w14:paraId="6B19BF44" w14:textId="77777777" w:rsidR="00E63C48" w:rsidRPr="00436E81" w:rsidRDefault="00302EC0" w:rsidP="002B1AB0">
            <w:pPr>
              <w:spacing w:line="240" w:lineRule="auto"/>
              <w:jc w:val="both"/>
              <w:rPr>
                <w:rFonts w:cs="Times New Roman"/>
                <w:sz w:val="22"/>
              </w:rPr>
            </w:pPr>
            <w:r w:rsidRPr="00436E81">
              <w:rPr>
                <w:rFonts w:cs="Times New Roman"/>
                <w:sz w:val="22"/>
              </w:rPr>
              <w:t>3.02 ± 0.01ᵉ</w:t>
            </w:r>
          </w:p>
        </w:tc>
        <w:tc>
          <w:tcPr>
            <w:tcW w:w="1337" w:type="dxa"/>
            <w:tcMar>
              <w:top w:w="80" w:type="dxa"/>
              <w:left w:w="80" w:type="dxa"/>
              <w:bottom w:w="80" w:type="dxa"/>
              <w:right w:w="80" w:type="dxa"/>
            </w:tcMar>
            <w:vAlign w:val="center"/>
          </w:tcPr>
          <w:p w14:paraId="55CB7376" w14:textId="77777777" w:rsidR="00E63C48" w:rsidRPr="00436E81" w:rsidRDefault="00302EC0" w:rsidP="002B1AB0">
            <w:pPr>
              <w:spacing w:line="240" w:lineRule="auto"/>
              <w:jc w:val="both"/>
              <w:rPr>
                <w:rFonts w:cs="Times New Roman"/>
                <w:sz w:val="22"/>
              </w:rPr>
            </w:pPr>
            <w:r w:rsidRPr="00436E81">
              <w:rPr>
                <w:rFonts w:cs="Times New Roman"/>
                <w:sz w:val="22"/>
              </w:rPr>
              <w:t>0.18 ± 0.01ᵇ</w:t>
            </w:r>
          </w:p>
        </w:tc>
        <w:tc>
          <w:tcPr>
            <w:tcW w:w="1337" w:type="dxa"/>
            <w:tcMar>
              <w:top w:w="80" w:type="dxa"/>
              <w:left w:w="80" w:type="dxa"/>
              <w:bottom w:w="80" w:type="dxa"/>
              <w:right w:w="80" w:type="dxa"/>
            </w:tcMar>
            <w:vAlign w:val="center"/>
          </w:tcPr>
          <w:p w14:paraId="79195519" w14:textId="77777777" w:rsidR="00E63C48" w:rsidRPr="00436E81" w:rsidRDefault="00302EC0" w:rsidP="002B1AB0">
            <w:pPr>
              <w:spacing w:line="240" w:lineRule="auto"/>
              <w:jc w:val="both"/>
              <w:rPr>
                <w:rFonts w:cs="Times New Roman"/>
                <w:sz w:val="22"/>
              </w:rPr>
            </w:pPr>
            <w:r w:rsidRPr="00436E81">
              <w:rPr>
                <w:rFonts w:cs="Times New Roman"/>
                <w:sz w:val="22"/>
              </w:rPr>
              <w:t>14.56 ± 0.01ᶠ</w:t>
            </w:r>
          </w:p>
        </w:tc>
        <w:tc>
          <w:tcPr>
            <w:tcW w:w="1337" w:type="dxa"/>
            <w:tcMar>
              <w:top w:w="80" w:type="dxa"/>
              <w:left w:w="80" w:type="dxa"/>
              <w:bottom w:w="80" w:type="dxa"/>
              <w:right w:w="80" w:type="dxa"/>
            </w:tcMar>
            <w:vAlign w:val="center"/>
          </w:tcPr>
          <w:p w14:paraId="5BE29B1D" w14:textId="77777777" w:rsidR="00E63C48" w:rsidRPr="00436E81" w:rsidRDefault="00302EC0" w:rsidP="002B1AB0">
            <w:pPr>
              <w:spacing w:line="240" w:lineRule="auto"/>
              <w:jc w:val="both"/>
              <w:rPr>
                <w:rFonts w:cs="Times New Roman"/>
                <w:sz w:val="22"/>
              </w:rPr>
            </w:pPr>
            <w:r w:rsidRPr="00436E81">
              <w:rPr>
                <w:rFonts w:cs="Times New Roman"/>
                <w:sz w:val="22"/>
              </w:rPr>
              <w:t>15.28 ± 0.01ᶠ</w:t>
            </w:r>
          </w:p>
        </w:tc>
        <w:tc>
          <w:tcPr>
            <w:tcW w:w="1337" w:type="dxa"/>
            <w:tcMar>
              <w:top w:w="80" w:type="dxa"/>
              <w:left w:w="80" w:type="dxa"/>
              <w:bottom w:w="80" w:type="dxa"/>
              <w:right w:w="80" w:type="dxa"/>
            </w:tcMar>
            <w:vAlign w:val="center"/>
          </w:tcPr>
          <w:p w14:paraId="1F658B44" w14:textId="77777777" w:rsidR="00E63C48" w:rsidRPr="00436E81" w:rsidRDefault="00302EC0" w:rsidP="002B1AB0">
            <w:pPr>
              <w:spacing w:line="240" w:lineRule="auto"/>
              <w:jc w:val="both"/>
              <w:rPr>
                <w:rFonts w:cs="Times New Roman"/>
                <w:sz w:val="22"/>
              </w:rPr>
            </w:pPr>
            <w:r w:rsidRPr="00436E81">
              <w:rPr>
                <w:rFonts w:cs="Times New Roman"/>
                <w:sz w:val="22"/>
              </w:rPr>
              <w:t>57.77 ± 0.05ᵃ</w:t>
            </w:r>
          </w:p>
        </w:tc>
      </w:tr>
      <w:tr w:rsidR="003A4706" w:rsidRPr="00080A35" w14:paraId="3BF4EF4E" w14:textId="77777777" w:rsidTr="00E51B0E">
        <w:trPr>
          <w:jc w:val="center"/>
        </w:trPr>
        <w:tc>
          <w:tcPr>
            <w:tcW w:w="1337" w:type="dxa"/>
            <w:tcMar>
              <w:top w:w="80" w:type="dxa"/>
              <w:left w:w="80" w:type="dxa"/>
              <w:bottom w:w="80" w:type="dxa"/>
              <w:right w:w="80" w:type="dxa"/>
            </w:tcMar>
            <w:vAlign w:val="center"/>
          </w:tcPr>
          <w:p w14:paraId="2FF99AD1" w14:textId="77777777" w:rsidR="00E63C48" w:rsidRPr="00436E81" w:rsidRDefault="00302EC0" w:rsidP="002B1AB0">
            <w:pPr>
              <w:spacing w:line="240" w:lineRule="auto"/>
              <w:jc w:val="both"/>
              <w:rPr>
                <w:rFonts w:cs="Times New Roman"/>
                <w:sz w:val="22"/>
              </w:rPr>
            </w:pPr>
            <w:r w:rsidRPr="00436E81">
              <w:rPr>
                <w:rFonts w:cs="Times New Roman"/>
                <w:sz w:val="22"/>
              </w:rPr>
              <w:t>LSD</w:t>
            </w:r>
          </w:p>
        </w:tc>
        <w:tc>
          <w:tcPr>
            <w:tcW w:w="1337" w:type="dxa"/>
            <w:tcMar>
              <w:top w:w="80" w:type="dxa"/>
              <w:left w:w="80" w:type="dxa"/>
              <w:bottom w:w="80" w:type="dxa"/>
              <w:right w:w="80" w:type="dxa"/>
            </w:tcMar>
            <w:vAlign w:val="center"/>
          </w:tcPr>
          <w:p w14:paraId="15B51D3E" w14:textId="77777777" w:rsidR="00E63C48" w:rsidRPr="00436E81" w:rsidRDefault="00302EC0" w:rsidP="002B1AB0">
            <w:pPr>
              <w:spacing w:line="240" w:lineRule="auto"/>
              <w:jc w:val="both"/>
              <w:rPr>
                <w:rFonts w:cs="Times New Roman"/>
                <w:sz w:val="22"/>
              </w:rPr>
            </w:pPr>
            <w:r w:rsidRPr="00436E81">
              <w:rPr>
                <w:rFonts w:cs="Times New Roman"/>
                <w:sz w:val="22"/>
              </w:rPr>
              <w:t>0.03</w:t>
            </w:r>
          </w:p>
        </w:tc>
        <w:tc>
          <w:tcPr>
            <w:tcW w:w="1337" w:type="dxa"/>
            <w:tcMar>
              <w:top w:w="80" w:type="dxa"/>
              <w:left w:w="80" w:type="dxa"/>
              <w:bottom w:w="80" w:type="dxa"/>
              <w:right w:w="80" w:type="dxa"/>
            </w:tcMar>
            <w:vAlign w:val="center"/>
          </w:tcPr>
          <w:p w14:paraId="602F9AC7" w14:textId="77777777" w:rsidR="00E63C48" w:rsidRPr="00436E81" w:rsidRDefault="00302EC0" w:rsidP="002B1AB0">
            <w:pPr>
              <w:spacing w:line="240" w:lineRule="auto"/>
              <w:jc w:val="both"/>
              <w:rPr>
                <w:rFonts w:cs="Times New Roman"/>
                <w:sz w:val="22"/>
              </w:rPr>
            </w:pPr>
            <w:r w:rsidRPr="00436E81">
              <w:rPr>
                <w:rFonts w:cs="Times New Roman"/>
                <w:sz w:val="22"/>
              </w:rPr>
              <w:t>0.03</w:t>
            </w:r>
          </w:p>
        </w:tc>
        <w:tc>
          <w:tcPr>
            <w:tcW w:w="1337" w:type="dxa"/>
            <w:tcMar>
              <w:top w:w="80" w:type="dxa"/>
              <w:left w:w="80" w:type="dxa"/>
              <w:bottom w:w="80" w:type="dxa"/>
              <w:right w:w="80" w:type="dxa"/>
            </w:tcMar>
            <w:vAlign w:val="center"/>
          </w:tcPr>
          <w:p w14:paraId="1D51BA88" w14:textId="77777777" w:rsidR="00E63C48" w:rsidRPr="00436E81" w:rsidRDefault="00302EC0" w:rsidP="002B1AB0">
            <w:pPr>
              <w:spacing w:line="240" w:lineRule="auto"/>
              <w:jc w:val="both"/>
              <w:rPr>
                <w:rFonts w:cs="Times New Roman"/>
                <w:sz w:val="22"/>
              </w:rPr>
            </w:pPr>
            <w:r w:rsidRPr="00436E81">
              <w:rPr>
                <w:rFonts w:cs="Times New Roman"/>
                <w:sz w:val="22"/>
              </w:rPr>
              <w:t>0.01</w:t>
            </w:r>
          </w:p>
        </w:tc>
        <w:tc>
          <w:tcPr>
            <w:tcW w:w="1337" w:type="dxa"/>
            <w:tcMar>
              <w:top w:w="80" w:type="dxa"/>
              <w:left w:w="80" w:type="dxa"/>
              <w:bottom w:w="80" w:type="dxa"/>
              <w:right w:w="80" w:type="dxa"/>
            </w:tcMar>
            <w:vAlign w:val="center"/>
          </w:tcPr>
          <w:p w14:paraId="636DBF02" w14:textId="77777777" w:rsidR="00E63C48" w:rsidRPr="00436E81" w:rsidRDefault="00302EC0" w:rsidP="002B1AB0">
            <w:pPr>
              <w:spacing w:line="240" w:lineRule="auto"/>
              <w:jc w:val="both"/>
              <w:rPr>
                <w:rFonts w:cs="Times New Roman"/>
                <w:sz w:val="22"/>
              </w:rPr>
            </w:pPr>
            <w:r w:rsidRPr="00436E81">
              <w:rPr>
                <w:rFonts w:cs="Times New Roman"/>
                <w:sz w:val="22"/>
              </w:rPr>
              <w:t>0.01</w:t>
            </w:r>
          </w:p>
        </w:tc>
        <w:tc>
          <w:tcPr>
            <w:tcW w:w="1337" w:type="dxa"/>
            <w:tcMar>
              <w:top w:w="80" w:type="dxa"/>
              <w:left w:w="80" w:type="dxa"/>
              <w:bottom w:w="80" w:type="dxa"/>
              <w:right w:w="80" w:type="dxa"/>
            </w:tcMar>
            <w:vAlign w:val="center"/>
          </w:tcPr>
          <w:p w14:paraId="04459422" w14:textId="77777777" w:rsidR="00E63C48" w:rsidRPr="00436E81" w:rsidRDefault="00302EC0" w:rsidP="002B1AB0">
            <w:pPr>
              <w:spacing w:line="240" w:lineRule="auto"/>
              <w:jc w:val="both"/>
              <w:rPr>
                <w:rFonts w:cs="Times New Roman"/>
                <w:sz w:val="22"/>
              </w:rPr>
            </w:pPr>
            <w:r w:rsidRPr="00436E81">
              <w:rPr>
                <w:rFonts w:cs="Times New Roman"/>
                <w:sz w:val="22"/>
              </w:rPr>
              <w:t>0.01</w:t>
            </w:r>
          </w:p>
        </w:tc>
        <w:tc>
          <w:tcPr>
            <w:tcW w:w="1337" w:type="dxa"/>
            <w:tcMar>
              <w:top w:w="80" w:type="dxa"/>
              <w:left w:w="80" w:type="dxa"/>
              <w:bottom w:w="80" w:type="dxa"/>
              <w:right w:w="80" w:type="dxa"/>
            </w:tcMar>
            <w:vAlign w:val="center"/>
          </w:tcPr>
          <w:p w14:paraId="7C509F1C" w14:textId="77777777" w:rsidR="00E63C48" w:rsidRPr="00436E81" w:rsidRDefault="00302EC0" w:rsidP="002B1AB0">
            <w:pPr>
              <w:spacing w:line="240" w:lineRule="auto"/>
              <w:jc w:val="both"/>
              <w:rPr>
                <w:rFonts w:cs="Times New Roman"/>
                <w:sz w:val="22"/>
              </w:rPr>
            </w:pPr>
            <w:r w:rsidRPr="00436E81">
              <w:rPr>
                <w:rFonts w:cs="Times New Roman"/>
                <w:sz w:val="22"/>
              </w:rPr>
              <w:t>0.59</w:t>
            </w:r>
          </w:p>
        </w:tc>
      </w:tr>
    </w:tbl>
    <w:p w14:paraId="3E8D602C" w14:textId="77777777" w:rsidR="003A4706" w:rsidRPr="00E51B0E" w:rsidRDefault="00302EC0" w:rsidP="009C40FB">
      <w:pPr>
        <w:jc w:val="both"/>
        <w:rPr>
          <w:rFonts w:cs="Times New Roman"/>
          <w:i/>
          <w:sz w:val="22"/>
        </w:rPr>
      </w:pPr>
      <w:r w:rsidRPr="00E51B0E">
        <w:rPr>
          <w:rFonts w:cs="Times New Roman"/>
          <w:i/>
          <w:sz w:val="22"/>
        </w:rPr>
        <w:t>Values are presented as mean</w:t>
      </w:r>
      <w:r w:rsidR="003A4706" w:rsidRPr="00E51B0E">
        <w:rPr>
          <w:rFonts w:cs="Times New Roman"/>
          <w:i/>
          <w:sz w:val="22"/>
        </w:rPr>
        <w:t xml:space="preserve"> of triple replicate</w:t>
      </w:r>
      <w:r w:rsidRPr="00E51B0E">
        <w:rPr>
          <w:rFonts w:cs="Times New Roman"/>
          <w:i/>
          <w:sz w:val="22"/>
        </w:rPr>
        <w:t xml:space="preserve"> ± standard deviation (SD). Means within a column bearing different superscript letters differ significantly (p &lt; .05) </w:t>
      </w:r>
    </w:p>
    <w:p w14:paraId="50AF53D9" w14:textId="77777777" w:rsidR="00080A35" w:rsidRDefault="00080A35" w:rsidP="00E51B0E">
      <w:pPr>
        <w:widowControl w:val="0"/>
        <w:autoSpaceDE w:val="0"/>
        <w:autoSpaceDN w:val="0"/>
        <w:spacing w:after="0" w:line="240" w:lineRule="auto"/>
        <w:jc w:val="both"/>
        <w:outlineLvl w:val="0"/>
        <w:rPr>
          <w:rFonts w:cs="Times New Roman"/>
          <w:b/>
          <w:szCs w:val="24"/>
        </w:rPr>
      </w:pPr>
    </w:p>
    <w:p w14:paraId="713079D4" w14:textId="77777777" w:rsidR="00E51B0E" w:rsidRPr="002D2E3D" w:rsidRDefault="002D2E3D" w:rsidP="00E51B0E">
      <w:pPr>
        <w:widowControl w:val="0"/>
        <w:autoSpaceDE w:val="0"/>
        <w:autoSpaceDN w:val="0"/>
        <w:spacing w:after="0" w:line="240" w:lineRule="auto"/>
        <w:jc w:val="both"/>
        <w:outlineLvl w:val="0"/>
        <w:rPr>
          <w:rFonts w:eastAsia="Times New Roman" w:cs="Times New Roman"/>
          <w:b/>
          <w:bCs/>
          <w:szCs w:val="24"/>
        </w:rPr>
      </w:pPr>
      <w:commentRangeStart w:id="8"/>
      <w:r w:rsidRPr="00E51B0E">
        <w:rPr>
          <w:rFonts w:cs="Times New Roman"/>
          <w:b/>
          <w:szCs w:val="24"/>
        </w:rPr>
        <w:t xml:space="preserve">3.3 </w:t>
      </w:r>
      <w:r w:rsidR="00E51B0E">
        <w:rPr>
          <w:rFonts w:cs="Times New Roman"/>
          <w:b/>
          <w:szCs w:val="24"/>
        </w:rPr>
        <w:t>Functional Pr</w:t>
      </w:r>
      <w:r w:rsidRPr="00E51B0E">
        <w:rPr>
          <w:rFonts w:cs="Times New Roman"/>
          <w:b/>
          <w:szCs w:val="24"/>
        </w:rPr>
        <w:t xml:space="preserve">operties </w:t>
      </w:r>
      <w:r w:rsidR="00E51B0E" w:rsidRPr="002D2E3D">
        <w:rPr>
          <w:rFonts w:eastAsia="Times New Roman" w:cs="Times New Roman"/>
          <w:b/>
          <w:bCs/>
          <w:szCs w:val="24"/>
        </w:rPr>
        <w:t>of Maize-Soybean</w:t>
      </w:r>
      <w:r w:rsidR="00E51B0E" w:rsidRPr="002D2E3D">
        <w:rPr>
          <w:rFonts w:eastAsia="Times New Roman" w:cs="Times New Roman"/>
          <w:b/>
          <w:bCs/>
          <w:spacing w:val="-2"/>
          <w:szCs w:val="24"/>
        </w:rPr>
        <w:t xml:space="preserve"> </w:t>
      </w:r>
      <w:r w:rsidR="00E51B0E" w:rsidRPr="002D2E3D">
        <w:rPr>
          <w:rFonts w:eastAsia="Times New Roman" w:cs="Times New Roman"/>
          <w:b/>
          <w:bCs/>
          <w:szCs w:val="24"/>
        </w:rPr>
        <w:t>Pap</w:t>
      </w:r>
      <w:r w:rsidR="00E51B0E" w:rsidRPr="002D2E3D">
        <w:rPr>
          <w:rFonts w:eastAsia="Times New Roman" w:cs="Times New Roman"/>
          <w:b/>
          <w:bCs/>
          <w:spacing w:val="-1"/>
          <w:szCs w:val="24"/>
        </w:rPr>
        <w:t xml:space="preserve"> </w:t>
      </w:r>
      <w:r w:rsidR="00E51B0E" w:rsidRPr="002D2E3D">
        <w:rPr>
          <w:rFonts w:eastAsia="Times New Roman" w:cs="Times New Roman"/>
          <w:b/>
          <w:bCs/>
          <w:szCs w:val="24"/>
        </w:rPr>
        <w:t>Blends</w:t>
      </w:r>
      <w:r w:rsidR="00E51B0E" w:rsidRPr="002D2E3D">
        <w:rPr>
          <w:rFonts w:eastAsia="Times New Roman" w:cs="Times New Roman"/>
          <w:b/>
          <w:bCs/>
          <w:spacing w:val="-1"/>
          <w:szCs w:val="24"/>
        </w:rPr>
        <w:t xml:space="preserve"> </w:t>
      </w:r>
      <w:r w:rsidR="00E51B0E" w:rsidRPr="002D2E3D">
        <w:rPr>
          <w:rFonts w:eastAsia="Times New Roman" w:cs="Times New Roman"/>
          <w:b/>
          <w:bCs/>
          <w:spacing w:val="-2"/>
          <w:szCs w:val="24"/>
        </w:rPr>
        <w:t>Powder</w:t>
      </w:r>
    </w:p>
    <w:p w14:paraId="6BBEBD96"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The functional properties of the flour</w:t>
      </w:r>
      <w:r w:rsidR="00080A35" w:rsidRPr="00080A35">
        <w:rPr>
          <w:rFonts w:eastAsia="Times New Roman" w:cs="Times New Roman"/>
          <w:sz w:val="22"/>
        </w:rPr>
        <w:t xml:space="preserve"> blends are presented in Table 3</w:t>
      </w:r>
      <w:r w:rsidRPr="00B15DE6">
        <w:rPr>
          <w:rFonts w:eastAsia="Times New Roman" w:cs="Times New Roman"/>
          <w:sz w:val="22"/>
        </w:rPr>
        <w:t>. Signi</w:t>
      </w:r>
      <w:commentRangeEnd w:id="8"/>
      <w:r w:rsidR="00A67E19">
        <w:rPr>
          <w:rStyle w:val="CommentReference"/>
        </w:rPr>
        <w:commentReference w:id="8"/>
      </w:r>
      <w:r w:rsidRPr="00B15DE6">
        <w:rPr>
          <w:rFonts w:eastAsia="Times New Roman" w:cs="Times New Roman"/>
          <w:sz w:val="22"/>
        </w:rPr>
        <w:t>ficant differences (</w:t>
      </w:r>
      <w:r w:rsidRPr="00080A35">
        <w:rPr>
          <w:rFonts w:eastAsia="Times New Roman" w:cs="Times New Roman"/>
          <w:bCs/>
          <w:sz w:val="22"/>
        </w:rPr>
        <w:t>p &lt; 0.05</w:t>
      </w:r>
      <w:r w:rsidRPr="00B15DE6">
        <w:rPr>
          <w:rFonts w:eastAsia="Times New Roman" w:cs="Times New Roman"/>
          <w:sz w:val="22"/>
        </w:rPr>
        <w:t xml:space="preserve">) were observed among the formulations for bulk density, water absorption capacity (WAC), pH, swelling index and solubility. The changes observed across the blending ratios indicate that incorporation of increasing proportions of the substituted flour altered the physical, hydration and starch-related characteristics of the flour blends. Functional properties are important determinants of the suitability of flour for different food applications because they influence water requirements, mixing behavior, processing characteristics, texture and product stability (Adebowale </w:t>
      </w:r>
      <w:r w:rsidR="000D78E2">
        <w:rPr>
          <w:rFonts w:eastAsia="Times New Roman" w:cs="Times New Roman"/>
          <w:sz w:val="22"/>
        </w:rPr>
        <w:t>and</w:t>
      </w:r>
      <w:r w:rsidRPr="00B15DE6">
        <w:rPr>
          <w:rFonts w:eastAsia="Times New Roman" w:cs="Times New Roman"/>
          <w:sz w:val="22"/>
        </w:rPr>
        <w:t xml:space="preserve"> Lawal, 2004; Kaur et al., 2015; Peter-Ikechukwu et al., 2020).</w:t>
      </w:r>
    </w:p>
    <w:p w14:paraId="0F7C2233"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Bulk density decreased progressively from </w:t>
      </w:r>
      <w:r w:rsidRPr="00080A35">
        <w:rPr>
          <w:rFonts w:eastAsia="Times New Roman" w:cs="Times New Roman"/>
          <w:bCs/>
          <w:sz w:val="22"/>
        </w:rPr>
        <w:t>0.70 g/mL in A (100:0)</w:t>
      </w:r>
      <w:r w:rsidRPr="00B15DE6">
        <w:rPr>
          <w:rFonts w:eastAsia="Times New Roman" w:cs="Times New Roman"/>
          <w:sz w:val="22"/>
        </w:rPr>
        <w:t xml:space="preserve"> to </w:t>
      </w:r>
      <w:r w:rsidRPr="00080A35">
        <w:rPr>
          <w:rFonts w:eastAsia="Times New Roman" w:cs="Times New Roman"/>
          <w:bCs/>
          <w:sz w:val="22"/>
        </w:rPr>
        <w:t>0.68 g/mL in B (90:10), 0.66 g/mL in C (80:20), 0.64 g/mL in D (70:30), 0.62 g/mL in E (60:40), and 0.60 g/mL in F (50:50)</w:t>
      </w:r>
      <w:r w:rsidRPr="00B15DE6">
        <w:rPr>
          <w:rFonts w:eastAsia="Times New Roman" w:cs="Times New Roman"/>
          <w:sz w:val="22"/>
        </w:rPr>
        <w:t xml:space="preserve">. Thus, increasing the proportion of the substituted flour resulted in a consistent reduction in bulk density. The decrease from A (100:0) to F (50:50) represents approximately </w:t>
      </w:r>
      <w:r w:rsidRPr="00080A35">
        <w:rPr>
          <w:rFonts w:eastAsia="Times New Roman" w:cs="Times New Roman"/>
          <w:bCs/>
          <w:sz w:val="22"/>
        </w:rPr>
        <w:t>14.3% reduction</w:t>
      </w:r>
      <w:r w:rsidRPr="00B15DE6">
        <w:rPr>
          <w:rFonts w:eastAsia="Times New Roman" w:cs="Times New Roman"/>
          <w:sz w:val="22"/>
        </w:rPr>
        <w:t xml:space="preserve"> in bulk density.</w:t>
      </w:r>
      <w:r w:rsidR="00080A35">
        <w:rPr>
          <w:rFonts w:eastAsia="Times New Roman" w:cs="Times New Roman"/>
          <w:sz w:val="22"/>
        </w:rPr>
        <w:t xml:space="preserve"> </w:t>
      </w:r>
      <w:r w:rsidRPr="00B15DE6">
        <w:rPr>
          <w:rFonts w:eastAsia="Times New Roman" w:cs="Times New Roman"/>
          <w:sz w:val="22"/>
        </w:rPr>
        <w:t>Bulk density is influenced by particle size, particle shape, moisture content, internal porosity and the manner in which flour particles pack together. Differences in the physical characteristics of the component flours can therefore substantially alter the density of the resulting blends. Adebowale and Lawal (2004) reported that functional properties of flour are strongly influenced by the composition and structural characteristics of the constituent materials. Similarly, Kaur et al. (2015) observed that incorporation of alternative flours into wheat flour modified the bulk density and other functional properties of the resulting composite flours. More recent studies have also demonstrated significant variation in bulk density as blending ratios change (</w:t>
      </w:r>
      <w:proofErr w:type="spellStart"/>
      <w:r w:rsidRPr="00B15DE6">
        <w:rPr>
          <w:rFonts w:eastAsia="Times New Roman" w:cs="Times New Roman"/>
          <w:sz w:val="22"/>
        </w:rPr>
        <w:t>Offia-Olua</w:t>
      </w:r>
      <w:proofErr w:type="spellEnd"/>
      <w:r w:rsidRPr="00B15DE6">
        <w:rPr>
          <w:rFonts w:eastAsia="Times New Roman" w:cs="Times New Roman"/>
          <w:sz w:val="22"/>
        </w:rPr>
        <w:t xml:space="preserve"> et al., 2024; </w:t>
      </w:r>
      <w:proofErr w:type="spellStart"/>
      <w:r w:rsidRPr="00B15DE6">
        <w:rPr>
          <w:rFonts w:eastAsia="Times New Roman" w:cs="Times New Roman"/>
          <w:sz w:val="22"/>
        </w:rPr>
        <w:t>Msugh</w:t>
      </w:r>
      <w:proofErr w:type="spellEnd"/>
      <w:r w:rsidRPr="00B15DE6">
        <w:rPr>
          <w:rFonts w:eastAsia="Times New Roman" w:cs="Times New Roman"/>
          <w:sz w:val="22"/>
        </w:rPr>
        <w:t xml:space="preserve"> et al., 2024).</w:t>
      </w:r>
      <w:r w:rsidR="00080A35">
        <w:rPr>
          <w:rFonts w:eastAsia="Times New Roman" w:cs="Times New Roman"/>
          <w:sz w:val="22"/>
        </w:rPr>
        <w:t xml:space="preserve"> </w:t>
      </w:r>
      <w:r w:rsidRPr="00B15DE6">
        <w:rPr>
          <w:rFonts w:eastAsia="Times New Roman" w:cs="Times New Roman"/>
          <w:sz w:val="22"/>
        </w:rPr>
        <w:t xml:space="preserve">The progressive reduction observed in the present study may indicate that the substituted flour had a lower packing density or produced greater inter-particle void spaces than the flour used in A (100:0). The result is also consistent with the present proximate composition, in which increasing substitution was accompanied by changes in protein, fat and </w:t>
      </w:r>
      <w:proofErr w:type="spellStart"/>
      <w:r w:rsidRPr="00B15DE6">
        <w:rPr>
          <w:rFonts w:eastAsia="Times New Roman" w:cs="Times New Roman"/>
          <w:sz w:val="22"/>
        </w:rPr>
        <w:t>fibre</w:t>
      </w:r>
      <w:proofErr w:type="spellEnd"/>
      <w:r w:rsidRPr="00B15DE6">
        <w:rPr>
          <w:rFonts w:eastAsia="Times New Roman" w:cs="Times New Roman"/>
          <w:sz w:val="22"/>
        </w:rPr>
        <w:t xml:space="preserve"> contents. These compositional differences can modify particl</w:t>
      </w:r>
      <w:r w:rsidR="00080A35">
        <w:rPr>
          <w:rFonts w:eastAsia="Times New Roman" w:cs="Times New Roman"/>
          <w:sz w:val="22"/>
        </w:rPr>
        <w:t xml:space="preserve">e </w:t>
      </w:r>
      <w:r w:rsidR="00080A35">
        <w:rPr>
          <w:rFonts w:eastAsia="Times New Roman" w:cs="Times New Roman"/>
          <w:sz w:val="22"/>
        </w:rPr>
        <w:lastRenderedPageBreak/>
        <w:t>structure and packing behavio</w:t>
      </w:r>
      <w:r w:rsidRPr="00B15DE6">
        <w:rPr>
          <w:rFonts w:eastAsia="Times New Roman" w:cs="Times New Roman"/>
          <w:sz w:val="22"/>
        </w:rPr>
        <w:t>r. A similar reduction in bulk density with increasing incorporation of an alternative flour has been reported in recent composite flour research (</w:t>
      </w:r>
      <w:proofErr w:type="spellStart"/>
      <w:r w:rsidRPr="00B15DE6">
        <w:rPr>
          <w:rFonts w:eastAsia="Times New Roman" w:cs="Times New Roman"/>
          <w:sz w:val="22"/>
        </w:rPr>
        <w:t>Msugh</w:t>
      </w:r>
      <w:proofErr w:type="spellEnd"/>
      <w:r w:rsidRPr="00B15DE6">
        <w:rPr>
          <w:rFonts w:eastAsia="Times New Roman" w:cs="Times New Roman"/>
          <w:sz w:val="22"/>
        </w:rPr>
        <w:t xml:space="preserve"> et al., 2024; </w:t>
      </w:r>
      <w:proofErr w:type="spellStart"/>
      <w:r w:rsidRPr="00B15DE6">
        <w:rPr>
          <w:rFonts w:eastAsia="Times New Roman" w:cs="Times New Roman"/>
          <w:sz w:val="22"/>
        </w:rPr>
        <w:t>Makhuvha</w:t>
      </w:r>
      <w:proofErr w:type="spellEnd"/>
      <w:r w:rsidRPr="00B15DE6">
        <w:rPr>
          <w:rFonts w:eastAsia="Times New Roman" w:cs="Times New Roman"/>
          <w:sz w:val="22"/>
        </w:rPr>
        <w:t xml:space="preserve"> et al., 2024).</w:t>
      </w:r>
    </w:p>
    <w:p w14:paraId="2838B800"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The lower bulk density observed at higher substitution levels may have practical implications for packaging and transportation. Flour with lower bulk density occupies a larger volume per unit mass and may consequently require greater packaging volume. On the other hand, lower density may be advantageous in some instant or reconstituted food applications because it can facilitate dispersion and hydration. Therefore, the progressive reduction from A (100:0) to F (50:50) demonstrates that blending ratio is an important factor in controlling the physical handling characteristics of the flour.</w:t>
      </w:r>
    </w:p>
    <w:p w14:paraId="22F797B1"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Water absorption capacity (WAC) increased progressively from </w:t>
      </w:r>
      <w:r w:rsidRPr="00080A35">
        <w:rPr>
          <w:rFonts w:eastAsia="Times New Roman" w:cs="Times New Roman"/>
          <w:bCs/>
          <w:sz w:val="22"/>
        </w:rPr>
        <w:t>0.81 g/g in A (100:0)</w:t>
      </w:r>
      <w:r w:rsidRPr="00B15DE6">
        <w:rPr>
          <w:rFonts w:eastAsia="Times New Roman" w:cs="Times New Roman"/>
          <w:sz w:val="22"/>
        </w:rPr>
        <w:t xml:space="preserve"> to </w:t>
      </w:r>
      <w:r w:rsidRPr="00080A35">
        <w:rPr>
          <w:rFonts w:eastAsia="Times New Roman" w:cs="Times New Roman"/>
          <w:bCs/>
          <w:sz w:val="22"/>
        </w:rPr>
        <w:t>0.83 g/g in B (90:10), 0.85 g/g in C (80:20), 0.85 g/g in D (70:30), 0.87 g/g in E (60:40), and 0.90 g/g in F (50:50)</w:t>
      </w:r>
      <w:r w:rsidRPr="00B15DE6">
        <w:rPr>
          <w:rFonts w:eastAsia="Times New Roman" w:cs="Times New Roman"/>
          <w:sz w:val="22"/>
        </w:rPr>
        <w:t xml:space="preserve">. The highest WAC was therefore recorded in F (50:50), whereas A (100:0) had the lowest value. The increase from 0.81 to 0.90 g/g represents approximately </w:t>
      </w:r>
      <w:r w:rsidRPr="00080A35">
        <w:rPr>
          <w:rFonts w:eastAsia="Times New Roman" w:cs="Times New Roman"/>
          <w:bCs/>
          <w:sz w:val="22"/>
        </w:rPr>
        <w:t>11.1% increase</w:t>
      </w:r>
      <w:r w:rsidRPr="00B15DE6">
        <w:rPr>
          <w:rFonts w:eastAsia="Times New Roman" w:cs="Times New Roman"/>
          <w:sz w:val="22"/>
        </w:rPr>
        <w:t xml:space="preserve"> in water absorption capacity.</w:t>
      </w:r>
      <w:r w:rsidR="00080A35">
        <w:rPr>
          <w:rFonts w:eastAsia="Times New Roman" w:cs="Times New Roman"/>
          <w:sz w:val="22"/>
        </w:rPr>
        <w:t xml:space="preserve"> </w:t>
      </w:r>
      <w:r w:rsidRPr="00B15DE6">
        <w:rPr>
          <w:rFonts w:eastAsia="Times New Roman" w:cs="Times New Roman"/>
          <w:sz w:val="22"/>
        </w:rPr>
        <w:t xml:space="preserve">WAC reflects the ability of flour components to interact with and retain water. It is influenced by proteins, starch, </w:t>
      </w:r>
      <w:proofErr w:type="spellStart"/>
      <w:r w:rsidRPr="00B15DE6">
        <w:rPr>
          <w:rFonts w:eastAsia="Times New Roman" w:cs="Times New Roman"/>
          <w:sz w:val="22"/>
        </w:rPr>
        <w:t>fibre</w:t>
      </w:r>
      <w:proofErr w:type="spellEnd"/>
      <w:r w:rsidRPr="00B15DE6">
        <w:rPr>
          <w:rFonts w:eastAsia="Times New Roman" w:cs="Times New Roman"/>
          <w:sz w:val="22"/>
        </w:rPr>
        <w:t xml:space="preserve"> and other hydrophilic constituents. Protein molecules contain polar functional groups capable of binding water, while </w:t>
      </w:r>
      <w:proofErr w:type="spellStart"/>
      <w:r w:rsidRPr="00B15DE6">
        <w:rPr>
          <w:rFonts w:eastAsia="Times New Roman" w:cs="Times New Roman"/>
          <w:sz w:val="22"/>
        </w:rPr>
        <w:t>fibre</w:t>
      </w:r>
      <w:proofErr w:type="spellEnd"/>
      <w:r w:rsidRPr="00B15DE6">
        <w:rPr>
          <w:rFonts w:eastAsia="Times New Roman" w:cs="Times New Roman"/>
          <w:sz w:val="22"/>
        </w:rPr>
        <w:t xml:space="preserve"> and starch also possess hydrophilic groups that contribute to water retention (Adebowale </w:t>
      </w:r>
      <w:r w:rsidR="000D78E2">
        <w:rPr>
          <w:rFonts w:eastAsia="Times New Roman" w:cs="Times New Roman"/>
          <w:sz w:val="22"/>
        </w:rPr>
        <w:t>and</w:t>
      </w:r>
      <w:r w:rsidRPr="00B15DE6">
        <w:rPr>
          <w:rFonts w:eastAsia="Times New Roman" w:cs="Times New Roman"/>
          <w:sz w:val="22"/>
        </w:rPr>
        <w:t xml:space="preserve"> Lawal, 2004; Onwuka, 2018). Consequently, changes in the relative proportions of these components following blending can significantly alter WAC.</w:t>
      </w:r>
    </w:p>
    <w:p w14:paraId="0F8323EA" w14:textId="77777777" w:rsidR="00080A35"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The increase in WAC observed in the present study is consistent with the proximate composition results. Protein increased from </w:t>
      </w:r>
      <w:r w:rsidRPr="00080A35">
        <w:rPr>
          <w:rFonts w:eastAsia="Times New Roman" w:cs="Times New Roman"/>
          <w:bCs/>
          <w:sz w:val="22"/>
        </w:rPr>
        <w:t>8.80% in A (100:0)</w:t>
      </w:r>
      <w:r w:rsidRPr="00B15DE6">
        <w:rPr>
          <w:rFonts w:eastAsia="Times New Roman" w:cs="Times New Roman"/>
          <w:sz w:val="22"/>
        </w:rPr>
        <w:t xml:space="preserve"> to </w:t>
      </w:r>
      <w:r w:rsidRPr="00080A35">
        <w:rPr>
          <w:rFonts w:eastAsia="Times New Roman" w:cs="Times New Roman"/>
          <w:bCs/>
          <w:sz w:val="22"/>
        </w:rPr>
        <w:t>15.28% in F (50:50)</w:t>
      </w:r>
      <w:r w:rsidRPr="00B15DE6">
        <w:rPr>
          <w:rFonts w:eastAsia="Times New Roman" w:cs="Times New Roman"/>
          <w:sz w:val="22"/>
        </w:rPr>
        <w:t xml:space="preserve">, while </w:t>
      </w:r>
      <w:proofErr w:type="spellStart"/>
      <w:r w:rsidRPr="00B15DE6">
        <w:rPr>
          <w:rFonts w:eastAsia="Times New Roman" w:cs="Times New Roman"/>
          <w:sz w:val="22"/>
        </w:rPr>
        <w:t>fibre</w:t>
      </w:r>
      <w:proofErr w:type="spellEnd"/>
      <w:r w:rsidRPr="00B15DE6">
        <w:rPr>
          <w:rFonts w:eastAsia="Times New Roman" w:cs="Times New Roman"/>
          <w:sz w:val="22"/>
        </w:rPr>
        <w:t xml:space="preserve"> generally increased with substitution. The increased contribution of protein and </w:t>
      </w:r>
      <w:proofErr w:type="spellStart"/>
      <w:r w:rsidRPr="00B15DE6">
        <w:rPr>
          <w:rFonts w:eastAsia="Times New Roman" w:cs="Times New Roman"/>
          <w:sz w:val="22"/>
        </w:rPr>
        <w:t>fibre</w:t>
      </w:r>
      <w:proofErr w:type="spellEnd"/>
      <w:r w:rsidRPr="00B15DE6">
        <w:rPr>
          <w:rFonts w:eastAsia="Times New Roman" w:cs="Times New Roman"/>
          <w:sz w:val="22"/>
        </w:rPr>
        <w:t xml:space="preserve"> may therefore have enhanced the capacity of the composite flour to bind water. Peter-Ikechukwu et al. (2020) similarly reported variations in WAC among composite flours containing wheat, date fruit pulp and toasted watermelon seed flour. Recent studies have also demonstrated that changes in blending ratios can significantly alter water absorption characteristics of composite flours (</w:t>
      </w:r>
      <w:proofErr w:type="spellStart"/>
      <w:r w:rsidRPr="00B15DE6">
        <w:rPr>
          <w:rFonts w:eastAsia="Times New Roman" w:cs="Times New Roman"/>
          <w:sz w:val="22"/>
        </w:rPr>
        <w:t>Offia-Olua</w:t>
      </w:r>
      <w:proofErr w:type="spellEnd"/>
      <w:r w:rsidRPr="00B15DE6">
        <w:rPr>
          <w:rFonts w:eastAsia="Times New Roman" w:cs="Times New Roman"/>
          <w:sz w:val="22"/>
        </w:rPr>
        <w:t xml:space="preserve"> et al., 2024; </w:t>
      </w:r>
      <w:proofErr w:type="spellStart"/>
      <w:r w:rsidRPr="00B15DE6">
        <w:rPr>
          <w:rFonts w:eastAsia="Times New Roman" w:cs="Times New Roman"/>
          <w:sz w:val="22"/>
        </w:rPr>
        <w:t>Makhuvha</w:t>
      </w:r>
      <w:proofErr w:type="spellEnd"/>
      <w:r w:rsidRPr="00B15DE6">
        <w:rPr>
          <w:rFonts w:eastAsia="Times New Roman" w:cs="Times New Roman"/>
          <w:sz w:val="22"/>
        </w:rPr>
        <w:t xml:space="preserve"> et al., 2024).</w:t>
      </w:r>
      <w:r w:rsidR="00080A35">
        <w:rPr>
          <w:rFonts w:eastAsia="Times New Roman" w:cs="Times New Roman"/>
          <w:sz w:val="22"/>
        </w:rPr>
        <w:t xml:space="preserve"> </w:t>
      </w:r>
      <w:r w:rsidRPr="00B15DE6">
        <w:rPr>
          <w:rFonts w:eastAsia="Times New Roman" w:cs="Times New Roman"/>
          <w:sz w:val="22"/>
        </w:rPr>
        <w:t xml:space="preserve">The observed increase is also consistent with the findings of </w:t>
      </w:r>
      <w:proofErr w:type="spellStart"/>
      <w:r w:rsidRPr="00B15DE6">
        <w:rPr>
          <w:rFonts w:eastAsia="Times New Roman" w:cs="Times New Roman"/>
          <w:sz w:val="22"/>
        </w:rPr>
        <w:t>Msugh</w:t>
      </w:r>
      <w:proofErr w:type="spellEnd"/>
      <w:r w:rsidRPr="00B15DE6">
        <w:rPr>
          <w:rFonts w:eastAsia="Times New Roman" w:cs="Times New Roman"/>
          <w:sz w:val="22"/>
        </w:rPr>
        <w:t xml:space="preserve"> et al. (2024), who reported substantial differences in WAC among wheat, soybean and sunflower composite flours. The authors attributed variations in functional properties to differences in the composition of the individual flour components. Likewise, studies of sprouted finger millet–maize composite flour have demonstrated that increased incorporation of a hydrophilic flour component can increase water absorption because of changes in starch and protein characteristics (</w:t>
      </w:r>
      <w:proofErr w:type="spellStart"/>
      <w:r w:rsidR="00080A35">
        <w:rPr>
          <w:rFonts w:eastAsia="Times New Roman" w:cs="Times New Roman"/>
          <w:sz w:val="22"/>
        </w:rPr>
        <w:t>Offia</w:t>
      </w:r>
      <w:proofErr w:type="spellEnd"/>
      <w:r w:rsidR="00080A35">
        <w:rPr>
          <w:rFonts w:eastAsia="Times New Roman" w:cs="Times New Roman"/>
          <w:sz w:val="22"/>
        </w:rPr>
        <w:t xml:space="preserve"> et al.,</w:t>
      </w:r>
      <w:r w:rsidRPr="00B15DE6">
        <w:rPr>
          <w:rFonts w:eastAsia="Times New Roman" w:cs="Times New Roman"/>
          <w:sz w:val="22"/>
        </w:rPr>
        <w:t xml:space="preserve"> 2024).</w:t>
      </w:r>
      <w:r w:rsidR="00080A35">
        <w:rPr>
          <w:rFonts w:eastAsia="Times New Roman" w:cs="Times New Roman"/>
          <w:sz w:val="22"/>
        </w:rPr>
        <w:t xml:space="preserve"> </w:t>
      </w:r>
      <w:r w:rsidRPr="00B15DE6">
        <w:rPr>
          <w:rFonts w:eastAsia="Times New Roman" w:cs="Times New Roman"/>
          <w:sz w:val="22"/>
        </w:rPr>
        <w:t>Higher WAC may be desirable in food formulations where increased hydration and moisture retention are required. In bakery products, for example, adequate water absorption can influence dough development, consistency and final product texture. However, excessive water absorption may increase water requirements during processing. The progressive increase observed from A (100:0) to F (50:50) therefore indicates that higher levels of substitution may require adjustment of the amount of water used during subsequent product formulation.</w:t>
      </w:r>
    </w:p>
    <w:p w14:paraId="35058DD8"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The pH values ranged from </w:t>
      </w:r>
      <w:r w:rsidRPr="00080A35">
        <w:rPr>
          <w:rFonts w:eastAsia="Times New Roman" w:cs="Times New Roman"/>
          <w:bCs/>
          <w:sz w:val="22"/>
        </w:rPr>
        <w:t>5.09 to 5.76</w:t>
      </w:r>
      <w:r w:rsidRPr="00B15DE6">
        <w:rPr>
          <w:rFonts w:eastAsia="Times New Roman" w:cs="Times New Roman"/>
          <w:sz w:val="22"/>
        </w:rPr>
        <w:t xml:space="preserve"> among the flour blends. Sample A (100:0) had a pH of </w:t>
      </w:r>
      <w:r w:rsidRPr="00080A35">
        <w:rPr>
          <w:rFonts w:eastAsia="Times New Roman" w:cs="Times New Roman"/>
          <w:bCs/>
          <w:sz w:val="22"/>
        </w:rPr>
        <w:t>5.55</w:t>
      </w:r>
      <w:r w:rsidRPr="00B15DE6">
        <w:rPr>
          <w:rFonts w:eastAsia="Times New Roman" w:cs="Times New Roman"/>
          <w:sz w:val="22"/>
        </w:rPr>
        <w:t xml:space="preserve">, while B (90:10) recorded </w:t>
      </w:r>
      <w:r w:rsidRPr="00080A35">
        <w:rPr>
          <w:rFonts w:eastAsia="Times New Roman" w:cs="Times New Roman"/>
          <w:bCs/>
          <w:sz w:val="22"/>
        </w:rPr>
        <w:t>5.61</w:t>
      </w:r>
      <w:r w:rsidRPr="00B15DE6">
        <w:rPr>
          <w:rFonts w:eastAsia="Times New Roman" w:cs="Times New Roman"/>
          <w:sz w:val="22"/>
        </w:rPr>
        <w:t xml:space="preserve">. The pH decreased to </w:t>
      </w:r>
      <w:r w:rsidRPr="00080A35">
        <w:rPr>
          <w:rFonts w:eastAsia="Times New Roman" w:cs="Times New Roman"/>
          <w:bCs/>
          <w:sz w:val="22"/>
        </w:rPr>
        <w:t>5.09 in C (80:20)</w:t>
      </w:r>
      <w:r w:rsidRPr="00B15DE6">
        <w:rPr>
          <w:rFonts w:eastAsia="Times New Roman" w:cs="Times New Roman"/>
          <w:sz w:val="22"/>
        </w:rPr>
        <w:t xml:space="preserve">, increased to </w:t>
      </w:r>
      <w:r w:rsidRPr="00080A35">
        <w:rPr>
          <w:rFonts w:eastAsia="Times New Roman" w:cs="Times New Roman"/>
          <w:bCs/>
          <w:sz w:val="22"/>
        </w:rPr>
        <w:t>5.76 in D (70:30)</w:t>
      </w:r>
      <w:r w:rsidRPr="00B15DE6">
        <w:rPr>
          <w:rFonts w:eastAsia="Times New Roman" w:cs="Times New Roman"/>
          <w:sz w:val="22"/>
        </w:rPr>
        <w:t xml:space="preserve">, decreased again to </w:t>
      </w:r>
      <w:r w:rsidRPr="00080A35">
        <w:rPr>
          <w:rFonts w:eastAsia="Times New Roman" w:cs="Times New Roman"/>
          <w:bCs/>
          <w:sz w:val="22"/>
        </w:rPr>
        <w:t>5.61 in E (60:40)</w:t>
      </w:r>
      <w:r w:rsidRPr="00B15DE6">
        <w:rPr>
          <w:rFonts w:eastAsia="Times New Roman" w:cs="Times New Roman"/>
          <w:sz w:val="22"/>
        </w:rPr>
        <w:t xml:space="preserve"> and increased to </w:t>
      </w:r>
      <w:r w:rsidRPr="00080A35">
        <w:rPr>
          <w:rFonts w:eastAsia="Times New Roman" w:cs="Times New Roman"/>
          <w:bCs/>
          <w:sz w:val="22"/>
        </w:rPr>
        <w:t>5.72 in F (50:50)</w:t>
      </w:r>
      <w:r w:rsidRPr="00B15DE6">
        <w:rPr>
          <w:rFonts w:eastAsia="Times New Roman" w:cs="Times New Roman"/>
          <w:sz w:val="22"/>
        </w:rPr>
        <w:t>. Unlike bulk density and WAC, therefore, pH did not exhibit a consistent linear relationship with increasing substitution.</w:t>
      </w:r>
      <w:r w:rsidR="00080A35">
        <w:rPr>
          <w:rFonts w:eastAsia="Times New Roman" w:cs="Times New Roman"/>
          <w:sz w:val="22"/>
        </w:rPr>
        <w:t xml:space="preserve"> </w:t>
      </w:r>
      <w:r w:rsidRPr="00B15DE6">
        <w:rPr>
          <w:rFonts w:eastAsia="Times New Roman" w:cs="Times New Roman"/>
          <w:sz w:val="22"/>
        </w:rPr>
        <w:t>The variation suggests that pH was influenced principally by the intrinsic acid–base characteristics of the c</w:t>
      </w:r>
      <w:r w:rsidR="00080A35">
        <w:rPr>
          <w:rFonts w:eastAsia="Times New Roman" w:cs="Times New Roman"/>
          <w:sz w:val="22"/>
        </w:rPr>
        <w:t>omponent flours and their relati</w:t>
      </w:r>
      <w:r w:rsidRPr="00B15DE6">
        <w:rPr>
          <w:rFonts w:eastAsia="Times New Roman" w:cs="Times New Roman"/>
          <w:sz w:val="22"/>
        </w:rPr>
        <w:t>ve proportions rather than by substitution level alone. Flour pH can be affected by organic acids, mineral constituents, proteins, phenolic compounds and other naturally occurring substances. Differences in the composition of the individual flour materials can consequently result in changes in the pH of composite blends.</w:t>
      </w:r>
      <w:r w:rsidR="00080A35">
        <w:rPr>
          <w:rFonts w:eastAsia="Times New Roman" w:cs="Times New Roman"/>
          <w:sz w:val="22"/>
        </w:rPr>
        <w:t xml:space="preserve"> </w:t>
      </w:r>
      <w:r w:rsidRPr="00B15DE6">
        <w:rPr>
          <w:rFonts w:eastAsia="Times New Roman" w:cs="Times New Roman"/>
          <w:sz w:val="22"/>
        </w:rPr>
        <w:t xml:space="preserve">The lowest pH observed in C (80:20) indicates that this particular blending ratio had a relatively greater contribution of acidic constituents, whereas D (70:30) had the highest </w:t>
      </w:r>
      <w:proofErr w:type="spellStart"/>
      <w:r w:rsidRPr="00B15DE6">
        <w:rPr>
          <w:rFonts w:eastAsia="Times New Roman" w:cs="Times New Roman"/>
          <w:sz w:val="22"/>
        </w:rPr>
        <w:t>pH.</w:t>
      </w:r>
      <w:proofErr w:type="spellEnd"/>
      <w:r w:rsidRPr="00B15DE6">
        <w:rPr>
          <w:rFonts w:eastAsia="Times New Roman" w:cs="Times New Roman"/>
          <w:sz w:val="22"/>
        </w:rPr>
        <w:t xml:space="preserve"> The subsequent increase in F (50:50) further demonstrates that the relationship between blending ratio and pH was not proportional. Similar variation in pH among composite flour formulations has been reported by </w:t>
      </w:r>
      <w:proofErr w:type="spellStart"/>
      <w:r w:rsidRPr="00B15DE6">
        <w:rPr>
          <w:rFonts w:eastAsia="Times New Roman" w:cs="Times New Roman"/>
          <w:sz w:val="22"/>
        </w:rPr>
        <w:t>Offia-Olua</w:t>
      </w:r>
      <w:proofErr w:type="spellEnd"/>
      <w:r w:rsidRPr="00B15DE6">
        <w:rPr>
          <w:rFonts w:eastAsia="Times New Roman" w:cs="Times New Roman"/>
          <w:sz w:val="22"/>
        </w:rPr>
        <w:t xml:space="preserve"> et al. (2024), who observed significant differences in pH among cocoyam–</w:t>
      </w:r>
      <w:proofErr w:type="spellStart"/>
      <w:r w:rsidRPr="00B15DE6">
        <w:rPr>
          <w:rFonts w:eastAsia="Times New Roman" w:cs="Times New Roman"/>
          <w:sz w:val="22"/>
        </w:rPr>
        <w:t>mungbean</w:t>
      </w:r>
      <w:proofErr w:type="spellEnd"/>
      <w:r w:rsidRPr="00B15DE6">
        <w:rPr>
          <w:rFonts w:eastAsia="Times New Roman" w:cs="Times New Roman"/>
          <w:sz w:val="22"/>
        </w:rPr>
        <w:t xml:space="preserve"> flour blends.</w:t>
      </w:r>
      <w:r w:rsidR="00080A35">
        <w:rPr>
          <w:rFonts w:eastAsia="Times New Roman" w:cs="Times New Roman"/>
          <w:sz w:val="22"/>
        </w:rPr>
        <w:t xml:space="preserve"> </w:t>
      </w:r>
      <w:r w:rsidRPr="00B15DE6">
        <w:rPr>
          <w:rFonts w:eastAsia="Times New Roman" w:cs="Times New Roman"/>
          <w:sz w:val="22"/>
        </w:rPr>
        <w:t xml:space="preserve">All the samples were mildly acidic, with pH values below neutrality. The pH values may have implications for storage and product development because acidity can influence microbial growth and chemical reactions. However, pH alone should not </w:t>
      </w:r>
      <w:r w:rsidRPr="00B15DE6">
        <w:rPr>
          <w:rFonts w:eastAsia="Times New Roman" w:cs="Times New Roman"/>
          <w:sz w:val="22"/>
        </w:rPr>
        <w:lastRenderedPageBreak/>
        <w:t>be used to predict microbiological stability because water activity, moisture content, processing conditions and storage environment are also important determinants of food stability.</w:t>
      </w:r>
    </w:p>
    <w:p w14:paraId="311F5609"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The swelling index decreased progressively with increasing incorporation of the substituted flour. Sample A (100:0) recorded the highest swelling index of </w:t>
      </w:r>
      <w:r w:rsidR="00436E81">
        <w:rPr>
          <w:rFonts w:eastAsia="Times New Roman" w:cs="Times New Roman"/>
          <w:bCs/>
          <w:sz w:val="22"/>
        </w:rPr>
        <w:t>8.23 ml</w:t>
      </w:r>
      <w:r w:rsidRPr="00080A35">
        <w:rPr>
          <w:rFonts w:eastAsia="Times New Roman" w:cs="Times New Roman"/>
          <w:bCs/>
          <w:sz w:val="22"/>
        </w:rPr>
        <w:t>/g</w:t>
      </w:r>
      <w:r w:rsidRPr="00B15DE6">
        <w:rPr>
          <w:rFonts w:eastAsia="Times New Roman" w:cs="Times New Roman"/>
          <w:sz w:val="22"/>
        </w:rPr>
        <w:t xml:space="preserve">, followed by B (90:10) at </w:t>
      </w:r>
      <w:r w:rsidR="00436E81">
        <w:rPr>
          <w:rFonts w:eastAsia="Times New Roman" w:cs="Times New Roman"/>
          <w:bCs/>
          <w:sz w:val="22"/>
        </w:rPr>
        <w:t>7.97 ml</w:t>
      </w:r>
      <w:r w:rsidRPr="00080A35">
        <w:rPr>
          <w:rFonts w:eastAsia="Times New Roman" w:cs="Times New Roman"/>
          <w:bCs/>
          <w:sz w:val="22"/>
        </w:rPr>
        <w:t>/g</w:t>
      </w:r>
      <w:r w:rsidRPr="00B15DE6">
        <w:rPr>
          <w:rFonts w:eastAsia="Times New Roman" w:cs="Times New Roman"/>
          <w:sz w:val="22"/>
        </w:rPr>
        <w:t xml:space="preserve">, C (80:20) at </w:t>
      </w:r>
      <w:r w:rsidR="00436E81">
        <w:rPr>
          <w:rFonts w:eastAsia="Times New Roman" w:cs="Times New Roman"/>
          <w:bCs/>
          <w:sz w:val="22"/>
        </w:rPr>
        <w:t>7.87 ml</w:t>
      </w:r>
      <w:r w:rsidRPr="00080A35">
        <w:rPr>
          <w:rFonts w:eastAsia="Times New Roman" w:cs="Times New Roman"/>
          <w:bCs/>
          <w:sz w:val="22"/>
        </w:rPr>
        <w:t>/g</w:t>
      </w:r>
      <w:r w:rsidRPr="00B15DE6">
        <w:rPr>
          <w:rFonts w:eastAsia="Times New Roman" w:cs="Times New Roman"/>
          <w:sz w:val="22"/>
        </w:rPr>
        <w:t xml:space="preserve">, D (70:30) at </w:t>
      </w:r>
      <w:r w:rsidR="00436E81">
        <w:rPr>
          <w:rFonts w:eastAsia="Times New Roman" w:cs="Times New Roman"/>
          <w:bCs/>
          <w:sz w:val="22"/>
        </w:rPr>
        <w:t>7.58 ml</w:t>
      </w:r>
      <w:r w:rsidRPr="00080A35">
        <w:rPr>
          <w:rFonts w:eastAsia="Times New Roman" w:cs="Times New Roman"/>
          <w:bCs/>
          <w:sz w:val="22"/>
        </w:rPr>
        <w:t>/g</w:t>
      </w:r>
      <w:r w:rsidRPr="00B15DE6">
        <w:rPr>
          <w:rFonts w:eastAsia="Times New Roman" w:cs="Times New Roman"/>
          <w:sz w:val="22"/>
        </w:rPr>
        <w:t xml:space="preserve">, E (60:40) at </w:t>
      </w:r>
      <w:r w:rsidR="00436E81">
        <w:rPr>
          <w:rFonts w:eastAsia="Times New Roman" w:cs="Times New Roman"/>
          <w:bCs/>
          <w:sz w:val="22"/>
        </w:rPr>
        <w:t>7.49 ml</w:t>
      </w:r>
      <w:r w:rsidRPr="00080A35">
        <w:rPr>
          <w:rFonts w:eastAsia="Times New Roman" w:cs="Times New Roman"/>
          <w:bCs/>
          <w:sz w:val="22"/>
        </w:rPr>
        <w:t>/g</w:t>
      </w:r>
      <w:r w:rsidRPr="00B15DE6">
        <w:rPr>
          <w:rFonts w:eastAsia="Times New Roman" w:cs="Times New Roman"/>
          <w:sz w:val="22"/>
        </w:rPr>
        <w:t xml:space="preserve">, and F (50:50) at </w:t>
      </w:r>
      <w:r w:rsidR="00436E81">
        <w:rPr>
          <w:rFonts w:eastAsia="Times New Roman" w:cs="Times New Roman"/>
          <w:bCs/>
          <w:sz w:val="22"/>
        </w:rPr>
        <w:t>7.04 ml</w:t>
      </w:r>
      <w:r w:rsidRPr="00080A35">
        <w:rPr>
          <w:rFonts w:eastAsia="Times New Roman" w:cs="Times New Roman"/>
          <w:bCs/>
          <w:sz w:val="22"/>
        </w:rPr>
        <w:t>/g</w:t>
      </w:r>
      <w:r w:rsidRPr="00B15DE6">
        <w:rPr>
          <w:rFonts w:eastAsia="Times New Roman" w:cs="Times New Roman"/>
          <w:sz w:val="22"/>
        </w:rPr>
        <w:t xml:space="preserve">. Thus, the swelling index decreased by approximately </w:t>
      </w:r>
      <w:r w:rsidRPr="00080A35">
        <w:rPr>
          <w:rFonts w:eastAsia="Times New Roman" w:cs="Times New Roman"/>
          <w:bCs/>
          <w:sz w:val="22"/>
        </w:rPr>
        <w:t>14.5%</w:t>
      </w:r>
      <w:r w:rsidRPr="00B15DE6">
        <w:rPr>
          <w:rFonts w:eastAsia="Times New Roman" w:cs="Times New Roman"/>
          <w:sz w:val="22"/>
        </w:rPr>
        <w:t xml:space="preserve"> between</w:t>
      </w:r>
      <w:r w:rsidR="00436E81">
        <w:rPr>
          <w:rFonts w:eastAsia="Times New Roman" w:cs="Times New Roman"/>
          <w:sz w:val="22"/>
        </w:rPr>
        <w:t xml:space="preserve"> samples</w:t>
      </w:r>
      <w:r w:rsidRPr="00B15DE6">
        <w:rPr>
          <w:rFonts w:eastAsia="Times New Roman" w:cs="Times New Roman"/>
          <w:sz w:val="22"/>
        </w:rPr>
        <w:t xml:space="preserve"> A (100:0) and F (50:50).</w:t>
      </w:r>
      <w:r w:rsidR="00080A35">
        <w:rPr>
          <w:rFonts w:eastAsia="Times New Roman" w:cs="Times New Roman"/>
          <w:sz w:val="22"/>
        </w:rPr>
        <w:t xml:space="preserve"> </w:t>
      </w:r>
      <w:r w:rsidRPr="00B15DE6">
        <w:rPr>
          <w:rFonts w:eastAsia="Times New Roman" w:cs="Times New Roman"/>
          <w:sz w:val="22"/>
        </w:rPr>
        <w:t xml:space="preserve">Swelling index is strongly associated with the ability of starch granules to absorb water and increase in volume. The extent of swelling depends on starch concentration, amylose and amylopectin characteristics, granule structure, degree of starch damage and interactions between starch and non-starch components (Leach et al., 1959; Adebowale </w:t>
      </w:r>
      <w:r w:rsidR="000D78E2">
        <w:rPr>
          <w:rFonts w:eastAsia="Times New Roman" w:cs="Times New Roman"/>
          <w:sz w:val="22"/>
        </w:rPr>
        <w:t>and</w:t>
      </w:r>
      <w:r w:rsidRPr="00B15DE6">
        <w:rPr>
          <w:rFonts w:eastAsia="Times New Roman" w:cs="Times New Roman"/>
          <w:sz w:val="22"/>
        </w:rPr>
        <w:t xml:space="preserve"> Lawal, 2004). The progressive reduction observed in the present study therefore suggests that increasing incorporation of the substituted flour reduced the relative availability or swelling potential of starch in the composite system.</w:t>
      </w:r>
      <w:r w:rsidR="00436E81">
        <w:rPr>
          <w:rFonts w:eastAsia="Times New Roman" w:cs="Times New Roman"/>
          <w:sz w:val="22"/>
        </w:rPr>
        <w:t xml:space="preserve"> </w:t>
      </w:r>
      <w:r w:rsidRPr="00B15DE6">
        <w:rPr>
          <w:rFonts w:eastAsia="Times New Roman" w:cs="Times New Roman"/>
          <w:sz w:val="22"/>
        </w:rPr>
        <w:t xml:space="preserve">The result agrees with the reduction in calculated carbohydrate observed in the proximate composition. Carbohydrate decreased from </w:t>
      </w:r>
      <w:r w:rsidRPr="00080A35">
        <w:rPr>
          <w:rFonts w:eastAsia="Times New Roman" w:cs="Times New Roman"/>
          <w:bCs/>
          <w:sz w:val="22"/>
        </w:rPr>
        <w:t>71.34% in A (100:0)</w:t>
      </w:r>
      <w:r w:rsidRPr="00B15DE6">
        <w:rPr>
          <w:rFonts w:eastAsia="Times New Roman" w:cs="Times New Roman"/>
          <w:sz w:val="22"/>
        </w:rPr>
        <w:t xml:space="preserve"> to </w:t>
      </w:r>
      <w:r w:rsidRPr="00080A35">
        <w:rPr>
          <w:rFonts w:eastAsia="Times New Roman" w:cs="Times New Roman"/>
          <w:bCs/>
          <w:sz w:val="22"/>
        </w:rPr>
        <w:t>57.77% in F (50:50)</w:t>
      </w:r>
      <w:r w:rsidRPr="00B15DE6">
        <w:rPr>
          <w:rFonts w:eastAsia="Times New Roman" w:cs="Times New Roman"/>
          <w:sz w:val="22"/>
        </w:rPr>
        <w:t>. Since starch constitutes a major proportion of carbohydrate in many flour systems, a reduction in the relative starch contribu</w:t>
      </w:r>
      <w:r w:rsidR="00436E81">
        <w:rPr>
          <w:rFonts w:eastAsia="Times New Roman" w:cs="Times New Roman"/>
          <w:sz w:val="22"/>
        </w:rPr>
        <w:t>tion could contribute to the reduction in</w:t>
      </w:r>
      <w:r w:rsidRPr="00B15DE6">
        <w:rPr>
          <w:rFonts w:eastAsia="Times New Roman" w:cs="Times New Roman"/>
          <w:sz w:val="22"/>
        </w:rPr>
        <w:t xml:space="preserve"> swelling. In addition, increasing protein, fat and </w:t>
      </w:r>
      <w:proofErr w:type="spellStart"/>
      <w:r w:rsidRPr="00B15DE6">
        <w:rPr>
          <w:rFonts w:eastAsia="Times New Roman" w:cs="Times New Roman"/>
          <w:sz w:val="22"/>
        </w:rPr>
        <w:t>fibre</w:t>
      </w:r>
      <w:proofErr w:type="spellEnd"/>
      <w:r w:rsidRPr="00B15DE6">
        <w:rPr>
          <w:rFonts w:eastAsia="Times New Roman" w:cs="Times New Roman"/>
          <w:sz w:val="22"/>
        </w:rPr>
        <w:t xml:space="preserve"> may restrict starch granule hydration and expansion by creating physical or molecular barriers around starch granules.</w:t>
      </w:r>
    </w:p>
    <w:p w14:paraId="1A346473" w14:textId="77777777" w:rsidR="00B15DE6" w:rsidRPr="00B15DE6" w:rsidRDefault="00B15DE6" w:rsidP="00436E81">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Kaur et al. (2015) reported that incorporation of non-wheat flours altered the swelling characteristics of composite flours, while Peter-Ikechukwu et al. (2020) similarly observed differences in swelling-related properties among composite flour formulations. More recent research has demonstrated that changes in blending ratios can produce significant differences in swelling </w:t>
      </w:r>
      <w:proofErr w:type="spellStart"/>
      <w:r w:rsidRPr="00B15DE6">
        <w:rPr>
          <w:rFonts w:eastAsia="Times New Roman" w:cs="Times New Roman"/>
          <w:sz w:val="22"/>
        </w:rPr>
        <w:t>behaviour</w:t>
      </w:r>
      <w:proofErr w:type="spellEnd"/>
      <w:r w:rsidRPr="00B15DE6">
        <w:rPr>
          <w:rFonts w:eastAsia="Times New Roman" w:cs="Times New Roman"/>
          <w:sz w:val="22"/>
        </w:rPr>
        <w:t xml:space="preserve"> because the constituent flours possess different starch compositions and hydration characteristics (</w:t>
      </w:r>
      <w:proofErr w:type="spellStart"/>
      <w:r w:rsidRPr="00B15DE6">
        <w:rPr>
          <w:rFonts w:eastAsia="Times New Roman" w:cs="Times New Roman"/>
          <w:sz w:val="22"/>
        </w:rPr>
        <w:t>Asouzu</w:t>
      </w:r>
      <w:proofErr w:type="spellEnd"/>
      <w:r w:rsidRPr="00B15DE6">
        <w:rPr>
          <w:rFonts w:eastAsia="Times New Roman" w:cs="Times New Roman"/>
          <w:sz w:val="22"/>
        </w:rPr>
        <w:t xml:space="preserve"> et al., 2020; </w:t>
      </w:r>
      <w:proofErr w:type="spellStart"/>
      <w:r w:rsidRPr="00B15DE6">
        <w:rPr>
          <w:rFonts w:eastAsia="Times New Roman" w:cs="Times New Roman"/>
          <w:sz w:val="22"/>
        </w:rPr>
        <w:t>Makhuvha</w:t>
      </w:r>
      <w:proofErr w:type="spellEnd"/>
      <w:r w:rsidRPr="00B15DE6">
        <w:rPr>
          <w:rFonts w:eastAsia="Times New Roman" w:cs="Times New Roman"/>
          <w:sz w:val="22"/>
        </w:rPr>
        <w:t xml:space="preserve"> et al., 2024).</w:t>
      </w:r>
      <w:r w:rsidR="00436E81">
        <w:rPr>
          <w:rFonts w:eastAsia="Times New Roman" w:cs="Times New Roman"/>
          <w:sz w:val="22"/>
        </w:rPr>
        <w:t xml:space="preserve"> </w:t>
      </w:r>
      <w:r w:rsidRPr="00B15DE6">
        <w:rPr>
          <w:rFonts w:eastAsia="Times New Roman" w:cs="Times New Roman"/>
          <w:sz w:val="22"/>
        </w:rPr>
        <w:t xml:space="preserve">The </w:t>
      </w:r>
      <w:r w:rsidR="00436E81">
        <w:rPr>
          <w:rFonts w:eastAsia="Times New Roman" w:cs="Times New Roman"/>
          <w:sz w:val="22"/>
        </w:rPr>
        <w:t>reduction in</w:t>
      </w:r>
      <w:r w:rsidRPr="00B15DE6">
        <w:rPr>
          <w:rFonts w:eastAsia="Times New Roman" w:cs="Times New Roman"/>
          <w:sz w:val="22"/>
        </w:rPr>
        <w:t xml:space="preserve"> swelling index may be advantageous or disadvantageous depending on the intended application. Flour with high swelling ability may be desirable for products where volume development and thickening are required, whereas reduced swelling may be useful where excessive expansion is undesirable. Therefore, the progressive reduction from A (100:0) to F (50:50) provides useful information for selecting an appropriate blending ratio for subsequent product development.</w:t>
      </w:r>
    </w:p>
    <w:p w14:paraId="66FE46B3"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Solubility decreased generally with increasing substitution, from </w:t>
      </w:r>
      <w:r w:rsidRPr="00080A35">
        <w:rPr>
          <w:rFonts w:eastAsia="Times New Roman" w:cs="Times New Roman"/>
          <w:bCs/>
          <w:sz w:val="22"/>
        </w:rPr>
        <w:t>7.36% in A (100:0)</w:t>
      </w:r>
      <w:r w:rsidRPr="00B15DE6">
        <w:rPr>
          <w:rFonts w:eastAsia="Times New Roman" w:cs="Times New Roman"/>
          <w:sz w:val="22"/>
        </w:rPr>
        <w:t xml:space="preserve"> to </w:t>
      </w:r>
      <w:r w:rsidRPr="00080A35">
        <w:rPr>
          <w:rFonts w:eastAsia="Times New Roman" w:cs="Times New Roman"/>
          <w:bCs/>
          <w:sz w:val="22"/>
        </w:rPr>
        <w:t>6.84% in B (90:10), 6.74% in C (80:20), 6.45% in D (70:30), 6.44% in E (60:40), and 6.00% in F (50:50)</w:t>
      </w:r>
      <w:r w:rsidRPr="00B15DE6">
        <w:rPr>
          <w:rFonts w:eastAsia="Times New Roman" w:cs="Times New Roman"/>
          <w:sz w:val="22"/>
        </w:rPr>
        <w:t xml:space="preserve">. Sample A (100:0) therefore had the highest solubility, while F (50:50) had the lowest. The overall reduction between A and F was approximately </w:t>
      </w:r>
      <w:r w:rsidRPr="00080A35">
        <w:rPr>
          <w:rFonts w:eastAsia="Times New Roman" w:cs="Times New Roman"/>
          <w:bCs/>
          <w:sz w:val="22"/>
        </w:rPr>
        <w:t>18.5%</w:t>
      </w:r>
      <w:r w:rsidRPr="00B15DE6">
        <w:rPr>
          <w:rFonts w:eastAsia="Times New Roman" w:cs="Times New Roman"/>
          <w:sz w:val="22"/>
        </w:rPr>
        <w:t>.</w:t>
      </w:r>
      <w:r w:rsidR="00436E81">
        <w:rPr>
          <w:rFonts w:eastAsia="Times New Roman" w:cs="Times New Roman"/>
          <w:sz w:val="22"/>
        </w:rPr>
        <w:t xml:space="preserve"> </w:t>
      </w:r>
      <w:r w:rsidRPr="00B15DE6">
        <w:rPr>
          <w:rFonts w:eastAsia="Times New Roman" w:cs="Times New Roman"/>
          <w:sz w:val="22"/>
        </w:rPr>
        <w:t>Solubility reflects the quantity of flour constituents that become dispersed or dissolved in the aqueous phase during hydration and heating. In starch-containing systems, solubility can be associated with the release of amylose and other soluble starch components from swollen granules. The extent of solubilization is influenced by starch structure, degree of starch damage, temperature, water availability and interactions between starch and other flour constituents (Leach et al., 1959).</w:t>
      </w:r>
      <w:r w:rsidR="00436E81">
        <w:rPr>
          <w:rFonts w:eastAsia="Times New Roman" w:cs="Times New Roman"/>
          <w:sz w:val="22"/>
        </w:rPr>
        <w:t xml:space="preserve"> </w:t>
      </w:r>
      <w:r w:rsidRPr="00B15DE6">
        <w:rPr>
          <w:rFonts w:eastAsia="Times New Roman" w:cs="Times New Roman"/>
          <w:sz w:val="22"/>
        </w:rPr>
        <w:t xml:space="preserve">The progressive decrease in solubility observed from A (100:0) to F (50:50) occurred alongside the decline in swelling index. This suggests that the substitution altered starch hydration and the release of soluble components. The lower solubility at higher substitution levels may be related to the reduced relative carbohydrate/starch content and increased contribution of protein, fat and other non-starch components. Protein and </w:t>
      </w:r>
      <w:proofErr w:type="spellStart"/>
      <w:r w:rsidRPr="00B15DE6">
        <w:rPr>
          <w:rFonts w:eastAsia="Times New Roman" w:cs="Times New Roman"/>
          <w:sz w:val="22"/>
        </w:rPr>
        <w:t>fibre</w:t>
      </w:r>
      <w:proofErr w:type="spellEnd"/>
      <w:r w:rsidRPr="00B15DE6">
        <w:rPr>
          <w:rFonts w:eastAsia="Times New Roman" w:cs="Times New Roman"/>
          <w:sz w:val="22"/>
        </w:rPr>
        <w:t xml:space="preserve"> can interact with water and starch and may restrict the mobility and release of starch components during hydration.</w:t>
      </w:r>
    </w:p>
    <w:p w14:paraId="43EB2056" w14:textId="77777777" w:rsidR="00B809FF" w:rsidRPr="00436E81" w:rsidRDefault="00B15DE6" w:rsidP="00436E81">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The results are consistent with research demonstrating that composite flour formulation can significantly influence water solubility and related starch properties. Recent work on finger millet, sweet potato and soybean composite flour showed significant differences in water solubility index as the blending ratios changed (</w:t>
      </w:r>
      <w:r w:rsidR="00436E81">
        <w:rPr>
          <w:rFonts w:eastAsia="Times New Roman" w:cs="Times New Roman"/>
          <w:sz w:val="22"/>
        </w:rPr>
        <w:t>Peter-Ikechukwu et al., 2020</w:t>
      </w:r>
      <w:r w:rsidRPr="00B15DE6">
        <w:rPr>
          <w:rFonts w:eastAsia="Times New Roman" w:cs="Times New Roman"/>
          <w:sz w:val="22"/>
        </w:rPr>
        <w:t>). Similarly, cassava–</w:t>
      </w:r>
      <w:proofErr w:type="spellStart"/>
      <w:r w:rsidRPr="00B15DE6">
        <w:rPr>
          <w:rFonts w:eastAsia="Times New Roman" w:cs="Times New Roman"/>
          <w:sz w:val="22"/>
        </w:rPr>
        <w:t>tigernut</w:t>
      </w:r>
      <w:proofErr w:type="spellEnd"/>
      <w:r w:rsidRPr="00B15DE6">
        <w:rPr>
          <w:rFonts w:eastAsia="Times New Roman" w:cs="Times New Roman"/>
          <w:sz w:val="22"/>
        </w:rPr>
        <w:t xml:space="preserve"> composite flour exhibited considerable variation in water solubility index among different blending ratios, demonstrating that the composition of component flours strongly influences starch hydration and </w:t>
      </w:r>
      <w:proofErr w:type="spellStart"/>
      <w:r w:rsidRPr="00B15DE6">
        <w:rPr>
          <w:rFonts w:eastAsia="Times New Roman" w:cs="Times New Roman"/>
          <w:sz w:val="22"/>
        </w:rPr>
        <w:t>solubilization</w:t>
      </w:r>
      <w:proofErr w:type="spellEnd"/>
      <w:r w:rsidR="00436E81" w:rsidRPr="00436E81">
        <w:rPr>
          <w:rFonts w:eastAsia="Times New Roman" w:cs="Times New Roman"/>
          <w:sz w:val="22"/>
        </w:rPr>
        <w:t xml:space="preserve"> </w:t>
      </w:r>
      <w:proofErr w:type="spellStart"/>
      <w:r w:rsidR="00436E81" w:rsidRPr="00B15DE6">
        <w:rPr>
          <w:rFonts w:eastAsia="Times New Roman" w:cs="Times New Roman"/>
          <w:sz w:val="22"/>
        </w:rPr>
        <w:t>Offia-Olua</w:t>
      </w:r>
      <w:proofErr w:type="spellEnd"/>
      <w:r w:rsidR="00436E81" w:rsidRPr="00B15DE6">
        <w:rPr>
          <w:rFonts w:eastAsia="Times New Roman" w:cs="Times New Roman"/>
          <w:sz w:val="22"/>
        </w:rPr>
        <w:t xml:space="preserve"> et al. </w:t>
      </w:r>
      <w:r w:rsidRPr="00B15DE6">
        <w:rPr>
          <w:rFonts w:eastAsia="Times New Roman" w:cs="Times New Roman"/>
          <w:sz w:val="22"/>
        </w:rPr>
        <w:t xml:space="preserve"> (2024).</w:t>
      </w:r>
      <w:r w:rsidR="00436E81">
        <w:rPr>
          <w:rFonts w:eastAsia="Times New Roman" w:cs="Times New Roman"/>
          <w:sz w:val="22"/>
        </w:rPr>
        <w:t xml:space="preserve"> </w:t>
      </w:r>
      <w:r w:rsidRPr="00B15DE6">
        <w:rPr>
          <w:rFonts w:eastAsia="Times New Roman" w:cs="Times New Roman"/>
          <w:sz w:val="22"/>
        </w:rPr>
        <w:t>The simultaneous decrease in swelling index and solubility is noteworthy. A (100:0), which recorded the highest swelling index (</w:t>
      </w:r>
      <w:r w:rsidR="00436E81">
        <w:rPr>
          <w:rFonts w:eastAsia="Times New Roman" w:cs="Times New Roman"/>
          <w:bCs/>
          <w:sz w:val="22"/>
        </w:rPr>
        <w:t>8.23 ml</w:t>
      </w:r>
      <w:r w:rsidRPr="00080A35">
        <w:rPr>
          <w:rFonts w:eastAsia="Times New Roman" w:cs="Times New Roman"/>
          <w:bCs/>
          <w:sz w:val="22"/>
        </w:rPr>
        <w:t>/g</w:t>
      </w:r>
      <w:r w:rsidRPr="00B15DE6">
        <w:rPr>
          <w:rFonts w:eastAsia="Times New Roman" w:cs="Times New Roman"/>
          <w:sz w:val="22"/>
        </w:rPr>
        <w:t>), also had the highest solubility (</w:t>
      </w:r>
      <w:r w:rsidRPr="00080A35">
        <w:rPr>
          <w:rFonts w:eastAsia="Times New Roman" w:cs="Times New Roman"/>
          <w:bCs/>
          <w:sz w:val="22"/>
        </w:rPr>
        <w:t>7.36%</w:t>
      </w:r>
      <w:r w:rsidRPr="00B15DE6">
        <w:rPr>
          <w:rFonts w:eastAsia="Times New Roman" w:cs="Times New Roman"/>
          <w:sz w:val="22"/>
        </w:rPr>
        <w:t>), whereas F (50:50) had both the lowest swelling index (</w:t>
      </w:r>
      <w:r w:rsidR="00436E81">
        <w:rPr>
          <w:rFonts w:eastAsia="Times New Roman" w:cs="Times New Roman"/>
          <w:bCs/>
          <w:sz w:val="22"/>
        </w:rPr>
        <w:t>7.04 ml</w:t>
      </w:r>
      <w:r w:rsidRPr="00080A35">
        <w:rPr>
          <w:rFonts w:eastAsia="Times New Roman" w:cs="Times New Roman"/>
          <w:bCs/>
          <w:sz w:val="22"/>
        </w:rPr>
        <w:t>/g</w:t>
      </w:r>
      <w:r w:rsidRPr="00B15DE6">
        <w:rPr>
          <w:rFonts w:eastAsia="Times New Roman" w:cs="Times New Roman"/>
          <w:sz w:val="22"/>
        </w:rPr>
        <w:t>) and lowest solubility (</w:t>
      </w:r>
      <w:r w:rsidRPr="00080A35">
        <w:rPr>
          <w:rFonts w:eastAsia="Times New Roman" w:cs="Times New Roman"/>
          <w:bCs/>
          <w:sz w:val="22"/>
        </w:rPr>
        <w:t>6.00%</w:t>
      </w:r>
      <w:r w:rsidRPr="00B15DE6">
        <w:rPr>
          <w:rFonts w:eastAsia="Times New Roman" w:cs="Times New Roman"/>
          <w:sz w:val="22"/>
        </w:rPr>
        <w:t>). This parallel response suggests that increasing substitution progressively altered the starch-related function</w:t>
      </w:r>
      <w:r w:rsidR="00436E81">
        <w:rPr>
          <w:rFonts w:eastAsia="Times New Roman" w:cs="Times New Roman"/>
          <w:sz w:val="22"/>
        </w:rPr>
        <w:t>al characteristics of the flour.</w:t>
      </w:r>
    </w:p>
    <w:p w14:paraId="2E445EE2" w14:textId="77777777" w:rsidR="00B809FF" w:rsidRDefault="00B809FF" w:rsidP="00E51B0E">
      <w:pPr>
        <w:widowControl w:val="0"/>
        <w:autoSpaceDE w:val="0"/>
        <w:autoSpaceDN w:val="0"/>
        <w:spacing w:after="0" w:line="240" w:lineRule="auto"/>
        <w:ind w:left="720"/>
        <w:jc w:val="both"/>
        <w:outlineLvl w:val="0"/>
        <w:rPr>
          <w:rFonts w:eastAsia="Times New Roman" w:cs="Times New Roman"/>
          <w:b/>
          <w:bCs/>
          <w:szCs w:val="24"/>
        </w:rPr>
      </w:pPr>
    </w:p>
    <w:p w14:paraId="0FF8BD33" w14:textId="77777777" w:rsidR="00E813CA" w:rsidRDefault="00E813CA" w:rsidP="00E51B0E">
      <w:pPr>
        <w:widowControl w:val="0"/>
        <w:autoSpaceDE w:val="0"/>
        <w:autoSpaceDN w:val="0"/>
        <w:spacing w:after="0" w:line="240" w:lineRule="auto"/>
        <w:ind w:left="720"/>
        <w:jc w:val="both"/>
        <w:outlineLvl w:val="0"/>
        <w:rPr>
          <w:rFonts w:eastAsia="Times New Roman" w:cs="Times New Roman"/>
          <w:b/>
          <w:bCs/>
          <w:szCs w:val="24"/>
        </w:rPr>
      </w:pPr>
    </w:p>
    <w:p w14:paraId="547F10BD" w14:textId="77777777" w:rsidR="00E813CA" w:rsidRDefault="00E813CA" w:rsidP="00E51B0E">
      <w:pPr>
        <w:widowControl w:val="0"/>
        <w:autoSpaceDE w:val="0"/>
        <w:autoSpaceDN w:val="0"/>
        <w:spacing w:after="0" w:line="240" w:lineRule="auto"/>
        <w:ind w:left="720"/>
        <w:jc w:val="both"/>
        <w:outlineLvl w:val="0"/>
        <w:rPr>
          <w:rFonts w:eastAsia="Times New Roman" w:cs="Times New Roman"/>
          <w:b/>
          <w:bCs/>
          <w:szCs w:val="24"/>
        </w:rPr>
      </w:pPr>
    </w:p>
    <w:p w14:paraId="29B1F9E1" w14:textId="77777777" w:rsidR="00E51B0E" w:rsidRPr="002D2E3D" w:rsidRDefault="00E51B0E" w:rsidP="00E51B0E">
      <w:pPr>
        <w:widowControl w:val="0"/>
        <w:autoSpaceDE w:val="0"/>
        <w:autoSpaceDN w:val="0"/>
        <w:spacing w:after="0" w:line="240" w:lineRule="auto"/>
        <w:ind w:left="720"/>
        <w:jc w:val="both"/>
        <w:outlineLvl w:val="0"/>
        <w:rPr>
          <w:rFonts w:eastAsia="Times New Roman" w:cs="Times New Roman"/>
          <w:b/>
          <w:bCs/>
          <w:szCs w:val="24"/>
        </w:rPr>
      </w:pPr>
      <w:r w:rsidRPr="002D2E3D">
        <w:rPr>
          <w:rFonts w:eastAsia="Times New Roman" w:cs="Times New Roman"/>
          <w:b/>
          <w:bCs/>
          <w:szCs w:val="24"/>
        </w:rPr>
        <w:t>Table</w:t>
      </w:r>
      <w:r w:rsidRPr="002D2E3D">
        <w:rPr>
          <w:rFonts w:eastAsia="Times New Roman" w:cs="Times New Roman"/>
          <w:b/>
          <w:bCs/>
          <w:spacing w:val="-5"/>
          <w:szCs w:val="24"/>
        </w:rPr>
        <w:t xml:space="preserve"> </w:t>
      </w:r>
      <w:r>
        <w:rPr>
          <w:rFonts w:eastAsia="Times New Roman" w:cs="Times New Roman"/>
          <w:b/>
          <w:bCs/>
          <w:spacing w:val="-5"/>
          <w:szCs w:val="24"/>
        </w:rPr>
        <w:t>3</w:t>
      </w:r>
      <w:r w:rsidR="00E813CA">
        <w:rPr>
          <w:rFonts w:eastAsia="Times New Roman" w:cs="Times New Roman"/>
          <w:b/>
          <w:bCs/>
          <w:spacing w:val="-5"/>
          <w:szCs w:val="24"/>
        </w:rPr>
        <w:t>:</w:t>
      </w:r>
      <w:r w:rsidRPr="002D2E3D">
        <w:rPr>
          <w:rFonts w:eastAsia="Times New Roman" w:cs="Times New Roman"/>
          <w:b/>
          <w:bCs/>
          <w:spacing w:val="-1"/>
          <w:szCs w:val="24"/>
        </w:rPr>
        <w:t xml:space="preserve"> </w:t>
      </w:r>
      <w:r>
        <w:rPr>
          <w:rFonts w:eastAsia="Times New Roman" w:cs="Times New Roman"/>
          <w:b/>
          <w:bCs/>
          <w:szCs w:val="24"/>
        </w:rPr>
        <w:t>Functional Properties</w:t>
      </w:r>
      <w:r w:rsidRPr="002D2E3D">
        <w:rPr>
          <w:rFonts w:eastAsia="Times New Roman" w:cs="Times New Roman"/>
          <w:b/>
          <w:bCs/>
          <w:spacing w:val="-3"/>
          <w:szCs w:val="24"/>
        </w:rPr>
        <w:t xml:space="preserve"> </w:t>
      </w:r>
      <w:r w:rsidRPr="002D2E3D">
        <w:rPr>
          <w:rFonts w:eastAsia="Times New Roman" w:cs="Times New Roman"/>
          <w:b/>
          <w:bCs/>
          <w:szCs w:val="24"/>
        </w:rPr>
        <w:t>of Maize-Soybean</w:t>
      </w:r>
      <w:r w:rsidRPr="002D2E3D">
        <w:rPr>
          <w:rFonts w:eastAsia="Times New Roman" w:cs="Times New Roman"/>
          <w:b/>
          <w:bCs/>
          <w:spacing w:val="-2"/>
          <w:szCs w:val="24"/>
        </w:rPr>
        <w:t xml:space="preserve"> </w:t>
      </w:r>
      <w:r w:rsidRPr="002D2E3D">
        <w:rPr>
          <w:rFonts w:eastAsia="Times New Roman" w:cs="Times New Roman"/>
          <w:b/>
          <w:bCs/>
          <w:szCs w:val="24"/>
        </w:rPr>
        <w:t>Pap</w:t>
      </w:r>
      <w:r w:rsidRPr="002D2E3D">
        <w:rPr>
          <w:rFonts w:eastAsia="Times New Roman" w:cs="Times New Roman"/>
          <w:b/>
          <w:bCs/>
          <w:spacing w:val="-1"/>
          <w:szCs w:val="24"/>
        </w:rPr>
        <w:t xml:space="preserve"> </w:t>
      </w:r>
      <w:r w:rsidRPr="002D2E3D">
        <w:rPr>
          <w:rFonts w:eastAsia="Times New Roman" w:cs="Times New Roman"/>
          <w:b/>
          <w:bCs/>
          <w:szCs w:val="24"/>
        </w:rPr>
        <w:t>Blends</w:t>
      </w:r>
      <w:r w:rsidRPr="002D2E3D">
        <w:rPr>
          <w:rFonts w:eastAsia="Times New Roman" w:cs="Times New Roman"/>
          <w:b/>
          <w:bCs/>
          <w:spacing w:val="-1"/>
          <w:szCs w:val="24"/>
        </w:rPr>
        <w:t xml:space="preserve"> </w:t>
      </w:r>
      <w:r w:rsidRPr="002D2E3D">
        <w:rPr>
          <w:rFonts w:eastAsia="Times New Roman" w:cs="Times New Roman"/>
          <w:b/>
          <w:bCs/>
          <w:spacing w:val="-2"/>
          <w:szCs w:val="24"/>
        </w:rPr>
        <w:t>Powder</w:t>
      </w:r>
    </w:p>
    <w:p w14:paraId="2BCBF0B3" w14:textId="77777777" w:rsidR="00E51B0E" w:rsidRDefault="00E51B0E" w:rsidP="009C40FB">
      <w:pPr>
        <w:jc w:val="both"/>
        <w:rPr>
          <w:rFonts w:cs="Times New Roman"/>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558"/>
        <w:gridCol w:w="1530"/>
        <w:gridCol w:w="1530"/>
        <w:gridCol w:w="1980"/>
        <w:gridCol w:w="1454"/>
      </w:tblGrid>
      <w:tr w:rsidR="002D2E3D" w:rsidRPr="003A4706" w14:paraId="47D32600" w14:textId="77777777" w:rsidTr="00E51B0E">
        <w:trPr>
          <w:cantSplit/>
          <w:trHeight w:val="2033"/>
          <w:jc w:val="center"/>
        </w:trPr>
        <w:tc>
          <w:tcPr>
            <w:tcW w:w="1337" w:type="dxa"/>
            <w:tcBorders>
              <w:top w:val="single" w:sz="4" w:space="0" w:color="auto"/>
              <w:bottom w:val="single" w:sz="4" w:space="0" w:color="auto"/>
            </w:tcBorders>
            <w:tcMar>
              <w:top w:w="80" w:type="dxa"/>
              <w:left w:w="80" w:type="dxa"/>
              <w:bottom w:w="80" w:type="dxa"/>
              <w:right w:w="80" w:type="dxa"/>
            </w:tcMar>
            <w:textDirection w:val="btLr"/>
          </w:tcPr>
          <w:p w14:paraId="49DDD333"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Sample</w:t>
            </w:r>
            <w:r w:rsidR="00E51B0E" w:rsidRPr="00436E81">
              <w:rPr>
                <w:rFonts w:cs="Times New Roman"/>
                <w:b/>
                <w:sz w:val="22"/>
              </w:rPr>
              <w:t>s Codes/Ratios</w:t>
            </w:r>
          </w:p>
        </w:tc>
        <w:tc>
          <w:tcPr>
            <w:tcW w:w="1558" w:type="dxa"/>
            <w:tcBorders>
              <w:top w:val="single" w:sz="4" w:space="0" w:color="auto"/>
              <w:bottom w:val="single" w:sz="4" w:space="0" w:color="auto"/>
            </w:tcBorders>
            <w:tcMar>
              <w:top w:w="80" w:type="dxa"/>
              <w:left w:w="80" w:type="dxa"/>
              <w:bottom w:w="80" w:type="dxa"/>
              <w:right w:w="80" w:type="dxa"/>
            </w:tcMar>
            <w:textDirection w:val="btLr"/>
          </w:tcPr>
          <w:p w14:paraId="5DFC3300"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Bulk density (g/ml)</w:t>
            </w:r>
          </w:p>
        </w:tc>
        <w:tc>
          <w:tcPr>
            <w:tcW w:w="1530" w:type="dxa"/>
            <w:tcBorders>
              <w:top w:val="single" w:sz="4" w:space="0" w:color="auto"/>
              <w:bottom w:val="single" w:sz="4" w:space="0" w:color="auto"/>
            </w:tcBorders>
            <w:tcMar>
              <w:top w:w="80" w:type="dxa"/>
              <w:left w:w="80" w:type="dxa"/>
              <w:bottom w:w="80" w:type="dxa"/>
              <w:right w:w="80" w:type="dxa"/>
            </w:tcMar>
            <w:textDirection w:val="btLr"/>
          </w:tcPr>
          <w:p w14:paraId="2F3D8149"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Water Absorption Capacity (g/g)</w:t>
            </w:r>
          </w:p>
        </w:tc>
        <w:tc>
          <w:tcPr>
            <w:tcW w:w="1530" w:type="dxa"/>
            <w:tcBorders>
              <w:top w:val="single" w:sz="4" w:space="0" w:color="auto"/>
              <w:bottom w:val="single" w:sz="4" w:space="0" w:color="auto"/>
            </w:tcBorders>
            <w:tcMar>
              <w:top w:w="80" w:type="dxa"/>
              <w:left w:w="80" w:type="dxa"/>
              <w:bottom w:w="80" w:type="dxa"/>
              <w:right w:w="80" w:type="dxa"/>
            </w:tcMar>
            <w:textDirection w:val="btLr"/>
          </w:tcPr>
          <w:p w14:paraId="659591C7"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pH</w:t>
            </w:r>
          </w:p>
        </w:tc>
        <w:tc>
          <w:tcPr>
            <w:tcW w:w="1980" w:type="dxa"/>
            <w:tcBorders>
              <w:top w:val="single" w:sz="4" w:space="0" w:color="auto"/>
              <w:bottom w:val="single" w:sz="4" w:space="0" w:color="auto"/>
            </w:tcBorders>
            <w:tcMar>
              <w:top w:w="80" w:type="dxa"/>
              <w:left w:w="80" w:type="dxa"/>
              <w:bottom w:w="80" w:type="dxa"/>
              <w:right w:w="80" w:type="dxa"/>
            </w:tcMar>
            <w:textDirection w:val="btLr"/>
          </w:tcPr>
          <w:p w14:paraId="36066B57"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Swelling index (ml/g)</w:t>
            </w:r>
          </w:p>
        </w:tc>
        <w:tc>
          <w:tcPr>
            <w:tcW w:w="1454" w:type="dxa"/>
            <w:tcBorders>
              <w:top w:val="single" w:sz="4" w:space="0" w:color="auto"/>
              <w:bottom w:val="single" w:sz="4" w:space="0" w:color="auto"/>
            </w:tcBorders>
            <w:tcMar>
              <w:top w:w="80" w:type="dxa"/>
              <w:left w:w="80" w:type="dxa"/>
              <w:bottom w:w="80" w:type="dxa"/>
              <w:right w:w="80" w:type="dxa"/>
            </w:tcMar>
            <w:textDirection w:val="btLr"/>
          </w:tcPr>
          <w:p w14:paraId="2F50BF99"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Solubility (%)</w:t>
            </w:r>
          </w:p>
        </w:tc>
      </w:tr>
      <w:tr w:rsidR="002D2E3D" w:rsidRPr="003A4706" w14:paraId="0F4FDBE6" w14:textId="77777777" w:rsidTr="00E51B0E">
        <w:trPr>
          <w:jc w:val="center"/>
        </w:trPr>
        <w:tc>
          <w:tcPr>
            <w:tcW w:w="1337" w:type="dxa"/>
            <w:tcBorders>
              <w:top w:val="single" w:sz="4" w:space="0" w:color="auto"/>
            </w:tcBorders>
            <w:tcMar>
              <w:top w:w="80" w:type="dxa"/>
              <w:left w:w="80" w:type="dxa"/>
              <w:bottom w:w="80" w:type="dxa"/>
              <w:right w:w="80" w:type="dxa"/>
            </w:tcMar>
            <w:vAlign w:val="center"/>
          </w:tcPr>
          <w:p w14:paraId="0A65AA8A" w14:textId="77777777" w:rsidR="002D2E3D" w:rsidRPr="00436E81" w:rsidRDefault="002D2E3D" w:rsidP="009C40FB">
            <w:pPr>
              <w:jc w:val="both"/>
              <w:rPr>
                <w:rFonts w:cs="Times New Roman"/>
                <w:sz w:val="22"/>
              </w:rPr>
            </w:pPr>
            <w:r w:rsidRPr="00436E81">
              <w:rPr>
                <w:rFonts w:cs="Times New Roman"/>
                <w:sz w:val="22"/>
              </w:rPr>
              <w:t>A (100:0)</w:t>
            </w:r>
          </w:p>
        </w:tc>
        <w:tc>
          <w:tcPr>
            <w:tcW w:w="1558" w:type="dxa"/>
            <w:tcBorders>
              <w:top w:val="single" w:sz="4" w:space="0" w:color="auto"/>
            </w:tcBorders>
            <w:tcMar>
              <w:top w:w="80" w:type="dxa"/>
              <w:left w:w="80" w:type="dxa"/>
              <w:bottom w:w="80" w:type="dxa"/>
              <w:right w:w="80" w:type="dxa"/>
            </w:tcMar>
            <w:vAlign w:val="center"/>
          </w:tcPr>
          <w:p w14:paraId="794C301E" w14:textId="77777777" w:rsidR="002D2E3D" w:rsidRPr="00436E81" w:rsidRDefault="002D2E3D" w:rsidP="009C40FB">
            <w:pPr>
              <w:jc w:val="both"/>
              <w:rPr>
                <w:rFonts w:cs="Times New Roman"/>
                <w:sz w:val="22"/>
              </w:rPr>
            </w:pPr>
            <w:r w:rsidRPr="00436E81">
              <w:rPr>
                <w:rFonts w:cs="Times New Roman"/>
                <w:sz w:val="22"/>
              </w:rPr>
              <w:t>0.70 ± 0.01ᵃ</w:t>
            </w:r>
          </w:p>
        </w:tc>
        <w:tc>
          <w:tcPr>
            <w:tcW w:w="1530" w:type="dxa"/>
            <w:tcBorders>
              <w:top w:val="single" w:sz="4" w:space="0" w:color="auto"/>
            </w:tcBorders>
            <w:tcMar>
              <w:top w:w="80" w:type="dxa"/>
              <w:left w:w="80" w:type="dxa"/>
              <w:bottom w:w="80" w:type="dxa"/>
              <w:right w:w="80" w:type="dxa"/>
            </w:tcMar>
            <w:vAlign w:val="center"/>
          </w:tcPr>
          <w:p w14:paraId="7ADEF3BE" w14:textId="77777777" w:rsidR="002D2E3D" w:rsidRPr="00436E81" w:rsidRDefault="002D2E3D" w:rsidP="009C40FB">
            <w:pPr>
              <w:jc w:val="both"/>
              <w:rPr>
                <w:rFonts w:cs="Times New Roman"/>
                <w:sz w:val="22"/>
              </w:rPr>
            </w:pPr>
            <w:r w:rsidRPr="00436E81">
              <w:rPr>
                <w:rFonts w:cs="Times New Roman"/>
                <w:sz w:val="22"/>
              </w:rPr>
              <w:t>0.81 ± 0.01ᵇ</w:t>
            </w:r>
          </w:p>
        </w:tc>
        <w:tc>
          <w:tcPr>
            <w:tcW w:w="1530" w:type="dxa"/>
            <w:tcBorders>
              <w:top w:val="single" w:sz="4" w:space="0" w:color="auto"/>
            </w:tcBorders>
            <w:tcMar>
              <w:top w:w="80" w:type="dxa"/>
              <w:left w:w="80" w:type="dxa"/>
              <w:bottom w:w="80" w:type="dxa"/>
              <w:right w:w="80" w:type="dxa"/>
            </w:tcMar>
            <w:vAlign w:val="center"/>
          </w:tcPr>
          <w:p w14:paraId="5639C22C" w14:textId="77777777" w:rsidR="002D2E3D" w:rsidRPr="00436E81" w:rsidRDefault="002D2E3D" w:rsidP="009C40FB">
            <w:pPr>
              <w:jc w:val="both"/>
              <w:rPr>
                <w:rFonts w:cs="Times New Roman"/>
                <w:sz w:val="22"/>
              </w:rPr>
            </w:pPr>
            <w:r w:rsidRPr="00436E81">
              <w:rPr>
                <w:rFonts w:cs="Times New Roman"/>
                <w:sz w:val="22"/>
              </w:rPr>
              <w:t>5.55 ± 0.07ᵃ</w:t>
            </w:r>
          </w:p>
        </w:tc>
        <w:tc>
          <w:tcPr>
            <w:tcW w:w="1980" w:type="dxa"/>
            <w:tcBorders>
              <w:top w:val="single" w:sz="4" w:space="0" w:color="auto"/>
            </w:tcBorders>
            <w:tcMar>
              <w:top w:w="80" w:type="dxa"/>
              <w:left w:w="80" w:type="dxa"/>
              <w:bottom w:w="80" w:type="dxa"/>
              <w:right w:w="80" w:type="dxa"/>
            </w:tcMar>
            <w:vAlign w:val="center"/>
          </w:tcPr>
          <w:p w14:paraId="00DAFF75" w14:textId="77777777" w:rsidR="002D2E3D" w:rsidRPr="00436E81" w:rsidRDefault="002D2E3D" w:rsidP="009C40FB">
            <w:pPr>
              <w:jc w:val="both"/>
              <w:rPr>
                <w:rFonts w:cs="Times New Roman"/>
                <w:sz w:val="22"/>
              </w:rPr>
            </w:pPr>
            <w:r w:rsidRPr="00436E81">
              <w:rPr>
                <w:rFonts w:cs="Times New Roman"/>
                <w:sz w:val="22"/>
              </w:rPr>
              <w:t>8.23 ± 0.01ᵃ</w:t>
            </w:r>
          </w:p>
        </w:tc>
        <w:tc>
          <w:tcPr>
            <w:tcW w:w="1454" w:type="dxa"/>
            <w:tcBorders>
              <w:top w:val="single" w:sz="4" w:space="0" w:color="auto"/>
            </w:tcBorders>
            <w:tcMar>
              <w:top w:w="80" w:type="dxa"/>
              <w:left w:w="80" w:type="dxa"/>
              <w:bottom w:w="80" w:type="dxa"/>
              <w:right w:w="80" w:type="dxa"/>
            </w:tcMar>
            <w:vAlign w:val="center"/>
          </w:tcPr>
          <w:p w14:paraId="6C86ED70" w14:textId="77777777" w:rsidR="002D2E3D" w:rsidRPr="00436E81" w:rsidRDefault="002D2E3D" w:rsidP="009C40FB">
            <w:pPr>
              <w:jc w:val="both"/>
              <w:rPr>
                <w:rFonts w:cs="Times New Roman"/>
                <w:sz w:val="22"/>
              </w:rPr>
            </w:pPr>
            <w:r w:rsidRPr="00436E81">
              <w:rPr>
                <w:rFonts w:cs="Times New Roman"/>
                <w:sz w:val="22"/>
              </w:rPr>
              <w:t>7.36 ± 0.01ᵇ</w:t>
            </w:r>
          </w:p>
        </w:tc>
      </w:tr>
      <w:tr w:rsidR="002D2E3D" w:rsidRPr="003A4706" w14:paraId="48DD5F34" w14:textId="77777777" w:rsidTr="00E51B0E">
        <w:trPr>
          <w:jc w:val="center"/>
        </w:trPr>
        <w:tc>
          <w:tcPr>
            <w:tcW w:w="1337" w:type="dxa"/>
            <w:tcMar>
              <w:top w:w="80" w:type="dxa"/>
              <w:left w:w="80" w:type="dxa"/>
              <w:bottom w:w="80" w:type="dxa"/>
              <w:right w:w="80" w:type="dxa"/>
            </w:tcMar>
            <w:vAlign w:val="center"/>
          </w:tcPr>
          <w:p w14:paraId="05B3CF77" w14:textId="77777777" w:rsidR="002D2E3D" w:rsidRPr="00436E81" w:rsidRDefault="002D2E3D" w:rsidP="009C40FB">
            <w:pPr>
              <w:jc w:val="both"/>
              <w:rPr>
                <w:rFonts w:cs="Times New Roman"/>
                <w:sz w:val="22"/>
              </w:rPr>
            </w:pPr>
            <w:r w:rsidRPr="00436E81">
              <w:rPr>
                <w:rFonts w:cs="Times New Roman"/>
                <w:sz w:val="22"/>
              </w:rPr>
              <w:t>B (90:10)</w:t>
            </w:r>
          </w:p>
        </w:tc>
        <w:tc>
          <w:tcPr>
            <w:tcW w:w="1558" w:type="dxa"/>
            <w:tcMar>
              <w:top w:w="80" w:type="dxa"/>
              <w:left w:w="80" w:type="dxa"/>
              <w:bottom w:w="80" w:type="dxa"/>
              <w:right w:w="80" w:type="dxa"/>
            </w:tcMar>
            <w:vAlign w:val="center"/>
          </w:tcPr>
          <w:p w14:paraId="5E2AB197" w14:textId="77777777" w:rsidR="002D2E3D" w:rsidRPr="00436E81" w:rsidRDefault="002D2E3D" w:rsidP="009C40FB">
            <w:pPr>
              <w:jc w:val="both"/>
              <w:rPr>
                <w:rFonts w:cs="Times New Roman"/>
                <w:sz w:val="22"/>
              </w:rPr>
            </w:pPr>
            <w:r w:rsidRPr="00436E81">
              <w:rPr>
                <w:rFonts w:cs="Times New Roman"/>
                <w:sz w:val="22"/>
              </w:rPr>
              <w:t>0.68 ± 0.00ᵇ</w:t>
            </w:r>
          </w:p>
        </w:tc>
        <w:tc>
          <w:tcPr>
            <w:tcW w:w="1530" w:type="dxa"/>
            <w:tcMar>
              <w:top w:w="80" w:type="dxa"/>
              <w:left w:w="80" w:type="dxa"/>
              <w:bottom w:w="80" w:type="dxa"/>
              <w:right w:w="80" w:type="dxa"/>
            </w:tcMar>
            <w:vAlign w:val="center"/>
          </w:tcPr>
          <w:p w14:paraId="26EBD1E3" w14:textId="77777777" w:rsidR="002D2E3D" w:rsidRPr="00436E81" w:rsidRDefault="002D2E3D" w:rsidP="009C40FB">
            <w:pPr>
              <w:jc w:val="both"/>
              <w:rPr>
                <w:rFonts w:cs="Times New Roman"/>
                <w:sz w:val="22"/>
              </w:rPr>
            </w:pPr>
            <w:r w:rsidRPr="00436E81">
              <w:rPr>
                <w:rFonts w:cs="Times New Roman"/>
                <w:sz w:val="22"/>
              </w:rPr>
              <w:t>0.83 ± 0.01ᶜ</w:t>
            </w:r>
          </w:p>
        </w:tc>
        <w:tc>
          <w:tcPr>
            <w:tcW w:w="1530" w:type="dxa"/>
            <w:tcMar>
              <w:top w:w="80" w:type="dxa"/>
              <w:left w:w="80" w:type="dxa"/>
              <w:bottom w:w="80" w:type="dxa"/>
              <w:right w:w="80" w:type="dxa"/>
            </w:tcMar>
            <w:vAlign w:val="center"/>
          </w:tcPr>
          <w:p w14:paraId="3FDFB7BF" w14:textId="77777777" w:rsidR="002D2E3D" w:rsidRPr="00436E81" w:rsidRDefault="002D2E3D" w:rsidP="009C40FB">
            <w:pPr>
              <w:jc w:val="both"/>
              <w:rPr>
                <w:rFonts w:cs="Times New Roman"/>
                <w:sz w:val="22"/>
              </w:rPr>
            </w:pPr>
            <w:r w:rsidRPr="00436E81">
              <w:rPr>
                <w:rFonts w:cs="Times New Roman"/>
                <w:sz w:val="22"/>
              </w:rPr>
              <w:t>5.61 ± 0.01ᵃᵇ</w:t>
            </w:r>
          </w:p>
        </w:tc>
        <w:tc>
          <w:tcPr>
            <w:tcW w:w="1980" w:type="dxa"/>
            <w:tcMar>
              <w:top w:w="80" w:type="dxa"/>
              <w:left w:w="80" w:type="dxa"/>
              <w:bottom w:w="80" w:type="dxa"/>
              <w:right w:w="80" w:type="dxa"/>
            </w:tcMar>
            <w:vAlign w:val="center"/>
          </w:tcPr>
          <w:p w14:paraId="049902C4" w14:textId="77777777" w:rsidR="002D2E3D" w:rsidRPr="00436E81" w:rsidRDefault="002D2E3D" w:rsidP="009C40FB">
            <w:pPr>
              <w:jc w:val="both"/>
              <w:rPr>
                <w:rFonts w:cs="Times New Roman"/>
                <w:sz w:val="22"/>
              </w:rPr>
            </w:pPr>
            <w:r w:rsidRPr="00436E81">
              <w:rPr>
                <w:rFonts w:cs="Times New Roman"/>
                <w:sz w:val="22"/>
              </w:rPr>
              <w:t>7.97 ± 0.01ᵃᵇ</w:t>
            </w:r>
          </w:p>
        </w:tc>
        <w:tc>
          <w:tcPr>
            <w:tcW w:w="1454" w:type="dxa"/>
            <w:tcMar>
              <w:top w:w="80" w:type="dxa"/>
              <w:left w:w="80" w:type="dxa"/>
              <w:bottom w:w="80" w:type="dxa"/>
              <w:right w:w="80" w:type="dxa"/>
            </w:tcMar>
            <w:vAlign w:val="center"/>
          </w:tcPr>
          <w:p w14:paraId="7D0BCDA6" w14:textId="77777777" w:rsidR="002D2E3D" w:rsidRPr="00436E81" w:rsidRDefault="002D2E3D" w:rsidP="009C40FB">
            <w:pPr>
              <w:jc w:val="both"/>
              <w:rPr>
                <w:rFonts w:cs="Times New Roman"/>
                <w:sz w:val="22"/>
              </w:rPr>
            </w:pPr>
            <w:r w:rsidRPr="00436E81">
              <w:rPr>
                <w:rFonts w:cs="Times New Roman"/>
                <w:sz w:val="22"/>
              </w:rPr>
              <w:t>6.84 ± 0.01ᶜ</w:t>
            </w:r>
          </w:p>
        </w:tc>
      </w:tr>
      <w:tr w:rsidR="002D2E3D" w:rsidRPr="003A4706" w14:paraId="63423BE6" w14:textId="77777777" w:rsidTr="00E51B0E">
        <w:trPr>
          <w:jc w:val="center"/>
        </w:trPr>
        <w:tc>
          <w:tcPr>
            <w:tcW w:w="1337" w:type="dxa"/>
            <w:tcMar>
              <w:top w:w="80" w:type="dxa"/>
              <w:left w:w="80" w:type="dxa"/>
              <w:bottom w:w="80" w:type="dxa"/>
              <w:right w:w="80" w:type="dxa"/>
            </w:tcMar>
            <w:vAlign w:val="center"/>
          </w:tcPr>
          <w:p w14:paraId="6F9A1824" w14:textId="77777777" w:rsidR="002D2E3D" w:rsidRPr="00436E81" w:rsidRDefault="002D2E3D" w:rsidP="009C40FB">
            <w:pPr>
              <w:jc w:val="both"/>
              <w:rPr>
                <w:rFonts w:cs="Times New Roman"/>
                <w:sz w:val="22"/>
              </w:rPr>
            </w:pPr>
            <w:r w:rsidRPr="00436E81">
              <w:rPr>
                <w:rFonts w:cs="Times New Roman"/>
                <w:sz w:val="22"/>
              </w:rPr>
              <w:t>C (80:20)</w:t>
            </w:r>
          </w:p>
        </w:tc>
        <w:tc>
          <w:tcPr>
            <w:tcW w:w="1558" w:type="dxa"/>
            <w:tcMar>
              <w:top w:w="80" w:type="dxa"/>
              <w:left w:w="80" w:type="dxa"/>
              <w:bottom w:w="80" w:type="dxa"/>
              <w:right w:w="80" w:type="dxa"/>
            </w:tcMar>
            <w:vAlign w:val="center"/>
          </w:tcPr>
          <w:p w14:paraId="059D1D82" w14:textId="77777777" w:rsidR="002D2E3D" w:rsidRPr="00436E81" w:rsidRDefault="002D2E3D" w:rsidP="009C40FB">
            <w:pPr>
              <w:jc w:val="both"/>
              <w:rPr>
                <w:rFonts w:cs="Times New Roman"/>
                <w:sz w:val="22"/>
              </w:rPr>
            </w:pPr>
            <w:r w:rsidRPr="00436E81">
              <w:rPr>
                <w:rFonts w:cs="Times New Roman"/>
                <w:sz w:val="22"/>
              </w:rPr>
              <w:t>0.66 ± 0.00ᶜ</w:t>
            </w:r>
          </w:p>
        </w:tc>
        <w:tc>
          <w:tcPr>
            <w:tcW w:w="1530" w:type="dxa"/>
            <w:tcMar>
              <w:top w:w="80" w:type="dxa"/>
              <w:left w:w="80" w:type="dxa"/>
              <w:bottom w:w="80" w:type="dxa"/>
              <w:right w:w="80" w:type="dxa"/>
            </w:tcMar>
            <w:vAlign w:val="center"/>
          </w:tcPr>
          <w:p w14:paraId="7781C496" w14:textId="77777777" w:rsidR="002D2E3D" w:rsidRPr="00436E81" w:rsidRDefault="002D2E3D" w:rsidP="009C40FB">
            <w:pPr>
              <w:jc w:val="both"/>
              <w:rPr>
                <w:rFonts w:cs="Times New Roman"/>
                <w:sz w:val="22"/>
              </w:rPr>
            </w:pPr>
            <w:r w:rsidRPr="00436E81">
              <w:rPr>
                <w:rFonts w:cs="Times New Roman"/>
                <w:sz w:val="22"/>
              </w:rPr>
              <w:t>0.85 ± 0.01ᵃ</w:t>
            </w:r>
          </w:p>
        </w:tc>
        <w:tc>
          <w:tcPr>
            <w:tcW w:w="1530" w:type="dxa"/>
            <w:tcMar>
              <w:top w:w="80" w:type="dxa"/>
              <w:left w:w="80" w:type="dxa"/>
              <w:bottom w:w="80" w:type="dxa"/>
              <w:right w:w="80" w:type="dxa"/>
            </w:tcMar>
            <w:vAlign w:val="center"/>
          </w:tcPr>
          <w:p w14:paraId="485FAFD1" w14:textId="77777777" w:rsidR="002D2E3D" w:rsidRPr="00436E81" w:rsidRDefault="002D2E3D" w:rsidP="009C40FB">
            <w:pPr>
              <w:jc w:val="both"/>
              <w:rPr>
                <w:rFonts w:cs="Times New Roman"/>
                <w:sz w:val="22"/>
              </w:rPr>
            </w:pPr>
            <w:r w:rsidRPr="00436E81">
              <w:rPr>
                <w:rFonts w:cs="Times New Roman"/>
                <w:sz w:val="22"/>
              </w:rPr>
              <w:t>5.09 ± 0.01ᵈ</w:t>
            </w:r>
          </w:p>
        </w:tc>
        <w:tc>
          <w:tcPr>
            <w:tcW w:w="1980" w:type="dxa"/>
            <w:tcMar>
              <w:top w:w="80" w:type="dxa"/>
              <w:left w:w="80" w:type="dxa"/>
              <w:bottom w:w="80" w:type="dxa"/>
              <w:right w:w="80" w:type="dxa"/>
            </w:tcMar>
            <w:vAlign w:val="center"/>
          </w:tcPr>
          <w:p w14:paraId="19E8D28C" w14:textId="77777777" w:rsidR="002D2E3D" w:rsidRPr="00436E81" w:rsidRDefault="002D2E3D" w:rsidP="009C40FB">
            <w:pPr>
              <w:jc w:val="both"/>
              <w:rPr>
                <w:rFonts w:cs="Times New Roman"/>
                <w:sz w:val="22"/>
              </w:rPr>
            </w:pPr>
            <w:r w:rsidRPr="00436E81">
              <w:rPr>
                <w:rFonts w:cs="Times New Roman"/>
                <w:sz w:val="22"/>
              </w:rPr>
              <w:t>7.87 ± 0.01ᵇᶜ</w:t>
            </w:r>
          </w:p>
        </w:tc>
        <w:tc>
          <w:tcPr>
            <w:tcW w:w="1454" w:type="dxa"/>
            <w:tcMar>
              <w:top w:w="80" w:type="dxa"/>
              <w:left w:w="80" w:type="dxa"/>
              <w:bottom w:w="80" w:type="dxa"/>
              <w:right w:w="80" w:type="dxa"/>
            </w:tcMar>
            <w:vAlign w:val="center"/>
          </w:tcPr>
          <w:p w14:paraId="13E214BC" w14:textId="77777777" w:rsidR="002D2E3D" w:rsidRPr="00436E81" w:rsidRDefault="002D2E3D" w:rsidP="009C40FB">
            <w:pPr>
              <w:jc w:val="both"/>
              <w:rPr>
                <w:rFonts w:cs="Times New Roman"/>
                <w:sz w:val="22"/>
              </w:rPr>
            </w:pPr>
            <w:r w:rsidRPr="00436E81">
              <w:rPr>
                <w:rFonts w:cs="Times New Roman"/>
                <w:sz w:val="22"/>
              </w:rPr>
              <w:t>6.74 ± 0.01ᵈ</w:t>
            </w:r>
          </w:p>
        </w:tc>
      </w:tr>
      <w:tr w:rsidR="002D2E3D" w:rsidRPr="003A4706" w14:paraId="70BF8F41" w14:textId="77777777" w:rsidTr="00E51B0E">
        <w:trPr>
          <w:jc w:val="center"/>
        </w:trPr>
        <w:tc>
          <w:tcPr>
            <w:tcW w:w="1337" w:type="dxa"/>
            <w:tcMar>
              <w:top w:w="80" w:type="dxa"/>
              <w:left w:w="80" w:type="dxa"/>
              <w:bottom w:w="80" w:type="dxa"/>
              <w:right w:w="80" w:type="dxa"/>
            </w:tcMar>
            <w:vAlign w:val="center"/>
          </w:tcPr>
          <w:p w14:paraId="7F00CAF4" w14:textId="77777777" w:rsidR="002D2E3D" w:rsidRPr="00436E81" w:rsidRDefault="002D2E3D" w:rsidP="009C40FB">
            <w:pPr>
              <w:jc w:val="both"/>
              <w:rPr>
                <w:rFonts w:cs="Times New Roman"/>
                <w:sz w:val="22"/>
              </w:rPr>
            </w:pPr>
            <w:r w:rsidRPr="00436E81">
              <w:rPr>
                <w:rFonts w:cs="Times New Roman"/>
                <w:sz w:val="22"/>
              </w:rPr>
              <w:t>D (70:30)</w:t>
            </w:r>
          </w:p>
        </w:tc>
        <w:tc>
          <w:tcPr>
            <w:tcW w:w="1558" w:type="dxa"/>
            <w:tcMar>
              <w:top w:w="80" w:type="dxa"/>
              <w:left w:w="80" w:type="dxa"/>
              <w:bottom w:w="80" w:type="dxa"/>
              <w:right w:w="80" w:type="dxa"/>
            </w:tcMar>
            <w:vAlign w:val="center"/>
          </w:tcPr>
          <w:p w14:paraId="5C770220" w14:textId="77777777" w:rsidR="002D2E3D" w:rsidRPr="00436E81" w:rsidRDefault="002D2E3D" w:rsidP="009C40FB">
            <w:pPr>
              <w:jc w:val="both"/>
              <w:rPr>
                <w:rFonts w:cs="Times New Roman"/>
                <w:sz w:val="22"/>
              </w:rPr>
            </w:pPr>
            <w:r w:rsidRPr="00436E81">
              <w:rPr>
                <w:rFonts w:cs="Times New Roman"/>
                <w:sz w:val="22"/>
              </w:rPr>
              <w:t>0.64 ± 0.01ᵈ</w:t>
            </w:r>
          </w:p>
        </w:tc>
        <w:tc>
          <w:tcPr>
            <w:tcW w:w="1530" w:type="dxa"/>
            <w:tcMar>
              <w:top w:w="80" w:type="dxa"/>
              <w:left w:w="80" w:type="dxa"/>
              <w:bottom w:w="80" w:type="dxa"/>
              <w:right w:w="80" w:type="dxa"/>
            </w:tcMar>
            <w:vAlign w:val="center"/>
          </w:tcPr>
          <w:p w14:paraId="5C997FD5" w14:textId="77777777" w:rsidR="002D2E3D" w:rsidRPr="00436E81" w:rsidRDefault="002D2E3D" w:rsidP="009C40FB">
            <w:pPr>
              <w:jc w:val="both"/>
              <w:rPr>
                <w:rFonts w:cs="Times New Roman"/>
                <w:sz w:val="22"/>
              </w:rPr>
            </w:pPr>
            <w:r w:rsidRPr="00436E81">
              <w:rPr>
                <w:rFonts w:cs="Times New Roman"/>
                <w:sz w:val="22"/>
              </w:rPr>
              <w:t>0.85 ± 0.01ᵃ</w:t>
            </w:r>
          </w:p>
        </w:tc>
        <w:tc>
          <w:tcPr>
            <w:tcW w:w="1530" w:type="dxa"/>
            <w:tcMar>
              <w:top w:w="80" w:type="dxa"/>
              <w:left w:w="80" w:type="dxa"/>
              <w:bottom w:w="80" w:type="dxa"/>
              <w:right w:w="80" w:type="dxa"/>
            </w:tcMar>
            <w:vAlign w:val="center"/>
          </w:tcPr>
          <w:p w14:paraId="07C9F20A" w14:textId="77777777" w:rsidR="002D2E3D" w:rsidRPr="00436E81" w:rsidRDefault="002D2E3D" w:rsidP="009C40FB">
            <w:pPr>
              <w:jc w:val="both"/>
              <w:rPr>
                <w:rFonts w:cs="Times New Roman"/>
                <w:sz w:val="22"/>
              </w:rPr>
            </w:pPr>
            <w:r w:rsidRPr="00436E81">
              <w:rPr>
                <w:rFonts w:cs="Times New Roman"/>
                <w:sz w:val="22"/>
              </w:rPr>
              <w:t>5.76 ± 0.01ᶜ</w:t>
            </w:r>
          </w:p>
        </w:tc>
        <w:tc>
          <w:tcPr>
            <w:tcW w:w="1980" w:type="dxa"/>
            <w:tcMar>
              <w:top w:w="80" w:type="dxa"/>
              <w:left w:w="80" w:type="dxa"/>
              <w:bottom w:w="80" w:type="dxa"/>
              <w:right w:w="80" w:type="dxa"/>
            </w:tcMar>
            <w:vAlign w:val="center"/>
          </w:tcPr>
          <w:p w14:paraId="69570D12" w14:textId="77777777" w:rsidR="002D2E3D" w:rsidRPr="00436E81" w:rsidRDefault="002D2E3D" w:rsidP="009C40FB">
            <w:pPr>
              <w:jc w:val="both"/>
              <w:rPr>
                <w:rFonts w:cs="Times New Roman"/>
                <w:sz w:val="22"/>
              </w:rPr>
            </w:pPr>
            <w:r w:rsidRPr="00436E81">
              <w:rPr>
                <w:rFonts w:cs="Times New Roman"/>
                <w:sz w:val="22"/>
              </w:rPr>
              <w:t>7.58 ± 0.01ᶜᵈ</w:t>
            </w:r>
          </w:p>
        </w:tc>
        <w:tc>
          <w:tcPr>
            <w:tcW w:w="1454" w:type="dxa"/>
            <w:tcMar>
              <w:top w:w="80" w:type="dxa"/>
              <w:left w:w="80" w:type="dxa"/>
              <w:bottom w:w="80" w:type="dxa"/>
              <w:right w:w="80" w:type="dxa"/>
            </w:tcMar>
            <w:vAlign w:val="center"/>
          </w:tcPr>
          <w:p w14:paraId="4B9D6885" w14:textId="77777777" w:rsidR="002D2E3D" w:rsidRPr="00436E81" w:rsidRDefault="002D2E3D" w:rsidP="009C40FB">
            <w:pPr>
              <w:jc w:val="both"/>
              <w:rPr>
                <w:rFonts w:cs="Times New Roman"/>
                <w:sz w:val="22"/>
              </w:rPr>
            </w:pPr>
            <w:r w:rsidRPr="00436E81">
              <w:rPr>
                <w:rFonts w:cs="Times New Roman"/>
                <w:sz w:val="22"/>
              </w:rPr>
              <w:t>6.45 ± 0.01ᵃ</w:t>
            </w:r>
          </w:p>
        </w:tc>
      </w:tr>
      <w:tr w:rsidR="002D2E3D" w:rsidRPr="003A4706" w14:paraId="4920EAFF" w14:textId="77777777" w:rsidTr="00E51B0E">
        <w:trPr>
          <w:jc w:val="center"/>
        </w:trPr>
        <w:tc>
          <w:tcPr>
            <w:tcW w:w="1337" w:type="dxa"/>
            <w:tcMar>
              <w:top w:w="80" w:type="dxa"/>
              <w:left w:w="80" w:type="dxa"/>
              <w:bottom w:w="80" w:type="dxa"/>
              <w:right w:w="80" w:type="dxa"/>
            </w:tcMar>
            <w:vAlign w:val="center"/>
          </w:tcPr>
          <w:p w14:paraId="7FE7A1C0" w14:textId="77777777" w:rsidR="002D2E3D" w:rsidRPr="00436E81" w:rsidRDefault="002D2E3D" w:rsidP="009C40FB">
            <w:pPr>
              <w:jc w:val="both"/>
              <w:rPr>
                <w:rFonts w:cs="Times New Roman"/>
                <w:sz w:val="22"/>
              </w:rPr>
            </w:pPr>
            <w:r w:rsidRPr="00436E81">
              <w:rPr>
                <w:rFonts w:cs="Times New Roman"/>
                <w:sz w:val="22"/>
              </w:rPr>
              <w:t>E (60:40)</w:t>
            </w:r>
          </w:p>
        </w:tc>
        <w:tc>
          <w:tcPr>
            <w:tcW w:w="1558" w:type="dxa"/>
            <w:tcMar>
              <w:top w:w="80" w:type="dxa"/>
              <w:left w:w="80" w:type="dxa"/>
              <w:bottom w:w="80" w:type="dxa"/>
              <w:right w:w="80" w:type="dxa"/>
            </w:tcMar>
            <w:vAlign w:val="center"/>
          </w:tcPr>
          <w:p w14:paraId="74354DBD" w14:textId="77777777" w:rsidR="002D2E3D" w:rsidRPr="00436E81" w:rsidRDefault="002D2E3D" w:rsidP="009C40FB">
            <w:pPr>
              <w:jc w:val="both"/>
              <w:rPr>
                <w:rFonts w:cs="Times New Roman"/>
                <w:sz w:val="22"/>
              </w:rPr>
            </w:pPr>
            <w:r w:rsidRPr="00436E81">
              <w:rPr>
                <w:rFonts w:cs="Times New Roman"/>
                <w:sz w:val="22"/>
              </w:rPr>
              <w:t>0.62 ± 0.00ᵉ</w:t>
            </w:r>
          </w:p>
        </w:tc>
        <w:tc>
          <w:tcPr>
            <w:tcW w:w="1530" w:type="dxa"/>
            <w:tcMar>
              <w:top w:w="80" w:type="dxa"/>
              <w:left w:w="80" w:type="dxa"/>
              <w:bottom w:w="80" w:type="dxa"/>
              <w:right w:w="80" w:type="dxa"/>
            </w:tcMar>
            <w:vAlign w:val="center"/>
          </w:tcPr>
          <w:p w14:paraId="3BF449C4" w14:textId="77777777" w:rsidR="002D2E3D" w:rsidRPr="00436E81" w:rsidRDefault="002D2E3D" w:rsidP="009C40FB">
            <w:pPr>
              <w:jc w:val="both"/>
              <w:rPr>
                <w:rFonts w:cs="Times New Roman"/>
                <w:sz w:val="22"/>
              </w:rPr>
            </w:pPr>
            <w:r w:rsidRPr="00436E81">
              <w:rPr>
                <w:rFonts w:cs="Times New Roman"/>
                <w:sz w:val="22"/>
              </w:rPr>
              <w:t>0.87 ± 0.01ᵈ</w:t>
            </w:r>
          </w:p>
        </w:tc>
        <w:tc>
          <w:tcPr>
            <w:tcW w:w="1530" w:type="dxa"/>
            <w:tcMar>
              <w:top w:w="80" w:type="dxa"/>
              <w:left w:w="80" w:type="dxa"/>
              <w:bottom w:w="80" w:type="dxa"/>
              <w:right w:w="80" w:type="dxa"/>
            </w:tcMar>
            <w:vAlign w:val="center"/>
          </w:tcPr>
          <w:p w14:paraId="25BEB2A8" w14:textId="77777777" w:rsidR="002D2E3D" w:rsidRPr="00436E81" w:rsidRDefault="002D2E3D" w:rsidP="009C40FB">
            <w:pPr>
              <w:jc w:val="both"/>
              <w:rPr>
                <w:rFonts w:cs="Times New Roman"/>
                <w:sz w:val="22"/>
              </w:rPr>
            </w:pPr>
            <w:r w:rsidRPr="00436E81">
              <w:rPr>
                <w:rFonts w:cs="Times New Roman"/>
                <w:sz w:val="22"/>
              </w:rPr>
              <w:t>5.61 ± 0.01ᵃᵇ</w:t>
            </w:r>
          </w:p>
        </w:tc>
        <w:tc>
          <w:tcPr>
            <w:tcW w:w="1980" w:type="dxa"/>
            <w:tcMar>
              <w:top w:w="80" w:type="dxa"/>
              <w:left w:w="80" w:type="dxa"/>
              <w:bottom w:w="80" w:type="dxa"/>
              <w:right w:w="80" w:type="dxa"/>
            </w:tcMar>
            <w:vAlign w:val="center"/>
          </w:tcPr>
          <w:p w14:paraId="1FD89154" w14:textId="77777777" w:rsidR="002D2E3D" w:rsidRPr="00436E81" w:rsidRDefault="002D2E3D" w:rsidP="009C40FB">
            <w:pPr>
              <w:jc w:val="both"/>
              <w:rPr>
                <w:rFonts w:cs="Times New Roman"/>
                <w:sz w:val="22"/>
              </w:rPr>
            </w:pPr>
            <w:r w:rsidRPr="00436E81">
              <w:rPr>
                <w:rFonts w:cs="Times New Roman"/>
                <w:sz w:val="22"/>
              </w:rPr>
              <w:t>7.49 ± 0.01ᵈ</w:t>
            </w:r>
          </w:p>
        </w:tc>
        <w:tc>
          <w:tcPr>
            <w:tcW w:w="1454" w:type="dxa"/>
            <w:tcMar>
              <w:top w:w="80" w:type="dxa"/>
              <w:left w:w="80" w:type="dxa"/>
              <w:bottom w:w="80" w:type="dxa"/>
              <w:right w:w="80" w:type="dxa"/>
            </w:tcMar>
            <w:vAlign w:val="center"/>
          </w:tcPr>
          <w:p w14:paraId="524C0321" w14:textId="77777777" w:rsidR="002D2E3D" w:rsidRPr="00436E81" w:rsidRDefault="002D2E3D" w:rsidP="009C40FB">
            <w:pPr>
              <w:jc w:val="both"/>
              <w:rPr>
                <w:rFonts w:cs="Times New Roman"/>
                <w:sz w:val="22"/>
              </w:rPr>
            </w:pPr>
            <w:r w:rsidRPr="00436E81">
              <w:rPr>
                <w:rFonts w:cs="Times New Roman"/>
                <w:sz w:val="22"/>
              </w:rPr>
              <w:t>6.44 ± 0.01ᵃ</w:t>
            </w:r>
          </w:p>
        </w:tc>
      </w:tr>
      <w:tr w:rsidR="002D2E3D" w:rsidRPr="003A4706" w14:paraId="534ED56A" w14:textId="77777777" w:rsidTr="00E51B0E">
        <w:trPr>
          <w:jc w:val="center"/>
        </w:trPr>
        <w:tc>
          <w:tcPr>
            <w:tcW w:w="1337" w:type="dxa"/>
            <w:tcMar>
              <w:top w:w="80" w:type="dxa"/>
              <w:left w:w="80" w:type="dxa"/>
              <w:bottom w:w="80" w:type="dxa"/>
              <w:right w:w="80" w:type="dxa"/>
            </w:tcMar>
            <w:vAlign w:val="center"/>
          </w:tcPr>
          <w:p w14:paraId="0EE40298" w14:textId="77777777" w:rsidR="002D2E3D" w:rsidRPr="00436E81" w:rsidRDefault="002D2E3D" w:rsidP="009C40FB">
            <w:pPr>
              <w:jc w:val="both"/>
              <w:rPr>
                <w:rFonts w:cs="Times New Roman"/>
                <w:sz w:val="22"/>
              </w:rPr>
            </w:pPr>
            <w:r w:rsidRPr="00436E81">
              <w:rPr>
                <w:rFonts w:cs="Times New Roman"/>
                <w:sz w:val="22"/>
              </w:rPr>
              <w:t>F (50:50)</w:t>
            </w:r>
          </w:p>
        </w:tc>
        <w:tc>
          <w:tcPr>
            <w:tcW w:w="1558" w:type="dxa"/>
            <w:tcMar>
              <w:top w:w="80" w:type="dxa"/>
              <w:left w:w="80" w:type="dxa"/>
              <w:bottom w:w="80" w:type="dxa"/>
              <w:right w:w="80" w:type="dxa"/>
            </w:tcMar>
            <w:vAlign w:val="center"/>
          </w:tcPr>
          <w:p w14:paraId="5C443F68" w14:textId="77777777" w:rsidR="002D2E3D" w:rsidRPr="00436E81" w:rsidRDefault="002D2E3D" w:rsidP="009C40FB">
            <w:pPr>
              <w:jc w:val="both"/>
              <w:rPr>
                <w:rFonts w:cs="Times New Roman"/>
                <w:sz w:val="22"/>
              </w:rPr>
            </w:pPr>
            <w:r w:rsidRPr="00436E81">
              <w:rPr>
                <w:rFonts w:cs="Times New Roman"/>
                <w:sz w:val="22"/>
              </w:rPr>
              <w:t>0.60 ± 0.01ᶠ</w:t>
            </w:r>
          </w:p>
        </w:tc>
        <w:tc>
          <w:tcPr>
            <w:tcW w:w="1530" w:type="dxa"/>
            <w:tcMar>
              <w:top w:w="80" w:type="dxa"/>
              <w:left w:w="80" w:type="dxa"/>
              <w:bottom w:w="80" w:type="dxa"/>
              <w:right w:w="80" w:type="dxa"/>
            </w:tcMar>
            <w:vAlign w:val="center"/>
          </w:tcPr>
          <w:p w14:paraId="41416FD8" w14:textId="77777777" w:rsidR="002D2E3D" w:rsidRPr="00436E81" w:rsidRDefault="002D2E3D" w:rsidP="009C40FB">
            <w:pPr>
              <w:jc w:val="both"/>
              <w:rPr>
                <w:rFonts w:cs="Times New Roman"/>
                <w:sz w:val="22"/>
              </w:rPr>
            </w:pPr>
            <w:r w:rsidRPr="00436E81">
              <w:rPr>
                <w:rFonts w:cs="Times New Roman"/>
                <w:sz w:val="22"/>
              </w:rPr>
              <w:t>0.90 ± 0.01ᵉ</w:t>
            </w:r>
          </w:p>
        </w:tc>
        <w:tc>
          <w:tcPr>
            <w:tcW w:w="1530" w:type="dxa"/>
            <w:tcMar>
              <w:top w:w="80" w:type="dxa"/>
              <w:left w:w="80" w:type="dxa"/>
              <w:bottom w:w="80" w:type="dxa"/>
              <w:right w:w="80" w:type="dxa"/>
            </w:tcMar>
            <w:vAlign w:val="center"/>
          </w:tcPr>
          <w:p w14:paraId="066C7D00" w14:textId="77777777" w:rsidR="002D2E3D" w:rsidRPr="00436E81" w:rsidRDefault="002D2E3D" w:rsidP="009C40FB">
            <w:pPr>
              <w:jc w:val="both"/>
              <w:rPr>
                <w:rFonts w:cs="Times New Roman"/>
                <w:sz w:val="22"/>
              </w:rPr>
            </w:pPr>
            <w:r w:rsidRPr="00436E81">
              <w:rPr>
                <w:rFonts w:cs="Times New Roman"/>
                <w:sz w:val="22"/>
              </w:rPr>
              <w:t>5.72 ± 0.08ᵇᶜ</w:t>
            </w:r>
          </w:p>
        </w:tc>
        <w:tc>
          <w:tcPr>
            <w:tcW w:w="1980" w:type="dxa"/>
            <w:tcMar>
              <w:top w:w="80" w:type="dxa"/>
              <w:left w:w="80" w:type="dxa"/>
              <w:bottom w:w="80" w:type="dxa"/>
              <w:right w:w="80" w:type="dxa"/>
            </w:tcMar>
            <w:vAlign w:val="center"/>
          </w:tcPr>
          <w:p w14:paraId="0B042013" w14:textId="77777777" w:rsidR="002D2E3D" w:rsidRPr="00436E81" w:rsidRDefault="002D2E3D" w:rsidP="009C40FB">
            <w:pPr>
              <w:jc w:val="both"/>
              <w:rPr>
                <w:rFonts w:cs="Times New Roman"/>
                <w:sz w:val="22"/>
              </w:rPr>
            </w:pPr>
            <w:r w:rsidRPr="00436E81">
              <w:rPr>
                <w:rFonts w:cs="Times New Roman"/>
                <w:sz w:val="22"/>
              </w:rPr>
              <w:t>7.04 ± 0.02ᵉ</w:t>
            </w:r>
          </w:p>
        </w:tc>
        <w:tc>
          <w:tcPr>
            <w:tcW w:w="1454" w:type="dxa"/>
            <w:tcMar>
              <w:top w:w="80" w:type="dxa"/>
              <w:left w:w="80" w:type="dxa"/>
              <w:bottom w:w="80" w:type="dxa"/>
              <w:right w:w="80" w:type="dxa"/>
            </w:tcMar>
            <w:vAlign w:val="center"/>
          </w:tcPr>
          <w:p w14:paraId="384F3FC9" w14:textId="77777777" w:rsidR="002D2E3D" w:rsidRPr="00436E81" w:rsidRDefault="002D2E3D" w:rsidP="009C40FB">
            <w:pPr>
              <w:jc w:val="both"/>
              <w:rPr>
                <w:rFonts w:cs="Times New Roman"/>
                <w:sz w:val="22"/>
              </w:rPr>
            </w:pPr>
            <w:r w:rsidRPr="00436E81">
              <w:rPr>
                <w:rFonts w:cs="Times New Roman"/>
                <w:sz w:val="22"/>
              </w:rPr>
              <w:t>6.00 ± 0.01ᵉ</w:t>
            </w:r>
          </w:p>
        </w:tc>
      </w:tr>
      <w:tr w:rsidR="002D2E3D" w:rsidRPr="003A4706" w14:paraId="66436CF4" w14:textId="77777777" w:rsidTr="00E51B0E">
        <w:trPr>
          <w:jc w:val="center"/>
        </w:trPr>
        <w:tc>
          <w:tcPr>
            <w:tcW w:w="1337" w:type="dxa"/>
            <w:tcMar>
              <w:top w:w="80" w:type="dxa"/>
              <w:left w:w="80" w:type="dxa"/>
              <w:bottom w:w="80" w:type="dxa"/>
              <w:right w:w="80" w:type="dxa"/>
            </w:tcMar>
            <w:vAlign w:val="center"/>
          </w:tcPr>
          <w:p w14:paraId="125E23B8" w14:textId="77777777" w:rsidR="002D2E3D" w:rsidRPr="00436E81" w:rsidRDefault="002D2E3D" w:rsidP="009C40FB">
            <w:pPr>
              <w:jc w:val="both"/>
              <w:rPr>
                <w:rFonts w:cs="Times New Roman"/>
                <w:sz w:val="22"/>
              </w:rPr>
            </w:pPr>
            <w:r w:rsidRPr="00436E81">
              <w:rPr>
                <w:rFonts w:cs="Times New Roman"/>
                <w:sz w:val="22"/>
              </w:rPr>
              <w:t>LSD</w:t>
            </w:r>
          </w:p>
        </w:tc>
        <w:tc>
          <w:tcPr>
            <w:tcW w:w="1558" w:type="dxa"/>
            <w:tcMar>
              <w:top w:w="80" w:type="dxa"/>
              <w:left w:w="80" w:type="dxa"/>
              <w:bottom w:w="80" w:type="dxa"/>
              <w:right w:w="80" w:type="dxa"/>
            </w:tcMar>
            <w:vAlign w:val="center"/>
          </w:tcPr>
          <w:p w14:paraId="408D0603" w14:textId="77777777" w:rsidR="002D2E3D" w:rsidRPr="00436E81" w:rsidRDefault="002D2E3D" w:rsidP="009C40FB">
            <w:pPr>
              <w:jc w:val="both"/>
              <w:rPr>
                <w:rFonts w:cs="Times New Roman"/>
                <w:sz w:val="22"/>
              </w:rPr>
            </w:pPr>
            <w:r w:rsidRPr="00436E81">
              <w:rPr>
                <w:rFonts w:cs="Times New Roman"/>
                <w:sz w:val="22"/>
              </w:rPr>
              <w:t>0.01</w:t>
            </w:r>
          </w:p>
        </w:tc>
        <w:tc>
          <w:tcPr>
            <w:tcW w:w="1530" w:type="dxa"/>
            <w:tcMar>
              <w:top w:w="80" w:type="dxa"/>
              <w:left w:w="80" w:type="dxa"/>
              <w:bottom w:w="80" w:type="dxa"/>
              <w:right w:w="80" w:type="dxa"/>
            </w:tcMar>
            <w:vAlign w:val="center"/>
          </w:tcPr>
          <w:p w14:paraId="7D2C7575" w14:textId="77777777" w:rsidR="002D2E3D" w:rsidRPr="00436E81" w:rsidRDefault="002D2E3D" w:rsidP="009C40FB">
            <w:pPr>
              <w:jc w:val="both"/>
              <w:rPr>
                <w:rFonts w:cs="Times New Roman"/>
                <w:sz w:val="22"/>
              </w:rPr>
            </w:pPr>
            <w:r w:rsidRPr="00436E81">
              <w:rPr>
                <w:rFonts w:cs="Times New Roman"/>
                <w:sz w:val="22"/>
              </w:rPr>
              <w:t>0.01</w:t>
            </w:r>
          </w:p>
        </w:tc>
        <w:tc>
          <w:tcPr>
            <w:tcW w:w="1530" w:type="dxa"/>
            <w:tcMar>
              <w:top w:w="80" w:type="dxa"/>
              <w:left w:w="80" w:type="dxa"/>
              <w:bottom w:w="80" w:type="dxa"/>
              <w:right w:w="80" w:type="dxa"/>
            </w:tcMar>
            <w:vAlign w:val="center"/>
          </w:tcPr>
          <w:p w14:paraId="2DA2F793" w14:textId="77777777" w:rsidR="002D2E3D" w:rsidRPr="00436E81" w:rsidRDefault="002D2E3D" w:rsidP="009C40FB">
            <w:pPr>
              <w:jc w:val="both"/>
              <w:rPr>
                <w:rFonts w:cs="Times New Roman"/>
                <w:sz w:val="22"/>
              </w:rPr>
            </w:pPr>
            <w:r w:rsidRPr="00436E81">
              <w:rPr>
                <w:rFonts w:cs="Times New Roman"/>
                <w:sz w:val="22"/>
              </w:rPr>
              <w:t>0.12</w:t>
            </w:r>
          </w:p>
        </w:tc>
        <w:tc>
          <w:tcPr>
            <w:tcW w:w="1980" w:type="dxa"/>
            <w:tcMar>
              <w:top w:w="80" w:type="dxa"/>
              <w:left w:w="80" w:type="dxa"/>
              <w:bottom w:w="80" w:type="dxa"/>
              <w:right w:w="80" w:type="dxa"/>
            </w:tcMar>
            <w:vAlign w:val="center"/>
          </w:tcPr>
          <w:p w14:paraId="600095CC" w14:textId="77777777" w:rsidR="002D2E3D" w:rsidRPr="00436E81" w:rsidRDefault="002D2E3D" w:rsidP="009C40FB">
            <w:pPr>
              <w:jc w:val="both"/>
              <w:rPr>
                <w:rFonts w:cs="Times New Roman"/>
                <w:sz w:val="22"/>
              </w:rPr>
            </w:pPr>
            <w:r w:rsidRPr="00436E81">
              <w:rPr>
                <w:rFonts w:cs="Times New Roman"/>
                <w:sz w:val="22"/>
              </w:rPr>
              <w:t>0.34</w:t>
            </w:r>
          </w:p>
        </w:tc>
        <w:tc>
          <w:tcPr>
            <w:tcW w:w="1454" w:type="dxa"/>
            <w:tcMar>
              <w:top w:w="80" w:type="dxa"/>
              <w:left w:w="80" w:type="dxa"/>
              <w:bottom w:w="80" w:type="dxa"/>
              <w:right w:w="80" w:type="dxa"/>
            </w:tcMar>
            <w:vAlign w:val="center"/>
          </w:tcPr>
          <w:p w14:paraId="117F9352" w14:textId="77777777" w:rsidR="002D2E3D" w:rsidRPr="00436E81" w:rsidRDefault="002D2E3D" w:rsidP="009C40FB">
            <w:pPr>
              <w:jc w:val="both"/>
              <w:rPr>
                <w:rFonts w:cs="Times New Roman"/>
                <w:sz w:val="22"/>
              </w:rPr>
            </w:pPr>
            <w:r w:rsidRPr="00436E81">
              <w:rPr>
                <w:rFonts w:cs="Times New Roman"/>
                <w:sz w:val="22"/>
              </w:rPr>
              <w:t>0.02</w:t>
            </w:r>
          </w:p>
        </w:tc>
      </w:tr>
    </w:tbl>
    <w:p w14:paraId="43B7C760" w14:textId="77777777" w:rsidR="00E51B0E" w:rsidRDefault="00302EC0" w:rsidP="00686036">
      <w:pPr>
        <w:jc w:val="both"/>
        <w:rPr>
          <w:rFonts w:cs="Times New Roman"/>
          <w:i/>
          <w:sz w:val="22"/>
        </w:rPr>
      </w:pPr>
      <w:r w:rsidRPr="00E51B0E">
        <w:rPr>
          <w:rFonts w:cs="Times New Roman"/>
          <w:i/>
          <w:sz w:val="22"/>
        </w:rPr>
        <w:t xml:space="preserve">Values are presented as mean ± standard deviation (SD). Means within a column bearing different superscript letters differ significantly (p &lt; .05) </w:t>
      </w:r>
    </w:p>
    <w:p w14:paraId="7C687594" w14:textId="77777777" w:rsidR="00686036" w:rsidRPr="00686036" w:rsidRDefault="00686036" w:rsidP="00686036">
      <w:pPr>
        <w:jc w:val="both"/>
        <w:rPr>
          <w:rFonts w:cs="Times New Roman"/>
          <w:i/>
          <w:sz w:val="22"/>
        </w:rPr>
      </w:pPr>
    </w:p>
    <w:p w14:paraId="4E73A873" w14:textId="77777777" w:rsidR="00E51B0E" w:rsidRDefault="00FB0CF3" w:rsidP="00FB0CF3">
      <w:pPr>
        <w:widowControl w:val="0"/>
        <w:autoSpaceDE w:val="0"/>
        <w:autoSpaceDN w:val="0"/>
        <w:spacing w:after="0" w:line="240" w:lineRule="auto"/>
        <w:jc w:val="both"/>
        <w:outlineLvl w:val="0"/>
        <w:rPr>
          <w:rFonts w:eastAsia="Times New Roman" w:cs="Times New Roman"/>
          <w:b/>
          <w:bCs/>
          <w:spacing w:val="-2"/>
          <w:szCs w:val="24"/>
        </w:rPr>
      </w:pPr>
      <w:commentRangeStart w:id="9"/>
      <w:r>
        <w:rPr>
          <w:rFonts w:eastAsia="Times New Roman" w:cs="Times New Roman"/>
          <w:b/>
          <w:bCs/>
          <w:szCs w:val="24"/>
        </w:rPr>
        <w:t>3.3 Sensory Attributes</w:t>
      </w:r>
      <w:r w:rsidR="00E51B0E" w:rsidRPr="002D2E3D">
        <w:rPr>
          <w:rFonts w:eastAsia="Times New Roman" w:cs="Times New Roman"/>
          <w:b/>
          <w:bCs/>
          <w:spacing w:val="-3"/>
          <w:szCs w:val="24"/>
        </w:rPr>
        <w:t xml:space="preserve"> </w:t>
      </w:r>
      <w:r w:rsidR="00E51B0E" w:rsidRPr="002D2E3D">
        <w:rPr>
          <w:rFonts w:eastAsia="Times New Roman" w:cs="Times New Roman"/>
          <w:b/>
          <w:bCs/>
          <w:szCs w:val="24"/>
        </w:rPr>
        <w:t>of Maize-Soybean</w:t>
      </w:r>
      <w:r w:rsidR="00E51B0E" w:rsidRPr="002D2E3D">
        <w:rPr>
          <w:rFonts w:eastAsia="Times New Roman" w:cs="Times New Roman"/>
          <w:b/>
          <w:bCs/>
          <w:spacing w:val="-2"/>
          <w:szCs w:val="24"/>
        </w:rPr>
        <w:t xml:space="preserve"> </w:t>
      </w:r>
      <w:r w:rsidR="00E51B0E" w:rsidRPr="002D2E3D">
        <w:rPr>
          <w:rFonts w:eastAsia="Times New Roman" w:cs="Times New Roman"/>
          <w:b/>
          <w:bCs/>
          <w:szCs w:val="24"/>
        </w:rPr>
        <w:t>Pap</w:t>
      </w:r>
      <w:r w:rsidR="00E51B0E" w:rsidRPr="002D2E3D">
        <w:rPr>
          <w:rFonts w:eastAsia="Times New Roman" w:cs="Times New Roman"/>
          <w:b/>
          <w:bCs/>
          <w:spacing w:val="-1"/>
          <w:szCs w:val="24"/>
        </w:rPr>
        <w:t xml:space="preserve"> </w:t>
      </w:r>
      <w:r w:rsidR="00E51B0E" w:rsidRPr="002D2E3D">
        <w:rPr>
          <w:rFonts w:eastAsia="Times New Roman" w:cs="Times New Roman"/>
          <w:b/>
          <w:bCs/>
          <w:szCs w:val="24"/>
        </w:rPr>
        <w:t>Blends</w:t>
      </w:r>
      <w:r w:rsidR="00E51B0E" w:rsidRPr="002D2E3D">
        <w:rPr>
          <w:rFonts w:eastAsia="Times New Roman" w:cs="Times New Roman"/>
          <w:b/>
          <w:bCs/>
          <w:spacing w:val="-1"/>
          <w:szCs w:val="24"/>
        </w:rPr>
        <w:t xml:space="preserve"> </w:t>
      </w:r>
      <w:r w:rsidR="00E51B0E" w:rsidRPr="002D2E3D">
        <w:rPr>
          <w:rFonts w:eastAsia="Times New Roman" w:cs="Times New Roman"/>
          <w:b/>
          <w:bCs/>
          <w:spacing w:val="-2"/>
          <w:szCs w:val="24"/>
        </w:rPr>
        <w:t>Powder</w:t>
      </w:r>
      <w:commentRangeEnd w:id="9"/>
      <w:r w:rsidR="00A67E19">
        <w:rPr>
          <w:rStyle w:val="CommentReference"/>
        </w:rPr>
        <w:commentReference w:id="9"/>
      </w:r>
    </w:p>
    <w:p w14:paraId="46121D04" w14:textId="77777777" w:rsidR="00FB0CF3" w:rsidRDefault="00FB0CF3" w:rsidP="00FB0CF3">
      <w:pPr>
        <w:widowControl w:val="0"/>
        <w:autoSpaceDE w:val="0"/>
        <w:autoSpaceDN w:val="0"/>
        <w:spacing w:after="0" w:line="240" w:lineRule="auto"/>
        <w:jc w:val="both"/>
        <w:outlineLvl w:val="0"/>
        <w:rPr>
          <w:rFonts w:eastAsia="Times New Roman" w:cs="Times New Roman"/>
          <w:b/>
          <w:bCs/>
          <w:spacing w:val="-2"/>
          <w:szCs w:val="24"/>
        </w:rPr>
      </w:pPr>
    </w:p>
    <w:p w14:paraId="3FF0091B" w14:textId="77777777" w:rsidR="00B15DE6" w:rsidRPr="00B15DE6" w:rsidRDefault="00B15DE6" w:rsidP="00B15DE6">
      <w:pPr>
        <w:widowControl w:val="0"/>
        <w:autoSpaceDE w:val="0"/>
        <w:autoSpaceDN w:val="0"/>
        <w:spacing w:after="0" w:line="240" w:lineRule="auto"/>
        <w:jc w:val="both"/>
        <w:outlineLvl w:val="0"/>
        <w:rPr>
          <w:rFonts w:cs="Times New Roman"/>
          <w:sz w:val="22"/>
        </w:rPr>
      </w:pPr>
      <w:r w:rsidRPr="00B15DE6">
        <w:rPr>
          <w:rFonts w:cs="Times New Roman"/>
          <w:sz w:val="22"/>
        </w:rPr>
        <w:t xml:space="preserve">The sensory attributes of the maize–soybean pap blends are presented in Table 4. Significant </w:t>
      </w:r>
      <w:r w:rsidRPr="00686036">
        <w:rPr>
          <w:rFonts w:cs="Times New Roman"/>
          <w:b/>
          <w:sz w:val="22"/>
        </w:rPr>
        <w:t xml:space="preserve">differences </w:t>
      </w:r>
      <w:r w:rsidRPr="00686036">
        <w:rPr>
          <w:rFonts w:cs="Times New Roman"/>
          <w:sz w:val="22"/>
        </w:rPr>
        <w:t>(</w:t>
      </w:r>
      <w:r w:rsidRPr="00686036">
        <w:rPr>
          <w:rFonts w:cs="Times New Roman"/>
          <w:bCs/>
          <w:sz w:val="22"/>
        </w:rPr>
        <w:t>p &lt; 0.05</w:t>
      </w:r>
      <w:r w:rsidRPr="00686036">
        <w:rPr>
          <w:rFonts w:cs="Times New Roman"/>
          <w:sz w:val="22"/>
        </w:rPr>
        <w:t>)</w:t>
      </w:r>
      <w:r w:rsidRPr="00B15DE6">
        <w:rPr>
          <w:rFonts w:cs="Times New Roman"/>
          <w:sz w:val="22"/>
        </w:rPr>
        <w:t xml:space="preserve"> were observed among the for</w:t>
      </w:r>
      <w:r w:rsidR="00686036">
        <w:rPr>
          <w:rFonts w:cs="Times New Roman"/>
          <w:sz w:val="22"/>
        </w:rPr>
        <w:t>mulations for mouth-feel, flavor, colo</w:t>
      </w:r>
      <w:r w:rsidRPr="00B15DE6">
        <w:rPr>
          <w:rFonts w:cs="Times New Roman"/>
          <w:sz w:val="22"/>
        </w:rPr>
        <w:t>r, taste and overall acceptability. The results indicate that increasing soybean incorporation considerably influenced the sensory characteristics of the pap. This is expected because soybean contributes substantial protein, lipid and other components th</w:t>
      </w:r>
      <w:r w:rsidR="00686036">
        <w:rPr>
          <w:rFonts w:cs="Times New Roman"/>
          <w:sz w:val="22"/>
        </w:rPr>
        <w:t>at can alter the texture, flavo</w:t>
      </w:r>
      <w:r w:rsidRPr="00B15DE6">
        <w:rPr>
          <w:rFonts w:cs="Times New Roman"/>
          <w:sz w:val="22"/>
        </w:rPr>
        <w:t>r, taste and appearance of cereal-based foods. Although soybean enrichment is nutritionally advantageous, its incorporation into cereal products must be carefully controlled because excessive soybean levels may introduce characteristic sensory attributes that reduce consumer acceptance (</w:t>
      </w:r>
      <w:proofErr w:type="spellStart"/>
      <w:r w:rsidRPr="00B15DE6">
        <w:rPr>
          <w:rFonts w:cs="Times New Roman"/>
          <w:sz w:val="22"/>
        </w:rPr>
        <w:t>Uwaegbute</w:t>
      </w:r>
      <w:proofErr w:type="spellEnd"/>
      <w:r w:rsidRPr="00B15DE6">
        <w:rPr>
          <w:rFonts w:cs="Times New Roman"/>
          <w:sz w:val="22"/>
        </w:rPr>
        <w:t xml:space="preserve"> et al., 1999; Messina, 1999; Singh et al., 2008).</w:t>
      </w:r>
    </w:p>
    <w:p w14:paraId="769A24CD" w14:textId="77777777" w:rsidR="00686036" w:rsidRPr="00686036" w:rsidRDefault="00686036" w:rsidP="00B15DE6">
      <w:pPr>
        <w:widowControl w:val="0"/>
        <w:autoSpaceDE w:val="0"/>
        <w:autoSpaceDN w:val="0"/>
        <w:spacing w:after="0" w:line="240" w:lineRule="auto"/>
        <w:jc w:val="both"/>
        <w:outlineLvl w:val="0"/>
        <w:rPr>
          <w:rFonts w:cs="Times New Roman"/>
          <w:sz w:val="22"/>
        </w:rPr>
      </w:pPr>
    </w:p>
    <w:p w14:paraId="1282BE11" w14:textId="77777777" w:rsidR="00B15DE6" w:rsidRPr="00686036" w:rsidRDefault="00B15DE6" w:rsidP="00B15DE6">
      <w:pPr>
        <w:widowControl w:val="0"/>
        <w:autoSpaceDE w:val="0"/>
        <w:autoSpaceDN w:val="0"/>
        <w:spacing w:after="0" w:line="240" w:lineRule="auto"/>
        <w:jc w:val="both"/>
        <w:outlineLvl w:val="0"/>
        <w:rPr>
          <w:rFonts w:cs="Times New Roman"/>
          <w:sz w:val="22"/>
        </w:rPr>
      </w:pPr>
      <w:r w:rsidRPr="00686036">
        <w:rPr>
          <w:rFonts w:cs="Times New Roman"/>
          <w:sz w:val="22"/>
        </w:rPr>
        <w:t xml:space="preserve">The mouth-feel scores ranged from </w:t>
      </w:r>
      <w:r w:rsidRPr="00686036">
        <w:rPr>
          <w:rFonts w:cs="Times New Roman"/>
          <w:bCs/>
          <w:sz w:val="22"/>
        </w:rPr>
        <w:t>4.20 to 7.00</w:t>
      </w:r>
      <w:r w:rsidRPr="00686036">
        <w:rPr>
          <w:rFonts w:cs="Times New Roman"/>
          <w:sz w:val="22"/>
        </w:rPr>
        <w:t xml:space="preserve">. The control A (100:0) recorded a score of </w:t>
      </w:r>
      <w:r w:rsidRPr="00686036">
        <w:rPr>
          <w:rFonts w:cs="Times New Roman"/>
          <w:bCs/>
          <w:sz w:val="22"/>
        </w:rPr>
        <w:t>6.90</w:t>
      </w:r>
      <w:r w:rsidRPr="00686036">
        <w:rPr>
          <w:rFonts w:cs="Times New Roman"/>
          <w:sz w:val="22"/>
        </w:rPr>
        <w:t xml:space="preserve">, while B (90:10) had </w:t>
      </w:r>
      <w:r w:rsidRPr="00686036">
        <w:rPr>
          <w:rFonts w:cs="Times New Roman"/>
          <w:sz w:val="22"/>
        </w:rPr>
        <w:lastRenderedPageBreak/>
        <w:t xml:space="preserve">the highest score of </w:t>
      </w:r>
      <w:r w:rsidRPr="00686036">
        <w:rPr>
          <w:rFonts w:cs="Times New Roman"/>
          <w:bCs/>
          <w:sz w:val="22"/>
        </w:rPr>
        <w:t>7.00</w:t>
      </w:r>
      <w:r w:rsidRPr="00686036">
        <w:rPr>
          <w:rFonts w:cs="Times New Roman"/>
          <w:sz w:val="22"/>
        </w:rPr>
        <w:t xml:space="preserve">. The score decreased to </w:t>
      </w:r>
      <w:r w:rsidRPr="00686036">
        <w:rPr>
          <w:rFonts w:cs="Times New Roman"/>
          <w:bCs/>
          <w:sz w:val="22"/>
        </w:rPr>
        <w:t>6.30 in C (80:20)</w:t>
      </w:r>
      <w:r w:rsidRPr="00686036">
        <w:rPr>
          <w:rFonts w:cs="Times New Roman"/>
          <w:sz w:val="22"/>
        </w:rPr>
        <w:t xml:space="preserve"> and </w:t>
      </w:r>
      <w:r w:rsidRPr="00686036">
        <w:rPr>
          <w:rFonts w:cs="Times New Roman"/>
          <w:bCs/>
          <w:sz w:val="22"/>
        </w:rPr>
        <w:t>4.20 in D (70:30)</w:t>
      </w:r>
      <w:r w:rsidRPr="00686036">
        <w:rPr>
          <w:rFonts w:cs="Times New Roman"/>
          <w:sz w:val="22"/>
        </w:rPr>
        <w:t xml:space="preserve">, before increasing slightly to </w:t>
      </w:r>
      <w:r w:rsidRPr="00686036">
        <w:rPr>
          <w:rFonts w:cs="Times New Roman"/>
          <w:bCs/>
          <w:sz w:val="22"/>
        </w:rPr>
        <w:t>4.40 in E (60:40)</w:t>
      </w:r>
      <w:r w:rsidRPr="00686036">
        <w:rPr>
          <w:rFonts w:cs="Times New Roman"/>
          <w:sz w:val="22"/>
        </w:rPr>
        <w:t xml:space="preserve"> and </w:t>
      </w:r>
      <w:r w:rsidRPr="00686036">
        <w:rPr>
          <w:rFonts w:cs="Times New Roman"/>
          <w:bCs/>
          <w:sz w:val="22"/>
        </w:rPr>
        <w:t>4.50 in F (50:50)</w:t>
      </w:r>
      <w:r w:rsidRPr="00686036">
        <w:rPr>
          <w:rFonts w:cs="Times New Roman"/>
          <w:sz w:val="22"/>
        </w:rPr>
        <w:t>.</w:t>
      </w:r>
      <w:r w:rsidR="00686036">
        <w:rPr>
          <w:rFonts w:cs="Times New Roman"/>
          <w:sz w:val="22"/>
        </w:rPr>
        <w:t xml:space="preserve"> </w:t>
      </w:r>
      <w:r w:rsidRPr="00686036">
        <w:rPr>
          <w:rFonts w:cs="Times New Roman"/>
          <w:sz w:val="22"/>
        </w:rPr>
        <w:t xml:space="preserve">The high mouth-feel scores obtained for A (100:0) and B (90:10) indicate that the panelists preferred the oral characteristics of the conventional maize pap and the formulation containing 10% soybean. The reduction at higher soybean incorporation levels suggests that soybean addition altered the physical characteristics of the reconstituted pap, possibly affecting smoothness, consistency and perceived thickness. Cereal–legume substitution is known to influence hydration and rheological properties because cereal and legume flours differ in protein, </w:t>
      </w:r>
      <w:proofErr w:type="spellStart"/>
      <w:r w:rsidRPr="00686036">
        <w:rPr>
          <w:rFonts w:cs="Times New Roman"/>
          <w:sz w:val="22"/>
        </w:rPr>
        <w:t>fibre</w:t>
      </w:r>
      <w:proofErr w:type="spellEnd"/>
      <w:r w:rsidRPr="00686036">
        <w:rPr>
          <w:rFonts w:cs="Times New Roman"/>
          <w:sz w:val="22"/>
        </w:rPr>
        <w:t xml:space="preserve">, starch </w:t>
      </w:r>
      <w:r w:rsidR="00122AB3">
        <w:rPr>
          <w:rFonts w:cs="Times New Roman"/>
          <w:sz w:val="22"/>
        </w:rPr>
        <w:t>and lipid composition (</w:t>
      </w:r>
      <w:proofErr w:type="spellStart"/>
      <w:r w:rsidR="00122AB3">
        <w:rPr>
          <w:rFonts w:cs="Times New Roman"/>
          <w:sz w:val="22"/>
        </w:rPr>
        <w:t>Iwe</w:t>
      </w:r>
      <w:proofErr w:type="spellEnd"/>
      <w:r w:rsidR="00122AB3">
        <w:rPr>
          <w:rFonts w:cs="Times New Roman"/>
          <w:sz w:val="22"/>
        </w:rPr>
        <w:t>, 2010</w:t>
      </w:r>
      <w:r w:rsidRPr="00686036">
        <w:rPr>
          <w:rFonts w:cs="Times New Roman"/>
          <w:sz w:val="22"/>
        </w:rPr>
        <w:t>; Singh et al., 2008).</w:t>
      </w:r>
      <w:r w:rsidR="00686036">
        <w:rPr>
          <w:rFonts w:cs="Times New Roman"/>
          <w:sz w:val="22"/>
        </w:rPr>
        <w:t xml:space="preserve"> </w:t>
      </w:r>
      <w:r w:rsidRPr="00686036">
        <w:rPr>
          <w:rFonts w:cs="Times New Roman"/>
          <w:sz w:val="22"/>
        </w:rPr>
        <w:t xml:space="preserve">The relatively lower mouth-feel scores recorded for D (70:30), E (60:40) and F (50:50) suggest that higher soybean incorporation may have produced a mouth sensation different from that expected of traditional maize pap. </w:t>
      </w:r>
      <w:proofErr w:type="spellStart"/>
      <w:r w:rsidRPr="00686036">
        <w:rPr>
          <w:rFonts w:cs="Times New Roman"/>
          <w:sz w:val="22"/>
        </w:rPr>
        <w:t>Uwaegbute</w:t>
      </w:r>
      <w:proofErr w:type="spellEnd"/>
      <w:r w:rsidRPr="00686036">
        <w:rPr>
          <w:rFonts w:cs="Times New Roman"/>
          <w:sz w:val="22"/>
        </w:rPr>
        <w:t xml:space="preserve"> et al. (1999) similarly demonstrated that soybean fortification and processing affected the organoleptic properties of pap. Their study showed that appropriate soybean processing was important in obtaining acceptable sensory characteristics.</w:t>
      </w:r>
    </w:p>
    <w:p w14:paraId="3CC253BD" w14:textId="77777777" w:rsidR="00686036" w:rsidRDefault="00686036" w:rsidP="00B15DE6">
      <w:pPr>
        <w:widowControl w:val="0"/>
        <w:autoSpaceDE w:val="0"/>
        <w:autoSpaceDN w:val="0"/>
        <w:spacing w:after="0" w:line="240" w:lineRule="auto"/>
        <w:jc w:val="both"/>
        <w:outlineLvl w:val="0"/>
        <w:rPr>
          <w:rFonts w:cs="Times New Roman"/>
          <w:bCs/>
          <w:sz w:val="22"/>
        </w:rPr>
      </w:pPr>
    </w:p>
    <w:p w14:paraId="06135108" w14:textId="77777777" w:rsidR="00B15DE6" w:rsidRPr="00686036" w:rsidRDefault="00686036" w:rsidP="00B15DE6">
      <w:pPr>
        <w:widowControl w:val="0"/>
        <w:autoSpaceDE w:val="0"/>
        <w:autoSpaceDN w:val="0"/>
        <w:spacing w:after="0" w:line="240" w:lineRule="auto"/>
        <w:jc w:val="both"/>
        <w:outlineLvl w:val="0"/>
        <w:rPr>
          <w:rFonts w:cs="Times New Roman"/>
          <w:sz w:val="22"/>
        </w:rPr>
      </w:pPr>
      <w:r>
        <w:rPr>
          <w:rFonts w:cs="Times New Roman"/>
          <w:sz w:val="22"/>
        </w:rPr>
        <w:t>Flavo</w:t>
      </w:r>
      <w:r w:rsidR="00B15DE6" w:rsidRPr="00686036">
        <w:rPr>
          <w:rFonts w:cs="Times New Roman"/>
          <w:sz w:val="22"/>
        </w:rPr>
        <w:t>r showed a pronounced decline with increasing soybean incorporation. A (100:0) recorded t</w:t>
      </w:r>
      <w:r>
        <w:rPr>
          <w:rFonts w:cs="Times New Roman"/>
          <w:sz w:val="22"/>
        </w:rPr>
        <w:t>he highest flavo</w:t>
      </w:r>
      <w:r w:rsidR="00B15DE6" w:rsidRPr="00686036">
        <w:rPr>
          <w:rFonts w:cs="Times New Roman"/>
          <w:sz w:val="22"/>
        </w:rPr>
        <w:t xml:space="preserve">r score of </w:t>
      </w:r>
      <w:r w:rsidR="00B15DE6" w:rsidRPr="00686036">
        <w:rPr>
          <w:rFonts w:cs="Times New Roman"/>
          <w:bCs/>
          <w:sz w:val="22"/>
        </w:rPr>
        <w:t>6.90</w:t>
      </w:r>
      <w:r w:rsidR="00B15DE6" w:rsidRPr="00686036">
        <w:rPr>
          <w:rFonts w:cs="Times New Roman"/>
          <w:sz w:val="22"/>
        </w:rPr>
        <w:t xml:space="preserve">, followed by B (90:10) at </w:t>
      </w:r>
      <w:r w:rsidR="00B15DE6" w:rsidRPr="00686036">
        <w:rPr>
          <w:rFonts w:cs="Times New Roman"/>
          <w:bCs/>
          <w:sz w:val="22"/>
        </w:rPr>
        <w:t>6.30</w:t>
      </w:r>
      <w:r w:rsidR="00B15DE6" w:rsidRPr="00686036">
        <w:rPr>
          <w:rFonts w:cs="Times New Roman"/>
          <w:sz w:val="22"/>
        </w:rPr>
        <w:t xml:space="preserve"> and C (80:20) at </w:t>
      </w:r>
      <w:r w:rsidR="00B15DE6" w:rsidRPr="00686036">
        <w:rPr>
          <w:rFonts w:cs="Times New Roman"/>
          <w:bCs/>
          <w:sz w:val="22"/>
        </w:rPr>
        <w:t>5.50</w:t>
      </w:r>
      <w:r w:rsidR="00B15DE6" w:rsidRPr="00686036">
        <w:rPr>
          <w:rFonts w:cs="Times New Roman"/>
          <w:sz w:val="22"/>
        </w:rPr>
        <w:t xml:space="preserve">. The score declined considerably to </w:t>
      </w:r>
      <w:r w:rsidR="00B15DE6" w:rsidRPr="00686036">
        <w:rPr>
          <w:rFonts w:cs="Times New Roman"/>
          <w:bCs/>
          <w:sz w:val="22"/>
        </w:rPr>
        <w:t>3.90 in D (70:30)</w:t>
      </w:r>
      <w:r w:rsidR="00B15DE6" w:rsidRPr="00686036">
        <w:rPr>
          <w:rFonts w:cs="Times New Roman"/>
          <w:sz w:val="22"/>
        </w:rPr>
        <w:t xml:space="preserve">, </w:t>
      </w:r>
      <w:r w:rsidR="00B15DE6" w:rsidRPr="00686036">
        <w:rPr>
          <w:rFonts w:cs="Times New Roman"/>
          <w:bCs/>
          <w:sz w:val="22"/>
        </w:rPr>
        <w:t>3.80 in E (60:40)</w:t>
      </w:r>
      <w:r w:rsidR="00B15DE6" w:rsidRPr="00686036">
        <w:rPr>
          <w:rFonts w:cs="Times New Roman"/>
          <w:sz w:val="22"/>
        </w:rPr>
        <w:t xml:space="preserve"> and </w:t>
      </w:r>
      <w:r w:rsidR="00B15DE6" w:rsidRPr="00686036">
        <w:rPr>
          <w:rFonts w:cs="Times New Roman"/>
          <w:bCs/>
          <w:sz w:val="22"/>
        </w:rPr>
        <w:t>3.30 in F (50:50)</w:t>
      </w:r>
      <w:r w:rsidR="00B15DE6" w:rsidRPr="00686036">
        <w:rPr>
          <w:rFonts w:cs="Times New Roman"/>
          <w:sz w:val="22"/>
        </w:rPr>
        <w:t>.</w:t>
      </w:r>
      <w:r>
        <w:rPr>
          <w:rFonts w:cs="Times New Roman"/>
          <w:sz w:val="22"/>
        </w:rPr>
        <w:t xml:space="preserve"> </w:t>
      </w:r>
      <w:r w:rsidR="00B15DE6" w:rsidRPr="00686036">
        <w:rPr>
          <w:rFonts w:cs="Times New Roman"/>
          <w:sz w:val="22"/>
        </w:rPr>
        <w:t>The</w:t>
      </w:r>
      <w:r>
        <w:rPr>
          <w:rFonts w:cs="Times New Roman"/>
          <w:sz w:val="22"/>
        </w:rPr>
        <w:t xml:space="preserve"> progressive reduction in flavo</w:t>
      </w:r>
      <w:r w:rsidR="00B15DE6" w:rsidRPr="00686036">
        <w:rPr>
          <w:rFonts w:cs="Times New Roman"/>
          <w:sz w:val="22"/>
        </w:rPr>
        <w:t xml:space="preserve">r acceptance may be associated with the characteristic </w:t>
      </w:r>
      <w:r>
        <w:rPr>
          <w:rFonts w:cs="Times New Roman"/>
          <w:bCs/>
          <w:sz w:val="22"/>
        </w:rPr>
        <w:t>beany or grassy flavo</w:t>
      </w:r>
      <w:r w:rsidR="00B15DE6" w:rsidRPr="00686036">
        <w:rPr>
          <w:rFonts w:cs="Times New Roman"/>
          <w:bCs/>
          <w:sz w:val="22"/>
        </w:rPr>
        <w:t>r of soybean</w:t>
      </w:r>
      <w:r w:rsidR="00B15DE6" w:rsidRPr="00686036">
        <w:rPr>
          <w:rFonts w:cs="Times New Roman"/>
          <w:sz w:val="22"/>
        </w:rPr>
        <w:t xml:space="preserve">. Soybean contains lipoxygenase enzymes that </w:t>
      </w:r>
      <w:proofErr w:type="spellStart"/>
      <w:r w:rsidR="00B15DE6" w:rsidRPr="00686036">
        <w:rPr>
          <w:rFonts w:cs="Times New Roman"/>
          <w:sz w:val="22"/>
        </w:rPr>
        <w:t>catalyse</w:t>
      </w:r>
      <w:proofErr w:type="spellEnd"/>
      <w:r w:rsidR="00B15DE6" w:rsidRPr="00686036">
        <w:rPr>
          <w:rFonts w:cs="Times New Roman"/>
          <w:sz w:val="22"/>
        </w:rPr>
        <w:t xml:space="preserve"> the oxidation of polyunsaturated fatty acids, producing volatile compounds that contribute to undesirable sensory notes. Yang et al. (2016) demonstrated that soybean lipoxygenases contribute substantially to grassy and beany aromas in soy foods, while Wang et al</w:t>
      </w:r>
      <w:r>
        <w:rPr>
          <w:rFonts w:cs="Times New Roman"/>
          <w:sz w:val="22"/>
        </w:rPr>
        <w:t>. (2021) identified beany flavo</w:t>
      </w:r>
      <w:r w:rsidR="00B15DE6" w:rsidRPr="00686036">
        <w:rPr>
          <w:rFonts w:cs="Times New Roman"/>
          <w:sz w:val="22"/>
        </w:rPr>
        <w:t>r as one of the major limitations to the wider utilization of soybean-derived foods.</w:t>
      </w:r>
      <w:r>
        <w:rPr>
          <w:rFonts w:cs="Times New Roman"/>
          <w:sz w:val="22"/>
        </w:rPr>
        <w:t xml:space="preserve"> </w:t>
      </w:r>
      <w:r w:rsidR="00B15DE6" w:rsidRPr="00686036">
        <w:rPr>
          <w:rFonts w:cs="Times New Roman"/>
          <w:sz w:val="22"/>
        </w:rPr>
        <w:t xml:space="preserve">The present results are also consistent with </w:t>
      </w:r>
      <w:proofErr w:type="spellStart"/>
      <w:r w:rsidR="00B15DE6" w:rsidRPr="00686036">
        <w:rPr>
          <w:rFonts w:cs="Times New Roman"/>
          <w:sz w:val="22"/>
        </w:rPr>
        <w:t>Uwaegbute</w:t>
      </w:r>
      <w:proofErr w:type="spellEnd"/>
      <w:r w:rsidR="00B15DE6" w:rsidRPr="00686036">
        <w:rPr>
          <w:rFonts w:cs="Times New Roman"/>
          <w:sz w:val="22"/>
        </w:rPr>
        <w:t xml:space="preserve"> et al. (1999), who found that processing soybean before incorpor</w:t>
      </w:r>
      <w:r>
        <w:rPr>
          <w:rFonts w:cs="Times New Roman"/>
          <w:sz w:val="22"/>
        </w:rPr>
        <w:t>ation into pap influenced flavo</w:t>
      </w:r>
      <w:r w:rsidR="00B15DE6" w:rsidRPr="00686036">
        <w:rPr>
          <w:rFonts w:cs="Times New Roman"/>
          <w:sz w:val="22"/>
        </w:rPr>
        <w:t xml:space="preserve">r and overall acceptability. The relatively high score of </w:t>
      </w:r>
      <w:r w:rsidR="00B15DE6" w:rsidRPr="00686036">
        <w:rPr>
          <w:rFonts w:cs="Times New Roman"/>
          <w:bCs/>
          <w:sz w:val="22"/>
        </w:rPr>
        <w:t>6.30 for B (90:10)</w:t>
      </w:r>
      <w:r w:rsidR="00B15DE6" w:rsidRPr="00686036">
        <w:rPr>
          <w:rFonts w:cs="Times New Roman"/>
          <w:sz w:val="22"/>
        </w:rPr>
        <w:t xml:space="preserve"> indicates that 10% soybean incorporation caused only a mo</w:t>
      </w:r>
      <w:r>
        <w:rPr>
          <w:rFonts w:cs="Times New Roman"/>
          <w:sz w:val="22"/>
        </w:rPr>
        <w:t>dest reduction in flavo</w:t>
      </w:r>
      <w:r w:rsidR="00B15DE6" w:rsidRPr="00686036">
        <w:rPr>
          <w:rFonts w:cs="Times New Roman"/>
          <w:sz w:val="22"/>
        </w:rPr>
        <w:t>r acceptance. In contrast, the much lower scores recorded for D (70:30), E (60:40) and F (50:50) suggest that t</w:t>
      </w:r>
      <w:r w:rsidR="00122AB3">
        <w:rPr>
          <w:rFonts w:cs="Times New Roman"/>
          <w:sz w:val="22"/>
        </w:rPr>
        <w:t>he characteristic soybean flavo</w:t>
      </w:r>
      <w:r w:rsidR="00B15DE6" w:rsidRPr="00686036">
        <w:rPr>
          <w:rFonts w:cs="Times New Roman"/>
          <w:sz w:val="22"/>
        </w:rPr>
        <w:t>r became increasingly prominent as the level of soybean increased.</w:t>
      </w:r>
      <w:r w:rsidR="00CC4746">
        <w:rPr>
          <w:rFonts w:cs="Times New Roman"/>
          <w:sz w:val="22"/>
        </w:rPr>
        <w:t xml:space="preserve"> </w:t>
      </w:r>
      <w:r w:rsidR="00B15DE6" w:rsidRPr="00686036">
        <w:rPr>
          <w:rFonts w:cs="Times New Roman"/>
          <w:sz w:val="22"/>
        </w:rPr>
        <w:t>Processing is therefore important when developing highly fortified maize–soybean pap. Heat treatment can reduce lipoxygenase activity and consequently decrease the formation of undesirable volatile compounds. Chong et al. (2019), for example, reported that thermal treatment of soybean si</w:t>
      </w:r>
      <w:r w:rsidR="00CC4746">
        <w:rPr>
          <w:rFonts w:cs="Times New Roman"/>
          <w:sz w:val="22"/>
        </w:rPr>
        <w:t>gnificantly reduced beany flavo</w:t>
      </w:r>
      <w:r w:rsidR="00B15DE6" w:rsidRPr="00686036">
        <w:rPr>
          <w:rFonts w:cs="Times New Roman"/>
          <w:sz w:val="22"/>
        </w:rPr>
        <w:t>r in soymilk by reducing lipoxygenase activity. Similarly, Yang et al. (2016) found that products prepared from lipoxygenase-deficient soybean had less undesirable aroma and were more acceptable to consumers.</w:t>
      </w:r>
    </w:p>
    <w:p w14:paraId="2E184B71" w14:textId="77777777" w:rsidR="00CC4746" w:rsidRDefault="00CC4746" w:rsidP="00B15DE6">
      <w:pPr>
        <w:widowControl w:val="0"/>
        <w:autoSpaceDE w:val="0"/>
        <w:autoSpaceDN w:val="0"/>
        <w:spacing w:after="0" w:line="240" w:lineRule="auto"/>
        <w:jc w:val="both"/>
        <w:outlineLvl w:val="0"/>
        <w:rPr>
          <w:rFonts w:cs="Times New Roman"/>
          <w:bCs/>
          <w:sz w:val="22"/>
        </w:rPr>
      </w:pPr>
    </w:p>
    <w:p w14:paraId="7512F5FB" w14:textId="77777777" w:rsidR="00B15DE6" w:rsidRPr="00686036" w:rsidRDefault="00CC4746" w:rsidP="00B15DE6">
      <w:pPr>
        <w:widowControl w:val="0"/>
        <w:autoSpaceDE w:val="0"/>
        <w:autoSpaceDN w:val="0"/>
        <w:spacing w:after="0" w:line="240" w:lineRule="auto"/>
        <w:jc w:val="both"/>
        <w:outlineLvl w:val="0"/>
        <w:rPr>
          <w:rFonts w:cs="Times New Roman"/>
          <w:sz w:val="22"/>
        </w:rPr>
      </w:pPr>
      <w:r>
        <w:rPr>
          <w:rFonts w:cs="Times New Roman"/>
          <w:sz w:val="22"/>
        </w:rPr>
        <w:t>Colo</w:t>
      </w:r>
      <w:r w:rsidR="00B15DE6" w:rsidRPr="00686036">
        <w:rPr>
          <w:rFonts w:cs="Times New Roman"/>
          <w:sz w:val="22"/>
        </w:rPr>
        <w:t xml:space="preserve">r scores ranged from </w:t>
      </w:r>
      <w:r w:rsidR="00B15DE6" w:rsidRPr="00686036">
        <w:rPr>
          <w:rFonts w:cs="Times New Roman"/>
          <w:bCs/>
          <w:sz w:val="22"/>
        </w:rPr>
        <w:t>5.50 to 7.00</w:t>
      </w:r>
      <w:r w:rsidR="00B15DE6" w:rsidRPr="00686036">
        <w:rPr>
          <w:rFonts w:cs="Times New Roman"/>
          <w:sz w:val="22"/>
        </w:rPr>
        <w:t xml:space="preserve">. A (100:0) and F (50:50) both recorded the highest score of </w:t>
      </w:r>
      <w:r w:rsidR="00B15DE6" w:rsidRPr="00686036">
        <w:rPr>
          <w:rFonts w:cs="Times New Roman"/>
          <w:bCs/>
          <w:sz w:val="22"/>
        </w:rPr>
        <w:t>7.00</w:t>
      </w:r>
      <w:r w:rsidR="00B15DE6" w:rsidRPr="00686036">
        <w:rPr>
          <w:rFonts w:cs="Times New Roman"/>
          <w:sz w:val="22"/>
        </w:rPr>
        <w:t xml:space="preserve">, while B (90:10) recorded </w:t>
      </w:r>
      <w:r w:rsidR="00B15DE6" w:rsidRPr="00686036">
        <w:rPr>
          <w:rFonts w:cs="Times New Roman"/>
          <w:bCs/>
          <w:sz w:val="22"/>
        </w:rPr>
        <w:t>6.90</w:t>
      </w:r>
      <w:r w:rsidR="00B15DE6" w:rsidRPr="00686036">
        <w:rPr>
          <w:rFonts w:cs="Times New Roman"/>
          <w:sz w:val="22"/>
        </w:rPr>
        <w:t xml:space="preserve">. The score decreased to </w:t>
      </w:r>
      <w:r w:rsidR="00B15DE6" w:rsidRPr="00686036">
        <w:rPr>
          <w:rFonts w:cs="Times New Roman"/>
          <w:bCs/>
          <w:sz w:val="22"/>
        </w:rPr>
        <w:t>5.50 in C (80:20)</w:t>
      </w:r>
      <w:r w:rsidR="00B15DE6" w:rsidRPr="00686036">
        <w:rPr>
          <w:rFonts w:cs="Times New Roman"/>
          <w:sz w:val="22"/>
        </w:rPr>
        <w:t xml:space="preserve"> and </w:t>
      </w:r>
      <w:r w:rsidR="00B15DE6" w:rsidRPr="00686036">
        <w:rPr>
          <w:rFonts w:cs="Times New Roman"/>
          <w:bCs/>
          <w:sz w:val="22"/>
        </w:rPr>
        <w:t>5.60 in D (70:30)</w:t>
      </w:r>
      <w:r w:rsidR="00B15DE6" w:rsidRPr="00686036">
        <w:rPr>
          <w:rFonts w:cs="Times New Roman"/>
          <w:sz w:val="22"/>
        </w:rPr>
        <w:t xml:space="preserve"> before increasing to </w:t>
      </w:r>
      <w:r w:rsidR="00B15DE6" w:rsidRPr="00686036">
        <w:rPr>
          <w:rFonts w:cs="Times New Roman"/>
          <w:bCs/>
          <w:sz w:val="22"/>
        </w:rPr>
        <w:t>6.60 in E (60:40)</w:t>
      </w:r>
      <w:r w:rsidR="00B15DE6" w:rsidRPr="00686036">
        <w:rPr>
          <w:rFonts w:cs="Times New Roman"/>
          <w:sz w:val="22"/>
        </w:rPr>
        <w:t>.</w:t>
      </w:r>
      <w:r>
        <w:rPr>
          <w:rFonts w:cs="Times New Roman"/>
          <w:sz w:val="22"/>
        </w:rPr>
        <w:t xml:space="preserve"> Unlike flavor and taste, color</w:t>
      </w:r>
      <w:r w:rsidR="00B15DE6" w:rsidRPr="00686036">
        <w:rPr>
          <w:rFonts w:cs="Times New Roman"/>
          <w:sz w:val="22"/>
        </w:rPr>
        <w:t xml:space="preserve"> did not show a consistent decline with increasing soybe</w:t>
      </w:r>
      <w:r>
        <w:rPr>
          <w:rFonts w:cs="Times New Roman"/>
          <w:sz w:val="22"/>
        </w:rPr>
        <w:t>an incorporation. The high colo</w:t>
      </w:r>
      <w:r w:rsidR="00B15DE6" w:rsidRPr="00686036">
        <w:rPr>
          <w:rFonts w:cs="Times New Roman"/>
          <w:sz w:val="22"/>
        </w:rPr>
        <w:t>r score obtained for F (50:50) indicates that the panelists found the visual appearance of the highest soybean formulation acceptable de</w:t>
      </w:r>
      <w:r>
        <w:rPr>
          <w:rFonts w:cs="Times New Roman"/>
          <w:sz w:val="22"/>
        </w:rPr>
        <w:t>spite its poor flavor and taste scores. Thus, colo</w:t>
      </w:r>
      <w:r w:rsidR="00B15DE6" w:rsidRPr="00686036">
        <w:rPr>
          <w:rFonts w:cs="Times New Roman"/>
          <w:sz w:val="22"/>
        </w:rPr>
        <w:t>r does not appear to have been the major factor responsible for the low overall acceptance of F (50:50).</w:t>
      </w:r>
      <w:r>
        <w:rPr>
          <w:rFonts w:cs="Times New Roman"/>
          <w:sz w:val="22"/>
        </w:rPr>
        <w:t xml:space="preserve"> </w:t>
      </w:r>
      <w:r w:rsidR="00B15DE6" w:rsidRPr="00686036">
        <w:rPr>
          <w:rFonts w:cs="Times New Roman"/>
          <w:sz w:val="22"/>
        </w:rPr>
        <w:t xml:space="preserve">The variation in color may be associated with differences in the natural pigmentation of maize and soybean as well as the processing conditions applied to the raw materials. </w:t>
      </w:r>
      <w:proofErr w:type="spellStart"/>
      <w:r w:rsidR="00B15DE6" w:rsidRPr="00686036">
        <w:rPr>
          <w:rFonts w:cs="Times New Roman"/>
          <w:sz w:val="22"/>
        </w:rPr>
        <w:t>Uwaegbute</w:t>
      </w:r>
      <w:proofErr w:type="spellEnd"/>
      <w:r w:rsidR="00B15DE6" w:rsidRPr="00686036">
        <w:rPr>
          <w:rFonts w:cs="Times New Roman"/>
          <w:sz w:val="22"/>
        </w:rPr>
        <w:t xml:space="preserve"> et al. (1999) reported that processing methods si</w:t>
      </w:r>
      <w:r>
        <w:rPr>
          <w:rFonts w:cs="Times New Roman"/>
          <w:sz w:val="22"/>
        </w:rPr>
        <w:t>gnificantly influenced the colo</w:t>
      </w:r>
      <w:r w:rsidR="00B15DE6" w:rsidRPr="00686036">
        <w:rPr>
          <w:rFonts w:cs="Times New Roman"/>
          <w:sz w:val="22"/>
        </w:rPr>
        <w:t>r of soybean-fortified pap, demonstrating that sensory characteristics of soybean products depend not only on inclusion level but also on processing treatment.</w:t>
      </w:r>
      <w:r>
        <w:rPr>
          <w:rFonts w:cs="Times New Roman"/>
          <w:sz w:val="22"/>
        </w:rPr>
        <w:t xml:space="preserve"> </w:t>
      </w:r>
      <w:r w:rsidR="00B15DE6" w:rsidRPr="00686036">
        <w:rPr>
          <w:rFonts w:cs="Times New Roman"/>
          <w:sz w:val="22"/>
        </w:rPr>
        <w:t xml:space="preserve">The results further indicate that visual appearance alone was insufficient to determine acceptability. For example, F (50:50) received </w:t>
      </w:r>
      <w:r>
        <w:rPr>
          <w:rFonts w:cs="Times New Roman"/>
          <w:bCs/>
          <w:sz w:val="22"/>
        </w:rPr>
        <w:t>7.00 for colo</w:t>
      </w:r>
      <w:r w:rsidR="00B15DE6" w:rsidRPr="00686036">
        <w:rPr>
          <w:rFonts w:cs="Times New Roman"/>
          <w:bCs/>
          <w:sz w:val="22"/>
        </w:rPr>
        <w:t>r</w:t>
      </w:r>
      <w:r w:rsidR="00B15DE6" w:rsidRPr="00686036">
        <w:rPr>
          <w:rFonts w:cs="Times New Roman"/>
          <w:sz w:val="22"/>
        </w:rPr>
        <w:t xml:space="preserve">, equal to A (100:0), but recorded only </w:t>
      </w:r>
      <w:r>
        <w:rPr>
          <w:rFonts w:cs="Times New Roman"/>
          <w:bCs/>
          <w:sz w:val="22"/>
        </w:rPr>
        <w:t>3.30 for flavo</w:t>
      </w:r>
      <w:r w:rsidR="00B15DE6" w:rsidRPr="00686036">
        <w:rPr>
          <w:rFonts w:cs="Times New Roman"/>
          <w:bCs/>
          <w:sz w:val="22"/>
        </w:rPr>
        <w:t>r and 3.20 for taste</w:t>
      </w:r>
      <w:r>
        <w:rPr>
          <w:rFonts w:cs="Times New Roman"/>
          <w:sz w:val="22"/>
        </w:rPr>
        <w:t>. This indicates that flavo</w:t>
      </w:r>
      <w:r w:rsidR="00B15DE6" w:rsidRPr="00686036">
        <w:rPr>
          <w:rFonts w:cs="Times New Roman"/>
          <w:sz w:val="22"/>
        </w:rPr>
        <w:t>r and taste were more important determinants of consumer rejection of the highly fortified sample.</w:t>
      </w:r>
      <w:r>
        <w:rPr>
          <w:rFonts w:cs="Times New Roman"/>
          <w:sz w:val="22"/>
        </w:rPr>
        <w:t xml:space="preserve"> </w:t>
      </w:r>
      <w:r w:rsidR="00B15DE6" w:rsidRPr="00686036">
        <w:rPr>
          <w:rFonts w:cs="Times New Roman"/>
          <w:sz w:val="22"/>
        </w:rPr>
        <w:t xml:space="preserve">Taste scores decreased markedly with increasing soybean incorporation. A (100:0) recorded the highest score of </w:t>
      </w:r>
      <w:r w:rsidR="00B15DE6" w:rsidRPr="00686036">
        <w:rPr>
          <w:rFonts w:cs="Times New Roman"/>
          <w:bCs/>
          <w:sz w:val="22"/>
        </w:rPr>
        <w:t>6.90</w:t>
      </w:r>
      <w:r w:rsidR="00B15DE6" w:rsidRPr="00686036">
        <w:rPr>
          <w:rFonts w:cs="Times New Roman"/>
          <w:sz w:val="22"/>
        </w:rPr>
        <w:t xml:space="preserve">, followed by B (90:10) at </w:t>
      </w:r>
      <w:r w:rsidR="00B15DE6" w:rsidRPr="00686036">
        <w:rPr>
          <w:rFonts w:cs="Times New Roman"/>
          <w:bCs/>
          <w:sz w:val="22"/>
        </w:rPr>
        <w:t>6.50</w:t>
      </w:r>
      <w:r w:rsidR="00B15DE6" w:rsidRPr="00686036">
        <w:rPr>
          <w:rFonts w:cs="Times New Roman"/>
          <w:sz w:val="22"/>
        </w:rPr>
        <w:t xml:space="preserve">. The score declined to </w:t>
      </w:r>
      <w:r w:rsidR="00B15DE6" w:rsidRPr="00686036">
        <w:rPr>
          <w:rFonts w:cs="Times New Roman"/>
          <w:bCs/>
          <w:sz w:val="22"/>
        </w:rPr>
        <w:t>4.90 in C (80:20)</w:t>
      </w:r>
      <w:r w:rsidR="00B15DE6" w:rsidRPr="00686036">
        <w:rPr>
          <w:rFonts w:cs="Times New Roman"/>
          <w:sz w:val="22"/>
        </w:rPr>
        <w:t xml:space="preserve">, </w:t>
      </w:r>
      <w:r w:rsidR="00B15DE6" w:rsidRPr="00686036">
        <w:rPr>
          <w:rFonts w:cs="Times New Roman"/>
          <w:bCs/>
          <w:sz w:val="22"/>
        </w:rPr>
        <w:t>4.20 in D (70:30)</w:t>
      </w:r>
      <w:r w:rsidR="00B15DE6" w:rsidRPr="00686036">
        <w:rPr>
          <w:rFonts w:cs="Times New Roman"/>
          <w:sz w:val="22"/>
        </w:rPr>
        <w:t xml:space="preserve">, </w:t>
      </w:r>
      <w:r w:rsidR="00B15DE6" w:rsidRPr="00686036">
        <w:rPr>
          <w:rFonts w:cs="Times New Roman"/>
          <w:bCs/>
          <w:sz w:val="22"/>
        </w:rPr>
        <w:t>4.10 in E (60:40)</w:t>
      </w:r>
      <w:r w:rsidR="00B15DE6" w:rsidRPr="00686036">
        <w:rPr>
          <w:rFonts w:cs="Times New Roman"/>
          <w:sz w:val="22"/>
        </w:rPr>
        <w:t xml:space="preserve"> and </w:t>
      </w:r>
      <w:r w:rsidR="00B15DE6" w:rsidRPr="00686036">
        <w:rPr>
          <w:rFonts w:cs="Times New Roman"/>
          <w:bCs/>
          <w:sz w:val="22"/>
        </w:rPr>
        <w:t>3.20 in F (50:50)</w:t>
      </w:r>
      <w:r w:rsidR="00B15DE6" w:rsidRPr="00686036">
        <w:rPr>
          <w:rFonts w:cs="Times New Roman"/>
          <w:sz w:val="22"/>
        </w:rPr>
        <w:t>.</w:t>
      </w:r>
      <w:r>
        <w:rPr>
          <w:rFonts w:cs="Times New Roman"/>
          <w:sz w:val="22"/>
        </w:rPr>
        <w:t xml:space="preserve"> </w:t>
      </w:r>
      <w:r w:rsidR="00B15DE6" w:rsidRPr="00686036">
        <w:rPr>
          <w:rFonts w:cs="Times New Roman"/>
          <w:sz w:val="22"/>
        </w:rPr>
        <w:t>The progressive reduction in taste acceptance is consistent with the increasing contribution of soybean-derived sensory characteristics. Soybean may impart beany, bitter or grassy notes to food products, particularly when the raw material has not been sufficiently processed. Yang et al. (2016) reported that soybean lipoxygenase activity contributes to undesirable sensory characteristics, including grassy and beany aromas, while Wang et al. (2021) explained that oxidation of soybean polyunsaturated fatty acids produces aldehydes, ketones and alcoh</w:t>
      </w:r>
      <w:r>
        <w:rPr>
          <w:rFonts w:cs="Times New Roman"/>
          <w:sz w:val="22"/>
        </w:rPr>
        <w:t>ols associated with beany flavo</w:t>
      </w:r>
      <w:r w:rsidR="00B15DE6" w:rsidRPr="00686036">
        <w:rPr>
          <w:rFonts w:cs="Times New Roman"/>
          <w:sz w:val="22"/>
        </w:rPr>
        <w:t>r.</w:t>
      </w:r>
      <w:r>
        <w:rPr>
          <w:rFonts w:cs="Times New Roman"/>
          <w:sz w:val="22"/>
        </w:rPr>
        <w:t xml:space="preserve"> </w:t>
      </w:r>
      <w:r w:rsidR="00B15DE6" w:rsidRPr="00686036">
        <w:rPr>
          <w:rFonts w:cs="Times New Roman"/>
          <w:sz w:val="22"/>
        </w:rPr>
        <w:t xml:space="preserve">The relatively high taste score of </w:t>
      </w:r>
      <w:r w:rsidR="00B15DE6" w:rsidRPr="00686036">
        <w:rPr>
          <w:rFonts w:cs="Times New Roman"/>
          <w:bCs/>
          <w:sz w:val="22"/>
        </w:rPr>
        <w:t>6.50 in B (90:10)</w:t>
      </w:r>
      <w:r w:rsidR="00B15DE6" w:rsidRPr="00686036">
        <w:rPr>
          <w:rFonts w:cs="Times New Roman"/>
          <w:sz w:val="22"/>
        </w:rPr>
        <w:t xml:space="preserve"> suggests that the 10% soybean level was still highly acceptable. However, the </w:t>
      </w:r>
      <w:r>
        <w:rPr>
          <w:rFonts w:cs="Times New Roman"/>
          <w:sz w:val="22"/>
        </w:rPr>
        <w:t xml:space="preserve">reduction </w:t>
      </w:r>
      <w:r w:rsidR="00B15DE6" w:rsidRPr="00686036">
        <w:rPr>
          <w:rFonts w:cs="Times New Roman"/>
          <w:sz w:val="22"/>
        </w:rPr>
        <w:t xml:space="preserve">to </w:t>
      </w:r>
      <w:r w:rsidR="00B15DE6" w:rsidRPr="00686036">
        <w:rPr>
          <w:rFonts w:cs="Times New Roman"/>
          <w:bCs/>
          <w:sz w:val="22"/>
        </w:rPr>
        <w:t>4.90 in C (80:20)</w:t>
      </w:r>
      <w:r w:rsidR="00B15DE6" w:rsidRPr="00686036">
        <w:rPr>
          <w:rFonts w:cs="Times New Roman"/>
          <w:sz w:val="22"/>
        </w:rPr>
        <w:t xml:space="preserve"> and subsequently to </w:t>
      </w:r>
      <w:r w:rsidR="00B15DE6" w:rsidRPr="00686036">
        <w:rPr>
          <w:rFonts w:cs="Times New Roman"/>
          <w:bCs/>
          <w:sz w:val="22"/>
        </w:rPr>
        <w:t>3.20 in F (50:50)</w:t>
      </w:r>
      <w:r w:rsidR="00B15DE6" w:rsidRPr="00686036">
        <w:rPr>
          <w:rFonts w:cs="Times New Roman"/>
          <w:sz w:val="22"/>
        </w:rPr>
        <w:t xml:space="preserve"> demonstrates that higher soybean incorporation substantially affected taste perception.</w:t>
      </w:r>
      <w:r>
        <w:rPr>
          <w:rFonts w:cs="Times New Roman"/>
          <w:sz w:val="22"/>
        </w:rPr>
        <w:t xml:space="preserve"> </w:t>
      </w:r>
      <w:r w:rsidR="00B15DE6" w:rsidRPr="00686036">
        <w:rPr>
          <w:rFonts w:cs="Times New Roman"/>
          <w:sz w:val="22"/>
        </w:rPr>
        <w:t xml:space="preserve">The present findings </w:t>
      </w:r>
      <w:r w:rsidR="00B15DE6" w:rsidRPr="00686036">
        <w:rPr>
          <w:rFonts w:cs="Times New Roman"/>
          <w:sz w:val="22"/>
        </w:rPr>
        <w:lastRenderedPageBreak/>
        <w:t xml:space="preserve">agree with </w:t>
      </w:r>
      <w:proofErr w:type="spellStart"/>
      <w:r w:rsidR="00B15DE6" w:rsidRPr="00686036">
        <w:rPr>
          <w:rFonts w:cs="Times New Roman"/>
          <w:sz w:val="22"/>
        </w:rPr>
        <w:t>Uwaegbute</w:t>
      </w:r>
      <w:proofErr w:type="spellEnd"/>
      <w:r w:rsidR="00B15DE6" w:rsidRPr="00686036">
        <w:rPr>
          <w:rFonts w:cs="Times New Roman"/>
          <w:sz w:val="22"/>
        </w:rPr>
        <w:t xml:space="preserve"> et al. (1999), who reported that soybean processing influenced the organoleptic quality of soybean-fortified pap. Similarly, Singh et al. (2008) noted that although soy proteins have important nutritional and functional applications, their sensory properties can limit their incorporation into some food products. Therefore, processing strategie</w:t>
      </w:r>
      <w:r>
        <w:rPr>
          <w:rFonts w:cs="Times New Roman"/>
          <w:sz w:val="22"/>
        </w:rPr>
        <w:t>s that reduce soybean off-flavo</w:t>
      </w:r>
      <w:r w:rsidR="00B15DE6" w:rsidRPr="00686036">
        <w:rPr>
          <w:rFonts w:cs="Times New Roman"/>
          <w:sz w:val="22"/>
        </w:rPr>
        <w:t>rs may be particularly useful when higher soybean inclusion levels are required.</w:t>
      </w:r>
    </w:p>
    <w:p w14:paraId="73738668" w14:textId="77777777" w:rsidR="00CC4746" w:rsidRDefault="00CC4746" w:rsidP="00B15DE6">
      <w:pPr>
        <w:widowControl w:val="0"/>
        <w:autoSpaceDE w:val="0"/>
        <w:autoSpaceDN w:val="0"/>
        <w:spacing w:after="0" w:line="240" w:lineRule="auto"/>
        <w:jc w:val="both"/>
        <w:outlineLvl w:val="0"/>
        <w:rPr>
          <w:rFonts w:cs="Times New Roman"/>
          <w:sz w:val="22"/>
        </w:rPr>
      </w:pPr>
    </w:p>
    <w:p w14:paraId="31F83719" w14:textId="77777777" w:rsidR="00BE7D1E" w:rsidRDefault="00B15DE6" w:rsidP="00FC298D">
      <w:pPr>
        <w:widowControl w:val="0"/>
        <w:autoSpaceDE w:val="0"/>
        <w:autoSpaceDN w:val="0"/>
        <w:spacing w:after="0" w:line="240" w:lineRule="auto"/>
        <w:jc w:val="both"/>
        <w:outlineLvl w:val="0"/>
        <w:rPr>
          <w:rFonts w:cs="Times New Roman"/>
          <w:sz w:val="22"/>
        </w:rPr>
      </w:pPr>
      <w:r w:rsidRPr="00686036">
        <w:rPr>
          <w:rFonts w:cs="Times New Roman"/>
          <w:sz w:val="22"/>
        </w:rPr>
        <w:t xml:space="preserve">Overall acceptability scores ranged from </w:t>
      </w:r>
      <w:r w:rsidRPr="00686036">
        <w:rPr>
          <w:rFonts w:cs="Times New Roman"/>
          <w:bCs/>
          <w:sz w:val="22"/>
        </w:rPr>
        <w:t>3.60 to 6.90</w:t>
      </w:r>
      <w:r w:rsidRPr="00686036">
        <w:rPr>
          <w:rFonts w:cs="Times New Roman"/>
          <w:sz w:val="22"/>
        </w:rPr>
        <w:t xml:space="preserve">. A (100:0) had the highest score of </w:t>
      </w:r>
      <w:r w:rsidRPr="00686036">
        <w:rPr>
          <w:rFonts w:cs="Times New Roman"/>
          <w:bCs/>
          <w:sz w:val="22"/>
        </w:rPr>
        <w:t>6.90</w:t>
      </w:r>
      <w:r w:rsidRPr="00686036">
        <w:rPr>
          <w:rFonts w:cs="Times New Roman"/>
          <w:sz w:val="22"/>
        </w:rPr>
        <w:t xml:space="preserve">, followed by B (90:10) at </w:t>
      </w:r>
      <w:r w:rsidRPr="00686036">
        <w:rPr>
          <w:rFonts w:cs="Times New Roman"/>
          <w:bCs/>
          <w:sz w:val="22"/>
        </w:rPr>
        <w:t>6.50</w:t>
      </w:r>
      <w:r w:rsidRPr="00686036">
        <w:rPr>
          <w:rFonts w:cs="Times New Roman"/>
          <w:sz w:val="22"/>
        </w:rPr>
        <w:t xml:space="preserve">. C (80:20) recorded </w:t>
      </w:r>
      <w:r w:rsidRPr="00686036">
        <w:rPr>
          <w:rFonts w:cs="Times New Roman"/>
          <w:bCs/>
          <w:sz w:val="22"/>
        </w:rPr>
        <w:t>5.80</w:t>
      </w:r>
      <w:r w:rsidRPr="00686036">
        <w:rPr>
          <w:rFonts w:cs="Times New Roman"/>
          <w:sz w:val="22"/>
        </w:rPr>
        <w:t xml:space="preserve">, D (70:30) recorded </w:t>
      </w:r>
      <w:r w:rsidRPr="00686036">
        <w:rPr>
          <w:rFonts w:cs="Times New Roman"/>
          <w:bCs/>
          <w:sz w:val="22"/>
        </w:rPr>
        <w:t>6.00</w:t>
      </w:r>
      <w:r w:rsidRPr="00686036">
        <w:rPr>
          <w:rFonts w:cs="Times New Roman"/>
          <w:sz w:val="22"/>
        </w:rPr>
        <w:t xml:space="preserve">, E (60:40) recorded </w:t>
      </w:r>
      <w:r w:rsidRPr="00686036">
        <w:rPr>
          <w:rFonts w:cs="Times New Roman"/>
          <w:bCs/>
          <w:sz w:val="22"/>
        </w:rPr>
        <w:t>5.50</w:t>
      </w:r>
      <w:r w:rsidRPr="00686036">
        <w:rPr>
          <w:rFonts w:cs="Times New Roman"/>
          <w:sz w:val="22"/>
        </w:rPr>
        <w:t xml:space="preserve">, while F (50:50) had the lowest score of </w:t>
      </w:r>
      <w:r w:rsidRPr="00686036">
        <w:rPr>
          <w:rFonts w:cs="Times New Roman"/>
          <w:bCs/>
          <w:sz w:val="22"/>
        </w:rPr>
        <w:t>3.60</w:t>
      </w:r>
      <w:r w:rsidRPr="00686036">
        <w:rPr>
          <w:rFonts w:cs="Times New Roman"/>
          <w:sz w:val="22"/>
        </w:rPr>
        <w:t>.</w:t>
      </w:r>
      <w:r w:rsidR="00CC4746">
        <w:rPr>
          <w:rFonts w:cs="Times New Roman"/>
          <w:sz w:val="22"/>
        </w:rPr>
        <w:t xml:space="preserve"> </w:t>
      </w:r>
      <w:r w:rsidRPr="00686036">
        <w:rPr>
          <w:rFonts w:cs="Times New Roman"/>
          <w:sz w:val="22"/>
        </w:rPr>
        <w:t>The high overall acceptability of A (100:0) is expected because it represents the conventional maize pap without soybean incorporation. However, the relatively high score of B (90:10) demonstrates that incorporation of 10% soybean produced only a modest reduction in consumer acceptance. This is important from a product-development perspective because soybean can substantially improve the nutritional quality of cereal-based foods, particularly protein content.</w:t>
      </w:r>
      <w:r w:rsidR="00CC4746">
        <w:rPr>
          <w:rFonts w:cs="Times New Roman"/>
          <w:sz w:val="22"/>
        </w:rPr>
        <w:t xml:space="preserve"> </w:t>
      </w:r>
      <w:r w:rsidRPr="00686036">
        <w:rPr>
          <w:rFonts w:cs="Times New Roman"/>
          <w:sz w:val="22"/>
        </w:rPr>
        <w:t xml:space="preserve">The results are consistent with </w:t>
      </w:r>
      <w:proofErr w:type="spellStart"/>
      <w:r w:rsidRPr="00686036">
        <w:rPr>
          <w:rFonts w:cs="Times New Roman"/>
          <w:sz w:val="22"/>
        </w:rPr>
        <w:t>Uwaegbute</w:t>
      </w:r>
      <w:proofErr w:type="spellEnd"/>
      <w:r w:rsidRPr="00686036">
        <w:rPr>
          <w:rFonts w:cs="Times New Roman"/>
          <w:sz w:val="22"/>
        </w:rPr>
        <w:t xml:space="preserve"> et al. (1999), who found that soybean fortification could improve the nutritional composition of pap while maintaining acceptable organoleptic characteristics depending on soybean processing. The authors reported that appropriate combinations of soaking, blanching, roasting, dehulling and drying improved the sensory quality of soybean-fortified pap.</w:t>
      </w:r>
      <w:r w:rsidR="00CC4746">
        <w:rPr>
          <w:rFonts w:cs="Times New Roman"/>
          <w:sz w:val="22"/>
        </w:rPr>
        <w:t xml:space="preserve"> </w:t>
      </w:r>
      <w:r w:rsidRPr="00686036">
        <w:rPr>
          <w:rFonts w:cs="Times New Roman"/>
          <w:sz w:val="22"/>
        </w:rPr>
        <w:t xml:space="preserve">The relatively lower overall acceptability of F (50:50), which recorded </w:t>
      </w:r>
      <w:r w:rsidRPr="00686036">
        <w:rPr>
          <w:rFonts w:cs="Times New Roman"/>
          <w:bCs/>
          <w:sz w:val="22"/>
        </w:rPr>
        <w:t>3.60</w:t>
      </w:r>
      <w:r w:rsidRPr="00686036">
        <w:rPr>
          <w:rFonts w:cs="Times New Roman"/>
          <w:sz w:val="22"/>
        </w:rPr>
        <w:t>,</w:t>
      </w:r>
      <w:r w:rsidR="00CC4746">
        <w:rPr>
          <w:rFonts w:cs="Times New Roman"/>
          <w:sz w:val="22"/>
        </w:rPr>
        <w:t xml:space="preserve"> corresponds with its low flavo</w:t>
      </w:r>
      <w:r w:rsidRPr="00686036">
        <w:rPr>
          <w:rFonts w:cs="Times New Roman"/>
          <w:sz w:val="22"/>
        </w:rPr>
        <w:t xml:space="preserve">r and taste scores of </w:t>
      </w:r>
      <w:r w:rsidRPr="00686036">
        <w:rPr>
          <w:rFonts w:cs="Times New Roman"/>
          <w:bCs/>
          <w:sz w:val="22"/>
        </w:rPr>
        <w:t>3.30 and 3.20</w:t>
      </w:r>
      <w:r w:rsidRPr="00686036">
        <w:rPr>
          <w:rFonts w:cs="Times New Roman"/>
          <w:sz w:val="22"/>
        </w:rPr>
        <w:t>, respect</w:t>
      </w:r>
      <w:r w:rsidR="00CC4746">
        <w:rPr>
          <w:rFonts w:cs="Times New Roman"/>
          <w:sz w:val="22"/>
        </w:rPr>
        <w:t>ively. This suggests that flavo</w:t>
      </w:r>
      <w:r w:rsidRPr="00686036">
        <w:rPr>
          <w:rFonts w:cs="Times New Roman"/>
          <w:sz w:val="22"/>
        </w:rPr>
        <w:t>r and taste were major determinants of overall acceptability. The finding is consistent with Yang et al. (2016), who showed that undesirable soybean aromas are closely related to consumer acceptance of soy products.</w:t>
      </w:r>
      <w:r w:rsidR="00CC4746">
        <w:rPr>
          <w:rFonts w:cs="Times New Roman"/>
          <w:sz w:val="22"/>
        </w:rPr>
        <w:t xml:space="preserve"> </w:t>
      </w:r>
      <w:r w:rsidRPr="00686036">
        <w:rPr>
          <w:rFonts w:cs="Times New Roman"/>
          <w:sz w:val="22"/>
        </w:rPr>
        <w:t xml:space="preserve">Interestingly, D (70:30) recorded an overall acceptability score of </w:t>
      </w:r>
      <w:r w:rsidRPr="00686036">
        <w:rPr>
          <w:rFonts w:cs="Times New Roman"/>
          <w:bCs/>
          <w:sz w:val="22"/>
        </w:rPr>
        <w:t>6.00</w:t>
      </w:r>
      <w:r w:rsidRPr="00686036">
        <w:rPr>
          <w:rFonts w:cs="Times New Roman"/>
          <w:sz w:val="22"/>
        </w:rPr>
        <w:t xml:space="preserve">, which was slightly higher than C (80:20) at </w:t>
      </w:r>
      <w:r w:rsidRPr="00686036">
        <w:rPr>
          <w:rFonts w:cs="Times New Roman"/>
          <w:bCs/>
          <w:sz w:val="22"/>
        </w:rPr>
        <w:t>5.80</w:t>
      </w:r>
      <w:r w:rsidRPr="00686036">
        <w:rPr>
          <w:rFonts w:cs="Times New Roman"/>
          <w:sz w:val="22"/>
        </w:rPr>
        <w:t>, despite D</w:t>
      </w:r>
      <w:r w:rsidR="00CC4746">
        <w:rPr>
          <w:rFonts w:cs="Times New Roman"/>
          <w:sz w:val="22"/>
        </w:rPr>
        <w:t xml:space="preserve"> having lower mouth-feel, flavo</w:t>
      </w:r>
      <w:r w:rsidRPr="00686036">
        <w:rPr>
          <w:rFonts w:cs="Times New Roman"/>
          <w:sz w:val="22"/>
        </w:rPr>
        <w:t>r and taste scores. This indicates that overall acceptability is a composite sensory response and may not necessarily follow the exact ranking of every individual attribute. Individual differences among panelists and the relative importance assign</w:t>
      </w:r>
      <w:r w:rsidR="00CC4746">
        <w:rPr>
          <w:rFonts w:cs="Times New Roman"/>
          <w:sz w:val="22"/>
        </w:rPr>
        <w:t>ed to color, mouth-feel, flavo</w:t>
      </w:r>
      <w:r w:rsidRPr="00686036">
        <w:rPr>
          <w:rFonts w:cs="Times New Roman"/>
          <w:sz w:val="22"/>
        </w:rPr>
        <w:t>r and taste may have contributed to this pattern.</w:t>
      </w:r>
    </w:p>
    <w:p w14:paraId="1A66828A" w14:textId="77777777" w:rsidR="00E63C48" w:rsidRPr="00FB0CF3" w:rsidRDefault="00BE7D1E" w:rsidP="00FB0CF3">
      <w:pPr>
        <w:pStyle w:val="Heading2"/>
        <w:rPr>
          <w:rFonts w:ascii="Times New Roman" w:hAnsi="Times New Roman" w:cs="Times New Roman"/>
          <w:color w:val="auto"/>
          <w:sz w:val="22"/>
          <w:szCs w:val="22"/>
        </w:rPr>
      </w:pPr>
      <w:r>
        <w:rPr>
          <w:rFonts w:ascii="Times New Roman" w:hAnsi="Times New Roman" w:cs="Times New Roman"/>
          <w:color w:val="auto"/>
          <w:sz w:val="22"/>
          <w:szCs w:val="22"/>
        </w:rPr>
        <w:t>T</w:t>
      </w:r>
      <w:r w:rsidR="00FB0CF3" w:rsidRPr="00FB0CF3">
        <w:rPr>
          <w:rFonts w:ascii="Times New Roman" w:hAnsi="Times New Roman" w:cs="Times New Roman"/>
          <w:color w:val="auto"/>
          <w:sz w:val="22"/>
          <w:szCs w:val="22"/>
        </w:rPr>
        <w:t xml:space="preserve">able </w:t>
      </w:r>
      <w:r>
        <w:rPr>
          <w:rFonts w:ascii="Times New Roman" w:hAnsi="Times New Roman" w:cs="Times New Roman"/>
          <w:color w:val="auto"/>
          <w:sz w:val="22"/>
          <w:szCs w:val="22"/>
        </w:rPr>
        <w:t>4:</w:t>
      </w:r>
      <w:r w:rsidR="00FB0CF3" w:rsidRPr="00FB0CF3">
        <w:rPr>
          <w:rFonts w:ascii="Times New Roman" w:hAnsi="Times New Roman" w:cs="Times New Roman"/>
          <w:color w:val="auto"/>
          <w:sz w:val="22"/>
          <w:szCs w:val="22"/>
        </w:rPr>
        <w:t xml:space="preserve"> </w:t>
      </w:r>
      <w:r w:rsidR="00302EC0" w:rsidRPr="00FB0CF3">
        <w:rPr>
          <w:rFonts w:ascii="Times New Roman" w:hAnsi="Times New Roman" w:cs="Times New Roman"/>
          <w:color w:val="auto"/>
          <w:sz w:val="22"/>
          <w:szCs w:val="22"/>
        </w:rPr>
        <w:t>Sensory</w:t>
      </w:r>
      <w:r w:rsidR="00FB0CF3" w:rsidRPr="00FB0CF3">
        <w:rPr>
          <w:rFonts w:ascii="Times New Roman" w:hAnsi="Times New Roman" w:cs="Times New Roman"/>
          <w:color w:val="auto"/>
          <w:sz w:val="22"/>
          <w:szCs w:val="22"/>
        </w:rPr>
        <w:t xml:space="preserve"> Attributes of </w:t>
      </w:r>
      <w:r w:rsidR="00FB0CF3" w:rsidRPr="002D2E3D">
        <w:rPr>
          <w:rFonts w:ascii="Times New Roman" w:eastAsia="Times New Roman" w:hAnsi="Times New Roman" w:cs="Times New Roman"/>
          <w:color w:val="auto"/>
          <w:sz w:val="22"/>
          <w:szCs w:val="22"/>
        </w:rPr>
        <w:t>Maize-Soybean</w:t>
      </w:r>
      <w:r w:rsidR="00FB0CF3" w:rsidRPr="002D2E3D">
        <w:rPr>
          <w:rFonts w:ascii="Times New Roman" w:eastAsia="Times New Roman" w:hAnsi="Times New Roman" w:cs="Times New Roman"/>
          <w:color w:val="auto"/>
          <w:spacing w:val="-2"/>
          <w:sz w:val="22"/>
          <w:szCs w:val="22"/>
        </w:rPr>
        <w:t xml:space="preserve"> </w:t>
      </w:r>
      <w:r w:rsidR="00FB0CF3" w:rsidRPr="002D2E3D">
        <w:rPr>
          <w:rFonts w:ascii="Times New Roman" w:eastAsia="Times New Roman" w:hAnsi="Times New Roman" w:cs="Times New Roman"/>
          <w:color w:val="auto"/>
          <w:sz w:val="22"/>
          <w:szCs w:val="22"/>
        </w:rPr>
        <w:t>Pap</w:t>
      </w:r>
      <w:r w:rsidR="00FB0CF3" w:rsidRPr="002D2E3D">
        <w:rPr>
          <w:rFonts w:ascii="Times New Roman" w:eastAsia="Times New Roman" w:hAnsi="Times New Roman" w:cs="Times New Roman"/>
          <w:color w:val="auto"/>
          <w:spacing w:val="-1"/>
          <w:sz w:val="22"/>
          <w:szCs w:val="22"/>
        </w:rPr>
        <w:t xml:space="preserve"> </w:t>
      </w:r>
      <w:r w:rsidR="00FB0CF3" w:rsidRPr="002D2E3D">
        <w:rPr>
          <w:rFonts w:ascii="Times New Roman" w:eastAsia="Times New Roman" w:hAnsi="Times New Roman" w:cs="Times New Roman"/>
          <w:color w:val="auto"/>
          <w:sz w:val="22"/>
          <w:szCs w:val="22"/>
        </w:rPr>
        <w:t>Blends</w:t>
      </w:r>
      <w:r w:rsidR="00FB0CF3" w:rsidRPr="002D2E3D">
        <w:rPr>
          <w:rFonts w:ascii="Times New Roman" w:eastAsia="Times New Roman" w:hAnsi="Times New Roman" w:cs="Times New Roman"/>
          <w:color w:val="auto"/>
          <w:spacing w:val="-1"/>
          <w:sz w:val="22"/>
          <w:szCs w:val="22"/>
        </w:rPr>
        <w:t xml:space="preserve"> </w:t>
      </w:r>
      <w:r w:rsidR="00FB0CF3" w:rsidRPr="002D2E3D">
        <w:rPr>
          <w:rFonts w:ascii="Times New Roman" w:eastAsia="Times New Roman" w:hAnsi="Times New Roman" w:cs="Times New Roman"/>
          <w:color w:val="auto"/>
          <w:spacing w:val="-2"/>
          <w:sz w:val="22"/>
          <w:szCs w:val="22"/>
        </w:rPr>
        <w:t>Powder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0"/>
        <w:gridCol w:w="1560"/>
        <w:gridCol w:w="1560"/>
        <w:gridCol w:w="1560"/>
        <w:gridCol w:w="1560"/>
        <w:gridCol w:w="1560"/>
      </w:tblGrid>
      <w:tr w:rsidR="003A4706" w:rsidRPr="003A4706" w14:paraId="5611D7A5" w14:textId="77777777" w:rsidTr="00FB0CF3">
        <w:trPr>
          <w:jc w:val="center"/>
        </w:trPr>
        <w:tc>
          <w:tcPr>
            <w:tcW w:w="2280" w:type="dxa"/>
            <w:tcBorders>
              <w:top w:val="single" w:sz="4" w:space="0" w:color="auto"/>
              <w:bottom w:val="single" w:sz="4" w:space="0" w:color="auto"/>
            </w:tcBorders>
            <w:tcMar>
              <w:top w:w="80" w:type="dxa"/>
              <w:left w:w="80" w:type="dxa"/>
              <w:bottom w:w="80" w:type="dxa"/>
              <w:right w:w="80" w:type="dxa"/>
            </w:tcMar>
          </w:tcPr>
          <w:p w14:paraId="69AAB468" w14:textId="77777777" w:rsidR="00E63C48" w:rsidRPr="00BE7D1E" w:rsidRDefault="00302EC0" w:rsidP="009C40FB">
            <w:pPr>
              <w:jc w:val="both"/>
              <w:rPr>
                <w:rFonts w:cs="Times New Roman"/>
                <w:sz w:val="22"/>
              </w:rPr>
            </w:pPr>
            <w:r w:rsidRPr="00BE7D1E">
              <w:rPr>
                <w:rFonts w:cs="Times New Roman"/>
                <w:b/>
                <w:sz w:val="22"/>
              </w:rPr>
              <w:t>Sample</w:t>
            </w:r>
          </w:p>
        </w:tc>
        <w:tc>
          <w:tcPr>
            <w:tcW w:w="1560" w:type="dxa"/>
            <w:tcBorders>
              <w:top w:val="single" w:sz="4" w:space="0" w:color="auto"/>
              <w:bottom w:val="single" w:sz="4" w:space="0" w:color="auto"/>
            </w:tcBorders>
            <w:tcMar>
              <w:top w:w="80" w:type="dxa"/>
              <w:left w:w="80" w:type="dxa"/>
              <w:bottom w:w="80" w:type="dxa"/>
              <w:right w:w="80" w:type="dxa"/>
            </w:tcMar>
          </w:tcPr>
          <w:p w14:paraId="54D7F689" w14:textId="77777777" w:rsidR="00E63C48" w:rsidRPr="00BE7D1E" w:rsidRDefault="00302EC0" w:rsidP="009C40FB">
            <w:pPr>
              <w:jc w:val="both"/>
              <w:rPr>
                <w:rFonts w:cs="Times New Roman"/>
                <w:sz w:val="22"/>
              </w:rPr>
            </w:pPr>
            <w:r w:rsidRPr="00BE7D1E">
              <w:rPr>
                <w:rFonts w:cs="Times New Roman"/>
                <w:b/>
                <w:sz w:val="22"/>
              </w:rPr>
              <w:t>Mouth</w:t>
            </w:r>
            <w:r w:rsidR="00FB0CF3" w:rsidRPr="00BE7D1E">
              <w:rPr>
                <w:rFonts w:cs="Times New Roman"/>
                <w:b/>
                <w:sz w:val="22"/>
              </w:rPr>
              <w:t>-</w:t>
            </w:r>
            <w:r w:rsidRPr="00BE7D1E">
              <w:rPr>
                <w:rFonts w:cs="Times New Roman"/>
                <w:b/>
                <w:sz w:val="22"/>
              </w:rPr>
              <w:t>feel</w:t>
            </w:r>
          </w:p>
        </w:tc>
        <w:tc>
          <w:tcPr>
            <w:tcW w:w="1560" w:type="dxa"/>
            <w:tcBorders>
              <w:top w:val="single" w:sz="4" w:space="0" w:color="auto"/>
              <w:bottom w:val="single" w:sz="4" w:space="0" w:color="auto"/>
            </w:tcBorders>
            <w:tcMar>
              <w:top w:w="80" w:type="dxa"/>
              <w:left w:w="80" w:type="dxa"/>
              <w:bottom w:w="80" w:type="dxa"/>
              <w:right w:w="80" w:type="dxa"/>
            </w:tcMar>
          </w:tcPr>
          <w:p w14:paraId="7C19D02A" w14:textId="77777777" w:rsidR="00E63C48" w:rsidRPr="00BE7D1E" w:rsidRDefault="00FB0CF3" w:rsidP="009C40FB">
            <w:pPr>
              <w:jc w:val="both"/>
              <w:rPr>
                <w:rFonts w:cs="Times New Roman"/>
                <w:sz w:val="22"/>
              </w:rPr>
            </w:pPr>
            <w:r w:rsidRPr="00BE7D1E">
              <w:rPr>
                <w:rFonts w:cs="Times New Roman"/>
                <w:b/>
                <w:sz w:val="22"/>
              </w:rPr>
              <w:t>Flavo</w:t>
            </w:r>
            <w:r w:rsidR="00302EC0" w:rsidRPr="00BE7D1E">
              <w:rPr>
                <w:rFonts w:cs="Times New Roman"/>
                <w:b/>
                <w:sz w:val="22"/>
              </w:rPr>
              <w:t>r</w:t>
            </w:r>
          </w:p>
        </w:tc>
        <w:tc>
          <w:tcPr>
            <w:tcW w:w="1560" w:type="dxa"/>
            <w:tcBorders>
              <w:top w:val="single" w:sz="4" w:space="0" w:color="auto"/>
              <w:bottom w:val="single" w:sz="4" w:space="0" w:color="auto"/>
            </w:tcBorders>
            <w:tcMar>
              <w:top w:w="80" w:type="dxa"/>
              <w:left w:w="80" w:type="dxa"/>
              <w:bottom w:w="80" w:type="dxa"/>
              <w:right w:w="80" w:type="dxa"/>
            </w:tcMar>
          </w:tcPr>
          <w:p w14:paraId="0553D8C4" w14:textId="77777777" w:rsidR="00E63C48" w:rsidRPr="00BE7D1E" w:rsidRDefault="00FB0CF3" w:rsidP="009C40FB">
            <w:pPr>
              <w:jc w:val="both"/>
              <w:rPr>
                <w:rFonts w:cs="Times New Roman"/>
                <w:sz w:val="22"/>
              </w:rPr>
            </w:pPr>
            <w:r w:rsidRPr="00BE7D1E">
              <w:rPr>
                <w:rFonts w:cs="Times New Roman"/>
                <w:b/>
                <w:sz w:val="22"/>
              </w:rPr>
              <w:t>Colo</w:t>
            </w:r>
            <w:r w:rsidR="00302EC0" w:rsidRPr="00BE7D1E">
              <w:rPr>
                <w:rFonts w:cs="Times New Roman"/>
                <w:b/>
                <w:sz w:val="22"/>
              </w:rPr>
              <w:t>r</w:t>
            </w:r>
          </w:p>
        </w:tc>
        <w:tc>
          <w:tcPr>
            <w:tcW w:w="1560" w:type="dxa"/>
            <w:tcBorders>
              <w:top w:val="single" w:sz="4" w:space="0" w:color="auto"/>
              <w:bottom w:val="single" w:sz="4" w:space="0" w:color="auto"/>
            </w:tcBorders>
            <w:tcMar>
              <w:top w:w="80" w:type="dxa"/>
              <w:left w:w="80" w:type="dxa"/>
              <w:bottom w:w="80" w:type="dxa"/>
              <w:right w:w="80" w:type="dxa"/>
            </w:tcMar>
          </w:tcPr>
          <w:p w14:paraId="7CAF9444" w14:textId="77777777" w:rsidR="00E63C48" w:rsidRPr="00BE7D1E" w:rsidRDefault="00302EC0" w:rsidP="009C40FB">
            <w:pPr>
              <w:jc w:val="both"/>
              <w:rPr>
                <w:rFonts w:cs="Times New Roman"/>
                <w:sz w:val="22"/>
              </w:rPr>
            </w:pPr>
            <w:r w:rsidRPr="00BE7D1E">
              <w:rPr>
                <w:rFonts w:cs="Times New Roman"/>
                <w:b/>
                <w:sz w:val="22"/>
              </w:rPr>
              <w:t>Taste</w:t>
            </w:r>
          </w:p>
        </w:tc>
        <w:tc>
          <w:tcPr>
            <w:tcW w:w="1560" w:type="dxa"/>
            <w:tcBorders>
              <w:top w:val="single" w:sz="4" w:space="0" w:color="auto"/>
              <w:bottom w:val="single" w:sz="4" w:space="0" w:color="auto"/>
            </w:tcBorders>
            <w:tcMar>
              <w:top w:w="80" w:type="dxa"/>
              <w:left w:w="80" w:type="dxa"/>
              <w:bottom w:w="80" w:type="dxa"/>
              <w:right w:w="80" w:type="dxa"/>
            </w:tcMar>
          </w:tcPr>
          <w:p w14:paraId="76D7F653" w14:textId="77777777" w:rsidR="00E63C48" w:rsidRPr="00BE7D1E" w:rsidRDefault="00302EC0" w:rsidP="009C40FB">
            <w:pPr>
              <w:jc w:val="both"/>
              <w:rPr>
                <w:rFonts w:cs="Times New Roman"/>
                <w:sz w:val="22"/>
              </w:rPr>
            </w:pPr>
            <w:r w:rsidRPr="00BE7D1E">
              <w:rPr>
                <w:rFonts w:cs="Times New Roman"/>
                <w:b/>
                <w:sz w:val="22"/>
              </w:rPr>
              <w:t>Overall acceptability</w:t>
            </w:r>
          </w:p>
        </w:tc>
      </w:tr>
      <w:tr w:rsidR="003A4706" w:rsidRPr="003A4706" w14:paraId="7F40B27D" w14:textId="77777777" w:rsidTr="00FB0CF3">
        <w:trPr>
          <w:jc w:val="center"/>
        </w:trPr>
        <w:tc>
          <w:tcPr>
            <w:tcW w:w="2280" w:type="dxa"/>
            <w:tcBorders>
              <w:top w:val="single" w:sz="4" w:space="0" w:color="auto"/>
            </w:tcBorders>
            <w:tcMar>
              <w:top w:w="80" w:type="dxa"/>
              <w:left w:w="80" w:type="dxa"/>
              <w:bottom w:w="80" w:type="dxa"/>
              <w:right w:w="80" w:type="dxa"/>
            </w:tcMar>
            <w:vAlign w:val="center"/>
          </w:tcPr>
          <w:p w14:paraId="058ABAC6" w14:textId="77777777" w:rsidR="00E63C48" w:rsidRPr="00BE7D1E" w:rsidRDefault="00302EC0" w:rsidP="009C40FB">
            <w:pPr>
              <w:jc w:val="both"/>
              <w:rPr>
                <w:rFonts w:cs="Times New Roman"/>
                <w:sz w:val="22"/>
              </w:rPr>
            </w:pPr>
            <w:r w:rsidRPr="00BE7D1E">
              <w:rPr>
                <w:rFonts w:cs="Times New Roman"/>
                <w:sz w:val="22"/>
              </w:rPr>
              <w:t>A (100:0)</w:t>
            </w:r>
          </w:p>
        </w:tc>
        <w:tc>
          <w:tcPr>
            <w:tcW w:w="1560" w:type="dxa"/>
            <w:tcBorders>
              <w:top w:val="single" w:sz="4" w:space="0" w:color="auto"/>
            </w:tcBorders>
            <w:tcMar>
              <w:top w:w="80" w:type="dxa"/>
              <w:left w:w="80" w:type="dxa"/>
              <w:bottom w:w="80" w:type="dxa"/>
              <w:right w:w="80" w:type="dxa"/>
            </w:tcMar>
            <w:vAlign w:val="center"/>
          </w:tcPr>
          <w:p w14:paraId="362BEBA3" w14:textId="77777777" w:rsidR="00E63C48" w:rsidRPr="00BE7D1E" w:rsidRDefault="00302EC0" w:rsidP="009C40FB">
            <w:pPr>
              <w:jc w:val="both"/>
              <w:rPr>
                <w:rFonts w:cs="Times New Roman"/>
                <w:sz w:val="22"/>
              </w:rPr>
            </w:pPr>
            <w:r w:rsidRPr="00BE7D1E">
              <w:rPr>
                <w:rFonts w:cs="Times New Roman"/>
                <w:sz w:val="22"/>
              </w:rPr>
              <w:t>6.90 ± 0.32ᵃ</w:t>
            </w:r>
          </w:p>
        </w:tc>
        <w:tc>
          <w:tcPr>
            <w:tcW w:w="1560" w:type="dxa"/>
            <w:tcBorders>
              <w:top w:val="single" w:sz="4" w:space="0" w:color="auto"/>
            </w:tcBorders>
            <w:tcMar>
              <w:top w:w="80" w:type="dxa"/>
              <w:left w:w="80" w:type="dxa"/>
              <w:bottom w:w="80" w:type="dxa"/>
              <w:right w:w="80" w:type="dxa"/>
            </w:tcMar>
            <w:vAlign w:val="center"/>
          </w:tcPr>
          <w:p w14:paraId="4DFB9E69" w14:textId="77777777" w:rsidR="00E63C48" w:rsidRPr="00BE7D1E" w:rsidRDefault="00302EC0" w:rsidP="009C40FB">
            <w:pPr>
              <w:jc w:val="both"/>
              <w:rPr>
                <w:rFonts w:cs="Times New Roman"/>
                <w:sz w:val="22"/>
              </w:rPr>
            </w:pPr>
            <w:r w:rsidRPr="00BE7D1E">
              <w:rPr>
                <w:rFonts w:cs="Times New Roman"/>
                <w:sz w:val="22"/>
              </w:rPr>
              <w:t>6.90 ± 0.32ᵇ</w:t>
            </w:r>
          </w:p>
        </w:tc>
        <w:tc>
          <w:tcPr>
            <w:tcW w:w="1560" w:type="dxa"/>
            <w:tcBorders>
              <w:top w:val="single" w:sz="4" w:space="0" w:color="auto"/>
            </w:tcBorders>
            <w:tcMar>
              <w:top w:w="80" w:type="dxa"/>
              <w:left w:w="80" w:type="dxa"/>
              <w:bottom w:w="80" w:type="dxa"/>
              <w:right w:w="80" w:type="dxa"/>
            </w:tcMar>
            <w:vAlign w:val="center"/>
          </w:tcPr>
          <w:p w14:paraId="48F905F3" w14:textId="77777777" w:rsidR="00E63C48" w:rsidRPr="00BE7D1E" w:rsidRDefault="00302EC0" w:rsidP="009C40FB">
            <w:pPr>
              <w:jc w:val="both"/>
              <w:rPr>
                <w:rFonts w:cs="Times New Roman"/>
                <w:sz w:val="22"/>
              </w:rPr>
            </w:pPr>
            <w:r w:rsidRPr="00BE7D1E">
              <w:rPr>
                <w:rFonts w:cs="Times New Roman"/>
                <w:sz w:val="22"/>
              </w:rPr>
              <w:t>7.00 ± 0.00ᵃ</w:t>
            </w:r>
          </w:p>
        </w:tc>
        <w:tc>
          <w:tcPr>
            <w:tcW w:w="1560" w:type="dxa"/>
            <w:tcBorders>
              <w:top w:val="single" w:sz="4" w:space="0" w:color="auto"/>
            </w:tcBorders>
            <w:tcMar>
              <w:top w:w="80" w:type="dxa"/>
              <w:left w:w="80" w:type="dxa"/>
              <w:bottom w:w="80" w:type="dxa"/>
              <w:right w:w="80" w:type="dxa"/>
            </w:tcMar>
            <w:vAlign w:val="center"/>
          </w:tcPr>
          <w:p w14:paraId="14661305" w14:textId="77777777" w:rsidR="00E63C48" w:rsidRPr="00BE7D1E" w:rsidRDefault="00302EC0" w:rsidP="009C40FB">
            <w:pPr>
              <w:jc w:val="both"/>
              <w:rPr>
                <w:rFonts w:cs="Times New Roman"/>
                <w:sz w:val="22"/>
              </w:rPr>
            </w:pPr>
            <w:r w:rsidRPr="00BE7D1E">
              <w:rPr>
                <w:rFonts w:cs="Times New Roman"/>
                <w:sz w:val="22"/>
              </w:rPr>
              <w:t>6.90 ± 0.32ᵇ</w:t>
            </w:r>
          </w:p>
        </w:tc>
        <w:tc>
          <w:tcPr>
            <w:tcW w:w="1560" w:type="dxa"/>
            <w:tcBorders>
              <w:top w:val="single" w:sz="4" w:space="0" w:color="auto"/>
            </w:tcBorders>
            <w:tcMar>
              <w:top w:w="80" w:type="dxa"/>
              <w:left w:w="80" w:type="dxa"/>
              <w:bottom w:w="80" w:type="dxa"/>
              <w:right w:w="80" w:type="dxa"/>
            </w:tcMar>
            <w:vAlign w:val="center"/>
          </w:tcPr>
          <w:p w14:paraId="2AF47531" w14:textId="77777777" w:rsidR="00E63C48" w:rsidRPr="00BE7D1E" w:rsidRDefault="00302EC0" w:rsidP="009C40FB">
            <w:pPr>
              <w:jc w:val="both"/>
              <w:rPr>
                <w:rFonts w:cs="Times New Roman"/>
                <w:sz w:val="22"/>
              </w:rPr>
            </w:pPr>
            <w:r w:rsidRPr="00BE7D1E">
              <w:rPr>
                <w:rFonts w:cs="Times New Roman"/>
                <w:sz w:val="22"/>
              </w:rPr>
              <w:t>6.90 ± 0.32ᵇ</w:t>
            </w:r>
          </w:p>
        </w:tc>
      </w:tr>
      <w:tr w:rsidR="003A4706" w:rsidRPr="003A4706" w14:paraId="47E0EE62" w14:textId="77777777" w:rsidTr="00FB0CF3">
        <w:trPr>
          <w:jc w:val="center"/>
        </w:trPr>
        <w:tc>
          <w:tcPr>
            <w:tcW w:w="2280" w:type="dxa"/>
            <w:tcMar>
              <w:top w:w="80" w:type="dxa"/>
              <w:left w:w="80" w:type="dxa"/>
              <w:bottom w:w="80" w:type="dxa"/>
              <w:right w:w="80" w:type="dxa"/>
            </w:tcMar>
            <w:vAlign w:val="center"/>
          </w:tcPr>
          <w:p w14:paraId="700C4F82" w14:textId="77777777" w:rsidR="00E63C48" w:rsidRPr="00BE7D1E" w:rsidRDefault="00302EC0" w:rsidP="009C40FB">
            <w:pPr>
              <w:jc w:val="both"/>
              <w:rPr>
                <w:rFonts w:cs="Times New Roman"/>
                <w:sz w:val="22"/>
              </w:rPr>
            </w:pPr>
            <w:r w:rsidRPr="00BE7D1E">
              <w:rPr>
                <w:rFonts w:cs="Times New Roman"/>
                <w:sz w:val="22"/>
              </w:rPr>
              <w:t>B (90:10)</w:t>
            </w:r>
          </w:p>
        </w:tc>
        <w:tc>
          <w:tcPr>
            <w:tcW w:w="1560" w:type="dxa"/>
            <w:tcMar>
              <w:top w:w="80" w:type="dxa"/>
              <w:left w:w="80" w:type="dxa"/>
              <w:bottom w:w="80" w:type="dxa"/>
              <w:right w:w="80" w:type="dxa"/>
            </w:tcMar>
            <w:vAlign w:val="center"/>
          </w:tcPr>
          <w:p w14:paraId="23530FDC" w14:textId="77777777" w:rsidR="00E63C48" w:rsidRPr="00BE7D1E" w:rsidRDefault="00302EC0" w:rsidP="009C40FB">
            <w:pPr>
              <w:jc w:val="both"/>
              <w:rPr>
                <w:rFonts w:cs="Times New Roman"/>
                <w:sz w:val="22"/>
              </w:rPr>
            </w:pPr>
            <w:r w:rsidRPr="00BE7D1E">
              <w:rPr>
                <w:rFonts w:cs="Times New Roman"/>
                <w:sz w:val="22"/>
              </w:rPr>
              <w:t>7.00 ± 0.00ᵃ</w:t>
            </w:r>
          </w:p>
        </w:tc>
        <w:tc>
          <w:tcPr>
            <w:tcW w:w="1560" w:type="dxa"/>
            <w:tcMar>
              <w:top w:w="80" w:type="dxa"/>
              <w:left w:w="80" w:type="dxa"/>
              <w:bottom w:w="80" w:type="dxa"/>
              <w:right w:w="80" w:type="dxa"/>
            </w:tcMar>
            <w:vAlign w:val="center"/>
          </w:tcPr>
          <w:p w14:paraId="44943879" w14:textId="77777777" w:rsidR="00E63C48" w:rsidRPr="00BE7D1E" w:rsidRDefault="00302EC0" w:rsidP="009C40FB">
            <w:pPr>
              <w:jc w:val="both"/>
              <w:rPr>
                <w:rFonts w:cs="Times New Roman"/>
                <w:sz w:val="22"/>
              </w:rPr>
            </w:pPr>
            <w:r w:rsidRPr="00BE7D1E">
              <w:rPr>
                <w:rFonts w:cs="Times New Roman"/>
                <w:sz w:val="22"/>
              </w:rPr>
              <w:t>6.30 ± 0.48ᶜ</w:t>
            </w:r>
          </w:p>
        </w:tc>
        <w:tc>
          <w:tcPr>
            <w:tcW w:w="1560" w:type="dxa"/>
            <w:tcMar>
              <w:top w:w="80" w:type="dxa"/>
              <w:left w:w="80" w:type="dxa"/>
              <w:bottom w:w="80" w:type="dxa"/>
              <w:right w:w="80" w:type="dxa"/>
            </w:tcMar>
            <w:vAlign w:val="center"/>
          </w:tcPr>
          <w:p w14:paraId="054753BA" w14:textId="77777777" w:rsidR="00E63C48" w:rsidRPr="00BE7D1E" w:rsidRDefault="00302EC0" w:rsidP="009C40FB">
            <w:pPr>
              <w:jc w:val="both"/>
              <w:rPr>
                <w:rFonts w:cs="Times New Roman"/>
                <w:sz w:val="22"/>
              </w:rPr>
            </w:pPr>
            <w:r w:rsidRPr="00BE7D1E">
              <w:rPr>
                <w:rFonts w:cs="Times New Roman"/>
                <w:sz w:val="22"/>
              </w:rPr>
              <w:t>6.90 ± 0.32ᵃ</w:t>
            </w:r>
          </w:p>
        </w:tc>
        <w:tc>
          <w:tcPr>
            <w:tcW w:w="1560" w:type="dxa"/>
            <w:tcMar>
              <w:top w:w="80" w:type="dxa"/>
              <w:left w:w="80" w:type="dxa"/>
              <w:bottom w:w="80" w:type="dxa"/>
              <w:right w:w="80" w:type="dxa"/>
            </w:tcMar>
            <w:vAlign w:val="center"/>
          </w:tcPr>
          <w:p w14:paraId="1C63AAEA" w14:textId="77777777" w:rsidR="00E63C48" w:rsidRPr="00BE7D1E" w:rsidRDefault="00302EC0" w:rsidP="009C40FB">
            <w:pPr>
              <w:jc w:val="both"/>
              <w:rPr>
                <w:rFonts w:cs="Times New Roman"/>
                <w:sz w:val="22"/>
              </w:rPr>
            </w:pPr>
            <w:r w:rsidRPr="00BE7D1E">
              <w:rPr>
                <w:rFonts w:cs="Times New Roman"/>
                <w:sz w:val="22"/>
              </w:rPr>
              <w:t>6.50 ± 0.53ᶜ</w:t>
            </w:r>
          </w:p>
        </w:tc>
        <w:tc>
          <w:tcPr>
            <w:tcW w:w="1560" w:type="dxa"/>
            <w:tcMar>
              <w:top w:w="80" w:type="dxa"/>
              <w:left w:w="80" w:type="dxa"/>
              <w:bottom w:w="80" w:type="dxa"/>
              <w:right w:w="80" w:type="dxa"/>
            </w:tcMar>
            <w:vAlign w:val="center"/>
          </w:tcPr>
          <w:p w14:paraId="36A08A28" w14:textId="77777777" w:rsidR="00E63C48" w:rsidRPr="00BE7D1E" w:rsidRDefault="00302EC0" w:rsidP="009C40FB">
            <w:pPr>
              <w:jc w:val="both"/>
              <w:rPr>
                <w:rFonts w:cs="Times New Roman"/>
                <w:sz w:val="22"/>
              </w:rPr>
            </w:pPr>
            <w:r w:rsidRPr="00BE7D1E">
              <w:rPr>
                <w:rFonts w:cs="Times New Roman"/>
                <w:sz w:val="22"/>
              </w:rPr>
              <w:t>6.50 ± 0.53ᶜ</w:t>
            </w:r>
          </w:p>
        </w:tc>
      </w:tr>
      <w:tr w:rsidR="003A4706" w:rsidRPr="003A4706" w14:paraId="295BF481" w14:textId="77777777" w:rsidTr="00FB0CF3">
        <w:trPr>
          <w:jc w:val="center"/>
        </w:trPr>
        <w:tc>
          <w:tcPr>
            <w:tcW w:w="2280" w:type="dxa"/>
            <w:tcMar>
              <w:top w:w="80" w:type="dxa"/>
              <w:left w:w="80" w:type="dxa"/>
              <w:bottom w:w="80" w:type="dxa"/>
              <w:right w:w="80" w:type="dxa"/>
            </w:tcMar>
            <w:vAlign w:val="center"/>
          </w:tcPr>
          <w:p w14:paraId="1B25F4E1" w14:textId="77777777" w:rsidR="00E63C48" w:rsidRPr="00BE7D1E" w:rsidRDefault="00302EC0" w:rsidP="009C40FB">
            <w:pPr>
              <w:jc w:val="both"/>
              <w:rPr>
                <w:rFonts w:cs="Times New Roman"/>
                <w:sz w:val="22"/>
              </w:rPr>
            </w:pPr>
            <w:r w:rsidRPr="00BE7D1E">
              <w:rPr>
                <w:rFonts w:cs="Times New Roman"/>
                <w:sz w:val="22"/>
              </w:rPr>
              <w:t>C (80:20)</w:t>
            </w:r>
          </w:p>
        </w:tc>
        <w:tc>
          <w:tcPr>
            <w:tcW w:w="1560" w:type="dxa"/>
            <w:tcMar>
              <w:top w:w="80" w:type="dxa"/>
              <w:left w:w="80" w:type="dxa"/>
              <w:bottom w:w="80" w:type="dxa"/>
              <w:right w:w="80" w:type="dxa"/>
            </w:tcMar>
            <w:vAlign w:val="center"/>
          </w:tcPr>
          <w:p w14:paraId="1A3015F6" w14:textId="77777777" w:rsidR="00E63C48" w:rsidRPr="00BE7D1E" w:rsidRDefault="00302EC0" w:rsidP="009C40FB">
            <w:pPr>
              <w:jc w:val="both"/>
              <w:rPr>
                <w:rFonts w:cs="Times New Roman"/>
                <w:sz w:val="22"/>
              </w:rPr>
            </w:pPr>
            <w:r w:rsidRPr="00BE7D1E">
              <w:rPr>
                <w:rFonts w:cs="Times New Roman"/>
                <w:sz w:val="22"/>
              </w:rPr>
              <w:t>6.30 ± 0.68ᵈ</w:t>
            </w:r>
          </w:p>
        </w:tc>
        <w:tc>
          <w:tcPr>
            <w:tcW w:w="1560" w:type="dxa"/>
            <w:tcMar>
              <w:top w:w="80" w:type="dxa"/>
              <w:left w:w="80" w:type="dxa"/>
              <w:bottom w:w="80" w:type="dxa"/>
              <w:right w:w="80" w:type="dxa"/>
            </w:tcMar>
            <w:vAlign w:val="center"/>
          </w:tcPr>
          <w:p w14:paraId="41C73703" w14:textId="77777777" w:rsidR="00E63C48" w:rsidRPr="00BE7D1E" w:rsidRDefault="00302EC0" w:rsidP="009C40FB">
            <w:pPr>
              <w:jc w:val="both"/>
              <w:rPr>
                <w:rFonts w:cs="Times New Roman"/>
                <w:sz w:val="22"/>
              </w:rPr>
            </w:pPr>
            <w:r w:rsidRPr="00BE7D1E">
              <w:rPr>
                <w:rFonts w:cs="Times New Roman"/>
                <w:sz w:val="22"/>
              </w:rPr>
              <w:t>5.50 ± 0.53ᵈ</w:t>
            </w:r>
          </w:p>
        </w:tc>
        <w:tc>
          <w:tcPr>
            <w:tcW w:w="1560" w:type="dxa"/>
            <w:tcMar>
              <w:top w:w="80" w:type="dxa"/>
              <w:left w:w="80" w:type="dxa"/>
              <w:bottom w:w="80" w:type="dxa"/>
              <w:right w:w="80" w:type="dxa"/>
            </w:tcMar>
            <w:vAlign w:val="center"/>
          </w:tcPr>
          <w:p w14:paraId="12965438" w14:textId="77777777" w:rsidR="00E63C48" w:rsidRPr="00BE7D1E" w:rsidRDefault="00302EC0" w:rsidP="009C40FB">
            <w:pPr>
              <w:jc w:val="both"/>
              <w:rPr>
                <w:rFonts w:cs="Times New Roman"/>
                <w:sz w:val="22"/>
              </w:rPr>
            </w:pPr>
            <w:r w:rsidRPr="00BE7D1E">
              <w:rPr>
                <w:rFonts w:cs="Times New Roman"/>
                <w:sz w:val="22"/>
              </w:rPr>
              <w:t>5.50 ± 0.53ᵇ</w:t>
            </w:r>
          </w:p>
        </w:tc>
        <w:tc>
          <w:tcPr>
            <w:tcW w:w="1560" w:type="dxa"/>
            <w:tcMar>
              <w:top w:w="80" w:type="dxa"/>
              <w:left w:w="80" w:type="dxa"/>
              <w:bottom w:w="80" w:type="dxa"/>
              <w:right w:w="80" w:type="dxa"/>
            </w:tcMar>
            <w:vAlign w:val="center"/>
          </w:tcPr>
          <w:p w14:paraId="2C29B1ED" w14:textId="77777777" w:rsidR="00E63C48" w:rsidRPr="00BE7D1E" w:rsidRDefault="00302EC0" w:rsidP="009C40FB">
            <w:pPr>
              <w:jc w:val="both"/>
              <w:rPr>
                <w:rFonts w:cs="Times New Roman"/>
                <w:sz w:val="22"/>
              </w:rPr>
            </w:pPr>
            <w:r w:rsidRPr="00BE7D1E">
              <w:rPr>
                <w:rFonts w:cs="Times New Roman"/>
                <w:sz w:val="22"/>
              </w:rPr>
              <w:t>4.90 ± 0.88ᵈ</w:t>
            </w:r>
          </w:p>
        </w:tc>
        <w:tc>
          <w:tcPr>
            <w:tcW w:w="1560" w:type="dxa"/>
            <w:tcMar>
              <w:top w:w="80" w:type="dxa"/>
              <w:left w:w="80" w:type="dxa"/>
              <w:bottom w:w="80" w:type="dxa"/>
              <w:right w:w="80" w:type="dxa"/>
            </w:tcMar>
            <w:vAlign w:val="center"/>
          </w:tcPr>
          <w:p w14:paraId="569B92CF" w14:textId="77777777" w:rsidR="00E63C48" w:rsidRPr="00BE7D1E" w:rsidRDefault="00302EC0" w:rsidP="009C40FB">
            <w:pPr>
              <w:jc w:val="both"/>
              <w:rPr>
                <w:rFonts w:cs="Times New Roman"/>
                <w:sz w:val="22"/>
              </w:rPr>
            </w:pPr>
            <w:r w:rsidRPr="00BE7D1E">
              <w:rPr>
                <w:rFonts w:cs="Times New Roman"/>
                <w:sz w:val="22"/>
              </w:rPr>
              <w:t>5.80 ± 0.63ᵃ</w:t>
            </w:r>
          </w:p>
        </w:tc>
      </w:tr>
      <w:tr w:rsidR="003A4706" w:rsidRPr="003A4706" w14:paraId="16C59A56" w14:textId="77777777" w:rsidTr="00FB0CF3">
        <w:trPr>
          <w:jc w:val="center"/>
        </w:trPr>
        <w:tc>
          <w:tcPr>
            <w:tcW w:w="2280" w:type="dxa"/>
            <w:tcMar>
              <w:top w:w="80" w:type="dxa"/>
              <w:left w:w="80" w:type="dxa"/>
              <w:bottom w:w="80" w:type="dxa"/>
              <w:right w:w="80" w:type="dxa"/>
            </w:tcMar>
            <w:vAlign w:val="center"/>
          </w:tcPr>
          <w:p w14:paraId="47BFC285" w14:textId="77777777" w:rsidR="00E63C48" w:rsidRPr="00BE7D1E" w:rsidRDefault="00302EC0" w:rsidP="009C40FB">
            <w:pPr>
              <w:jc w:val="both"/>
              <w:rPr>
                <w:rFonts w:cs="Times New Roman"/>
                <w:sz w:val="22"/>
              </w:rPr>
            </w:pPr>
            <w:r w:rsidRPr="00BE7D1E">
              <w:rPr>
                <w:rFonts w:cs="Times New Roman"/>
                <w:sz w:val="22"/>
              </w:rPr>
              <w:t>D (70:30)</w:t>
            </w:r>
          </w:p>
        </w:tc>
        <w:tc>
          <w:tcPr>
            <w:tcW w:w="1560" w:type="dxa"/>
            <w:tcMar>
              <w:top w:w="80" w:type="dxa"/>
              <w:left w:w="80" w:type="dxa"/>
              <w:bottom w:w="80" w:type="dxa"/>
              <w:right w:w="80" w:type="dxa"/>
            </w:tcMar>
            <w:vAlign w:val="center"/>
          </w:tcPr>
          <w:p w14:paraId="22963100" w14:textId="77777777" w:rsidR="00E63C48" w:rsidRPr="00BE7D1E" w:rsidRDefault="00302EC0" w:rsidP="009C40FB">
            <w:pPr>
              <w:jc w:val="both"/>
              <w:rPr>
                <w:rFonts w:cs="Times New Roman"/>
                <w:sz w:val="22"/>
              </w:rPr>
            </w:pPr>
            <w:r w:rsidRPr="00BE7D1E">
              <w:rPr>
                <w:rFonts w:cs="Times New Roman"/>
                <w:sz w:val="22"/>
              </w:rPr>
              <w:t>4.20 ± 0.63ᵇ</w:t>
            </w:r>
          </w:p>
        </w:tc>
        <w:tc>
          <w:tcPr>
            <w:tcW w:w="1560" w:type="dxa"/>
            <w:tcMar>
              <w:top w:w="80" w:type="dxa"/>
              <w:left w:w="80" w:type="dxa"/>
              <w:bottom w:w="80" w:type="dxa"/>
              <w:right w:w="80" w:type="dxa"/>
            </w:tcMar>
            <w:vAlign w:val="center"/>
          </w:tcPr>
          <w:p w14:paraId="76E287D1" w14:textId="77777777" w:rsidR="00E63C48" w:rsidRPr="00BE7D1E" w:rsidRDefault="00302EC0" w:rsidP="009C40FB">
            <w:pPr>
              <w:jc w:val="both"/>
              <w:rPr>
                <w:rFonts w:cs="Times New Roman"/>
                <w:sz w:val="22"/>
              </w:rPr>
            </w:pPr>
            <w:r w:rsidRPr="00BE7D1E">
              <w:rPr>
                <w:rFonts w:cs="Times New Roman"/>
                <w:sz w:val="22"/>
              </w:rPr>
              <w:t>3.90 ± 0.88ᵃ</w:t>
            </w:r>
          </w:p>
        </w:tc>
        <w:tc>
          <w:tcPr>
            <w:tcW w:w="1560" w:type="dxa"/>
            <w:tcMar>
              <w:top w:w="80" w:type="dxa"/>
              <w:left w:w="80" w:type="dxa"/>
              <w:bottom w:w="80" w:type="dxa"/>
              <w:right w:w="80" w:type="dxa"/>
            </w:tcMar>
            <w:vAlign w:val="center"/>
          </w:tcPr>
          <w:p w14:paraId="6B814D51" w14:textId="77777777" w:rsidR="00E63C48" w:rsidRPr="00BE7D1E" w:rsidRDefault="00302EC0" w:rsidP="009C40FB">
            <w:pPr>
              <w:jc w:val="both"/>
              <w:rPr>
                <w:rFonts w:cs="Times New Roman"/>
                <w:sz w:val="22"/>
              </w:rPr>
            </w:pPr>
            <w:r w:rsidRPr="00BE7D1E">
              <w:rPr>
                <w:rFonts w:cs="Times New Roman"/>
                <w:sz w:val="22"/>
              </w:rPr>
              <w:t>5.60 ± 0.52ᵇ</w:t>
            </w:r>
          </w:p>
        </w:tc>
        <w:tc>
          <w:tcPr>
            <w:tcW w:w="1560" w:type="dxa"/>
            <w:tcMar>
              <w:top w:w="80" w:type="dxa"/>
              <w:left w:w="80" w:type="dxa"/>
              <w:bottom w:w="80" w:type="dxa"/>
              <w:right w:w="80" w:type="dxa"/>
            </w:tcMar>
            <w:vAlign w:val="center"/>
          </w:tcPr>
          <w:p w14:paraId="5A8007F2" w14:textId="77777777" w:rsidR="00E63C48" w:rsidRPr="00BE7D1E" w:rsidRDefault="00302EC0" w:rsidP="009C40FB">
            <w:pPr>
              <w:jc w:val="both"/>
              <w:rPr>
                <w:rFonts w:cs="Times New Roman"/>
                <w:sz w:val="22"/>
              </w:rPr>
            </w:pPr>
            <w:r w:rsidRPr="00BE7D1E">
              <w:rPr>
                <w:rFonts w:cs="Times New Roman"/>
                <w:sz w:val="22"/>
              </w:rPr>
              <w:t>4.20 ± 0.79ᵃ</w:t>
            </w:r>
          </w:p>
        </w:tc>
        <w:tc>
          <w:tcPr>
            <w:tcW w:w="1560" w:type="dxa"/>
            <w:tcMar>
              <w:top w:w="80" w:type="dxa"/>
              <w:left w:w="80" w:type="dxa"/>
              <w:bottom w:w="80" w:type="dxa"/>
              <w:right w:w="80" w:type="dxa"/>
            </w:tcMar>
            <w:vAlign w:val="center"/>
          </w:tcPr>
          <w:p w14:paraId="7CBDC1ED" w14:textId="77777777" w:rsidR="00E63C48" w:rsidRPr="00BE7D1E" w:rsidRDefault="00302EC0" w:rsidP="009C40FB">
            <w:pPr>
              <w:jc w:val="both"/>
              <w:rPr>
                <w:rFonts w:cs="Times New Roman"/>
                <w:sz w:val="22"/>
              </w:rPr>
            </w:pPr>
            <w:r w:rsidRPr="00BE7D1E">
              <w:rPr>
                <w:rFonts w:cs="Times New Roman"/>
                <w:sz w:val="22"/>
              </w:rPr>
              <w:t>6.00 ± 0.67ᵃ</w:t>
            </w:r>
          </w:p>
        </w:tc>
      </w:tr>
      <w:tr w:rsidR="003A4706" w:rsidRPr="003A4706" w14:paraId="61E4DA2E" w14:textId="77777777" w:rsidTr="00FB0CF3">
        <w:trPr>
          <w:jc w:val="center"/>
        </w:trPr>
        <w:tc>
          <w:tcPr>
            <w:tcW w:w="2280" w:type="dxa"/>
            <w:tcMar>
              <w:top w:w="80" w:type="dxa"/>
              <w:left w:w="80" w:type="dxa"/>
              <w:bottom w:w="80" w:type="dxa"/>
              <w:right w:w="80" w:type="dxa"/>
            </w:tcMar>
            <w:vAlign w:val="center"/>
          </w:tcPr>
          <w:p w14:paraId="35BE84D3" w14:textId="77777777" w:rsidR="00E63C48" w:rsidRPr="00BE7D1E" w:rsidRDefault="00302EC0" w:rsidP="009C40FB">
            <w:pPr>
              <w:jc w:val="both"/>
              <w:rPr>
                <w:rFonts w:cs="Times New Roman"/>
                <w:sz w:val="22"/>
              </w:rPr>
            </w:pPr>
            <w:r w:rsidRPr="00BE7D1E">
              <w:rPr>
                <w:rFonts w:cs="Times New Roman"/>
                <w:sz w:val="22"/>
              </w:rPr>
              <w:t>E (60:40)</w:t>
            </w:r>
          </w:p>
        </w:tc>
        <w:tc>
          <w:tcPr>
            <w:tcW w:w="1560" w:type="dxa"/>
            <w:tcMar>
              <w:top w:w="80" w:type="dxa"/>
              <w:left w:w="80" w:type="dxa"/>
              <w:bottom w:w="80" w:type="dxa"/>
              <w:right w:w="80" w:type="dxa"/>
            </w:tcMar>
            <w:vAlign w:val="center"/>
          </w:tcPr>
          <w:p w14:paraId="68FA533D" w14:textId="77777777" w:rsidR="00E63C48" w:rsidRPr="00BE7D1E" w:rsidRDefault="00302EC0" w:rsidP="009C40FB">
            <w:pPr>
              <w:jc w:val="both"/>
              <w:rPr>
                <w:rFonts w:cs="Times New Roman"/>
                <w:sz w:val="22"/>
              </w:rPr>
            </w:pPr>
            <w:r w:rsidRPr="00BE7D1E">
              <w:rPr>
                <w:rFonts w:cs="Times New Roman"/>
                <w:sz w:val="22"/>
              </w:rPr>
              <w:t>4.40 ± 0.70ᵇᶜ</w:t>
            </w:r>
          </w:p>
        </w:tc>
        <w:tc>
          <w:tcPr>
            <w:tcW w:w="1560" w:type="dxa"/>
            <w:tcMar>
              <w:top w:w="80" w:type="dxa"/>
              <w:left w:w="80" w:type="dxa"/>
              <w:bottom w:w="80" w:type="dxa"/>
              <w:right w:w="80" w:type="dxa"/>
            </w:tcMar>
            <w:vAlign w:val="center"/>
          </w:tcPr>
          <w:p w14:paraId="66583B07" w14:textId="77777777" w:rsidR="00E63C48" w:rsidRPr="00BE7D1E" w:rsidRDefault="00302EC0" w:rsidP="009C40FB">
            <w:pPr>
              <w:jc w:val="both"/>
              <w:rPr>
                <w:rFonts w:cs="Times New Roman"/>
                <w:sz w:val="22"/>
              </w:rPr>
            </w:pPr>
            <w:r w:rsidRPr="00BE7D1E">
              <w:rPr>
                <w:rFonts w:cs="Times New Roman"/>
                <w:sz w:val="22"/>
              </w:rPr>
              <w:t>3.80 ± 0.79ᵃ</w:t>
            </w:r>
          </w:p>
        </w:tc>
        <w:tc>
          <w:tcPr>
            <w:tcW w:w="1560" w:type="dxa"/>
            <w:tcMar>
              <w:top w:w="80" w:type="dxa"/>
              <w:left w:w="80" w:type="dxa"/>
              <w:bottom w:w="80" w:type="dxa"/>
              <w:right w:w="80" w:type="dxa"/>
            </w:tcMar>
            <w:vAlign w:val="center"/>
          </w:tcPr>
          <w:p w14:paraId="61DD5CA6" w14:textId="77777777" w:rsidR="00E63C48" w:rsidRPr="00BE7D1E" w:rsidRDefault="00302EC0" w:rsidP="009C40FB">
            <w:pPr>
              <w:jc w:val="both"/>
              <w:rPr>
                <w:rFonts w:cs="Times New Roman"/>
                <w:sz w:val="22"/>
              </w:rPr>
            </w:pPr>
            <w:r w:rsidRPr="00BE7D1E">
              <w:rPr>
                <w:rFonts w:cs="Times New Roman"/>
                <w:sz w:val="22"/>
              </w:rPr>
              <w:t>6.60 ± 0.70ᶜ</w:t>
            </w:r>
          </w:p>
        </w:tc>
        <w:tc>
          <w:tcPr>
            <w:tcW w:w="1560" w:type="dxa"/>
            <w:tcMar>
              <w:top w:w="80" w:type="dxa"/>
              <w:left w:w="80" w:type="dxa"/>
              <w:bottom w:w="80" w:type="dxa"/>
              <w:right w:w="80" w:type="dxa"/>
            </w:tcMar>
            <w:vAlign w:val="center"/>
          </w:tcPr>
          <w:p w14:paraId="043835BC" w14:textId="77777777" w:rsidR="00E63C48" w:rsidRPr="00BE7D1E" w:rsidRDefault="00302EC0" w:rsidP="009C40FB">
            <w:pPr>
              <w:jc w:val="both"/>
              <w:rPr>
                <w:rFonts w:cs="Times New Roman"/>
                <w:sz w:val="22"/>
              </w:rPr>
            </w:pPr>
            <w:r w:rsidRPr="00BE7D1E">
              <w:rPr>
                <w:rFonts w:cs="Times New Roman"/>
                <w:sz w:val="22"/>
              </w:rPr>
              <w:t>4.10 ± 0.74ᵃ</w:t>
            </w:r>
          </w:p>
        </w:tc>
        <w:tc>
          <w:tcPr>
            <w:tcW w:w="1560" w:type="dxa"/>
            <w:tcMar>
              <w:top w:w="80" w:type="dxa"/>
              <w:left w:w="80" w:type="dxa"/>
              <w:bottom w:w="80" w:type="dxa"/>
              <w:right w:w="80" w:type="dxa"/>
            </w:tcMar>
            <w:vAlign w:val="center"/>
          </w:tcPr>
          <w:p w14:paraId="7B721036" w14:textId="77777777" w:rsidR="00E63C48" w:rsidRPr="00BE7D1E" w:rsidRDefault="00302EC0" w:rsidP="009C40FB">
            <w:pPr>
              <w:jc w:val="both"/>
              <w:rPr>
                <w:rFonts w:cs="Times New Roman"/>
                <w:sz w:val="22"/>
              </w:rPr>
            </w:pPr>
            <w:r w:rsidRPr="00BE7D1E">
              <w:rPr>
                <w:rFonts w:cs="Times New Roman"/>
                <w:sz w:val="22"/>
              </w:rPr>
              <w:t>5.50 ± 0.53ᵈ</w:t>
            </w:r>
          </w:p>
        </w:tc>
      </w:tr>
      <w:tr w:rsidR="003A4706" w:rsidRPr="003A4706" w14:paraId="2E30CFC9" w14:textId="77777777" w:rsidTr="00FB0CF3">
        <w:trPr>
          <w:jc w:val="center"/>
        </w:trPr>
        <w:tc>
          <w:tcPr>
            <w:tcW w:w="2280" w:type="dxa"/>
            <w:tcMar>
              <w:top w:w="80" w:type="dxa"/>
              <w:left w:w="80" w:type="dxa"/>
              <w:bottom w:w="80" w:type="dxa"/>
              <w:right w:w="80" w:type="dxa"/>
            </w:tcMar>
            <w:vAlign w:val="center"/>
          </w:tcPr>
          <w:p w14:paraId="23930C93" w14:textId="77777777" w:rsidR="00E63C48" w:rsidRPr="00BE7D1E" w:rsidRDefault="00302EC0" w:rsidP="009C40FB">
            <w:pPr>
              <w:jc w:val="both"/>
              <w:rPr>
                <w:rFonts w:cs="Times New Roman"/>
                <w:sz w:val="22"/>
              </w:rPr>
            </w:pPr>
            <w:r w:rsidRPr="00BE7D1E">
              <w:rPr>
                <w:rFonts w:cs="Times New Roman"/>
                <w:sz w:val="22"/>
              </w:rPr>
              <w:t>F (50:50)</w:t>
            </w:r>
          </w:p>
        </w:tc>
        <w:tc>
          <w:tcPr>
            <w:tcW w:w="1560" w:type="dxa"/>
            <w:tcMar>
              <w:top w:w="80" w:type="dxa"/>
              <w:left w:w="80" w:type="dxa"/>
              <w:bottom w:w="80" w:type="dxa"/>
              <w:right w:w="80" w:type="dxa"/>
            </w:tcMar>
            <w:vAlign w:val="center"/>
          </w:tcPr>
          <w:p w14:paraId="5B563286" w14:textId="77777777" w:rsidR="00E63C48" w:rsidRPr="00BE7D1E" w:rsidRDefault="00302EC0" w:rsidP="009C40FB">
            <w:pPr>
              <w:jc w:val="both"/>
              <w:rPr>
                <w:rFonts w:cs="Times New Roman"/>
                <w:sz w:val="22"/>
              </w:rPr>
            </w:pPr>
            <w:r w:rsidRPr="00BE7D1E">
              <w:rPr>
                <w:rFonts w:cs="Times New Roman"/>
                <w:sz w:val="22"/>
              </w:rPr>
              <w:t>4.50 ± 0.53ᶜ</w:t>
            </w:r>
          </w:p>
        </w:tc>
        <w:tc>
          <w:tcPr>
            <w:tcW w:w="1560" w:type="dxa"/>
            <w:tcMar>
              <w:top w:w="80" w:type="dxa"/>
              <w:left w:w="80" w:type="dxa"/>
              <w:bottom w:w="80" w:type="dxa"/>
              <w:right w:w="80" w:type="dxa"/>
            </w:tcMar>
            <w:vAlign w:val="center"/>
          </w:tcPr>
          <w:p w14:paraId="14DD37B1" w14:textId="77777777" w:rsidR="00E63C48" w:rsidRPr="00BE7D1E" w:rsidRDefault="00302EC0" w:rsidP="009C40FB">
            <w:pPr>
              <w:jc w:val="both"/>
              <w:rPr>
                <w:rFonts w:cs="Times New Roman"/>
                <w:sz w:val="22"/>
              </w:rPr>
            </w:pPr>
            <w:r w:rsidRPr="00BE7D1E">
              <w:rPr>
                <w:rFonts w:cs="Times New Roman"/>
                <w:sz w:val="22"/>
              </w:rPr>
              <w:t>3.30 ± 0.82ᵉ</w:t>
            </w:r>
          </w:p>
        </w:tc>
        <w:tc>
          <w:tcPr>
            <w:tcW w:w="1560" w:type="dxa"/>
            <w:tcMar>
              <w:top w:w="80" w:type="dxa"/>
              <w:left w:w="80" w:type="dxa"/>
              <w:bottom w:w="80" w:type="dxa"/>
              <w:right w:w="80" w:type="dxa"/>
            </w:tcMar>
            <w:vAlign w:val="center"/>
          </w:tcPr>
          <w:p w14:paraId="05AE4231" w14:textId="77777777" w:rsidR="00E63C48" w:rsidRPr="00BE7D1E" w:rsidRDefault="00302EC0" w:rsidP="009C40FB">
            <w:pPr>
              <w:jc w:val="both"/>
              <w:rPr>
                <w:rFonts w:cs="Times New Roman"/>
                <w:sz w:val="22"/>
              </w:rPr>
            </w:pPr>
            <w:r w:rsidRPr="00BE7D1E">
              <w:rPr>
                <w:rFonts w:cs="Times New Roman"/>
                <w:sz w:val="22"/>
              </w:rPr>
              <w:t>7.00 ± 0.00ᵃ</w:t>
            </w:r>
          </w:p>
        </w:tc>
        <w:tc>
          <w:tcPr>
            <w:tcW w:w="1560" w:type="dxa"/>
            <w:tcMar>
              <w:top w:w="80" w:type="dxa"/>
              <w:left w:w="80" w:type="dxa"/>
              <w:bottom w:w="80" w:type="dxa"/>
              <w:right w:w="80" w:type="dxa"/>
            </w:tcMar>
            <w:vAlign w:val="center"/>
          </w:tcPr>
          <w:p w14:paraId="092E10D2" w14:textId="77777777" w:rsidR="00E63C48" w:rsidRPr="00BE7D1E" w:rsidRDefault="00302EC0" w:rsidP="009C40FB">
            <w:pPr>
              <w:jc w:val="both"/>
              <w:rPr>
                <w:rFonts w:cs="Times New Roman"/>
                <w:sz w:val="22"/>
              </w:rPr>
            </w:pPr>
            <w:r w:rsidRPr="00BE7D1E">
              <w:rPr>
                <w:rFonts w:cs="Times New Roman"/>
                <w:sz w:val="22"/>
              </w:rPr>
              <w:t>3.20 ± 0.42ᵉ</w:t>
            </w:r>
          </w:p>
        </w:tc>
        <w:tc>
          <w:tcPr>
            <w:tcW w:w="1560" w:type="dxa"/>
            <w:tcMar>
              <w:top w:w="80" w:type="dxa"/>
              <w:left w:w="80" w:type="dxa"/>
              <w:bottom w:w="80" w:type="dxa"/>
              <w:right w:w="80" w:type="dxa"/>
            </w:tcMar>
            <w:vAlign w:val="center"/>
          </w:tcPr>
          <w:p w14:paraId="4747F28C" w14:textId="77777777" w:rsidR="00E63C48" w:rsidRPr="00BE7D1E" w:rsidRDefault="00302EC0" w:rsidP="009C40FB">
            <w:pPr>
              <w:jc w:val="both"/>
              <w:rPr>
                <w:rFonts w:cs="Times New Roman"/>
                <w:sz w:val="22"/>
              </w:rPr>
            </w:pPr>
            <w:r w:rsidRPr="00BE7D1E">
              <w:rPr>
                <w:rFonts w:cs="Times New Roman"/>
                <w:sz w:val="22"/>
              </w:rPr>
              <w:t>3.60 ± 0.52ᵉ</w:t>
            </w:r>
          </w:p>
        </w:tc>
      </w:tr>
      <w:tr w:rsidR="003A4706" w:rsidRPr="003A4706" w14:paraId="0D3F11A3" w14:textId="77777777" w:rsidTr="00FB0CF3">
        <w:trPr>
          <w:jc w:val="center"/>
        </w:trPr>
        <w:tc>
          <w:tcPr>
            <w:tcW w:w="2280" w:type="dxa"/>
            <w:tcMar>
              <w:top w:w="80" w:type="dxa"/>
              <w:left w:w="80" w:type="dxa"/>
              <w:bottom w:w="80" w:type="dxa"/>
              <w:right w:w="80" w:type="dxa"/>
            </w:tcMar>
            <w:vAlign w:val="center"/>
          </w:tcPr>
          <w:p w14:paraId="21A00D37" w14:textId="77777777" w:rsidR="00E63C48" w:rsidRPr="00BE7D1E" w:rsidRDefault="00302EC0" w:rsidP="009C40FB">
            <w:pPr>
              <w:jc w:val="both"/>
              <w:rPr>
                <w:rFonts w:cs="Times New Roman"/>
                <w:sz w:val="22"/>
              </w:rPr>
            </w:pPr>
            <w:r w:rsidRPr="00BE7D1E">
              <w:rPr>
                <w:rFonts w:cs="Times New Roman"/>
                <w:sz w:val="22"/>
              </w:rPr>
              <w:t>LSD</w:t>
            </w:r>
          </w:p>
        </w:tc>
        <w:tc>
          <w:tcPr>
            <w:tcW w:w="1560" w:type="dxa"/>
            <w:tcMar>
              <w:top w:w="80" w:type="dxa"/>
              <w:left w:w="80" w:type="dxa"/>
              <w:bottom w:w="80" w:type="dxa"/>
              <w:right w:w="80" w:type="dxa"/>
            </w:tcMar>
            <w:vAlign w:val="center"/>
          </w:tcPr>
          <w:p w14:paraId="1427BD7E" w14:textId="77777777" w:rsidR="00E63C48" w:rsidRPr="00BE7D1E" w:rsidRDefault="00302EC0" w:rsidP="009C40FB">
            <w:pPr>
              <w:jc w:val="both"/>
              <w:rPr>
                <w:rFonts w:cs="Times New Roman"/>
                <w:sz w:val="22"/>
              </w:rPr>
            </w:pPr>
            <w:r w:rsidRPr="00BE7D1E">
              <w:rPr>
                <w:rFonts w:cs="Times New Roman"/>
                <w:sz w:val="22"/>
              </w:rPr>
              <w:t>0.24</w:t>
            </w:r>
          </w:p>
        </w:tc>
        <w:tc>
          <w:tcPr>
            <w:tcW w:w="1560" w:type="dxa"/>
            <w:tcMar>
              <w:top w:w="80" w:type="dxa"/>
              <w:left w:w="80" w:type="dxa"/>
              <w:bottom w:w="80" w:type="dxa"/>
              <w:right w:w="80" w:type="dxa"/>
            </w:tcMar>
            <w:vAlign w:val="center"/>
          </w:tcPr>
          <w:p w14:paraId="539D3B53" w14:textId="77777777" w:rsidR="00E63C48" w:rsidRPr="00BE7D1E" w:rsidRDefault="00302EC0" w:rsidP="009C40FB">
            <w:pPr>
              <w:jc w:val="both"/>
              <w:rPr>
                <w:rFonts w:cs="Times New Roman"/>
                <w:sz w:val="22"/>
              </w:rPr>
            </w:pPr>
            <w:r w:rsidRPr="00BE7D1E">
              <w:rPr>
                <w:rFonts w:cs="Times New Roman"/>
                <w:sz w:val="22"/>
              </w:rPr>
              <w:t>0.29</w:t>
            </w:r>
          </w:p>
        </w:tc>
        <w:tc>
          <w:tcPr>
            <w:tcW w:w="1560" w:type="dxa"/>
            <w:tcMar>
              <w:top w:w="80" w:type="dxa"/>
              <w:left w:w="80" w:type="dxa"/>
              <w:bottom w:w="80" w:type="dxa"/>
              <w:right w:w="80" w:type="dxa"/>
            </w:tcMar>
            <w:vAlign w:val="center"/>
          </w:tcPr>
          <w:p w14:paraId="51F9D3F7" w14:textId="77777777" w:rsidR="00E63C48" w:rsidRPr="00BE7D1E" w:rsidRDefault="00302EC0" w:rsidP="009C40FB">
            <w:pPr>
              <w:jc w:val="both"/>
              <w:rPr>
                <w:rFonts w:cs="Times New Roman"/>
                <w:sz w:val="22"/>
              </w:rPr>
            </w:pPr>
            <w:r w:rsidRPr="00BE7D1E">
              <w:rPr>
                <w:rFonts w:cs="Times New Roman"/>
                <w:sz w:val="22"/>
              </w:rPr>
              <w:t>0.19</w:t>
            </w:r>
          </w:p>
        </w:tc>
        <w:tc>
          <w:tcPr>
            <w:tcW w:w="1560" w:type="dxa"/>
            <w:tcMar>
              <w:top w:w="80" w:type="dxa"/>
              <w:left w:w="80" w:type="dxa"/>
              <w:bottom w:w="80" w:type="dxa"/>
              <w:right w:w="80" w:type="dxa"/>
            </w:tcMar>
            <w:vAlign w:val="center"/>
          </w:tcPr>
          <w:p w14:paraId="78458B63" w14:textId="77777777" w:rsidR="00E63C48" w:rsidRPr="00BE7D1E" w:rsidRDefault="00302EC0" w:rsidP="009C40FB">
            <w:pPr>
              <w:jc w:val="both"/>
              <w:rPr>
                <w:rFonts w:cs="Times New Roman"/>
                <w:sz w:val="22"/>
              </w:rPr>
            </w:pPr>
            <w:r w:rsidRPr="00BE7D1E">
              <w:rPr>
                <w:rFonts w:cs="Times New Roman"/>
                <w:sz w:val="22"/>
              </w:rPr>
              <w:t>0.28</w:t>
            </w:r>
          </w:p>
        </w:tc>
        <w:tc>
          <w:tcPr>
            <w:tcW w:w="1560" w:type="dxa"/>
            <w:tcMar>
              <w:top w:w="80" w:type="dxa"/>
              <w:left w:w="80" w:type="dxa"/>
              <w:bottom w:w="80" w:type="dxa"/>
              <w:right w:w="80" w:type="dxa"/>
            </w:tcMar>
            <w:vAlign w:val="center"/>
          </w:tcPr>
          <w:p w14:paraId="1F013AF2" w14:textId="77777777" w:rsidR="00E63C48" w:rsidRPr="00BE7D1E" w:rsidRDefault="00302EC0" w:rsidP="009C40FB">
            <w:pPr>
              <w:jc w:val="both"/>
              <w:rPr>
                <w:rFonts w:cs="Times New Roman"/>
                <w:sz w:val="22"/>
              </w:rPr>
            </w:pPr>
            <w:r w:rsidRPr="00BE7D1E">
              <w:rPr>
                <w:rFonts w:cs="Times New Roman"/>
                <w:sz w:val="22"/>
              </w:rPr>
              <w:t>0.24</w:t>
            </w:r>
          </w:p>
        </w:tc>
      </w:tr>
    </w:tbl>
    <w:p w14:paraId="479444C6" w14:textId="77777777" w:rsidR="002F4599" w:rsidRPr="00FB0CF3" w:rsidRDefault="002F4599" w:rsidP="00FB0CF3">
      <w:pPr>
        <w:spacing w:line="240" w:lineRule="auto"/>
        <w:jc w:val="both"/>
        <w:rPr>
          <w:rFonts w:cs="Times New Roman"/>
          <w:i/>
          <w:sz w:val="22"/>
        </w:rPr>
      </w:pPr>
      <w:r w:rsidRPr="00FB0CF3">
        <w:rPr>
          <w:rFonts w:cs="Times New Roman"/>
          <w:i/>
          <w:sz w:val="22"/>
        </w:rPr>
        <w:t xml:space="preserve">  </w:t>
      </w:r>
      <w:r w:rsidR="00302EC0" w:rsidRPr="00FB0CF3">
        <w:rPr>
          <w:rFonts w:cs="Times New Roman"/>
          <w:i/>
          <w:sz w:val="22"/>
        </w:rPr>
        <w:t>Values are presented as mean</w:t>
      </w:r>
      <w:r w:rsidRPr="00FB0CF3">
        <w:rPr>
          <w:rFonts w:cs="Times New Roman"/>
          <w:i/>
          <w:sz w:val="22"/>
        </w:rPr>
        <w:t xml:space="preserve"> (n = 30)</w:t>
      </w:r>
      <w:r w:rsidR="00302EC0" w:rsidRPr="00FB0CF3">
        <w:rPr>
          <w:rFonts w:cs="Times New Roman"/>
          <w:i/>
          <w:sz w:val="22"/>
        </w:rPr>
        <w:t xml:space="preserve"> ± standard deviation (SD). Means within a column bearing different </w:t>
      </w:r>
      <w:r w:rsidRPr="00FB0CF3">
        <w:rPr>
          <w:rFonts w:cs="Times New Roman"/>
          <w:i/>
          <w:sz w:val="22"/>
        </w:rPr>
        <w:t xml:space="preserve">  </w:t>
      </w:r>
    </w:p>
    <w:p w14:paraId="1E1F405D" w14:textId="77777777" w:rsidR="002F4599" w:rsidRPr="00FB0CF3" w:rsidRDefault="002F4599" w:rsidP="00FB0CF3">
      <w:pPr>
        <w:spacing w:line="240" w:lineRule="auto"/>
        <w:jc w:val="both"/>
        <w:rPr>
          <w:rFonts w:cs="Times New Roman"/>
          <w:i/>
          <w:sz w:val="22"/>
        </w:rPr>
      </w:pPr>
      <w:r w:rsidRPr="00FB0CF3">
        <w:rPr>
          <w:rFonts w:cs="Times New Roman"/>
          <w:i/>
          <w:sz w:val="22"/>
        </w:rPr>
        <w:t xml:space="preserve">  </w:t>
      </w:r>
      <w:proofErr w:type="spellStart"/>
      <w:r w:rsidR="00E813CA">
        <w:rPr>
          <w:rFonts w:cs="Times New Roman"/>
          <w:i/>
          <w:sz w:val="22"/>
        </w:rPr>
        <w:t>supe</w:t>
      </w:r>
      <w:r w:rsidR="00302EC0" w:rsidRPr="00FB0CF3">
        <w:rPr>
          <w:rFonts w:cs="Times New Roman"/>
          <w:i/>
          <w:sz w:val="22"/>
        </w:rPr>
        <w:t>script</w:t>
      </w:r>
      <w:proofErr w:type="spellEnd"/>
      <w:r w:rsidR="00302EC0" w:rsidRPr="00FB0CF3">
        <w:rPr>
          <w:rFonts w:cs="Times New Roman"/>
          <w:i/>
          <w:sz w:val="22"/>
        </w:rPr>
        <w:t xml:space="preserve"> letters differ significantly (p &lt; .05) </w:t>
      </w:r>
    </w:p>
    <w:p w14:paraId="2FF500DC" w14:textId="77777777" w:rsidR="00E813CA" w:rsidRPr="00E813CA" w:rsidRDefault="00E813CA" w:rsidP="00E813CA">
      <w:pPr>
        <w:sectPr w:rsidR="00E813CA" w:rsidRPr="00E813CA">
          <w:headerReference w:type="even" r:id="rId10"/>
          <w:headerReference w:type="default" r:id="rId11"/>
          <w:footerReference w:type="even" r:id="rId12"/>
          <w:footerReference w:type="default" r:id="rId13"/>
          <w:headerReference w:type="first" r:id="rId14"/>
          <w:footerReference w:type="first" r:id="rId15"/>
          <w:pgSz w:w="12240" w:h="15840"/>
          <w:pgMar w:top="1360" w:right="1080" w:bottom="1200" w:left="720" w:header="0" w:footer="1015" w:gutter="0"/>
          <w:cols w:space="720"/>
        </w:sectPr>
      </w:pPr>
    </w:p>
    <w:p w14:paraId="652EBFED" w14:textId="77777777" w:rsidR="0037002B" w:rsidRPr="00E813CA" w:rsidRDefault="0037002B" w:rsidP="0037002B">
      <w:pPr>
        <w:pStyle w:val="Heading1"/>
        <w:spacing w:line="240" w:lineRule="auto"/>
        <w:jc w:val="both"/>
        <w:rPr>
          <w:rFonts w:ascii="Times New Roman" w:hAnsi="Times New Roman" w:cs="Times New Roman"/>
          <w:color w:val="auto"/>
        </w:rPr>
      </w:pPr>
      <w:r w:rsidRPr="00E813CA">
        <w:rPr>
          <w:rFonts w:ascii="Times New Roman" w:hAnsi="Times New Roman" w:cs="Times New Roman"/>
          <w:color w:val="auto"/>
        </w:rPr>
        <w:lastRenderedPageBreak/>
        <w:t>4. Conclusion</w:t>
      </w:r>
    </w:p>
    <w:p w14:paraId="4D85D64A" w14:textId="77777777" w:rsidR="0037002B" w:rsidRPr="00E813CA" w:rsidRDefault="0037002B" w:rsidP="0037002B">
      <w:pPr>
        <w:spacing w:line="240" w:lineRule="auto"/>
        <w:jc w:val="both"/>
        <w:rPr>
          <w:sz w:val="22"/>
        </w:rPr>
      </w:pPr>
      <w:r w:rsidRPr="00E813CA">
        <w:rPr>
          <w:sz w:val="22"/>
        </w:rPr>
        <w:t xml:space="preserve">The present study demonstrated that soybean fortification significantly improved the nutritional and physicochemical characteristics of fermented maize pap. Progressive soybean incorporation increased protein, fat, ash, and </w:t>
      </w:r>
      <w:proofErr w:type="spellStart"/>
      <w:r w:rsidRPr="00E813CA">
        <w:rPr>
          <w:sz w:val="22"/>
        </w:rPr>
        <w:t>fibre</w:t>
      </w:r>
      <w:proofErr w:type="spellEnd"/>
      <w:r w:rsidRPr="00E813CA">
        <w:rPr>
          <w:sz w:val="22"/>
        </w:rPr>
        <w:t xml:space="preserve"> contents while reducing carbohydrate concentration, thereby producing nutritionally superior composite flours compared with traditional maize pap. The improved protein content confirms the potential of soybean fortification to address the protein deficiency commonly associated with cereal-based complementary foods. Soybean supplementation also enhanced important physicochemical properties, including water absorption capacity, while reducing swelling index and solubility. These changes indicate improved hydration characteristics and greater suitability for the preparation of nutrient-dense complementary porridges with acceptable viscosity. The slightly acidic pH observed across all formulations further confirmed successful fermentation and suggests good microbiological stability.</w:t>
      </w:r>
    </w:p>
    <w:p w14:paraId="227AC401" w14:textId="77777777" w:rsidR="0037002B" w:rsidRPr="00E813CA" w:rsidRDefault="0037002B" w:rsidP="0037002B">
      <w:pPr>
        <w:spacing w:line="240" w:lineRule="auto"/>
        <w:jc w:val="both"/>
        <w:rPr>
          <w:sz w:val="22"/>
        </w:rPr>
      </w:pPr>
      <w:r w:rsidRPr="00E813CA">
        <w:rPr>
          <w:sz w:val="22"/>
        </w:rPr>
        <w:t>Sensory evaluation revealed that soybean incorporation influenced consumer acceptability in a concentration-dependent manner. Although higher soybean levels significantly improved nutritional quality, flavor, taste, and overall acceptability declined progressively beyond 20% substitution because of the characteristic beany flavor associated with soybean. Among the formulations evaluated, the 90:10 and 80:20 maize–soybean blends provided the most favorable balance between nutritional enhancement, physicochemical functionality, and sensory quality.</w:t>
      </w:r>
    </w:p>
    <w:p w14:paraId="5ABE1C26" w14:textId="77777777" w:rsidR="002F4599" w:rsidRPr="00E813CA" w:rsidRDefault="002F4599" w:rsidP="0037002B">
      <w:pPr>
        <w:spacing w:line="240" w:lineRule="auto"/>
        <w:jc w:val="both"/>
        <w:rPr>
          <w:bCs/>
          <w:sz w:val="22"/>
        </w:rPr>
      </w:pPr>
      <w:r w:rsidRPr="00E813CA">
        <w:rPr>
          <w:bCs/>
          <w:sz w:val="22"/>
        </w:rPr>
        <w:t>Therefore, soybean fortification at 10–20% substitution is recommended for the production of fermented maize pap intended for complementary feeding. Adoption of these formulations could contribute to improving dietary protein intake, reducing protein-energy malnutrition, and promoting food and nutrition security among infants, young children, and other vulnerable populations in developing countries. Future studies should evaluate the amino acid profile, mineral bioavailability, vitamin retention, anti-nutritional factors, shelf-life stability, microbial quality during storage, and consumer acceptance under household and commercial production conditions.</w:t>
      </w:r>
    </w:p>
    <w:p w14:paraId="4A4ACA13" w14:textId="77777777" w:rsidR="00E813CA" w:rsidRDefault="00E813CA" w:rsidP="0037002B">
      <w:pPr>
        <w:spacing w:line="240" w:lineRule="auto"/>
        <w:rPr>
          <w:rFonts w:cs="Times New Roman"/>
          <w:b/>
          <w:sz w:val="28"/>
          <w:szCs w:val="28"/>
        </w:rPr>
      </w:pPr>
    </w:p>
    <w:p w14:paraId="323726CD" w14:textId="77777777" w:rsidR="00E63C48" w:rsidRPr="002F4599" w:rsidRDefault="0037002B" w:rsidP="0037002B">
      <w:pPr>
        <w:spacing w:line="240" w:lineRule="auto"/>
        <w:rPr>
          <w:b/>
          <w:bCs/>
          <w:sz w:val="28"/>
          <w:szCs w:val="28"/>
        </w:rPr>
      </w:pPr>
      <w:r>
        <w:rPr>
          <w:rFonts w:cs="Times New Roman"/>
          <w:b/>
          <w:sz w:val="28"/>
          <w:szCs w:val="28"/>
        </w:rPr>
        <w:t>5</w:t>
      </w:r>
      <w:r w:rsidR="002F4599">
        <w:rPr>
          <w:rFonts w:cs="Times New Roman"/>
          <w:b/>
          <w:sz w:val="28"/>
          <w:szCs w:val="28"/>
        </w:rPr>
        <w:t>.</w:t>
      </w:r>
      <w:r w:rsidR="00302EC0" w:rsidRPr="002F4599">
        <w:rPr>
          <w:rFonts w:cs="Times New Roman"/>
          <w:b/>
          <w:sz w:val="28"/>
          <w:szCs w:val="28"/>
        </w:rPr>
        <w:t xml:space="preserve"> Declarations</w:t>
      </w:r>
    </w:p>
    <w:p w14:paraId="08D84F88" w14:textId="77777777" w:rsidR="00E63C48" w:rsidRPr="003A4706" w:rsidRDefault="0037002B" w:rsidP="0037002B">
      <w:pPr>
        <w:pStyle w:val="Heading2"/>
        <w:spacing w:line="240" w:lineRule="auto"/>
        <w:jc w:val="both"/>
        <w:rPr>
          <w:rFonts w:ascii="Times New Roman" w:hAnsi="Times New Roman" w:cs="Times New Roman"/>
          <w:color w:val="auto"/>
        </w:rPr>
      </w:pPr>
      <w:r>
        <w:rPr>
          <w:rFonts w:ascii="Times New Roman" w:hAnsi="Times New Roman" w:cs="Times New Roman"/>
          <w:color w:val="auto"/>
          <w:sz w:val="22"/>
        </w:rPr>
        <w:t>5</w:t>
      </w:r>
      <w:r w:rsidR="00302EC0" w:rsidRPr="003A4706">
        <w:rPr>
          <w:rFonts w:ascii="Times New Roman" w:hAnsi="Times New Roman" w:cs="Times New Roman"/>
          <w:color w:val="auto"/>
          <w:sz w:val="22"/>
        </w:rPr>
        <w:t>.1 Ethical Consideration</w:t>
      </w:r>
    </w:p>
    <w:p w14:paraId="6D6FCBB3" w14:textId="77777777" w:rsidR="00E63C48" w:rsidRPr="003A4706" w:rsidRDefault="00302EC0" w:rsidP="0037002B">
      <w:pPr>
        <w:spacing w:line="240" w:lineRule="auto"/>
        <w:jc w:val="both"/>
        <w:rPr>
          <w:rFonts w:cs="Times New Roman"/>
        </w:rPr>
      </w:pPr>
      <w:r w:rsidRPr="003A4706">
        <w:rPr>
          <w:rFonts w:cs="Times New Roman"/>
          <w:sz w:val="22"/>
        </w:rPr>
        <w:t xml:space="preserve">Human sensory evaluation was conducted voluntarily with informed consent, participant coding and confidentiality procedures. Participants were screened for known soybean allergy or intolerance. </w:t>
      </w:r>
    </w:p>
    <w:p w14:paraId="74E6942D" w14:textId="77777777" w:rsidR="00E63C48" w:rsidRPr="003A4706" w:rsidRDefault="0037002B" w:rsidP="0037002B">
      <w:pPr>
        <w:pStyle w:val="Heading2"/>
        <w:spacing w:line="240" w:lineRule="auto"/>
        <w:jc w:val="both"/>
        <w:rPr>
          <w:rFonts w:ascii="Times New Roman" w:hAnsi="Times New Roman" w:cs="Times New Roman"/>
          <w:color w:val="auto"/>
        </w:rPr>
      </w:pPr>
      <w:r>
        <w:rPr>
          <w:rFonts w:ascii="Times New Roman" w:hAnsi="Times New Roman" w:cs="Times New Roman"/>
          <w:color w:val="auto"/>
          <w:sz w:val="22"/>
        </w:rPr>
        <w:t>5</w:t>
      </w:r>
      <w:r w:rsidR="00302EC0" w:rsidRPr="003A4706">
        <w:rPr>
          <w:rFonts w:ascii="Times New Roman" w:hAnsi="Times New Roman" w:cs="Times New Roman"/>
          <w:color w:val="auto"/>
          <w:sz w:val="22"/>
        </w:rPr>
        <w:t>.2 Conflict of Interest</w:t>
      </w:r>
    </w:p>
    <w:p w14:paraId="4CCF6FD1" w14:textId="77777777" w:rsidR="00E63C48" w:rsidRPr="003A4706" w:rsidRDefault="00302EC0" w:rsidP="0037002B">
      <w:pPr>
        <w:spacing w:line="240" w:lineRule="auto"/>
        <w:jc w:val="both"/>
        <w:rPr>
          <w:rFonts w:cs="Times New Roman"/>
        </w:rPr>
      </w:pPr>
      <w:r w:rsidRPr="003A4706">
        <w:rPr>
          <w:rFonts w:cs="Times New Roman"/>
          <w:sz w:val="22"/>
        </w:rPr>
        <w:t>The authors declare that they have no conflict of interest regarding the publication of this manuscript.</w:t>
      </w:r>
    </w:p>
    <w:p w14:paraId="0F4DFCC7" w14:textId="77777777" w:rsidR="00BA27C1" w:rsidRPr="000839CE" w:rsidRDefault="00BA27C1" w:rsidP="00BA27C1">
      <w:pPr>
        <w:spacing w:after="0" w:line="240" w:lineRule="auto"/>
        <w:rPr>
          <w:rFonts w:cs="Times New Roman"/>
          <w:b/>
        </w:rPr>
      </w:pPr>
      <w:r w:rsidRPr="000839CE">
        <w:rPr>
          <w:rFonts w:cs="Times New Roman"/>
          <w:b/>
        </w:rPr>
        <w:t>Declaration of AI Use</w:t>
      </w:r>
    </w:p>
    <w:p w14:paraId="3DE71C42" w14:textId="77777777" w:rsidR="00BA27C1" w:rsidRPr="000839CE" w:rsidRDefault="00BA27C1" w:rsidP="00BA27C1">
      <w:pPr>
        <w:spacing w:after="0" w:line="240" w:lineRule="auto"/>
        <w:rPr>
          <w:rFonts w:cs="Times New Roman"/>
        </w:rPr>
      </w:pPr>
    </w:p>
    <w:p w14:paraId="6633F221" w14:textId="77777777" w:rsidR="00BA27C1" w:rsidRPr="000839CE" w:rsidRDefault="00BA27C1" w:rsidP="00BA27C1">
      <w:pPr>
        <w:spacing w:after="0" w:line="240" w:lineRule="auto"/>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030078D" w14:textId="77777777" w:rsidR="00122AB3" w:rsidRDefault="00122AB3" w:rsidP="0037002B">
      <w:pPr>
        <w:pStyle w:val="Heading1"/>
        <w:tabs>
          <w:tab w:val="left" w:pos="5660"/>
        </w:tabs>
        <w:jc w:val="both"/>
        <w:rPr>
          <w:rFonts w:ascii="Times New Roman" w:hAnsi="Times New Roman" w:cs="Times New Roman"/>
          <w:color w:val="auto"/>
        </w:rPr>
      </w:pPr>
    </w:p>
    <w:p w14:paraId="2D9E9CC4" w14:textId="77777777" w:rsidR="00122AB3" w:rsidRDefault="00302EC0" w:rsidP="0037002B">
      <w:pPr>
        <w:pStyle w:val="Heading1"/>
        <w:tabs>
          <w:tab w:val="left" w:pos="5660"/>
        </w:tabs>
        <w:jc w:val="both"/>
        <w:rPr>
          <w:rFonts w:ascii="Times New Roman" w:hAnsi="Times New Roman" w:cs="Times New Roman"/>
          <w:color w:val="auto"/>
        </w:rPr>
      </w:pPr>
      <w:r w:rsidRPr="002F4599">
        <w:rPr>
          <w:rFonts w:ascii="Times New Roman" w:hAnsi="Times New Roman" w:cs="Times New Roman"/>
          <w:color w:val="auto"/>
        </w:rPr>
        <w:t>References</w:t>
      </w:r>
    </w:p>
    <w:p w14:paraId="38F0DE4D" w14:textId="77777777" w:rsidR="00E63C48" w:rsidRPr="002F4599" w:rsidRDefault="00122AB3" w:rsidP="00122AB3">
      <w:pPr>
        <w:spacing w:line="240" w:lineRule="auto"/>
        <w:ind w:left="720" w:hanging="720"/>
        <w:jc w:val="both"/>
        <w:rPr>
          <w:rFonts w:cs="Times New Roman"/>
        </w:rPr>
      </w:pPr>
      <w:r w:rsidRPr="00236C26">
        <w:rPr>
          <w:rFonts w:cs="Times New Roman"/>
        </w:rPr>
        <w:t xml:space="preserve">Adebowale, A. A., Owo, H. O., </w:t>
      </w:r>
      <w:proofErr w:type="spellStart"/>
      <w:r w:rsidRPr="00236C26">
        <w:rPr>
          <w:rFonts w:cs="Times New Roman"/>
        </w:rPr>
        <w:t>Sobukola</w:t>
      </w:r>
      <w:proofErr w:type="spellEnd"/>
      <w:r w:rsidRPr="00236C26">
        <w:rPr>
          <w:rFonts w:cs="Times New Roman"/>
        </w:rPr>
        <w:t xml:space="preserve">, O. P., </w:t>
      </w:r>
      <w:r w:rsidR="000D78E2">
        <w:rPr>
          <w:rFonts w:cs="Times New Roman"/>
        </w:rPr>
        <w:t>and</w:t>
      </w:r>
      <w:r w:rsidRPr="00236C26">
        <w:rPr>
          <w:rFonts w:cs="Times New Roman"/>
        </w:rPr>
        <w:t xml:space="preserve"> Obadina, O. A. (2017). Influence of storage conditions and packaging materials on some quality attributes of water yam flour. Cogent Food </w:t>
      </w:r>
      <w:r w:rsidR="000D78E2">
        <w:rPr>
          <w:rFonts w:cs="Times New Roman"/>
        </w:rPr>
        <w:t>and</w:t>
      </w:r>
      <w:r w:rsidRPr="00236C26">
        <w:rPr>
          <w:rFonts w:cs="Times New Roman"/>
        </w:rPr>
        <w:t xml:space="preserve"> Agriculture, 3(1), Article 1385130. https://doi.or</w:t>
      </w:r>
      <w:r>
        <w:rPr>
          <w:rFonts w:cs="Times New Roman"/>
        </w:rPr>
        <w:t>g/10.1080/23311932.2017.1385130</w:t>
      </w:r>
    </w:p>
    <w:p w14:paraId="0B8CF450" w14:textId="77777777" w:rsidR="00122AB3" w:rsidRPr="005521B6" w:rsidRDefault="005521B6" w:rsidP="00122AB3">
      <w:pPr>
        <w:spacing w:line="240" w:lineRule="auto"/>
        <w:ind w:left="720" w:hanging="720"/>
        <w:jc w:val="both"/>
        <w:rPr>
          <w:rFonts w:cs="Times New Roman"/>
          <w:sz w:val="22"/>
        </w:rPr>
      </w:pPr>
      <w:r w:rsidRPr="005521B6">
        <w:rPr>
          <w:rFonts w:cs="Times New Roman"/>
          <w:sz w:val="22"/>
        </w:rPr>
        <w:t xml:space="preserve">Adebowale, K. O., </w:t>
      </w:r>
      <w:r w:rsidR="000D78E2">
        <w:rPr>
          <w:rFonts w:cs="Times New Roman"/>
          <w:sz w:val="22"/>
        </w:rPr>
        <w:t>and</w:t>
      </w:r>
      <w:r w:rsidRPr="005521B6">
        <w:rPr>
          <w:rFonts w:cs="Times New Roman"/>
          <w:sz w:val="22"/>
        </w:rPr>
        <w:t xml:space="preserve"> Lawal, O. S. (2004). Comparative study of the functional properties of </w:t>
      </w:r>
      <w:proofErr w:type="spellStart"/>
      <w:r w:rsidRPr="005521B6">
        <w:rPr>
          <w:rFonts w:cs="Times New Roman"/>
          <w:sz w:val="22"/>
        </w:rPr>
        <w:t>bambara</w:t>
      </w:r>
      <w:proofErr w:type="spellEnd"/>
      <w:r w:rsidRPr="005521B6">
        <w:rPr>
          <w:rFonts w:cs="Times New Roman"/>
          <w:sz w:val="22"/>
        </w:rPr>
        <w:t xml:space="preserve"> groundnut (</w:t>
      </w:r>
      <w:proofErr w:type="spellStart"/>
      <w:r w:rsidRPr="00154B84">
        <w:rPr>
          <w:rFonts w:cs="Times New Roman"/>
          <w:i/>
          <w:sz w:val="22"/>
        </w:rPr>
        <w:t>Voandzeia</w:t>
      </w:r>
      <w:proofErr w:type="spellEnd"/>
      <w:r w:rsidRPr="00154B84">
        <w:rPr>
          <w:rFonts w:cs="Times New Roman"/>
          <w:i/>
          <w:sz w:val="22"/>
        </w:rPr>
        <w:t xml:space="preserve"> </w:t>
      </w:r>
      <w:proofErr w:type="spellStart"/>
      <w:r w:rsidRPr="00154B84">
        <w:rPr>
          <w:rFonts w:cs="Times New Roman"/>
          <w:i/>
          <w:sz w:val="22"/>
        </w:rPr>
        <w:t>subterranea</w:t>
      </w:r>
      <w:proofErr w:type="spellEnd"/>
      <w:r w:rsidRPr="005521B6">
        <w:rPr>
          <w:rFonts w:cs="Times New Roman"/>
          <w:sz w:val="22"/>
        </w:rPr>
        <w:t>), jack bean (</w:t>
      </w:r>
      <w:proofErr w:type="spellStart"/>
      <w:r w:rsidRPr="00154B84">
        <w:rPr>
          <w:rFonts w:cs="Times New Roman"/>
          <w:i/>
          <w:sz w:val="22"/>
        </w:rPr>
        <w:t>Canavalia</w:t>
      </w:r>
      <w:proofErr w:type="spellEnd"/>
      <w:r w:rsidRPr="00154B84">
        <w:rPr>
          <w:rFonts w:cs="Times New Roman"/>
          <w:i/>
          <w:sz w:val="22"/>
        </w:rPr>
        <w:t xml:space="preserve"> </w:t>
      </w:r>
      <w:proofErr w:type="spellStart"/>
      <w:r w:rsidRPr="00154B84">
        <w:rPr>
          <w:rFonts w:cs="Times New Roman"/>
          <w:i/>
          <w:sz w:val="22"/>
        </w:rPr>
        <w:t>ensiformis</w:t>
      </w:r>
      <w:proofErr w:type="spellEnd"/>
      <w:r w:rsidRPr="005521B6">
        <w:rPr>
          <w:rFonts w:cs="Times New Roman"/>
          <w:sz w:val="22"/>
        </w:rPr>
        <w:t xml:space="preserve">) and </w:t>
      </w:r>
      <w:proofErr w:type="spellStart"/>
      <w:r w:rsidRPr="005521B6">
        <w:rPr>
          <w:rFonts w:cs="Times New Roman"/>
          <w:sz w:val="22"/>
        </w:rPr>
        <w:t>mucuna</w:t>
      </w:r>
      <w:proofErr w:type="spellEnd"/>
      <w:r w:rsidRPr="005521B6">
        <w:rPr>
          <w:rFonts w:cs="Times New Roman"/>
          <w:sz w:val="22"/>
        </w:rPr>
        <w:t xml:space="preserve"> bean (</w:t>
      </w:r>
      <w:r w:rsidRPr="00154B84">
        <w:rPr>
          <w:rFonts w:cs="Times New Roman"/>
          <w:i/>
          <w:sz w:val="22"/>
        </w:rPr>
        <w:t>Mucuna pruriens</w:t>
      </w:r>
      <w:r w:rsidRPr="005521B6">
        <w:rPr>
          <w:rFonts w:cs="Times New Roman"/>
          <w:sz w:val="22"/>
        </w:rPr>
        <w:t xml:space="preserve">) flours. Food Research International, 37(4), 355–365. </w:t>
      </w:r>
      <w:hyperlink r:id="rId16" w:history="1">
        <w:r w:rsidR="00122AB3" w:rsidRPr="00C67EC1">
          <w:rPr>
            <w:rStyle w:val="Hyperlink"/>
            <w:rFonts w:cs="Times New Roman"/>
            <w:sz w:val="22"/>
          </w:rPr>
          <w:t>https://doi.org/10.1016/j.foodres.2004.01.009</w:t>
        </w:r>
      </w:hyperlink>
    </w:p>
    <w:p w14:paraId="3985475A"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Adebowale, O. J., Adeyanju, A. A., Mokhele, T., </w:t>
      </w:r>
      <w:r w:rsidR="000D78E2">
        <w:rPr>
          <w:rFonts w:cs="Times New Roman"/>
          <w:sz w:val="22"/>
        </w:rPr>
        <w:t>and</w:t>
      </w:r>
      <w:r w:rsidRPr="005521B6">
        <w:rPr>
          <w:rFonts w:cs="Times New Roman"/>
          <w:sz w:val="22"/>
        </w:rPr>
        <w:t xml:space="preserve"> Bamidele, O. P. (2025). Chemical composition of composite flour from okara powder and whole wheat flour and the sensory evaluation of the biscuits made from the composite flour. Food Science </w:t>
      </w:r>
      <w:r w:rsidR="000D78E2">
        <w:rPr>
          <w:rFonts w:cs="Times New Roman"/>
          <w:sz w:val="22"/>
        </w:rPr>
        <w:t>and</w:t>
      </w:r>
      <w:r w:rsidRPr="005521B6">
        <w:rPr>
          <w:rFonts w:cs="Times New Roman"/>
          <w:sz w:val="22"/>
        </w:rPr>
        <w:t xml:space="preserve"> Nutrition, 13(6), e70450. https://doi.org/10.1002/fsn3.70450</w:t>
      </w:r>
    </w:p>
    <w:p w14:paraId="490F1A91"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Adebo, J. A., </w:t>
      </w:r>
      <w:proofErr w:type="spellStart"/>
      <w:r w:rsidRPr="005521B6">
        <w:rPr>
          <w:rFonts w:cs="Times New Roman"/>
          <w:sz w:val="22"/>
        </w:rPr>
        <w:t>Njobeh</w:t>
      </w:r>
      <w:proofErr w:type="spellEnd"/>
      <w:r w:rsidRPr="005521B6">
        <w:rPr>
          <w:rFonts w:cs="Times New Roman"/>
          <w:sz w:val="22"/>
        </w:rPr>
        <w:t xml:space="preserve">, P. B., </w:t>
      </w:r>
      <w:proofErr w:type="spellStart"/>
      <w:r w:rsidRPr="005521B6">
        <w:rPr>
          <w:rFonts w:cs="Times New Roman"/>
          <w:sz w:val="22"/>
        </w:rPr>
        <w:t>Gbashi</w:t>
      </w:r>
      <w:proofErr w:type="spellEnd"/>
      <w:r w:rsidRPr="005521B6">
        <w:rPr>
          <w:rFonts w:cs="Times New Roman"/>
          <w:sz w:val="22"/>
        </w:rPr>
        <w:t xml:space="preserve">, S., Oyedeji, A. B., Ogundele, O. M., </w:t>
      </w:r>
      <w:proofErr w:type="spellStart"/>
      <w:r w:rsidRPr="005521B6">
        <w:rPr>
          <w:rFonts w:cs="Times New Roman"/>
          <w:sz w:val="22"/>
        </w:rPr>
        <w:t>Oyeyinka</w:t>
      </w:r>
      <w:proofErr w:type="spellEnd"/>
      <w:r w:rsidRPr="005521B6">
        <w:rPr>
          <w:rFonts w:cs="Times New Roman"/>
          <w:sz w:val="22"/>
        </w:rPr>
        <w:t xml:space="preserve">, S. A., </w:t>
      </w:r>
      <w:r w:rsidR="000D78E2">
        <w:rPr>
          <w:rFonts w:cs="Times New Roman"/>
          <w:sz w:val="22"/>
        </w:rPr>
        <w:t>and</w:t>
      </w:r>
      <w:r w:rsidRPr="005521B6">
        <w:rPr>
          <w:rFonts w:cs="Times New Roman"/>
          <w:sz w:val="22"/>
        </w:rPr>
        <w:t xml:space="preserve"> Adebo, O. A. (2022). Fermentation of cereals and legumes: Impact on nutritional constituents and nutrient bioavailability. Fermentation, 8(2), 63. https://doi.org/10.3390/fermentation8020063</w:t>
      </w:r>
    </w:p>
    <w:p w14:paraId="637B0278"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Akingbala</w:t>
      </w:r>
      <w:proofErr w:type="spellEnd"/>
      <w:r w:rsidRPr="005521B6">
        <w:rPr>
          <w:rFonts w:cs="Times New Roman"/>
          <w:sz w:val="22"/>
        </w:rPr>
        <w:t xml:space="preserve">, J. O., Rooney, L. W., </w:t>
      </w:r>
      <w:r w:rsidR="000D78E2">
        <w:rPr>
          <w:rFonts w:cs="Times New Roman"/>
          <w:sz w:val="22"/>
        </w:rPr>
        <w:t>and</w:t>
      </w:r>
      <w:r w:rsidRPr="005521B6">
        <w:rPr>
          <w:rFonts w:cs="Times New Roman"/>
          <w:sz w:val="22"/>
        </w:rPr>
        <w:t xml:space="preserve"> Faubion, J. M. (1981). A laboratory procedure for the preparation of </w:t>
      </w:r>
      <w:proofErr w:type="spellStart"/>
      <w:r w:rsidRPr="005521B6">
        <w:rPr>
          <w:rFonts w:cs="Times New Roman"/>
          <w:sz w:val="22"/>
        </w:rPr>
        <w:t>ogi</w:t>
      </w:r>
      <w:proofErr w:type="spellEnd"/>
      <w:r w:rsidRPr="005521B6">
        <w:rPr>
          <w:rFonts w:cs="Times New Roman"/>
          <w:sz w:val="22"/>
        </w:rPr>
        <w:t>, a Nigerian fermented food. Journal of Food Science, 46(5), 1523–1526. https://doi.org/10.1111/j.1365-2621.1981.tb04212.x</w:t>
      </w:r>
    </w:p>
    <w:p w14:paraId="011A8E9D"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Asouzu</w:t>
      </w:r>
      <w:proofErr w:type="spellEnd"/>
      <w:r w:rsidRPr="005521B6">
        <w:rPr>
          <w:rFonts w:cs="Times New Roman"/>
          <w:sz w:val="22"/>
        </w:rPr>
        <w:t xml:space="preserve">, A. I., </w:t>
      </w:r>
      <w:proofErr w:type="spellStart"/>
      <w:r w:rsidRPr="005521B6">
        <w:rPr>
          <w:rFonts w:cs="Times New Roman"/>
          <w:sz w:val="22"/>
        </w:rPr>
        <w:t>Oly-Alawuba</w:t>
      </w:r>
      <w:proofErr w:type="spellEnd"/>
      <w:r w:rsidRPr="005521B6">
        <w:rPr>
          <w:rFonts w:cs="Times New Roman"/>
          <w:sz w:val="22"/>
        </w:rPr>
        <w:t xml:space="preserve">, N. M., </w:t>
      </w:r>
      <w:r w:rsidR="000D78E2">
        <w:rPr>
          <w:rFonts w:cs="Times New Roman"/>
          <w:sz w:val="22"/>
        </w:rPr>
        <w:t>and</w:t>
      </w:r>
      <w:r w:rsidRPr="005521B6">
        <w:rPr>
          <w:rFonts w:cs="Times New Roman"/>
          <w:sz w:val="22"/>
        </w:rPr>
        <w:t xml:space="preserve"> </w:t>
      </w:r>
      <w:proofErr w:type="spellStart"/>
      <w:r w:rsidRPr="005521B6">
        <w:rPr>
          <w:rFonts w:cs="Times New Roman"/>
          <w:sz w:val="22"/>
        </w:rPr>
        <w:t>Umerah</w:t>
      </w:r>
      <w:proofErr w:type="spellEnd"/>
      <w:r w:rsidRPr="005521B6">
        <w:rPr>
          <w:rFonts w:cs="Times New Roman"/>
          <w:sz w:val="22"/>
        </w:rPr>
        <w:t>, N. N. (2020). Functional properties and chemical composition of composite flour made from cooking banana (</w:t>
      </w:r>
      <w:r w:rsidRPr="00154B84">
        <w:rPr>
          <w:rFonts w:cs="Times New Roman"/>
          <w:i/>
          <w:sz w:val="22"/>
        </w:rPr>
        <w:t>Musa paradisiaca</w:t>
      </w:r>
      <w:r w:rsidRPr="005521B6">
        <w:rPr>
          <w:rFonts w:cs="Times New Roman"/>
          <w:sz w:val="22"/>
        </w:rPr>
        <w:t>) and yellow maize (</w:t>
      </w:r>
      <w:r w:rsidRPr="00154B84">
        <w:rPr>
          <w:rFonts w:cs="Times New Roman"/>
          <w:i/>
          <w:sz w:val="22"/>
        </w:rPr>
        <w:t>Zea mays</w:t>
      </w:r>
      <w:r w:rsidRPr="005521B6">
        <w:rPr>
          <w:rFonts w:cs="Times New Roman"/>
          <w:sz w:val="22"/>
        </w:rPr>
        <w:t>). Research Journal of Food and Nutrition, 4(2), 6–12. https://doi.org/10.22259/2637-5583.0402002</w:t>
      </w:r>
    </w:p>
    <w:p w14:paraId="72DDC86A"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AOAC International. (2023). Official methods of analysis of AOAC International (22nd ed.). AOAC International.</w:t>
      </w:r>
    </w:p>
    <w:p w14:paraId="415E913B"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Beuchat, L. R. (1977). Functional and electrophoretic characteristics of </w:t>
      </w:r>
      <w:proofErr w:type="spellStart"/>
      <w:r w:rsidRPr="005521B6">
        <w:rPr>
          <w:rFonts w:cs="Times New Roman"/>
          <w:sz w:val="22"/>
        </w:rPr>
        <w:t>succinylated</w:t>
      </w:r>
      <w:proofErr w:type="spellEnd"/>
      <w:r w:rsidRPr="005521B6">
        <w:rPr>
          <w:rFonts w:cs="Times New Roman"/>
          <w:sz w:val="22"/>
        </w:rPr>
        <w:t xml:space="preserve"> peanut flour protein. Journal of Agricultural and Food Chemistry, 25(2), 258–261. https://doi.org/10.1021/jf60210a044</w:t>
      </w:r>
    </w:p>
    <w:p w14:paraId="63F65A13"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Choe, E., </w:t>
      </w:r>
      <w:r w:rsidR="000D78E2">
        <w:rPr>
          <w:rFonts w:cs="Times New Roman"/>
          <w:sz w:val="22"/>
        </w:rPr>
        <w:t>and</w:t>
      </w:r>
      <w:r w:rsidRPr="005521B6">
        <w:rPr>
          <w:rFonts w:cs="Times New Roman"/>
          <w:sz w:val="22"/>
        </w:rPr>
        <w:t xml:space="preserve"> Min, D. B. (2006). Mechanisms and factors for edible oil oxidation. Comprehensive Reviews in Food Science and Food Safety, 5(4), 169–186. https://doi.org/10.1111/j.1541-4337.2006.tb00009.x</w:t>
      </w:r>
    </w:p>
    <w:p w14:paraId="7CEA7C57"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Ewunetu, M. G., </w:t>
      </w:r>
      <w:proofErr w:type="spellStart"/>
      <w:r w:rsidRPr="005521B6">
        <w:rPr>
          <w:rFonts w:cs="Times New Roman"/>
          <w:sz w:val="22"/>
        </w:rPr>
        <w:t>Atnafu</w:t>
      </w:r>
      <w:proofErr w:type="spellEnd"/>
      <w:r w:rsidRPr="005521B6">
        <w:rPr>
          <w:rFonts w:cs="Times New Roman"/>
          <w:sz w:val="22"/>
        </w:rPr>
        <w:t xml:space="preserve">, A. Y., </w:t>
      </w:r>
      <w:r w:rsidR="000D78E2">
        <w:rPr>
          <w:rFonts w:cs="Times New Roman"/>
          <w:sz w:val="22"/>
        </w:rPr>
        <w:t>and</w:t>
      </w:r>
      <w:r w:rsidRPr="005521B6">
        <w:rPr>
          <w:rFonts w:cs="Times New Roman"/>
          <w:sz w:val="22"/>
        </w:rPr>
        <w:t xml:space="preserve"> Fikadu, W. (2023). Nutritional enhancement of bread produced from wheat, banana, and carrot composite flour. Journal of Food Quality, 2023, Article 1917972, 7 pages. https://doi.org/10.1155/2023/1917972</w:t>
      </w:r>
    </w:p>
    <w:p w14:paraId="4AB115F5"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Fellows, P. J. (2017). Food processing technology: Principles and practice (4th ed.). Woodhead Publishing/Elsevier.</w:t>
      </w:r>
    </w:p>
    <w:p w14:paraId="06A437B1"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Ijarotimi</w:t>
      </w:r>
      <w:proofErr w:type="spellEnd"/>
      <w:r w:rsidRPr="005521B6">
        <w:rPr>
          <w:rFonts w:cs="Times New Roman"/>
          <w:sz w:val="22"/>
        </w:rPr>
        <w:t xml:space="preserve">, O. S., </w:t>
      </w:r>
      <w:r w:rsidR="000D78E2">
        <w:rPr>
          <w:rFonts w:cs="Times New Roman"/>
          <w:sz w:val="22"/>
        </w:rPr>
        <w:t>and</w:t>
      </w:r>
      <w:r w:rsidRPr="005521B6">
        <w:rPr>
          <w:rFonts w:cs="Times New Roman"/>
          <w:sz w:val="22"/>
        </w:rPr>
        <w:t xml:space="preserve"> </w:t>
      </w:r>
      <w:proofErr w:type="spellStart"/>
      <w:r w:rsidRPr="005521B6">
        <w:rPr>
          <w:rFonts w:cs="Times New Roman"/>
          <w:sz w:val="22"/>
        </w:rPr>
        <w:t>Keshinro</w:t>
      </w:r>
      <w:proofErr w:type="spellEnd"/>
      <w:r w:rsidRPr="005521B6">
        <w:rPr>
          <w:rFonts w:cs="Times New Roman"/>
          <w:sz w:val="22"/>
        </w:rPr>
        <w:t>, O. O. (2021). Formulation and nutritional quality of complementary foods from cereal and legume blends: A review. Food Reviews International, 37(6), 564–587.</w:t>
      </w:r>
    </w:p>
    <w:p w14:paraId="64F9330D" w14:textId="77777777" w:rsidR="00122AB3" w:rsidRPr="00236C26" w:rsidRDefault="005521B6" w:rsidP="00122AB3">
      <w:pPr>
        <w:spacing w:line="240" w:lineRule="auto"/>
        <w:ind w:left="720" w:hanging="720"/>
        <w:jc w:val="both"/>
        <w:rPr>
          <w:rFonts w:cs="Times New Roman"/>
        </w:rPr>
      </w:pPr>
      <w:proofErr w:type="spellStart"/>
      <w:r w:rsidRPr="005521B6">
        <w:rPr>
          <w:rFonts w:cs="Times New Roman"/>
          <w:sz w:val="22"/>
        </w:rPr>
        <w:t>Iwe</w:t>
      </w:r>
      <w:proofErr w:type="spellEnd"/>
      <w:r w:rsidRPr="005521B6">
        <w:rPr>
          <w:rFonts w:cs="Times New Roman"/>
          <w:sz w:val="22"/>
        </w:rPr>
        <w:t xml:space="preserve">, M. O. (2010). Handbook of sensory methods and analysis (2nd ed.). </w:t>
      </w:r>
      <w:proofErr w:type="spellStart"/>
      <w:r w:rsidRPr="005521B6">
        <w:rPr>
          <w:rFonts w:cs="Times New Roman"/>
          <w:sz w:val="22"/>
        </w:rPr>
        <w:t>Rojoint</w:t>
      </w:r>
      <w:proofErr w:type="spellEnd"/>
      <w:r w:rsidRPr="005521B6">
        <w:rPr>
          <w:rFonts w:cs="Times New Roman"/>
          <w:sz w:val="22"/>
        </w:rPr>
        <w:t xml:space="preserve"> Communications Services Ltd.</w:t>
      </w:r>
      <w:r w:rsidR="00154B84">
        <w:rPr>
          <w:rFonts w:cs="Times New Roman"/>
          <w:sz w:val="22"/>
        </w:rPr>
        <w:t>pp.21-30.</w:t>
      </w:r>
      <w:r w:rsidR="00122AB3" w:rsidRPr="00122AB3">
        <w:rPr>
          <w:rFonts w:cs="Times New Roman"/>
        </w:rPr>
        <w:t xml:space="preserve"> </w:t>
      </w:r>
      <w:proofErr w:type="spellStart"/>
      <w:r w:rsidR="00122AB3" w:rsidRPr="00236C26">
        <w:rPr>
          <w:rFonts w:cs="Times New Roman"/>
        </w:rPr>
        <w:t>Iwe</w:t>
      </w:r>
      <w:proofErr w:type="spellEnd"/>
      <w:r w:rsidR="00122AB3" w:rsidRPr="00236C26">
        <w:rPr>
          <w:rFonts w:cs="Times New Roman"/>
        </w:rPr>
        <w:t xml:space="preserve">, M. O. (2010). Handbook of sensory methods and analysis (2nd ed.). </w:t>
      </w:r>
      <w:proofErr w:type="spellStart"/>
      <w:r w:rsidR="00122AB3" w:rsidRPr="00236C26">
        <w:rPr>
          <w:rFonts w:cs="Times New Roman"/>
        </w:rPr>
        <w:t>Rojoint</w:t>
      </w:r>
      <w:proofErr w:type="spellEnd"/>
      <w:r w:rsidR="00122AB3" w:rsidRPr="00236C26">
        <w:rPr>
          <w:rFonts w:cs="Times New Roman"/>
        </w:rPr>
        <w:t xml:space="preserve"> Communications Services Ltd.</w:t>
      </w:r>
      <w:r w:rsidR="00122AB3">
        <w:rPr>
          <w:rFonts w:cs="Times New Roman"/>
        </w:rPr>
        <w:t>pp.75-78.</w:t>
      </w:r>
    </w:p>
    <w:p w14:paraId="47286AF0" w14:textId="77777777" w:rsidR="00122AB3" w:rsidRPr="00122AB3" w:rsidRDefault="00122AB3" w:rsidP="00122AB3">
      <w:pPr>
        <w:spacing w:line="240" w:lineRule="auto"/>
        <w:ind w:left="720" w:hanging="720"/>
        <w:jc w:val="both"/>
        <w:rPr>
          <w:rFonts w:cs="Times New Roman"/>
        </w:rPr>
      </w:pPr>
      <w:r w:rsidRPr="00236C26">
        <w:rPr>
          <w:rFonts w:cs="Times New Roman"/>
        </w:rPr>
        <w:lastRenderedPageBreak/>
        <w:t xml:space="preserve">Joshi, A. U., Liu, C., </w:t>
      </w:r>
      <w:r w:rsidR="000D78E2">
        <w:rPr>
          <w:rFonts w:cs="Times New Roman"/>
        </w:rPr>
        <w:t>and</w:t>
      </w:r>
      <w:r w:rsidRPr="00236C26">
        <w:rPr>
          <w:rFonts w:cs="Times New Roman"/>
        </w:rPr>
        <w:t xml:space="preserve"> Sathe, S. K. (2015). Functional properties of select seed flours. LWT - Food Science and Technology, 60(1), 325–331. https://do</w:t>
      </w:r>
      <w:r>
        <w:rPr>
          <w:rFonts w:cs="Times New Roman"/>
        </w:rPr>
        <w:t>i.org/10.1016/j.lwt.2014.08.038</w:t>
      </w:r>
    </w:p>
    <w:p w14:paraId="749B64A2"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Kaur, M., Sandhu, K. S., Arora, A., </w:t>
      </w:r>
      <w:r w:rsidR="000D78E2">
        <w:rPr>
          <w:rFonts w:cs="Times New Roman"/>
          <w:sz w:val="22"/>
        </w:rPr>
        <w:t>and</w:t>
      </w:r>
      <w:r w:rsidRPr="005521B6">
        <w:rPr>
          <w:rFonts w:cs="Times New Roman"/>
          <w:sz w:val="22"/>
        </w:rPr>
        <w:t xml:space="preserve"> Sharma, A. (2015). Gluten-free biscuits prepared from buckwheat flour by incorporating different flours. Journal of Food Science and Technology, 52, 1132–1139. https://doi.org/10.1007/s13197-013-1055-2</w:t>
      </w:r>
    </w:p>
    <w:p w14:paraId="087086D4"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Leach, H. W., McCowen, L. D., </w:t>
      </w:r>
      <w:r w:rsidR="000D78E2">
        <w:rPr>
          <w:rFonts w:cs="Times New Roman"/>
          <w:sz w:val="22"/>
        </w:rPr>
        <w:t>and</w:t>
      </w:r>
      <w:r w:rsidRPr="005521B6">
        <w:rPr>
          <w:rFonts w:cs="Times New Roman"/>
          <w:sz w:val="22"/>
        </w:rPr>
        <w:t xml:space="preserve"> Schoch, T. J. (1959). Structure of the starch granule. I. Swelling and solubility patterns of various starches. Cereal Chemistry, 36, 534–544.</w:t>
      </w:r>
    </w:p>
    <w:p w14:paraId="5FF11CC0"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Makhuvha</w:t>
      </w:r>
      <w:proofErr w:type="spellEnd"/>
      <w:r w:rsidRPr="005521B6">
        <w:rPr>
          <w:rFonts w:cs="Times New Roman"/>
          <w:sz w:val="22"/>
        </w:rPr>
        <w:t>, M., et al. (2024). Effect of orange-fleshed sweet potato (Ipomoea batatas)–Bambara groundnut (Vigna subterranea) composite flour on quality properties of pasta. Journal of Food Science. https://doi.org/10.1111/1750-3841.17432</w:t>
      </w:r>
    </w:p>
    <w:p w14:paraId="3FE8D242"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Messina, M. (2016). Soy and health update: Evaluation of the clinical and epidemiologic literature. Nutrients, 8(12), 754. https://doi.org/10.3390/nu8120754</w:t>
      </w:r>
    </w:p>
    <w:p w14:paraId="61D70604"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Msugh</w:t>
      </w:r>
      <w:proofErr w:type="spellEnd"/>
      <w:r w:rsidRPr="005521B6">
        <w:rPr>
          <w:rFonts w:cs="Times New Roman"/>
          <w:sz w:val="22"/>
        </w:rPr>
        <w:t xml:space="preserve">, C. T., Adah, C. A., </w:t>
      </w:r>
      <w:r w:rsidR="000D78E2">
        <w:rPr>
          <w:rFonts w:cs="Times New Roman"/>
          <w:sz w:val="22"/>
        </w:rPr>
        <w:t>and</w:t>
      </w:r>
      <w:r w:rsidRPr="005521B6">
        <w:rPr>
          <w:rFonts w:cs="Times New Roman"/>
          <w:sz w:val="22"/>
        </w:rPr>
        <w:t xml:space="preserve"> Kaase, A. (2024). Quality evaluation of composite flour from wheat, soybean and sunflower seeds for bread making. African Journal of Agriculture and Food Science, 7(3), 265–283. https://doi.org/10.52589/AJAFS-C84BU7GC</w:t>
      </w:r>
    </w:p>
    <w:p w14:paraId="110EB1B4"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Nkhata, S. G., </w:t>
      </w:r>
      <w:proofErr w:type="spellStart"/>
      <w:r w:rsidRPr="005521B6">
        <w:rPr>
          <w:rFonts w:cs="Times New Roman"/>
          <w:sz w:val="22"/>
        </w:rPr>
        <w:t>Ayua</w:t>
      </w:r>
      <w:proofErr w:type="spellEnd"/>
      <w:r w:rsidRPr="005521B6">
        <w:rPr>
          <w:rFonts w:cs="Times New Roman"/>
          <w:sz w:val="22"/>
        </w:rPr>
        <w:t xml:space="preserve">, E., Kamau, E. H., </w:t>
      </w:r>
      <w:r w:rsidR="000D78E2">
        <w:rPr>
          <w:rFonts w:cs="Times New Roman"/>
          <w:sz w:val="22"/>
        </w:rPr>
        <w:t>and</w:t>
      </w:r>
      <w:r w:rsidRPr="005521B6">
        <w:rPr>
          <w:rFonts w:cs="Times New Roman"/>
          <w:sz w:val="22"/>
        </w:rPr>
        <w:t xml:space="preserve"> </w:t>
      </w:r>
      <w:proofErr w:type="spellStart"/>
      <w:r w:rsidRPr="005521B6">
        <w:rPr>
          <w:rFonts w:cs="Times New Roman"/>
          <w:sz w:val="22"/>
        </w:rPr>
        <w:t>Shingiro</w:t>
      </w:r>
      <w:proofErr w:type="spellEnd"/>
      <w:r w:rsidRPr="005521B6">
        <w:rPr>
          <w:rFonts w:cs="Times New Roman"/>
          <w:sz w:val="22"/>
        </w:rPr>
        <w:t xml:space="preserve">, J.-B. (2018). Fermentation and germination improve nutritional value of cereals and legumes through activation of endogenous enzymes. Food Science </w:t>
      </w:r>
      <w:r w:rsidR="000D78E2">
        <w:rPr>
          <w:rFonts w:cs="Times New Roman"/>
          <w:sz w:val="22"/>
        </w:rPr>
        <w:t>and</w:t>
      </w:r>
      <w:r w:rsidRPr="005521B6">
        <w:rPr>
          <w:rFonts w:cs="Times New Roman"/>
          <w:sz w:val="22"/>
        </w:rPr>
        <w:t xml:space="preserve"> Nutrition, 6(8), 2446–2458. https://doi.org/10.1002/fsn3.846</w:t>
      </w:r>
    </w:p>
    <w:p w14:paraId="7BC40F98"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Offia-Olua</w:t>
      </w:r>
      <w:proofErr w:type="spellEnd"/>
      <w:r w:rsidRPr="005521B6">
        <w:rPr>
          <w:rFonts w:cs="Times New Roman"/>
          <w:sz w:val="22"/>
        </w:rPr>
        <w:t xml:space="preserve">, B. I., </w:t>
      </w:r>
      <w:proofErr w:type="spellStart"/>
      <w:r w:rsidRPr="005521B6">
        <w:rPr>
          <w:rFonts w:cs="Times New Roman"/>
          <w:sz w:val="22"/>
        </w:rPr>
        <w:t>Okakpu</w:t>
      </w:r>
      <w:proofErr w:type="spellEnd"/>
      <w:r w:rsidRPr="005521B6">
        <w:rPr>
          <w:rFonts w:cs="Times New Roman"/>
          <w:sz w:val="22"/>
        </w:rPr>
        <w:t xml:space="preserve">, K., </w:t>
      </w:r>
      <w:proofErr w:type="spellStart"/>
      <w:r w:rsidRPr="005521B6">
        <w:rPr>
          <w:rFonts w:cs="Times New Roman"/>
          <w:sz w:val="22"/>
        </w:rPr>
        <w:t>Okakpu</w:t>
      </w:r>
      <w:proofErr w:type="spellEnd"/>
      <w:r w:rsidRPr="005521B6">
        <w:rPr>
          <w:rFonts w:cs="Times New Roman"/>
          <w:sz w:val="22"/>
        </w:rPr>
        <w:t xml:space="preserve">, C., </w:t>
      </w:r>
      <w:proofErr w:type="spellStart"/>
      <w:r w:rsidRPr="005521B6">
        <w:rPr>
          <w:rFonts w:cs="Times New Roman"/>
          <w:sz w:val="22"/>
        </w:rPr>
        <w:t>Onwuzuruike</w:t>
      </w:r>
      <w:proofErr w:type="spellEnd"/>
      <w:r w:rsidRPr="005521B6">
        <w:rPr>
          <w:rFonts w:cs="Times New Roman"/>
          <w:sz w:val="22"/>
        </w:rPr>
        <w:t xml:space="preserve">, U., </w:t>
      </w:r>
      <w:r w:rsidR="000D78E2">
        <w:rPr>
          <w:rFonts w:cs="Times New Roman"/>
          <w:sz w:val="22"/>
        </w:rPr>
        <w:t>and</w:t>
      </w:r>
      <w:r w:rsidRPr="005521B6">
        <w:rPr>
          <w:rFonts w:cs="Times New Roman"/>
          <w:sz w:val="22"/>
        </w:rPr>
        <w:t xml:space="preserve"> Okafor, O. D. (2024). Evaluation of physicochemical and sensory properties of composite flour from cocoyam and </w:t>
      </w:r>
      <w:proofErr w:type="spellStart"/>
      <w:r w:rsidRPr="005521B6">
        <w:rPr>
          <w:rFonts w:cs="Times New Roman"/>
          <w:sz w:val="22"/>
        </w:rPr>
        <w:t>mungbean</w:t>
      </w:r>
      <w:proofErr w:type="spellEnd"/>
      <w:r w:rsidRPr="005521B6">
        <w:rPr>
          <w:rFonts w:cs="Times New Roman"/>
          <w:sz w:val="22"/>
        </w:rPr>
        <w:t xml:space="preserve"> and their </w:t>
      </w:r>
      <w:proofErr w:type="spellStart"/>
      <w:r w:rsidRPr="005521B6">
        <w:rPr>
          <w:rFonts w:cs="Times New Roman"/>
          <w:sz w:val="22"/>
        </w:rPr>
        <w:t>fufu</w:t>
      </w:r>
      <w:proofErr w:type="spellEnd"/>
      <w:r w:rsidRPr="005521B6">
        <w:rPr>
          <w:rFonts w:cs="Times New Roman"/>
          <w:sz w:val="22"/>
        </w:rPr>
        <w:t xml:space="preserve">-like products. </w:t>
      </w:r>
      <w:proofErr w:type="spellStart"/>
      <w:r w:rsidRPr="005521B6">
        <w:rPr>
          <w:rFonts w:cs="Times New Roman"/>
          <w:sz w:val="22"/>
        </w:rPr>
        <w:t>Jurnal</w:t>
      </w:r>
      <w:proofErr w:type="spellEnd"/>
      <w:r w:rsidRPr="005521B6">
        <w:rPr>
          <w:rFonts w:cs="Times New Roman"/>
          <w:sz w:val="22"/>
        </w:rPr>
        <w:t xml:space="preserve"> Bio-Geo Material </w:t>
      </w:r>
      <w:proofErr w:type="spellStart"/>
      <w:r w:rsidRPr="005521B6">
        <w:rPr>
          <w:rFonts w:cs="Times New Roman"/>
          <w:sz w:val="22"/>
        </w:rPr>
        <w:t>dan</w:t>
      </w:r>
      <w:proofErr w:type="spellEnd"/>
      <w:r w:rsidRPr="005521B6">
        <w:rPr>
          <w:rFonts w:cs="Times New Roman"/>
          <w:sz w:val="22"/>
        </w:rPr>
        <w:t xml:space="preserve"> Energi, 4(2), 48–63. https://doi.org/10.22437/jbigme.v4i2.33762</w:t>
      </w:r>
    </w:p>
    <w:p w14:paraId="2B9725D1"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Onwuka, G. I. (2018). Food analysis and instrumentation: Theory and practice (2nd ed.). Naphtali Prints.</w:t>
      </w:r>
    </w:p>
    <w:p w14:paraId="60929678"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Peter-Ikechukwu, A. I., </w:t>
      </w:r>
      <w:proofErr w:type="spellStart"/>
      <w:r w:rsidRPr="005521B6">
        <w:rPr>
          <w:rFonts w:cs="Times New Roman"/>
          <w:sz w:val="22"/>
        </w:rPr>
        <w:t>Ogazi</w:t>
      </w:r>
      <w:proofErr w:type="spellEnd"/>
      <w:r w:rsidRPr="005521B6">
        <w:rPr>
          <w:rFonts w:cs="Times New Roman"/>
          <w:sz w:val="22"/>
        </w:rPr>
        <w:t xml:space="preserve">, C. G., </w:t>
      </w:r>
      <w:proofErr w:type="spellStart"/>
      <w:r w:rsidRPr="005521B6">
        <w:rPr>
          <w:rFonts w:cs="Times New Roman"/>
          <w:sz w:val="22"/>
        </w:rPr>
        <w:t>Uzoukwu</w:t>
      </w:r>
      <w:proofErr w:type="spellEnd"/>
      <w:r w:rsidRPr="005521B6">
        <w:rPr>
          <w:rFonts w:cs="Times New Roman"/>
          <w:sz w:val="22"/>
        </w:rPr>
        <w:t xml:space="preserve">, A. E., </w:t>
      </w:r>
      <w:proofErr w:type="spellStart"/>
      <w:r w:rsidRPr="005521B6">
        <w:rPr>
          <w:rFonts w:cs="Times New Roman"/>
          <w:sz w:val="22"/>
        </w:rPr>
        <w:t>Kabuo</w:t>
      </w:r>
      <w:proofErr w:type="spellEnd"/>
      <w:r w:rsidRPr="005521B6">
        <w:rPr>
          <w:rFonts w:cs="Times New Roman"/>
          <w:sz w:val="22"/>
        </w:rPr>
        <w:t xml:space="preserve">, N. O., </w:t>
      </w:r>
      <w:r w:rsidR="000D78E2">
        <w:rPr>
          <w:rFonts w:cs="Times New Roman"/>
          <w:sz w:val="22"/>
        </w:rPr>
        <w:t>and</w:t>
      </w:r>
      <w:r w:rsidRPr="005521B6">
        <w:rPr>
          <w:rFonts w:cs="Times New Roman"/>
          <w:sz w:val="22"/>
        </w:rPr>
        <w:t xml:space="preserve"> Chukwu, M. N. (2020). Proximate compositions and functional properties of composite flour produced with date fruit pulp, toasted watermelon seed and wheat. Journal of Food Chemistry </w:t>
      </w:r>
      <w:r w:rsidR="000D78E2">
        <w:rPr>
          <w:rFonts w:cs="Times New Roman"/>
          <w:sz w:val="22"/>
        </w:rPr>
        <w:t>and</w:t>
      </w:r>
      <w:r w:rsidRPr="005521B6">
        <w:rPr>
          <w:rFonts w:cs="Times New Roman"/>
          <w:sz w:val="22"/>
        </w:rPr>
        <w:t xml:space="preserve"> Nanotechnology, 6(3), 159–166. https://doi.org/10.17756/jfcn.2020-097</w:t>
      </w:r>
    </w:p>
    <w:p w14:paraId="72A367BC"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Singh, P., Kumar, R., Sabapathy, S. N., </w:t>
      </w:r>
      <w:r w:rsidR="000D78E2">
        <w:rPr>
          <w:rFonts w:cs="Times New Roman"/>
          <w:sz w:val="22"/>
        </w:rPr>
        <w:t>and</w:t>
      </w:r>
      <w:r w:rsidRPr="005521B6">
        <w:rPr>
          <w:rFonts w:cs="Times New Roman"/>
          <w:sz w:val="22"/>
        </w:rPr>
        <w:t xml:space="preserve"> Bawa, A. S. (2008). Functional and edible uses of soy protein products. Comprehensive Reviews in Food Science and Food Safety, 7(1), 14–28. https://doi.org/10.1111/j.1541-4337.2007.00025.x</w:t>
      </w:r>
    </w:p>
    <w:p w14:paraId="01CF97F4"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Slavin, J. (2013). Fiber and prebiotics: Mechanisms and health benefits. Nutrients, 5(4), 1417–1435. https://doi.org/10.3390/nu5041417</w:t>
      </w:r>
    </w:p>
    <w:p w14:paraId="14051A79" w14:textId="77777777" w:rsidR="005521B6" w:rsidRDefault="005521B6" w:rsidP="005521B6">
      <w:pPr>
        <w:spacing w:line="240" w:lineRule="auto"/>
        <w:ind w:left="720" w:hanging="720"/>
        <w:jc w:val="both"/>
        <w:rPr>
          <w:rFonts w:cs="Times New Roman"/>
          <w:sz w:val="22"/>
        </w:rPr>
      </w:pPr>
      <w:r w:rsidRPr="005521B6">
        <w:rPr>
          <w:rFonts w:cs="Times New Roman"/>
          <w:sz w:val="22"/>
        </w:rPr>
        <w:t xml:space="preserve">Temba, M. C., </w:t>
      </w:r>
      <w:proofErr w:type="spellStart"/>
      <w:r w:rsidRPr="005521B6">
        <w:rPr>
          <w:rFonts w:cs="Times New Roman"/>
          <w:sz w:val="22"/>
        </w:rPr>
        <w:t>Njobeh</w:t>
      </w:r>
      <w:proofErr w:type="spellEnd"/>
      <w:r w:rsidRPr="005521B6">
        <w:rPr>
          <w:rFonts w:cs="Times New Roman"/>
          <w:sz w:val="22"/>
        </w:rPr>
        <w:t xml:space="preserve">, P. B., Adebo, O. A., </w:t>
      </w:r>
      <w:proofErr w:type="spellStart"/>
      <w:r w:rsidRPr="005521B6">
        <w:rPr>
          <w:rFonts w:cs="Times New Roman"/>
          <w:sz w:val="22"/>
        </w:rPr>
        <w:t>Olugbile</w:t>
      </w:r>
      <w:proofErr w:type="spellEnd"/>
      <w:r w:rsidRPr="005521B6">
        <w:rPr>
          <w:rFonts w:cs="Times New Roman"/>
          <w:sz w:val="22"/>
        </w:rPr>
        <w:t xml:space="preserve">, A. O., </w:t>
      </w:r>
      <w:r w:rsidR="000D78E2">
        <w:rPr>
          <w:rFonts w:cs="Times New Roman"/>
          <w:sz w:val="22"/>
        </w:rPr>
        <w:t>and</w:t>
      </w:r>
      <w:r w:rsidRPr="005521B6">
        <w:rPr>
          <w:rFonts w:cs="Times New Roman"/>
          <w:sz w:val="22"/>
        </w:rPr>
        <w:t xml:space="preserve"> </w:t>
      </w:r>
      <w:proofErr w:type="spellStart"/>
      <w:r w:rsidRPr="005521B6">
        <w:rPr>
          <w:rFonts w:cs="Times New Roman"/>
          <w:sz w:val="22"/>
        </w:rPr>
        <w:t>Kayitesi</w:t>
      </w:r>
      <w:proofErr w:type="spellEnd"/>
      <w:r w:rsidRPr="005521B6">
        <w:rPr>
          <w:rFonts w:cs="Times New Roman"/>
          <w:sz w:val="22"/>
        </w:rPr>
        <w:t xml:space="preserve">, E. (2016). The role of compositing cereals with legumes to alleviate protein energy malnutrition in Africa. International Journal of Food Science </w:t>
      </w:r>
      <w:r w:rsidR="000D78E2">
        <w:rPr>
          <w:rFonts w:cs="Times New Roman"/>
          <w:sz w:val="22"/>
        </w:rPr>
        <w:t>and</w:t>
      </w:r>
      <w:r w:rsidRPr="005521B6">
        <w:rPr>
          <w:rFonts w:cs="Times New Roman"/>
          <w:sz w:val="22"/>
        </w:rPr>
        <w:t xml:space="preserve"> Technology, 51(3), 543–554. </w:t>
      </w:r>
      <w:hyperlink r:id="rId17" w:history="1">
        <w:r w:rsidR="00122AB3" w:rsidRPr="00C67EC1">
          <w:rPr>
            <w:rStyle w:val="Hyperlink"/>
            <w:rFonts w:cs="Times New Roman"/>
            <w:sz w:val="22"/>
          </w:rPr>
          <w:t>https://doi.org/10.1111/ijfs.13035</w:t>
        </w:r>
      </w:hyperlink>
    </w:p>
    <w:p w14:paraId="22D55B98" w14:textId="77777777" w:rsidR="00122AB3" w:rsidRDefault="00122AB3" w:rsidP="00122AB3">
      <w:pPr>
        <w:spacing w:line="240" w:lineRule="auto"/>
        <w:ind w:left="720" w:hanging="720"/>
        <w:jc w:val="both"/>
        <w:rPr>
          <w:rFonts w:cs="Times New Roman"/>
        </w:rPr>
      </w:pPr>
      <w:proofErr w:type="spellStart"/>
      <w:r w:rsidRPr="00236C26">
        <w:rPr>
          <w:rFonts w:cs="Times New Roman"/>
        </w:rPr>
        <w:t>Uwaegbute</w:t>
      </w:r>
      <w:proofErr w:type="spellEnd"/>
      <w:r w:rsidRPr="00236C26">
        <w:rPr>
          <w:rFonts w:cs="Times New Roman"/>
        </w:rPr>
        <w:t xml:space="preserve">, A. C., </w:t>
      </w:r>
      <w:proofErr w:type="spellStart"/>
      <w:r w:rsidRPr="00236C26">
        <w:rPr>
          <w:rFonts w:cs="Times New Roman"/>
        </w:rPr>
        <w:t>Iroegbu</w:t>
      </w:r>
      <w:proofErr w:type="spellEnd"/>
      <w:r w:rsidRPr="00236C26">
        <w:rPr>
          <w:rFonts w:cs="Times New Roman"/>
        </w:rPr>
        <w:t xml:space="preserve">, C. U., </w:t>
      </w:r>
      <w:r w:rsidR="000D78E2">
        <w:rPr>
          <w:rFonts w:cs="Times New Roman"/>
        </w:rPr>
        <w:t>and</w:t>
      </w:r>
      <w:r w:rsidRPr="00236C26">
        <w:rPr>
          <w:rFonts w:cs="Times New Roman"/>
        </w:rPr>
        <w:t xml:space="preserve"> </w:t>
      </w:r>
      <w:proofErr w:type="spellStart"/>
      <w:r w:rsidRPr="00236C26">
        <w:rPr>
          <w:rFonts w:cs="Times New Roman"/>
        </w:rPr>
        <w:t>Ezeikpe</w:t>
      </w:r>
      <w:proofErr w:type="spellEnd"/>
      <w:r w:rsidRPr="00236C26">
        <w:rPr>
          <w:rFonts w:cs="Times New Roman"/>
        </w:rPr>
        <w:t xml:space="preserve">, D. O. (1999). Organoleptic and nutritional evaluation of soybean-fortified pap. Ecology of Food and Nutrition, 38(5), 415–426. </w:t>
      </w:r>
      <w:hyperlink r:id="rId18" w:history="1">
        <w:r w:rsidRPr="00C67EC1">
          <w:rPr>
            <w:rStyle w:val="Hyperlink"/>
            <w:rFonts w:cs="Times New Roman"/>
          </w:rPr>
          <w:t>https://doi.org/10.1080/03670244.1999.9991587</w:t>
        </w:r>
      </w:hyperlink>
    </w:p>
    <w:p w14:paraId="6E279335" w14:textId="77777777" w:rsidR="00122AB3" w:rsidRDefault="005521B6" w:rsidP="00122AB3">
      <w:pPr>
        <w:spacing w:line="240" w:lineRule="auto"/>
        <w:jc w:val="both"/>
        <w:rPr>
          <w:rFonts w:cs="Times New Roman"/>
          <w:sz w:val="22"/>
        </w:rPr>
      </w:pPr>
      <w:r w:rsidRPr="005521B6">
        <w:rPr>
          <w:rFonts w:cs="Times New Roman"/>
          <w:sz w:val="22"/>
        </w:rPr>
        <w:t xml:space="preserve">World Health Organization. (2023). WHO guideline for complementary feeding of infants and young </w:t>
      </w:r>
    </w:p>
    <w:p w14:paraId="7F4752E8" w14:textId="77777777" w:rsidR="00B15DE6" w:rsidRDefault="005521B6" w:rsidP="00122AB3">
      <w:pPr>
        <w:spacing w:line="240" w:lineRule="auto"/>
        <w:ind w:firstLine="720"/>
        <w:jc w:val="both"/>
        <w:rPr>
          <w:rFonts w:cs="Times New Roman"/>
          <w:sz w:val="22"/>
        </w:rPr>
      </w:pPr>
      <w:r w:rsidRPr="005521B6">
        <w:rPr>
          <w:rFonts w:cs="Times New Roman"/>
          <w:sz w:val="22"/>
        </w:rPr>
        <w:t>children 6–23 months of age. World Health Organization.</w:t>
      </w:r>
    </w:p>
    <w:p w14:paraId="6E449BD1" w14:textId="77777777" w:rsidR="00236C26" w:rsidRDefault="00122AB3" w:rsidP="005521B6">
      <w:pPr>
        <w:spacing w:line="240" w:lineRule="auto"/>
        <w:ind w:left="720" w:hanging="720"/>
        <w:jc w:val="both"/>
        <w:rPr>
          <w:rFonts w:cs="Times New Roman"/>
          <w:sz w:val="22"/>
        </w:rPr>
      </w:pPr>
      <w:r w:rsidRPr="00236C26">
        <w:rPr>
          <w:rFonts w:cs="Times New Roman"/>
        </w:rPr>
        <w:lastRenderedPageBreak/>
        <w:t xml:space="preserve">Yang, A., Smyth, H., Chaliha, M., </w:t>
      </w:r>
      <w:r w:rsidR="000D78E2">
        <w:rPr>
          <w:rFonts w:cs="Times New Roman"/>
        </w:rPr>
        <w:t>and</w:t>
      </w:r>
      <w:r w:rsidRPr="00236C26">
        <w:rPr>
          <w:rFonts w:cs="Times New Roman"/>
        </w:rPr>
        <w:t xml:space="preserve"> James, A. (2016). Sensory quality of soymilk and tofu from soybeans lacking lipoxygenases. Food Science </w:t>
      </w:r>
      <w:r w:rsidR="000D78E2">
        <w:rPr>
          <w:rFonts w:cs="Times New Roman"/>
        </w:rPr>
        <w:t>and</w:t>
      </w:r>
      <w:r w:rsidRPr="00236C26">
        <w:rPr>
          <w:rFonts w:cs="Times New Roman"/>
        </w:rPr>
        <w:t xml:space="preserve"> Nutrition, 4(2), 207–215. </w:t>
      </w:r>
      <w:hyperlink r:id="rId19" w:history="1">
        <w:r w:rsidRPr="00C67EC1">
          <w:rPr>
            <w:rStyle w:val="Hyperlink"/>
            <w:rFonts w:cs="Times New Roman"/>
          </w:rPr>
          <w:t>https://doi.org/10.1002/fsn3.274</w:t>
        </w:r>
      </w:hyperlink>
    </w:p>
    <w:p w14:paraId="591AA5C6" w14:textId="77777777" w:rsidR="00236C26" w:rsidRDefault="00236C26" w:rsidP="005521B6">
      <w:pPr>
        <w:spacing w:line="240" w:lineRule="auto"/>
        <w:ind w:left="720" w:hanging="720"/>
        <w:jc w:val="both"/>
        <w:rPr>
          <w:rFonts w:cs="Times New Roman"/>
          <w:sz w:val="22"/>
        </w:rPr>
      </w:pPr>
    </w:p>
    <w:p w14:paraId="6E5678B7" w14:textId="77777777" w:rsidR="00236C26" w:rsidRDefault="00236C26" w:rsidP="00236C26">
      <w:pPr>
        <w:spacing w:line="240" w:lineRule="auto"/>
        <w:ind w:left="720" w:hanging="720"/>
        <w:jc w:val="both"/>
      </w:pPr>
    </w:p>
    <w:p w14:paraId="0661F1E1" w14:textId="77777777" w:rsidR="00236C26" w:rsidRDefault="00236C26" w:rsidP="00236C26">
      <w:pPr>
        <w:spacing w:line="240" w:lineRule="auto"/>
        <w:ind w:left="720" w:hanging="720"/>
        <w:jc w:val="both"/>
        <w:rPr>
          <w:rFonts w:cs="Times New Roman"/>
        </w:rPr>
      </w:pPr>
    </w:p>
    <w:p w14:paraId="7688FFB4" w14:textId="77777777" w:rsidR="00236C26" w:rsidRPr="00B15DE6" w:rsidRDefault="00236C26" w:rsidP="00236C26">
      <w:pPr>
        <w:spacing w:line="240" w:lineRule="auto"/>
        <w:ind w:left="720" w:hanging="720"/>
        <w:jc w:val="both"/>
        <w:rPr>
          <w:rFonts w:cs="Times New Roman"/>
        </w:rPr>
      </w:pPr>
    </w:p>
    <w:sectPr w:rsidR="00236C26" w:rsidRPr="00B15DE6" w:rsidSect="00034616">
      <w:headerReference w:type="even" r:id="rId20"/>
      <w:headerReference w:type="default" r:id="rId21"/>
      <w:footerReference w:type="default" r:id="rId22"/>
      <w:headerReference w:type="first" r:id="rId2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User" w:date="2026-08-13T15:56:00Z" w:initials="U">
    <w:p w14:paraId="2441D48E" w14:textId="6CF96ECE" w:rsidR="00C05281" w:rsidRDefault="00C05281">
      <w:pPr>
        <w:pStyle w:val="CommentText"/>
      </w:pPr>
      <w:r>
        <w:rPr>
          <w:rStyle w:val="CommentReference"/>
        </w:rPr>
        <w:annotationRef/>
      </w:r>
      <w:r>
        <w:t>Too old replace with recent one</w:t>
      </w:r>
    </w:p>
  </w:comment>
  <w:comment w:id="1" w:author="User" w:date="2026-08-13T15:58:00Z" w:initials="U">
    <w:p w14:paraId="5C6DB4D1" w14:textId="2AAA5935" w:rsidR="00C05281" w:rsidRDefault="00C05281">
      <w:pPr>
        <w:pStyle w:val="CommentText"/>
      </w:pPr>
      <w:r>
        <w:rPr>
          <w:rStyle w:val="CommentReference"/>
        </w:rPr>
        <w:annotationRef/>
      </w:r>
      <w:r>
        <w:t>To old get more recent citations</w:t>
      </w:r>
    </w:p>
  </w:comment>
  <w:comment w:id="2" w:author="User" w:date="2026-08-13T15:59:00Z" w:initials="U">
    <w:p w14:paraId="7E8683BF" w14:textId="082A6A47" w:rsidR="00C05281" w:rsidRDefault="00C05281">
      <w:pPr>
        <w:pStyle w:val="CommentText"/>
      </w:pPr>
      <w:r>
        <w:rPr>
          <w:rStyle w:val="CommentReference"/>
        </w:rPr>
        <w:annotationRef/>
      </w:r>
      <w:proofErr w:type="gramStart"/>
      <w:r>
        <w:t>delete</w:t>
      </w:r>
      <w:proofErr w:type="gramEnd"/>
    </w:p>
  </w:comment>
  <w:comment w:id="3" w:author="User" w:date="2026-08-13T16:07:00Z" w:initials="U">
    <w:p w14:paraId="51F2BF10" w14:textId="4446D610" w:rsidR="00C05281" w:rsidRDefault="00C05281">
      <w:pPr>
        <w:pStyle w:val="CommentText"/>
      </w:pPr>
      <w:r>
        <w:rPr>
          <w:rStyle w:val="CommentReference"/>
        </w:rPr>
        <w:annotationRef/>
      </w:r>
      <w:r>
        <w:t xml:space="preserve">No Hypothesis here, Hence the need to include one hypothesis to warrant the inferential statistics use in the study: </w:t>
      </w:r>
      <w:r w:rsidRPr="00C05281">
        <w:t xml:space="preserve">Consider adding an explicit hypothesis section or clearly stating predicted outcomes (e.g., "We </w:t>
      </w:r>
      <w:proofErr w:type="spellStart"/>
      <w:r w:rsidRPr="00C05281">
        <w:t>hypothesised</w:t>
      </w:r>
      <w:proofErr w:type="spellEnd"/>
      <w:r w:rsidRPr="00C05281">
        <w:t xml:space="preserve"> that soybean incorporation would linearly increase protein content whilst potentially</w:t>
      </w:r>
      <w:r>
        <w:t xml:space="preserve"> reducing sensory acceptability)</w:t>
      </w:r>
    </w:p>
  </w:comment>
  <w:comment w:id="4" w:author="User" w:date="2026-08-13T16:05:00Z" w:initials="U">
    <w:p w14:paraId="491B3966" w14:textId="13CEDE54" w:rsidR="00C05281" w:rsidRDefault="00C05281">
      <w:pPr>
        <w:pStyle w:val="CommentText"/>
      </w:pPr>
      <w:r>
        <w:rPr>
          <w:rStyle w:val="CommentReference"/>
        </w:rPr>
        <w:annotationRef/>
      </w:r>
      <w:proofErr w:type="gramStart"/>
      <w:r>
        <w:t>numbering</w:t>
      </w:r>
      <w:proofErr w:type="gramEnd"/>
      <w:r>
        <w:t xml:space="preserve"> jumps from 2.4 to 2.6—should be 2.5</w:t>
      </w:r>
    </w:p>
  </w:comment>
  <w:comment w:id="5" w:author="User" w:date="2026-08-13T16:16:00Z" w:initials="U">
    <w:p w14:paraId="5B7F723A" w14:textId="3E45C4CC" w:rsidR="00A67E19" w:rsidRDefault="00A67E19">
      <w:pPr>
        <w:pStyle w:val="CommentText"/>
      </w:pPr>
      <w:r>
        <w:rPr>
          <w:rStyle w:val="CommentReference"/>
        </w:rPr>
        <w:annotationRef/>
      </w:r>
      <w:proofErr w:type="gramStart"/>
      <w:r>
        <w:t>the</w:t>
      </w:r>
      <w:proofErr w:type="gramEnd"/>
      <w:r>
        <w:t xml:space="preserve"> statement that "semi-trained" panelists evaluated samples could be clarified—did they receive any </w:t>
      </w:r>
      <w:proofErr w:type="spellStart"/>
      <w:r>
        <w:t>standardised</w:t>
      </w:r>
      <w:proofErr w:type="spellEnd"/>
      <w:r>
        <w:t xml:space="preserve"> training regarding scale use, sample evaluation order, or sensory terminology?</w:t>
      </w:r>
    </w:p>
  </w:comment>
  <w:comment w:id="6" w:author="User" w:date="2026-08-13T16:22:00Z" w:initials="U">
    <w:p w14:paraId="76BB5FCA" w14:textId="01093C24" w:rsidR="00A906F7" w:rsidRDefault="00A906F7">
      <w:pPr>
        <w:pStyle w:val="CommentText"/>
      </w:pPr>
      <w:r>
        <w:rPr>
          <w:rStyle w:val="CommentReference"/>
        </w:rPr>
        <w:annotationRef/>
      </w:r>
      <w:r>
        <w:t>Consider whether including units clearly (e.g., "%) in the header or as part of each column label would improve clarity for readers who might photocopy or screenshot the table separately from the text</w:t>
      </w:r>
    </w:p>
  </w:comment>
  <w:comment w:id="8" w:author="User" w:date="2026-08-13T16:13:00Z" w:initials="U">
    <w:p w14:paraId="5B686F84" w14:textId="3DA01D22" w:rsidR="00A67E19" w:rsidRDefault="00A67E19">
      <w:pPr>
        <w:pStyle w:val="CommentText"/>
      </w:pPr>
      <w:r>
        <w:rPr>
          <w:rStyle w:val="CommentReference"/>
        </w:rPr>
        <w:annotationRef/>
      </w:r>
      <w:r>
        <w:t>This should be 3.2 not 3.3</w:t>
      </w:r>
    </w:p>
  </w:comment>
  <w:comment w:id="9" w:author="User" w:date="2026-08-13T16:14:00Z" w:initials="U">
    <w:p w14:paraId="71EDEB9F" w14:textId="2B83FBFB" w:rsidR="00A67E19" w:rsidRDefault="00A67E19">
      <w:pPr>
        <w:pStyle w:val="CommentText"/>
      </w:pPr>
      <w:r>
        <w:rPr>
          <w:rStyle w:val="CommentReference"/>
        </w:rPr>
        <w:annotationRef/>
      </w:r>
      <w:r>
        <w:t>Number this properly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441D48E" w15:done="0"/>
  <w15:commentEx w15:paraId="5C6DB4D1" w15:done="0"/>
  <w15:commentEx w15:paraId="7E8683BF" w15:done="0"/>
  <w15:commentEx w15:paraId="51F2BF10" w15:done="0"/>
  <w15:commentEx w15:paraId="491B3966" w15:done="0"/>
  <w15:commentEx w15:paraId="5B7F723A" w15:done="0"/>
  <w15:commentEx w15:paraId="76BB5FCA" w15:done="0"/>
  <w15:commentEx w15:paraId="5B686F84" w15:done="0"/>
  <w15:commentEx w15:paraId="71EDEB9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E8AE1B" w14:textId="77777777" w:rsidR="00CC7966" w:rsidRDefault="00CC7966">
      <w:pPr>
        <w:spacing w:after="0" w:line="240" w:lineRule="auto"/>
      </w:pPr>
      <w:r>
        <w:separator/>
      </w:r>
    </w:p>
  </w:endnote>
  <w:endnote w:type="continuationSeparator" w:id="0">
    <w:p w14:paraId="62DB959C" w14:textId="77777777" w:rsidR="00CC7966" w:rsidRDefault="00CC7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F26D" w14:textId="77777777" w:rsidR="00C05281" w:rsidRDefault="00C05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B0EA9" w14:textId="77777777" w:rsidR="00C05281" w:rsidRDefault="00C052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C8268" w14:textId="77777777" w:rsidR="00C05281" w:rsidRDefault="00C052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318339"/>
      <w:docPartObj>
        <w:docPartGallery w:val="Page Numbers (Bottom of Page)"/>
        <w:docPartUnique/>
      </w:docPartObj>
    </w:sdtPr>
    <w:sdtEndPr>
      <w:rPr>
        <w:noProof/>
      </w:rPr>
    </w:sdtEndPr>
    <w:sdtContent>
      <w:p w14:paraId="4044B650" w14:textId="77291AFD" w:rsidR="00C05281" w:rsidRDefault="00C05281">
        <w:pPr>
          <w:pStyle w:val="Footer"/>
          <w:jc w:val="center"/>
        </w:pPr>
        <w:r>
          <w:fldChar w:fldCharType="begin"/>
        </w:r>
        <w:r>
          <w:instrText xml:space="preserve"> PAGE   \* MERGEFORMAT </w:instrText>
        </w:r>
        <w:r>
          <w:fldChar w:fldCharType="separate"/>
        </w:r>
        <w:r w:rsidR="00A906F7">
          <w:rPr>
            <w:noProof/>
          </w:rPr>
          <w:t>20</w:t>
        </w:r>
        <w:r>
          <w:rPr>
            <w:noProof/>
          </w:rPr>
          <w:fldChar w:fldCharType="end"/>
        </w:r>
      </w:p>
    </w:sdtContent>
  </w:sdt>
  <w:p w14:paraId="2712EE16" w14:textId="77777777" w:rsidR="00C05281" w:rsidRDefault="00C0528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3C9C4" w14:textId="77777777" w:rsidR="00CC7966" w:rsidRDefault="00CC7966">
      <w:pPr>
        <w:spacing w:after="0" w:line="240" w:lineRule="auto"/>
      </w:pPr>
      <w:r>
        <w:separator/>
      </w:r>
    </w:p>
  </w:footnote>
  <w:footnote w:type="continuationSeparator" w:id="0">
    <w:p w14:paraId="0A24D880" w14:textId="77777777" w:rsidR="00CC7966" w:rsidRDefault="00CC79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43723" w14:textId="76442FCF" w:rsidR="00C05281" w:rsidRDefault="00C05281">
    <w:pPr>
      <w:pStyle w:val="Header"/>
    </w:pPr>
    <w:r>
      <w:rPr>
        <w:noProof/>
      </w:rPr>
      <w:pict w14:anchorId="170D5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69" o:spid="_x0000_s2050" type="#_x0000_t136" style="position:absolute;margin-left:0;margin-top:0;width:662.3pt;height:73.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FE876" w14:textId="1AA0E38A" w:rsidR="00C05281" w:rsidRDefault="00C05281">
    <w:pPr>
      <w:pStyle w:val="Header"/>
    </w:pPr>
    <w:r>
      <w:rPr>
        <w:noProof/>
      </w:rPr>
      <w:pict w14:anchorId="5716A4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0" o:spid="_x0000_s2051" type="#_x0000_t136" style="position:absolute;margin-left:0;margin-top:0;width:662.3pt;height:73.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F69B7" w14:textId="1A76D1FD" w:rsidR="00C05281" w:rsidRDefault="00C05281">
    <w:pPr>
      <w:pStyle w:val="Header"/>
    </w:pPr>
    <w:r>
      <w:rPr>
        <w:noProof/>
      </w:rPr>
      <w:pict w14:anchorId="139A1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68" o:spid="_x0000_s2049" type="#_x0000_t136" style="position:absolute;margin-left:0;margin-top:0;width:662.3pt;height:73.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A0964" w14:textId="0295FD9D" w:rsidR="00C05281" w:rsidRDefault="00C05281">
    <w:pPr>
      <w:pStyle w:val="Header"/>
    </w:pPr>
    <w:r>
      <w:rPr>
        <w:noProof/>
      </w:rPr>
      <w:pict w14:anchorId="110B89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2" o:spid="_x0000_s2055" type="#_x0000_t136" style="position:absolute;margin-left:0;margin-top:0;width:662.3pt;height:73.5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761B81">
        <v:shape id="_x0000_s2054" type="#_x0000_t136" style="position:absolute;margin-left:0;margin-top:0;width:662.3pt;height:73.5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F52D7" w14:textId="0B8C49DA" w:rsidR="00C05281" w:rsidRDefault="00C05281">
    <w:pPr>
      <w:pStyle w:val="Header"/>
    </w:pPr>
    <w:r>
      <w:rPr>
        <w:noProof/>
      </w:rPr>
      <w:pict w14:anchorId="6140BC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3" o:spid="_x0000_s2057" type="#_x0000_t136" style="position:absolute;margin-left:0;margin-top:0;width:662.3pt;height:73.5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D70AFA6">
        <v:shape id="_x0000_s2056" type="#_x0000_t136" style="position:absolute;margin-left:0;margin-top:0;width:662.3pt;height:73.5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F887A" w14:textId="62DC1700" w:rsidR="00C05281" w:rsidRDefault="00C05281">
    <w:pPr>
      <w:pStyle w:val="Header"/>
    </w:pPr>
    <w:r>
      <w:rPr>
        <w:noProof/>
      </w:rPr>
      <w:pict w14:anchorId="7B5ABB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1" o:spid="_x0000_s2053" type="#_x0000_t136" style="position:absolute;margin-left:0;margin-top:0;width:662.3pt;height:73.5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8719B4B">
        <v:shape id="_x0000_s2052" type="#_x0000_t136" style="position:absolute;margin-left:0;margin-top:0;width:662.3pt;height:73.5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2A5639"/>
    <w:multiLevelType w:val="multilevel"/>
    <w:tmpl w:val="1938D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B5478F"/>
    <w:multiLevelType w:val="multilevel"/>
    <w:tmpl w:val="05A01DE6"/>
    <w:lvl w:ilvl="0">
      <w:start w:val="1"/>
      <w:numFmt w:val="decimal"/>
      <w:lvlText w:val="%1.0"/>
      <w:lvlJc w:val="left"/>
      <w:pPr>
        <w:ind w:left="10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1080" w:hanging="360"/>
        <w:jc w:val="left"/>
      </w:pPr>
      <w:rPr>
        <w:rFonts w:hint="default"/>
        <w:spacing w:val="0"/>
        <w:w w:val="100"/>
        <w:lang w:val="en-US" w:eastAsia="en-US" w:bidi="ar-SA"/>
      </w:rPr>
    </w:lvl>
    <w:lvl w:ilvl="2">
      <w:start w:val="1"/>
      <w:numFmt w:val="decimal"/>
      <w:lvlText w:val="%1.%2.%3"/>
      <w:lvlJc w:val="left"/>
      <w:pPr>
        <w:ind w:left="180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880" w:hanging="360"/>
      </w:pPr>
      <w:rPr>
        <w:rFonts w:hint="default"/>
        <w:lang w:val="en-US" w:eastAsia="en-US" w:bidi="ar-SA"/>
      </w:rPr>
    </w:lvl>
    <w:lvl w:ilvl="4">
      <w:numFmt w:val="bullet"/>
      <w:lvlText w:val="•"/>
      <w:lvlJc w:val="left"/>
      <w:pPr>
        <w:ind w:left="3960" w:hanging="360"/>
      </w:pPr>
      <w:rPr>
        <w:rFonts w:hint="default"/>
        <w:lang w:val="en-US" w:eastAsia="en-US" w:bidi="ar-SA"/>
      </w:rPr>
    </w:lvl>
    <w:lvl w:ilvl="5">
      <w:numFmt w:val="bullet"/>
      <w:lvlText w:val="•"/>
      <w:lvlJc w:val="left"/>
      <w:pPr>
        <w:ind w:left="5040" w:hanging="360"/>
      </w:pPr>
      <w:rPr>
        <w:rFonts w:hint="default"/>
        <w:lang w:val="en-US" w:eastAsia="en-US" w:bidi="ar-SA"/>
      </w:rPr>
    </w:lvl>
    <w:lvl w:ilvl="6">
      <w:numFmt w:val="bullet"/>
      <w:lvlText w:val="•"/>
      <w:lvlJc w:val="left"/>
      <w:pPr>
        <w:ind w:left="6120" w:hanging="360"/>
      </w:pPr>
      <w:rPr>
        <w:rFonts w:hint="default"/>
        <w:lang w:val="en-US" w:eastAsia="en-US" w:bidi="ar-SA"/>
      </w:rPr>
    </w:lvl>
    <w:lvl w:ilvl="7">
      <w:numFmt w:val="bullet"/>
      <w:lvlText w:val="•"/>
      <w:lvlJc w:val="left"/>
      <w:pPr>
        <w:ind w:left="7200" w:hanging="360"/>
      </w:pPr>
      <w:rPr>
        <w:rFonts w:hint="default"/>
        <w:lang w:val="en-US" w:eastAsia="en-US" w:bidi="ar-SA"/>
      </w:rPr>
    </w:lvl>
    <w:lvl w:ilvl="8">
      <w:numFmt w:val="bullet"/>
      <w:lvlText w:val="•"/>
      <w:lvlJc w:val="left"/>
      <w:pPr>
        <w:ind w:left="8280" w:hanging="360"/>
      </w:pPr>
      <w:rPr>
        <w:rFonts w:hint="default"/>
        <w:lang w:val="en-US" w:eastAsia="en-US" w:bidi="ar-SA"/>
      </w:rPr>
    </w:lvl>
  </w:abstractNum>
  <w:abstractNum w:abstractNumId="11" w15:restartNumberingAfterBreak="0">
    <w:nsid w:val="6D1B7FEC"/>
    <w:multiLevelType w:val="multilevel"/>
    <w:tmpl w:val="B2EA655A"/>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0A35"/>
    <w:rsid w:val="000D78E2"/>
    <w:rsid w:val="00122AB3"/>
    <w:rsid w:val="0015074B"/>
    <w:rsid w:val="00154B84"/>
    <w:rsid w:val="00171177"/>
    <w:rsid w:val="0018724C"/>
    <w:rsid w:val="00236C26"/>
    <w:rsid w:val="0029639D"/>
    <w:rsid w:val="002B1AB0"/>
    <w:rsid w:val="002D2E3D"/>
    <w:rsid w:val="002F4599"/>
    <w:rsid w:val="00302EC0"/>
    <w:rsid w:val="00326F90"/>
    <w:rsid w:val="0037002B"/>
    <w:rsid w:val="00387302"/>
    <w:rsid w:val="003A4706"/>
    <w:rsid w:val="003D2280"/>
    <w:rsid w:val="00425F66"/>
    <w:rsid w:val="004306F1"/>
    <w:rsid w:val="00436E81"/>
    <w:rsid w:val="004F0E69"/>
    <w:rsid w:val="00503A3F"/>
    <w:rsid w:val="00516D62"/>
    <w:rsid w:val="005328DD"/>
    <w:rsid w:val="005521B6"/>
    <w:rsid w:val="00682DD4"/>
    <w:rsid w:val="00686036"/>
    <w:rsid w:val="006D6C60"/>
    <w:rsid w:val="007259F1"/>
    <w:rsid w:val="00797676"/>
    <w:rsid w:val="007F41B4"/>
    <w:rsid w:val="009C40FB"/>
    <w:rsid w:val="00A21E0B"/>
    <w:rsid w:val="00A230C0"/>
    <w:rsid w:val="00A41C4A"/>
    <w:rsid w:val="00A633D9"/>
    <w:rsid w:val="00A67E19"/>
    <w:rsid w:val="00A906F7"/>
    <w:rsid w:val="00A90F65"/>
    <w:rsid w:val="00AA1D8D"/>
    <w:rsid w:val="00B15DE6"/>
    <w:rsid w:val="00B2706F"/>
    <w:rsid w:val="00B47730"/>
    <w:rsid w:val="00B809FF"/>
    <w:rsid w:val="00BA27C1"/>
    <w:rsid w:val="00BE7D1E"/>
    <w:rsid w:val="00C05281"/>
    <w:rsid w:val="00C8603D"/>
    <w:rsid w:val="00CB0664"/>
    <w:rsid w:val="00CC4746"/>
    <w:rsid w:val="00CC7966"/>
    <w:rsid w:val="00CF6F49"/>
    <w:rsid w:val="00E51B0E"/>
    <w:rsid w:val="00E63C48"/>
    <w:rsid w:val="00E813CA"/>
    <w:rsid w:val="00FB0CF3"/>
    <w:rsid w:val="00FC29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048AA1B7"/>
  <w14:defaultImageDpi w14:val="300"/>
  <w15:docId w15:val="{504F5DF5-4714-4D36-94C2-E5299DAF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36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187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24C"/>
    <w:rPr>
      <w:rFonts w:ascii="Tahoma" w:hAnsi="Tahoma" w:cs="Tahoma"/>
      <w:sz w:val="16"/>
      <w:szCs w:val="16"/>
    </w:rPr>
  </w:style>
  <w:style w:type="character" w:styleId="PlaceholderText">
    <w:name w:val="Placeholder Text"/>
    <w:basedOn w:val="DefaultParagraphFont"/>
    <w:uiPriority w:val="99"/>
    <w:semiHidden/>
    <w:rsid w:val="006D6C60"/>
    <w:rPr>
      <w:color w:val="808080"/>
    </w:rPr>
  </w:style>
  <w:style w:type="paragraph" w:customStyle="1" w:styleId="isselectedend">
    <w:name w:val="isselectedend"/>
    <w:basedOn w:val="Normal"/>
    <w:rsid w:val="003D2280"/>
    <w:pPr>
      <w:spacing w:before="100" w:beforeAutospacing="1" w:after="100" w:afterAutospacing="1" w:line="240" w:lineRule="auto"/>
    </w:pPr>
    <w:rPr>
      <w:rFonts w:eastAsia="Times New Roman" w:cs="Times New Roman"/>
      <w:szCs w:val="24"/>
    </w:rPr>
  </w:style>
  <w:style w:type="paragraph" w:styleId="NormalWeb">
    <w:name w:val="Normal (Web)"/>
    <w:basedOn w:val="Normal"/>
    <w:uiPriority w:val="99"/>
    <w:semiHidden/>
    <w:unhideWhenUsed/>
    <w:rsid w:val="003D2280"/>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B809FF"/>
    <w:rPr>
      <w:color w:val="0000FF" w:themeColor="hyperlink"/>
      <w:u w:val="single"/>
    </w:rPr>
  </w:style>
  <w:style w:type="character" w:styleId="CommentReference">
    <w:name w:val="annotation reference"/>
    <w:basedOn w:val="DefaultParagraphFont"/>
    <w:uiPriority w:val="99"/>
    <w:semiHidden/>
    <w:unhideWhenUsed/>
    <w:rsid w:val="00C05281"/>
    <w:rPr>
      <w:sz w:val="16"/>
      <w:szCs w:val="16"/>
    </w:rPr>
  </w:style>
  <w:style w:type="paragraph" w:styleId="CommentText">
    <w:name w:val="annotation text"/>
    <w:basedOn w:val="Normal"/>
    <w:link w:val="CommentTextChar"/>
    <w:uiPriority w:val="99"/>
    <w:semiHidden/>
    <w:unhideWhenUsed/>
    <w:rsid w:val="00C05281"/>
    <w:pPr>
      <w:spacing w:line="240" w:lineRule="auto"/>
    </w:pPr>
    <w:rPr>
      <w:sz w:val="20"/>
      <w:szCs w:val="20"/>
    </w:rPr>
  </w:style>
  <w:style w:type="character" w:customStyle="1" w:styleId="CommentTextChar">
    <w:name w:val="Comment Text Char"/>
    <w:basedOn w:val="DefaultParagraphFont"/>
    <w:link w:val="CommentText"/>
    <w:uiPriority w:val="99"/>
    <w:semiHidden/>
    <w:rsid w:val="00C0528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05281"/>
    <w:rPr>
      <w:b/>
      <w:bCs/>
    </w:rPr>
  </w:style>
  <w:style w:type="character" w:customStyle="1" w:styleId="CommentSubjectChar">
    <w:name w:val="Comment Subject Char"/>
    <w:basedOn w:val="CommentTextChar"/>
    <w:link w:val="CommentSubject"/>
    <w:uiPriority w:val="99"/>
    <w:semiHidden/>
    <w:rsid w:val="00C05281"/>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764749">
      <w:bodyDiv w:val="1"/>
      <w:marLeft w:val="0"/>
      <w:marRight w:val="0"/>
      <w:marTop w:val="0"/>
      <w:marBottom w:val="0"/>
      <w:divBdr>
        <w:top w:val="none" w:sz="0" w:space="0" w:color="auto"/>
        <w:left w:val="none" w:sz="0" w:space="0" w:color="auto"/>
        <w:bottom w:val="none" w:sz="0" w:space="0" w:color="auto"/>
        <w:right w:val="none" w:sz="0" w:space="0" w:color="auto"/>
      </w:divBdr>
    </w:div>
    <w:div w:id="622083032">
      <w:bodyDiv w:val="1"/>
      <w:marLeft w:val="0"/>
      <w:marRight w:val="0"/>
      <w:marTop w:val="0"/>
      <w:marBottom w:val="0"/>
      <w:divBdr>
        <w:top w:val="none" w:sz="0" w:space="0" w:color="auto"/>
        <w:left w:val="none" w:sz="0" w:space="0" w:color="auto"/>
        <w:bottom w:val="none" w:sz="0" w:space="0" w:color="auto"/>
        <w:right w:val="none" w:sz="0" w:space="0" w:color="auto"/>
      </w:divBdr>
    </w:div>
    <w:div w:id="654334292">
      <w:bodyDiv w:val="1"/>
      <w:marLeft w:val="0"/>
      <w:marRight w:val="0"/>
      <w:marTop w:val="0"/>
      <w:marBottom w:val="0"/>
      <w:divBdr>
        <w:top w:val="none" w:sz="0" w:space="0" w:color="auto"/>
        <w:left w:val="none" w:sz="0" w:space="0" w:color="auto"/>
        <w:bottom w:val="none" w:sz="0" w:space="0" w:color="auto"/>
        <w:right w:val="none" w:sz="0" w:space="0" w:color="auto"/>
      </w:divBdr>
    </w:div>
    <w:div w:id="1733231778">
      <w:bodyDiv w:val="1"/>
      <w:marLeft w:val="0"/>
      <w:marRight w:val="0"/>
      <w:marTop w:val="0"/>
      <w:marBottom w:val="0"/>
      <w:divBdr>
        <w:top w:val="none" w:sz="0" w:space="0" w:color="auto"/>
        <w:left w:val="none" w:sz="0" w:space="0" w:color="auto"/>
        <w:bottom w:val="none" w:sz="0" w:space="0" w:color="auto"/>
        <w:right w:val="none" w:sz="0" w:space="0" w:color="auto"/>
      </w:divBdr>
    </w:div>
    <w:div w:id="1807550471">
      <w:bodyDiv w:val="1"/>
      <w:marLeft w:val="0"/>
      <w:marRight w:val="0"/>
      <w:marTop w:val="0"/>
      <w:marBottom w:val="0"/>
      <w:divBdr>
        <w:top w:val="none" w:sz="0" w:space="0" w:color="auto"/>
        <w:left w:val="none" w:sz="0" w:space="0" w:color="auto"/>
        <w:bottom w:val="none" w:sz="0" w:space="0" w:color="auto"/>
        <w:right w:val="none" w:sz="0" w:space="0" w:color="auto"/>
      </w:divBdr>
    </w:div>
    <w:div w:id="1947535486">
      <w:bodyDiv w:val="1"/>
      <w:marLeft w:val="0"/>
      <w:marRight w:val="0"/>
      <w:marTop w:val="0"/>
      <w:marBottom w:val="0"/>
      <w:divBdr>
        <w:top w:val="none" w:sz="0" w:space="0" w:color="auto"/>
        <w:left w:val="none" w:sz="0" w:space="0" w:color="auto"/>
        <w:bottom w:val="none" w:sz="0" w:space="0" w:color="auto"/>
        <w:right w:val="none" w:sz="0" w:space="0" w:color="auto"/>
      </w:divBdr>
    </w:div>
    <w:div w:id="20592832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hyperlink" Target="https://doi.org/10.1080/03670244.1999.999158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10.1111/ijfs.13035"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doi.org/10.1016/j.foodres.2004.01.009"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s://doi.org/10.1002/fsn3.274"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B6C5F-4D78-4067-8BDA-6E417AC9A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20</Pages>
  <Words>10697</Words>
  <Characters>60976</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26</cp:revision>
  <dcterms:created xsi:type="dcterms:W3CDTF">2026-08-12T20:02:00Z</dcterms:created>
  <dcterms:modified xsi:type="dcterms:W3CDTF">2026-08-13T15:31:00Z</dcterms:modified>
</cp:coreProperties>
</file>