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38A65" w14:textId="77777777" w:rsidR="00003BF9" w:rsidRPr="004E52C2" w:rsidRDefault="00003BF9" w:rsidP="00003BF9">
      <w:pPr>
        <w:jc w:val="center"/>
        <w:rPr>
          <w:rFonts w:cstheme="minorHAnsi"/>
          <w:b/>
          <w:bCs/>
          <w:i/>
          <w:iCs/>
          <w:sz w:val="24"/>
          <w:szCs w:val="24"/>
          <w:u w:val="single"/>
          <w:lang w:val="en-US"/>
        </w:rPr>
      </w:pPr>
      <w:bookmarkStart w:id="0" w:name="_Toc140036380"/>
      <w:bookmarkStart w:id="1" w:name="_Toc140036421"/>
      <w:r w:rsidRPr="004E52C2">
        <w:rPr>
          <w:rFonts w:cstheme="minorHAnsi"/>
          <w:b/>
          <w:bCs/>
          <w:i/>
          <w:iCs/>
          <w:sz w:val="24"/>
          <w:szCs w:val="24"/>
          <w:u w:val="single"/>
          <w:lang w:val="en-US"/>
        </w:rPr>
        <w:t>Original Research Article</w:t>
      </w:r>
    </w:p>
    <w:p w14:paraId="0B5D626F" w14:textId="20D39D34" w:rsidR="00B5477B" w:rsidRPr="004E52C2" w:rsidRDefault="00B5477B" w:rsidP="00B5477B">
      <w:pPr>
        <w:jc w:val="center"/>
        <w:rPr>
          <w:rFonts w:cstheme="minorHAnsi"/>
          <w:b/>
          <w:sz w:val="24"/>
          <w:szCs w:val="24"/>
          <w:lang w:val="en-US"/>
        </w:rPr>
      </w:pPr>
      <w:r w:rsidRPr="004E52C2">
        <w:rPr>
          <w:rFonts w:cstheme="minorHAnsi"/>
          <w:b/>
          <w:sz w:val="24"/>
          <w:szCs w:val="24"/>
          <w:lang w:val="en-US"/>
        </w:rPr>
        <w:t>HOUSEHOLD FOOD SECURITY STATUS AND WELLNESS SUSTAINABILITY IN IBADAN NORTH LOCAL GOVERNMENT AREA OF OYO STATE, NIGERIA</w:t>
      </w:r>
    </w:p>
    <w:p w14:paraId="14054983" w14:textId="77777777" w:rsidR="00003BF9" w:rsidRPr="004E52C2" w:rsidRDefault="00003BF9" w:rsidP="00003BF9">
      <w:pPr>
        <w:jc w:val="center"/>
        <w:rPr>
          <w:rFonts w:cstheme="minorHAnsi"/>
          <w:b/>
          <w:sz w:val="24"/>
          <w:szCs w:val="24"/>
        </w:rPr>
      </w:pPr>
    </w:p>
    <w:p w14:paraId="378A8CBE" w14:textId="77777777" w:rsidR="00003BF9" w:rsidRPr="004E52C2" w:rsidRDefault="00003BF9" w:rsidP="00B5477B">
      <w:pPr>
        <w:jc w:val="center"/>
        <w:rPr>
          <w:rFonts w:cstheme="minorHAnsi"/>
          <w:b/>
          <w:sz w:val="24"/>
          <w:szCs w:val="24"/>
          <w:lang w:val="en-US"/>
        </w:rPr>
      </w:pPr>
    </w:p>
    <w:p w14:paraId="5C9C5BC1" w14:textId="77777777" w:rsidR="00B5477B" w:rsidRPr="004E52C2" w:rsidRDefault="00B5477B" w:rsidP="00230BC4">
      <w:pPr>
        <w:rPr>
          <w:rFonts w:cstheme="minorHAnsi"/>
          <w:b/>
          <w:sz w:val="24"/>
          <w:szCs w:val="24"/>
          <w:lang w:val="en-US"/>
        </w:rPr>
      </w:pPr>
    </w:p>
    <w:p w14:paraId="47FB2906" w14:textId="61DC5456" w:rsidR="00230BC4" w:rsidRPr="004E52C2" w:rsidRDefault="00230BC4" w:rsidP="00230BC4">
      <w:pPr>
        <w:rPr>
          <w:rFonts w:cstheme="minorHAnsi"/>
          <w:b/>
          <w:sz w:val="24"/>
          <w:szCs w:val="24"/>
          <w:lang w:val="en-US"/>
        </w:rPr>
      </w:pPr>
      <w:r w:rsidRPr="004E52C2">
        <w:rPr>
          <w:rFonts w:cstheme="minorHAnsi"/>
          <w:b/>
          <w:sz w:val="24"/>
          <w:szCs w:val="24"/>
          <w:lang w:val="en-US"/>
        </w:rPr>
        <w:t>ABSTRACT</w:t>
      </w:r>
      <w:bookmarkEnd w:id="0"/>
      <w:bookmarkEnd w:id="1"/>
    </w:p>
    <w:p w14:paraId="56E1F238" w14:textId="57B35C73" w:rsidR="00230BC4" w:rsidRPr="004E52C2" w:rsidRDefault="00230BC4" w:rsidP="00B5477B">
      <w:pPr>
        <w:jc w:val="both"/>
        <w:rPr>
          <w:rFonts w:cstheme="minorHAnsi"/>
          <w:sz w:val="24"/>
          <w:szCs w:val="24"/>
          <w:lang w:val="en-US"/>
        </w:rPr>
      </w:pPr>
      <w:commentRangeStart w:id="2"/>
      <w:r w:rsidRPr="004E52C2">
        <w:rPr>
          <w:rFonts w:cstheme="minorHAnsi"/>
          <w:sz w:val="24"/>
          <w:szCs w:val="24"/>
          <w:lang w:val="en-US"/>
        </w:rPr>
        <w:t>This research study investigates the relationship between household food security status and wellness sustainability in Ibadan North Local Government Area of Oyo State, Nigeria.</w:t>
      </w:r>
      <w:commentRangeEnd w:id="2"/>
      <w:r w:rsidR="00085CBD" w:rsidRPr="004E52C2">
        <w:rPr>
          <w:rStyle w:val="CommentReference"/>
          <w:rFonts w:cstheme="minorHAnsi"/>
          <w:sz w:val="24"/>
          <w:szCs w:val="24"/>
          <w:lang w:val="en-US"/>
        </w:rPr>
        <w:commentReference w:id="2"/>
      </w:r>
      <w:r w:rsidRPr="004E52C2">
        <w:rPr>
          <w:rFonts w:cstheme="minorHAnsi"/>
          <w:sz w:val="24"/>
          <w:szCs w:val="24"/>
          <w:lang w:val="en-US"/>
        </w:rPr>
        <w:t xml:space="preserve"> The primary objective is to estimate the factors influencing household wellness sustainability across different food security categories. The study utilizes a mixed-methods approach, employing descriptive statistics and logistic regression analysis to analyze data collected from 257 households. </w:t>
      </w:r>
      <w:r w:rsidR="00B5477B" w:rsidRPr="004E52C2">
        <w:rPr>
          <w:rFonts w:cstheme="minorHAnsi"/>
          <w:sz w:val="24"/>
          <w:szCs w:val="24"/>
          <w:lang w:val="en-US"/>
        </w:rPr>
        <w:t xml:space="preserve"> </w:t>
      </w:r>
      <w:commentRangeStart w:id="3"/>
      <w:r w:rsidRPr="004E52C2">
        <w:rPr>
          <w:rFonts w:cstheme="minorHAnsi"/>
          <w:sz w:val="24"/>
          <w:szCs w:val="24"/>
          <w:lang w:val="en-US"/>
        </w:rPr>
        <w:t>The findings reveal that approximately 10.51% of households are food secure with wellness sustainability, indicating consistent access to nutritious food and a higher likelihood of overall well-being. Conversely, a significant proportion of households, 19.07%, are food secure but lack wellness sustainability, relying on diets high in refined sugars, processed meals, and unhealthy food choices. Among food-insecure households, 14.01% experience no hunger but struggle to access a consistently nutritious and diverse diet. These households face challenges despite the presence of wellness sustainability. Additionally, 6.23% of households experience food insecurity with moderate hunger levels but still have access to wellness sustainability initiatives. The smallest group, 2.33%, faces severe food insecurity and hunger but has some access to wellness sustainability efforts.</w:t>
      </w:r>
      <w:r w:rsidR="00B5477B" w:rsidRPr="004E52C2">
        <w:rPr>
          <w:rFonts w:cstheme="minorHAnsi"/>
          <w:sz w:val="24"/>
          <w:szCs w:val="24"/>
          <w:lang w:val="en-US"/>
        </w:rPr>
        <w:t xml:space="preserve"> </w:t>
      </w:r>
      <w:commentRangeEnd w:id="3"/>
      <w:r w:rsidR="00085CBD" w:rsidRPr="004E52C2">
        <w:rPr>
          <w:rStyle w:val="CommentReference"/>
          <w:rFonts w:cstheme="minorHAnsi"/>
          <w:sz w:val="24"/>
          <w:szCs w:val="24"/>
          <w:lang w:val="en-US"/>
        </w:rPr>
        <w:commentReference w:id="3"/>
      </w:r>
      <w:r w:rsidRPr="004E52C2">
        <w:rPr>
          <w:rFonts w:cstheme="minorHAnsi"/>
          <w:sz w:val="24"/>
          <w:szCs w:val="24"/>
          <w:lang w:val="en-US"/>
        </w:rPr>
        <w:t>The study's regression analysis examines the factors influencing wellness sustainability within each food security category. For food-secure households, the age of the household head and the location of the household emerge as significant factors. Living in certain locations increases the likelihood of wellness sustainability. In the food-insecure category, the marital status of the household head and primary occupation are significant factors. Being married increases the probability of wellness sustainability among households without hunger, while certain occupations decrease the likelihood of wellness sustainability in food-insecure households.</w:t>
      </w:r>
      <w:r w:rsidR="00B5477B" w:rsidRPr="004E52C2">
        <w:rPr>
          <w:rFonts w:cstheme="minorHAnsi"/>
          <w:sz w:val="24"/>
          <w:szCs w:val="24"/>
          <w:lang w:val="en-US"/>
        </w:rPr>
        <w:t xml:space="preserve"> </w:t>
      </w:r>
      <w:r w:rsidRPr="004E52C2">
        <w:rPr>
          <w:rFonts w:cstheme="minorHAnsi"/>
          <w:sz w:val="24"/>
          <w:szCs w:val="24"/>
          <w:lang w:val="en-US"/>
        </w:rPr>
        <w:t>This research contributes to the understanding of household food security and wellness sustainability. It emphasizes the significance of promoting access to food while considering the broader aspects of well-being.</w:t>
      </w:r>
    </w:p>
    <w:p w14:paraId="351633CC" w14:textId="5B5069A2" w:rsidR="00230BC4" w:rsidRPr="004E52C2" w:rsidRDefault="00230BC4" w:rsidP="00230BC4">
      <w:pPr>
        <w:rPr>
          <w:rFonts w:cstheme="minorHAnsi"/>
          <w:sz w:val="24"/>
          <w:szCs w:val="24"/>
          <w:lang w:val="en-US"/>
        </w:rPr>
      </w:pPr>
      <w:commentRangeStart w:id="4"/>
      <w:r w:rsidRPr="004E52C2">
        <w:rPr>
          <w:rFonts w:cstheme="minorHAnsi"/>
          <w:sz w:val="24"/>
          <w:szCs w:val="24"/>
          <w:lang w:val="en-US"/>
        </w:rPr>
        <w:t>Keywords: H</w:t>
      </w:r>
      <w:commentRangeEnd w:id="4"/>
      <w:r w:rsidR="00140918" w:rsidRPr="004E52C2">
        <w:rPr>
          <w:rStyle w:val="CommentReference"/>
          <w:rFonts w:cstheme="minorHAnsi"/>
          <w:sz w:val="24"/>
          <w:szCs w:val="24"/>
          <w:lang w:val="en-US"/>
        </w:rPr>
        <w:commentReference w:id="4"/>
      </w:r>
      <w:r w:rsidRPr="004E52C2">
        <w:rPr>
          <w:rFonts w:cstheme="minorHAnsi"/>
          <w:sz w:val="24"/>
          <w:szCs w:val="24"/>
          <w:lang w:val="en-US"/>
        </w:rPr>
        <w:t xml:space="preserve">ousehold food </w:t>
      </w:r>
      <w:r w:rsidR="00B5477B" w:rsidRPr="004E52C2">
        <w:rPr>
          <w:rFonts w:cstheme="minorHAnsi"/>
          <w:sz w:val="24"/>
          <w:szCs w:val="24"/>
          <w:lang w:val="en-US"/>
        </w:rPr>
        <w:t>security status</w:t>
      </w:r>
      <w:r w:rsidRPr="004E52C2">
        <w:rPr>
          <w:rFonts w:cstheme="minorHAnsi"/>
          <w:sz w:val="24"/>
          <w:szCs w:val="24"/>
          <w:lang w:val="en-US"/>
        </w:rPr>
        <w:t xml:space="preserve">, Wellness sustainability, Food insecurity, Whole-food plant-based diet, </w:t>
      </w:r>
      <w:r w:rsidR="00B5477B" w:rsidRPr="004E52C2">
        <w:rPr>
          <w:rFonts w:cstheme="minorHAnsi"/>
          <w:sz w:val="24"/>
          <w:szCs w:val="24"/>
          <w:lang w:val="en-US"/>
        </w:rPr>
        <w:t>non-communicable</w:t>
      </w:r>
      <w:r w:rsidRPr="004E52C2">
        <w:rPr>
          <w:rFonts w:cstheme="minorHAnsi"/>
          <w:sz w:val="24"/>
          <w:szCs w:val="24"/>
          <w:lang w:val="en-US"/>
        </w:rPr>
        <w:t xml:space="preserve"> diseases,</w:t>
      </w:r>
    </w:p>
    <w:p w14:paraId="307FD781" w14:textId="77777777" w:rsidR="002579E5" w:rsidRPr="004E52C2" w:rsidRDefault="002579E5">
      <w:pPr>
        <w:rPr>
          <w:rFonts w:cstheme="minorHAnsi"/>
          <w:sz w:val="24"/>
          <w:szCs w:val="24"/>
        </w:rPr>
      </w:pPr>
    </w:p>
    <w:p w14:paraId="1D20ED40" w14:textId="53449F5A" w:rsidR="00230BC4" w:rsidRPr="004E52C2" w:rsidRDefault="00230BC4" w:rsidP="00230BC4">
      <w:pPr>
        <w:rPr>
          <w:rFonts w:cstheme="minorHAnsi"/>
          <w:b/>
          <w:sz w:val="24"/>
          <w:szCs w:val="24"/>
          <w:lang w:val="en-US"/>
        </w:rPr>
      </w:pPr>
      <w:bookmarkStart w:id="5" w:name="_Toc140036387"/>
      <w:bookmarkStart w:id="6" w:name="_Toc140036428"/>
      <w:r w:rsidRPr="004E52C2">
        <w:rPr>
          <w:rFonts w:cstheme="minorHAnsi"/>
          <w:b/>
          <w:sz w:val="24"/>
          <w:szCs w:val="24"/>
          <w:lang w:val="en-US"/>
        </w:rPr>
        <w:t xml:space="preserve">1.1 </w:t>
      </w:r>
      <w:bookmarkEnd w:id="5"/>
      <w:bookmarkEnd w:id="6"/>
      <w:r w:rsidR="00AC2005" w:rsidRPr="004E52C2">
        <w:rPr>
          <w:rFonts w:cstheme="minorHAnsi"/>
          <w:b/>
          <w:sz w:val="24"/>
          <w:szCs w:val="24"/>
          <w:lang w:val="en-US"/>
        </w:rPr>
        <w:t>Introduction</w:t>
      </w:r>
    </w:p>
    <w:p w14:paraId="133A6082" w14:textId="3ECBAC87" w:rsidR="00230BC4" w:rsidRPr="004E52C2" w:rsidRDefault="00230BC4" w:rsidP="00230BC4">
      <w:pPr>
        <w:rPr>
          <w:rFonts w:cstheme="minorHAnsi"/>
          <w:sz w:val="24"/>
          <w:szCs w:val="24"/>
          <w:lang w:val="en-US"/>
        </w:rPr>
      </w:pPr>
      <w:commentRangeStart w:id="7"/>
      <w:r w:rsidRPr="004E52C2">
        <w:rPr>
          <w:rFonts w:cstheme="minorHAnsi"/>
          <w:sz w:val="24"/>
          <w:szCs w:val="24"/>
          <w:lang w:val="en-US"/>
        </w:rPr>
        <w:lastRenderedPageBreak/>
        <w:t>Food is a building block to the development of an individual. It is an essential entity that supports life and required in the right quantity and quality in all living things, including man and animals (</w:t>
      </w:r>
      <w:r w:rsidR="00882721" w:rsidRPr="004E52C2">
        <w:rPr>
          <w:rFonts w:cstheme="minorHAnsi"/>
          <w:sz w:val="24"/>
          <w:szCs w:val="24"/>
        </w:rPr>
        <w:t>Nisbet</w:t>
      </w:r>
      <w:r w:rsidR="00B5477B" w:rsidRPr="004E52C2">
        <w:rPr>
          <w:rFonts w:cstheme="minorHAnsi"/>
          <w:sz w:val="24"/>
          <w:szCs w:val="24"/>
          <w:lang w:val="en-US"/>
        </w:rPr>
        <w:t xml:space="preserve"> et al.</w:t>
      </w:r>
      <w:r w:rsidRPr="004E52C2">
        <w:rPr>
          <w:rFonts w:cstheme="minorHAnsi"/>
          <w:sz w:val="24"/>
          <w:szCs w:val="24"/>
          <w:lang w:val="en-US"/>
        </w:rPr>
        <w:t>,</w:t>
      </w:r>
      <w:r w:rsidR="00B5477B" w:rsidRPr="004E52C2">
        <w:rPr>
          <w:rFonts w:cstheme="minorHAnsi"/>
          <w:sz w:val="24"/>
          <w:szCs w:val="24"/>
          <w:lang w:val="en-US"/>
        </w:rPr>
        <w:t xml:space="preserve"> </w:t>
      </w:r>
      <w:r w:rsidRPr="004E52C2">
        <w:rPr>
          <w:rFonts w:cstheme="minorHAnsi"/>
          <w:sz w:val="24"/>
          <w:szCs w:val="24"/>
          <w:lang w:val="en-US"/>
        </w:rPr>
        <w:t>202</w:t>
      </w:r>
      <w:r w:rsidR="00882721" w:rsidRPr="004E52C2">
        <w:rPr>
          <w:rFonts w:cstheme="minorHAnsi"/>
          <w:sz w:val="24"/>
          <w:szCs w:val="24"/>
          <w:lang w:val="en-US"/>
        </w:rPr>
        <w:t>2</w:t>
      </w:r>
      <w:r w:rsidRPr="004E52C2">
        <w:rPr>
          <w:rFonts w:cstheme="minorHAnsi"/>
          <w:sz w:val="24"/>
          <w:szCs w:val="24"/>
          <w:lang w:val="en-US"/>
        </w:rPr>
        <w:t>). Every individual requires a minimum amount of food for survival and in a balanced ration to m</w:t>
      </w:r>
      <w:commentRangeEnd w:id="7"/>
      <w:r w:rsidR="00140918" w:rsidRPr="004E52C2">
        <w:rPr>
          <w:rStyle w:val="CommentReference"/>
          <w:rFonts w:cstheme="minorHAnsi"/>
          <w:sz w:val="24"/>
          <w:szCs w:val="24"/>
          <w:lang w:val="en-US"/>
        </w:rPr>
        <w:commentReference w:id="7"/>
      </w:r>
      <w:r w:rsidRPr="004E52C2">
        <w:rPr>
          <w:rFonts w:cstheme="minorHAnsi"/>
          <w:sz w:val="24"/>
          <w:szCs w:val="24"/>
          <w:lang w:val="en-US"/>
        </w:rPr>
        <w:t>aintain sound health because food is one of the basic essential requirements of life (</w:t>
      </w:r>
      <w:r w:rsidR="00882721" w:rsidRPr="004E52C2">
        <w:rPr>
          <w:rFonts w:cstheme="minorHAnsi"/>
          <w:sz w:val="24"/>
          <w:szCs w:val="24"/>
        </w:rPr>
        <w:t>Tyczewska</w:t>
      </w:r>
      <w:r w:rsidR="00882721" w:rsidRPr="004E52C2">
        <w:rPr>
          <w:rFonts w:cstheme="minorHAnsi"/>
          <w:sz w:val="24"/>
          <w:szCs w:val="24"/>
          <w:lang w:val="en-US"/>
        </w:rPr>
        <w:t xml:space="preserve"> et al., 2023</w:t>
      </w:r>
      <w:r w:rsidRPr="004E52C2">
        <w:rPr>
          <w:rFonts w:cstheme="minorHAnsi"/>
          <w:sz w:val="24"/>
          <w:szCs w:val="24"/>
          <w:lang w:val="en-US"/>
        </w:rPr>
        <w:t>). Food security is an important aspect of every developing nation in the process of achieving sustainable development</w:t>
      </w:r>
      <w:r w:rsidR="00B5477B" w:rsidRPr="004E52C2">
        <w:rPr>
          <w:rFonts w:cstheme="minorHAnsi"/>
          <w:sz w:val="24"/>
          <w:szCs w:val="24"/>
          <w:lang w:val="en-US"/>
        </w:rPr>
        <w:t xml:space="preserve">. </w:t>
      </w:r>
      <w:r w:rsidRPr="004E52C2">
        <w:rPr>
          <w:rFonts w:cstheme="minorHAnsi"/>
          <w:sz w:val="24"/>
          <w:szCs w:val="24"/>
          <w:lang w:val="en-US"/>
        </w:rPr>
        <w:t>The food quantity and quality affect a household’s health, well-being and sustainability</w:t>
      </w:r>
      <w:r w:rsidR="004E5DC4" w:rsidRPr="004E52C2">
        <w:rPr>
          <w:rFonts w:cstheme="minorHAnsi"/>
          <w:sz w:val="24"/>
          <w:szCs w:val="24"/>
          <w:lang w:val="en-US"/>
        </w:rPr>
        <w:t xml:space="preserve"> (</w:t>
      </w:r>
      <w:r w:rsidR="00882721" w:rsidRPr="004E52C2">
        <w:rPr>
          <w:rFonts w:cstheme="minorHAnsi"/>
          <w:sz w:val="24"/>
          <w:szCs w:val="24"/>
        </w:rPr>
        <w:t>Shembe</w:t>
      </w:r>
      <w:r w:rsidR="004E5DC4" w:rsidRPr="004E52C2">
        <w:rPr>
          <w:rFonts w:cstheme="minorHAnsi"/>
          <w:sz w:val="24"/>
          <w:szCs w:val="24"/>
          <w:lang w:val="en-US"/>
        </w:rPr>
        <w:t xml:space="preserve"> et al., 20</w:t>
      </w:r>
      <w:r w:rsidR="00882721" w:rsidRPr="004E52C2">
        <w:rPr>
          <w:rFonts w:cstheme="minorHAnsi"/>
          <w:sz w:val="24"/>
          <w:szCs w:val="24"/>
          <w:lang w:val="en-US"/>
        </w:rPr>
        <w:t>23</w:t>
      </w:r>
      <w:r w:rsidR="004E5DC4" w:rsidRPr="004E52C2">
        <w:rPr>
          <w:rFonts w:cstheme="minorHAnsi"/>
          <w:sz w:val="24"/>
          <w:szCs w:val="24"/>
          <w:lang w:val="en-US"/>
        </w:rPr>
        <w:t>)</w:t>
      </w:r>
      <w:r w:rsidRPr="004E52C2">
        <w:rPr>
          <w:rFonts w:cstheme="minorHAnsi"/>
          <w:sz w:val="24"/>
          <w:szCs w:val="24"/>
          <w:lang w:val="en-US"/>
        </w:rPr>
        <w:t xml:space="preserve">. </w:t>
      </w:r>
    </w:p>
    <w:p w14:paraId="41950DCE" w14:textId="36234BFC" w:rsidR="00230BC4" w:rsidRPr="004E52C2" w:rsidRDefault="00230BC4" w:rsidP="00B5477B">
      <w:pPr>
        <w:jc w:val="both"/>
        <w:rPr>
          <w:rFonts w:cstheme="minorHAnsi"/>
          <w:sz w:val="24"/>
          <w:szCs w:val="24"/>
          <w:lang w:val="en-US"/>
        </w:rPr>
      </w:pPr>
      <w:commentRangeStart w:id="8"/>
      <w:r w:rsidRPr="004E52C2">
        <w:rPr>
          <w:rFonts w:cstheme="minorHAnsi"/>
          <w:sz w:val="24"/>
          <w:szCs w:val="24"/>
          <w:lang w:val="en-US"/>
        </w:rPr>
        <w:t>A person is considered to be food secure by having “Access at all times to enough food for an active, healthy life. Food security includes, at a minimum: (1) the ready availability of nutritionally adequate and safe foods, and (2) an assured ability to acquire acceptable foods in socially acceptable ways (e.g., without resorting to emergency food supplies, scavenging, stealing, or other coping strategies).” (</w:t>
      </w:r>
      <w:r w:rsidR="00882721" w:rsidRPr="004E52C2">
        <w:rPr>
          <w:rFonts w:cstheme="minorHAnsi"/>
          <w:sz w:val="24"/>
          <w:szCs w:val="24"/>
          <w:lang w:val="en-US"/>
        </w:rPr>
        <w:t>Graves</w:t>
      </w:r>
      <w:r w:rsidR="00B5477B" w:rsidRPr="004E52C2">
        <w:rPr>
          <w:rFonts w:cstheme="minorHAnsi"/>
          <w:sz w:val="24"/>
          <w:szCs w:val="24"/>
          <w:lang w:val="en-US"/>
        </w:rPr>
        <w:t xml:space="preserve"> et al.</w:t>
      </w:r>
      <w:r w:rsidRPr="004E52C2">
        <w:rPr>
          <w:rFonts w:cstheme="minorHAnsi"/>
          <w:sz w:val="24"/>
          <w:szCs w:val="24"/>
          <w:lang w:val="en-US"/>
        </w:rPr>
        <w:t>, 20</w:t>
      </w:r>
      <w:r w:rsidR="00882721" w:rsidRPr="004E52C2">
        <w:rPr>
          <w:rFonts w:cstheme="minorHAnsi"/>
          <w:sz w:val="24"/>
          <w:szCs w:val="24"/>
          <w:lang w:val="en-US"/>
        </w:rPr>
        <w:t>21</w:t>
      </w:r>
      <w:r w:rsidRPr="004E52C2">
        <w:rPr>
          <w:rFonts w:cstheme="minorHAnsi"/>
          <w:sz w:val="24"/>
          <w:szCs w:val="24"/>
          <w:lang w:val="en-US"/>
        </w:rPr>
        <w:t>). It is widely acknowledged that food systems sustainability must entail long-term food and nutrition security in its availability, access, utilization, and stability dimensions for food systems to deliver food and nutrition security for present and future generations (Hamid</w:t>
      </w:r>
      <w:r w:rsidR="00B5477B" w:rsidRPr="004E52C2">
        <w:rPr>
          <w:rFonts w:cstheme="minorHAnsi"/>
          <w:sz w:val="24"/>
          <w:szCs w:val="24"/>
          <w:lang w:val="en-US"/>
        </w:rPr>
        <w:t xml:space="preserve"> et al.</w:t>
      </w:r>
      <w:r w:rsidRPr="004E52C2">
        <w:rPr>
          <w:rFonts w:cstheme="minorHAnsi"/>
          <w:sz w:val="24"/>
          <w:szCs w:val="24"/>
          <w:lang w:val="en-US"/>
        </w:rPr>
        <w:t>, 2019).</w:t>
      </w:r>
      <w:commentRangeEnd w:id="8"/>
      <w:r w:rsidR="00140918" w:rsidRPr="004E52C2">
        <w:rPr>
          <w:rStyle w:val="CommentReference"/>
          <w:rFonts w:cstheme="minorHAnsi"/>
          <w:sz w:val="24"/>
          <w:szCs w:val="24"/>
          <w:lang w:val="en-US"/>
        </w:rPr>
        <w:commentReference w:id="8"/>
      </w:r>
    </w:p>
    <w:p w14:paraId="0E3F629E" w14:textId="6F7C89AD" w:rsidR="00230BC4" w:rsidRPr="004E52C2" w:rsidRDefault="00230BC4" w:rsidP="00B5477B">
      <w:pPr>
        <w:jc w:val="both"/>
        <w:rPr>
          <w:rFonts w:cstheme="minorHAnsi"/>
          <w:sz w:val="24"/>
          <w:szCs w:val="24"/>
          <w:lang w:val="en-US"/>
        </w:rPr>
      </w:pPr>
      <w:commentRangeStart w:id="9"/>
      <w:r w:rsidRPr="004E52C2">
        <w:rPr>
          <w:rFonts w:cstheme="minorHAnsi"/>
          <w:sz w:val="24"/>
          <w:szCs w:val="24"/>
          <w:lang w:val="en-US"/>
        </w:rPr>
        <w:t>There exist indications that suggest the rapid increase in illnesses amongst adults is linked to ultra-modern feeding behaviours of individuals and their households. This evidence highlights intake of certain types of nutrients, specific food groups, or overarching dietary patterns positively influencing health and promoting the prevention of common non-communicable diseases (NCDs) (Cena and Calder, 2020).</w:t>
      </w:r>
      <w:r w:rsidR="00B5477B" w:rsidRPr="004E52C2">
        <w:rPr>
          <w:rFonts w:cstheme="minorHAnsi"/>
          <w:sz w:val="24"/>
          <w:szCs w:val="24"/>
          <w:lang w:val="en-US"/>
        </w:rPr>
        <w:t xml:space="preserve"> </w:t>
      </w:r>
      <w:r w:rsidRPr="004E52C2">
        <w:rPr>
          <w:rFonts w:cstheme="minorHAnsi"/>
          <w:sz w:val="24"/>
          <w:szCs w:val="24"/>
          <w:lang w:val="en-US"/>
        </w:rPr>
        <w:t xml:space="preserve">Perhaps, the public is not concerned or particular about what they eat. Human food choices are not infallible. Healthy eating can lower your risk for heart disease, stroke, diabetes, and other health conditions </w:t>
      </w:r>
      <w:r w:rsidR="00BE4DBF" w:rsidRPr="004E52C2">
        <w:rPr>
          <w:rFonts w:cstheme="minorHAnsi"/>
          <w:sz w:val="24"/>
          <w:szCs w:val="24"/>
          <w:lang w:val="en-US"/>
        </w:rPr>
        <w:t>(Hicklin, 2014; Senee et al., 2022)</w:t>
      </w:r>
      <w:r w:rsidRPr="004E52C2">
        <w:rPr>
          <w:rFonts w:cstheme="minorHAnsi"/>
          <w:sz w:val="24"/>
          <w:szCs w:val="24"/>
          <w:lang w:val="en-US"/>
        </w:rPr>
        <w:t xml:space="preserve">. </w:t>
      </w:r>
      <w:commentRangeEnd w:id="9"/>
      <w:r w:rsidR="00610127" w:rsidRPr="004E52C2">
        <w:rPr>
          <w:rStyle w:val="CommentReference"/>
          <w:rFonts w:cstheme="minorHAnsi"/>
          <w:sz w:val="24"/>
          <w:szCs w:val="24"/>
          <w:lang w:val="en-US"/>
        </w:rPr>
        <w:commentReference w:id="9"/>
      </w:r>
      <w:r w:rsidRPr="004E52C2">
        <w:rPr>
          <w:rFonts w:cstheme="minorHAnsi"/>
          <w:sz w:val="24"/>
          <w:szCs w:val="24"/>
          <w:lang w:val="en-US"/>
        </w:rPr>
        <w:t xml:space="preserve">Sustainable diets are those diets with low environmental impacts which contribute to food and nutrition security and to healthy life for present and future generations. Sustainable diets are protective and respectful of biodiversity and ecosystems, culturally acceptable, accessible, economically fair and affordable; nutritionally adequate, safe and healthy; while optimizing natural and human resources </w:t>
      </w:r>
      <w:r w:rsidR="00B5477B" w:rsidRPr="004E52C2">
        <w:rPr>
          <w:rFonts w:cstheme="minorHAnsi"/>
          <w:sz w:val="24"/>
          <w:szCs w:val="24"/>
          <w:lang w:val="en-US"/>
        </w:rPr>
        <w:t>(FAO</w:t>
      </w:r>
      <w:r w:rsidR="004A265A" w:rsidRPr="004E52C2">
        <w:rPr>
          <w:rFonts w:cstheme="minorHAnsi"/>
          <w:sz w:val="24"/>
          <w:szCs w:val="24"/>
          <w:lang w:val="en-US"/>
        </w:rPr>
        <w:t xml:space="preserve"> and</w:t>
      </w:r>
      <w:r w:rsidR="00B5477B" w:rsidRPr="004E52C2">
        <w:rPr>
          <w:rFonts w:cstheme="minorHAnsi"/>
          <w:sz w:val="24"/>
          <w:szCs w:val="24"/>
          <w:lang w:val="en-US"/>
        </w:rPr>
        <w:t xml:space="preserve"> Bioversity International, 2010; Burlingame and Dernini, 2012)</w:t>
      </w:r>
      <w:r w:rsidRPr="004E52C2">
        <w:rPr>
          <w:rFonts w:cstheme="minorHAnsi"/>
          <w:sz w:val="24"/>
          <w:szCs w:val="24"/>
          <w:lang w:val="en-US"/>
        </w:rPr>
        <w:t xml:space="preserve">. </w:t>
      </w:r>
    </w:p>
    <w:p w14:paraId="64E5A339" w14:textId="1799643F" w:rsidR="00230BC4" w:rsidRPr="004E52C2" w:rsidRDefault="00230BC4" w:rsidP="00B5477B">
      <w:pPr>
        <w:jc w:val="both"/>
        <w:rPr>
          <w:rFonts w:cstheme="minorHAnsi"/>
          <w:sz w:val="24"/>
          <w:szCs w:val="24"/>
          <w:lang w:val="en-US"/>
        </w:rPr>
      </w:pPr>
      <w:commentRangeStart w:id="10"/>
      <w:r w:rsidRPr="004E52C2">
        <w:rPr>
          <w:rFonts w:cstheme="minorHAnsi"/>
          <w:sz w:val="24"/>
          <w:szCs w:val="24"/>
          <w:lang w:val="en-US"/>
        </w:rPr>
        <w:t>There are four dimensions of food security: availability, accessibility, utilisation and sustainability. Availability connotes the physical presence of a large quantity of food. Accessibility implies that there is the ability to acquire the required quantity; utilisation/adequacy means sufficiency in both quantity and quality of food; and sustainability implies access at all times and not losing such access (Omonona and Agoi, 2007</w:t>
      </w:r>
      <w:r w:rsidR="00A86FD1" w:rsidRPr="004E52C2">
        <w:rPr>
          <w:rFonts w:cstheme="minorHAnsi"/>
          <w:sz w:val="24"/>
          <w:szCs w:val="24"/>
          <w:lang w:val="en-US"/>
        </w:rPr>
        <w:t xml:space="preserve">; </w:t>
      </w:r>
      <w:r w:rsidR="004F1EB4" w:rsidRPr="004E52C2">
        <w:rPr>
          <w:rFonts w:cstheme="minorHAnsi"/>
          <w:sz w:val="24"/>
          <w:szCs w:val="24"/>
        </w:rPr>
        <w:t>Kenney</w:t>
      </w:r>
      <w:r w:rsidR="00A86FD1" w:rsidRPr="004E52C2">
        <w:rPr>
          <w:rFonts w:cstheme="minorHAnsi"/>
          <w:sz w:val="24"/>
          <w:szCs w:val="24"/>
          <w:lang w:val="en-US"/>
        </w:rPr>
        <w:t xml:space="preserve"> et al., 202</w:t>
      </w:r>
      <w:r w:rsidR="004F1EB4" w:rsidRPr="004E52C2">
        <w:rPr>
          <w:rFonts w:cstheme="minorHAnsi"/>
          <w:sz w:val="24"/>
          <w:szCs w:val="24"/>
          <w:lang w:val="en-US"/>
        </w:rPr>
        <w:t>4</w:t>
      </w:r>
      <w:r w:rsidRPr="004E52C2">
        <w:rPr>
          <w:rFonts w:cstheme="minorHAnsi"/>
          <w:sz w:val="24"/>
          <w:szCs w:val="24"/>
          <w:lang w:val="en-US"/>
        </w:rPr>
        <w:t>). Furthermore, an individual is truly food secure when access to quality food is sustainable and does not predispose such an individual to ailments in the near future</w:t>
      </w:r>
      <w:r w:rsidR="004E5DC4" w:rsidRPr="004E52C2">
        <w:rPr>
          <w:rFonts w:cstheme="minorHAnsi"/>
          <w:sz w:val="24"/>
          <w:szCs w:val="24"/>
          <w:lang w:val="en-US"/>
        </w:rPr>
        <w:t xml:space="preserve"> (Enilolobo et al., 2022)</w:t>
      </w:r>
      <w:r w:rsidRPr="004E52C2">
        <w:rPr>
          <w:rFonts w:cstheme="minorHAnsi"/>
          <w:sz w:val="24"/>
          <w:szCs w:val="24"/>
          <w:lang w:val="en-US"/>
        </w:rPr>
        <w:t>. The most common of these ailments are in the form of Non-Communicable Diseases (NCDs).</w:t>
      </w:r>
      <w:commentRangeEnd w:id="10"/>
      <w:r w:rsidR="00BA7576" w:rsidRPr="004E52C2">
        <w:rPr>
          <w:rStyle w:val="CommentReference"/>
          <w:rFonts w:cstheme="minorHAnsi"/>
          <w:sz w:val="24"/>
          <w:szCs w:val="24"/>
          <w:lang w:val="en-US"/>
        </w:rPr>
        <w:commentReference w:id="10"/>
      </w:r>
    </w:p>
    <w:p w14:paraId="7DE195D6" w14:textId="290A0F66" w:rsidR="00230BC4" w:rsidRPr="004E52C2" w:rsidRDefault="00230BC4" w:rsidP="00B5477B">
      <w:pPr>
        <w:jc w:val="both"/>
        <w:rPr>
          <w:rFonts w:cstheme="minorHAnsi"/>
          <w:sz w:val="24"/>
          <w:szCs w:val="24"/>
          <w:lang w:val="en-US"/>
        </w:rPr>
      </w:pPr>
      <w:r w:rsidRPr="004E52C2">
        <w:rPr>
          <w:rFonts w:cstheme="minorHAnsi"/>
          <w:sz w:val="24"/>
          <w:szCs w:val="24"/>
          <w:lang w:val="en-US"/>
        </w:rPr>
        <w:t xml:space="preserve">A major contributor to NCDs is modern dietary changes </w:t>
      </w:r>
      <w:r w:rsidR="00B5477B" w:rsidRPr="004E52C2">
        <w:rPr>
          <w:rFonts w:cstheme="minorHAnsi"/>
          <w:sz w:val="24"/>
          <w:szCs w:val="24"/>
          <w:lang w:val="en-US"/>
        </w:rPr>
        <w:t>characterized</w:t>
      </w:r>
      <w:r w:rsidRPr="004E52C2">
        <w:rPr>
          <w:rFonts w:cstheme="minorHAnsi"/>
          <w:sz w:val="24"/>
          <w:szCs w:val="24"/>
          <w:lang w:val="en-US"/>
        </w:rPr>
        <w:t xml:space="preserve"> by shifting consumption from diets rich in whole roots and tubers, fruits, legumes, vegetables and cereals</w:t>
      </w:r>
      <w:r w:rsidR="00B5477B" w:rsidRPr="004E52C2">
        <w:rPr>
          <w:rFonts w:cstheme="minorHAnsi"/>
          <w:sz w:val="24"/>
          <w:szCs w:val="24"/>
          <w:lang w:val="en-US"/>
        </w:rPr>
        <w:t xml:space="preserve"> </w:t>
      </w:r>
      <w:r w:rsidRPr="004E52C2">
        <w:rPr>
          <w:rFonts w:cstheme="minorHAnsi"/>
          <w:sz w:val="24"/>
          <w:szCs w:val="24"/>
          <w:lang w:val="en-US"/>
        </w:rPr>
        <w:t xml:space="preserve">to refined carbohydrates, added sugars, fats and animal-source foods. Furthermore, preventing these </w:t>
      </w:r>
      <w:r w:rsidRPr="004E52C2">
        <w:rPr>
          <w:rFonts w:cstheme="minorHAnsi"/>
          <w:sz w:val="24"/>
          <w:szCs w:val="24"/>
          <w:lang w:val="en-US"/>
        </w:rPr>
        <w:lastRenderedPageBreak/>
        <w:t xml:space="preserve">diseases and their treatment requires the observance of proper diet (diet and lifestyle) and eating the best quality food </w:t>
      </w:r>
      <w:sdt>
        <w:sdtPr>
          <w:rPr>
            <w:rFonts w:cstheme="minorHAnsi"/>
            <w:sz w:val="24"/>
            <w:szCs w:val="24"/>
            <w:lang w:val="en-US"/>
          </w:rPr>
          <w:id w:val="171314222"/>
          <w:citation/>
        </w:sdtPr>
        <w:sdtContent>
          <w:r w:rsidRPr="004E52C2">
            <w:rPr>
              <w:rFonts w:cstheme="minorHAnsi"/>
              <w:sz w:val="24"/>
              <w:szCs w:val="24"/>
              <w:lang w:val="en-US"/>
            </w:rPr>
            <w:fldChar w:fldCharType="begin"/>
          </w:r>
          <w:r w:rsidRPr="004E52C2">
            <w:rPr>
              <w:rFonts w:cstheme="minorHAnsi"/>
              <w:sz w:val="24"/>
              <w:szCs w:val="24"/>
              <w:lang w:val="en-US"/>
            </w:rPr>
            <w:instrText xml:space="preserve">CITATION Rem16 \l 1033 </w:instrText>
          </w:r>
          <w:r w:rsidRPr="004E52C2">
            <w:rPr>
              <w:rFonts w:cstheme="minorHAnsi"/>
              <w:sz w:val="24"/>
              <w:szCs w:val="24"/>
              <w:lang w:val="en-US"/>
            </w:rPr>
            <w:fldChar w:fldCharType="separate"/>
          </w:r>
          <w:r w:rsidRPr="004E52C2">
            <w:rPr>
              <w:rFonts w:cstheme="minorHAnsi"/>
              <w:sz w:val="24"/>
              <w:szCs w:val="24"/>
              <w:lang w:val="en-US"/>
            </w:rPr>
            <w:t>(Rembialkowska, 2016)</w:t>
          </w:r>
          <w:r w:rsidRPr="004E52C2">
            <w:rPr>
              <w:rFonts w:cstheme="minorHAnsi"/>
              <w:sz w:val="24"/>
              <w:szCs w:val="24"/>
            </w:rPr>
            <w:fldChar w:fldCharType="end"/>
          </w:r>
        </w:sdtContent>
      </w:sdt>
      <w:r w:rsidRPr="004E52C2">
        <w:rPr>
          <w:rFonts w:cstheme="minorHAnsi"/>
          <w:sz w:val="24"/>
          <w:szCs w:val="24"/>
          <w:lang w:val="en-US"/>
        </w:rPr>
        <w:t>. There is as yet no commonly agreed-upon definition of sustainable food consumption. Perhaps the most encompassing attempt is that introduced by the UK Sustainable Development Commission (2005; 2009), defining “sustainable food and drink” as that which is safe, healthy, and nutritious for consumers.</w:t>
      </w:r>
    </w:p>
    <w:p w14:paraId="523E3CFC" w14:textId="25EF5E3B" w:rsidR="00230BC4" w:rsidRPr="004E52C2" w:rsidRDefault="00B5477B" w:rsidP="00B5477B">
      <w:pPr>
        <w:jc w:val="both"/>
        <w:rPr>
          <w:rFonts w:cstheme="minorHAnsi"/>
          <w:sz w:val="24"/>
          <w:szCs w:val="24"/>
          <w:lang w:val="en-US"/>
        </w:rPr>
      </w:pPr>
      <w:r w:rsidRPr="004E52C2">
        <w:rPr>
          <w:rFonts w:cstheme="minorHAnsi"/>
          <w:sz w:val="24"/>
          <w:szCs w:val="24"/>
          <w:lang w:val="en-US"/>
        </w:rPr>
        <w:t>S</w:t>
      </w:r>
      <w:r w:rsidR="00230BC4" w:rsidRPr="004E52C2">
        <w:rPr>
          <w:rFonts w:cstheme="minorHAnsi"/>
          <w:sz w:val="24"/>
          <w:szCs w:val="24"/>
          <w:lang w:val="en-US"/>
        </w:rPr>
        <w:t>everal pieces of literature and reports have revealed that the excessive consumption of some food items over several decades (milk and dairy, egg, meat, fish, oil and fat, highly processed cereals, roots and tubers and soft drinks among others) have resulted in several NCDs, some of these aforementioned diseases have taken a toll on families, households and nations at large, as most of them are termed terminal illnesses because according to the orthodox medicine, they cannot be healed but can only be managed until the disease kills the individuals</w:t>
      </w:r>
      <w:r w:rsidR="00A86FD1" w:rsidRPr="004E52C2">
        <w:rPr>
          <w:rFonts w:cstheme="minorHAnsi"/>
          <w:sz w:val="24"/>
          <w:szCs w:val="24"/>
          <w:lang w:val="en-US"/>
        </w:rPr>
        <w:t xml:space="preserve"> (Okafor et al., 2025)</w:t>
      </w:r>
      <w:r w:rsidR="00230BC4" w:rsidRPr="004E52C2">
        <w:rPr>
          <w:rFonts w:cstheme="minorHAnsi"/>
          <w:sz w:val="24"/>
          <w:szCs w:val="24"/>
          <w:lang w:val="en-US"/>
        </w:rPr>
        <w:t xml:space="preserve">. However, the narrative about this is changing because it has been documented that most of these diseases can be cured using lifestyle changes </w:t>
      </w:r>
      <w:sdt>
        <w:sdtPr>
          <w:rPr>
            <w:rFonts w:cstheme="minorHAnsi"/>
            <w:sz w:val="24"/>
            <w:szCs w:val="24"/>
            <w:lang w:val="en-US"/>
          </w:rPr>
          <w:id w:val="1090276823"/>
          <w:citation/>
        </w:sdtPr>
        <w:sdtContent>
          <w:r w:rsidR="00230BC4" w:rsidRPr="004E52C2">
            <w:rPr>
              <w:rFonts w:cstheme="minorHAnsi"/>
              <w:sz w:val="24"/>
              <w:szCs w:val="24"/>
              <w:lang w:val="en-US"/>
            </w:rPr>
            <w:fldChar w:fldCharType="begin"/>
          </w:r>
          <w:r w:rsidR="00230BC4" w:rsidRPr="004E52C2">
            <w:rPr>
              <w:rFonts w:cstheme="minorHAnsi"/>
              <w:sz w:val="24"/>
              <w:szCs w:val="24"/>
              <w:lang w:val="en-US"/>
            </w:rPr>
            <w:instrText xml:space="preserve"> CITATION Rem16 \l 1033 </w:instrText>
          </w:r>
          <w:r w:rsidR="00230BC4" w:rsidRPr="004E52C2">
            <w:rPr>
              <w:rFonts w:cstheme="minorHAnsi"/>
              <w:sz w:val="24"/>
              <w:szCs w:val="24"/>
              <w:lang w:val="en-US"/>
            </w:rPr>
            <w:fldChar w:fldCharType="separate"/>
          </w:r>
          <w:r w:rsidR="00230BC4" w:rsidRPr="004E52C2">
            <w:rPr>
              <w:rFonts w:cstheme="minorHAnsi"/>
              <w:sz w:val="24"/>
              <w:szCs w:val="24"/>
              <w:lang w:val="en-US"/>
            </w:rPr>
            <w:t>(Rembialkowska, 2016)</w:t>
          </w:r>
          <w:r w:rsidR="00230BC4" w:rsidRPr="004E52C2">
            <w:rPr>
              <w:rFonts w:cstheme="minorHAnsi"/>
              <w:sz w:val="24"/>
              <w:szCs w:val="24"/>
            </w:rPr>
            <w:fldChar w:fldCharType="end"/>
          </w:r>
        </w:sdtContent>
      </w:sdt>
      <w:r w:rsidR="00230BC4" w:rsidRPr="004E52C2">
        <w:rPr>
          <w:rFonts w:cstheme="minorHAnsi"/>
          <w:sz w:val="24"/>
          <w:szCs w:val="24"/>
          <w:lang w:val="en-US"/>
        </w:rPr>
        <w:t>.</w:t>
      </w:r>
    </w:p>
    <w:p w14:paraId="7BD181F3" w14:textId="4C2EDE2C" w:rsidR="00B5477B" w:rsidRPr="004E52C2" w:rsidRDefault="00B5477B" w:rsidP="00B5477B">
      <w:pPr>
        <w:jc w:val="both"/>
        <w:rPr>
          <w:rFonts w:cstheme="minorHAnsi"/>
          <w:b/>
          <w:bCs/>
          <w:sz w:val="24"/>
          <w:szCs w:val="24"/>
          <w:lang w:val="en-US"/>
        </w:rPr>
      </w:pPr>
      <w:r w:rsidRPr="004E52C2">
        <w:rPr>
          <w:rFonts w:cstheme="minorHAnsi"/>
          <w:b/>
          <w:bCs/>
          <w:sz w:val="24"/>
          <w:szCs w:val="24"/>
          <w:lang w:val="en-US"/>
        </w:rPr>
        <w:t>Rationale and objective of the study</w:t>
      </w:r>
    </w:p>
    <w:p w14:paraId="38B66E55" w14:textId="04C2E27D" w:rsidR="00230BC4" w:rsidRPr="004E52C2" w:rsidRDefault="00230BC4" w:rsidP="00B5477B">
      <w:pPr>
        <w:jc w:val="both"/>
        <w:rPr>
          <w:rFonts w:cstheme="minorHAnsi"/>
          <w:sz w:val="24"/>
          <w:szCs w:val="24"/>
          <w:lang w:val="en-US"/>
        </w:rPr>
      </w:pPr>
      <w:commentRangeStart w:id="11"/>
      <w:r w:rsidRPr="004E52C2">
        <w:rPr>
          <w:rFonts w:cstheme="minorHAnsi"/>
          <w:sz w:val="24"/>
          <w:szCs w:val="24"/>
          <w:lang w:val="en-US"/>
        </w:rPr>
        <w:t xml:space="preserve">In view of this knowledge, this research is arguing that using those food items that have been known to aggravate disease conditions as part of those used in deciding whether an economic entity (individuals, households, communities etc) is food secure may be misleading. </w:t>
      </w:r>
      <w:commentRangeEnd w:id="11"/>
      <w:r w:rsidR="00BA7576" w:rsidRPr="004E52C2">
        <w:rPr>
          <w:rStyle w:val="CommentReference"/>
          <w:rFonts w:cstheme="minorHAnsi"/>
          <w:sz w:val="24"/>
          <w:szCs w:val="24"/>
          <w:lang w:val="en-US"/>
        </w:rPr>
        <w:commentReference w:id="11"/>
      </w:r>
      <w:r w:rsidRPr="004E52C2">
        <w:rPr>
          <w:rFonts w:cstheme="minorHAnsi"/>
          <w:sz w:val="24"/>
          <w:szCs w:val="24"/>
          <w:lang w:val="en-US"/>
        </w:rPr>
        <w:t xml:space="preserve">This is what informs this study to try to look at the various food security classes according to the USDA </w:t>
      </w:r>
      <w:r w:rsidR="00A86FD1" w:rsidRPr="004E52C2">
        <w:rPr>
          <w:rFonts w:cstheme="minorHAnsi"/>
          <w:sz w:val="24"/>
          <w:szCs w:val="24"/>
          <w:lang w:val="en-US"/>
        </w:rPr>
        <w:t>(</w:t>
      </w:r>
      <w:r w:rsidR="002A708E" w:rsidRPr="004E52C2">
        <w:rPr>
          <w:rFonts w:cstheme="minorHAnsi"/>
          <w:sz w:val="24"/>
          <w:szCs w:val="24"/>
        </w:rPr>
        <w:t>Romanello et al.</w:t>
      </w:r>
      <w:r w:rsidR="00A86FD1" w:rsidRPr="004E52C2">
        <w:rPr>
          <w:rFonts w:cstheme="minorHAnsi"/>
          <w:sz w:val="24"/>
          <w:szCs w:val="24"/>
          <w:lang w:val="en-US"/>
        </w:rPr>
        <w:t>, 202</w:t>
      </w:r>
      <w:r w:rsidR="002A708E" w:rsidRPr="004E52C2">
        <w:rPr>
          <w:rFonts w:cstheme="minorHAnsi"/>
          <w:sz w:val="24"/>
          <w:szCs w:val="24"/>
          <w:lang w:val="en-US"/>
        </w:rPr>
        <w:t>3</w:t>
      </w:r>
      <w:r w:rsidR="00A86FD1" w:rsidRPr="004E52C2">
        <w:rPr>
          <w:rFonts w:cstheme="minorHAnsi"/>
          <w:sz w:val="24"/>
          <w:szCs w:val="24"/>
          <w:lang w:val="en-US"/>
        </w:rPr>
        <w:t xml:space="preserve">) </w:t>
      </w:r>
      <w:r w:rsidRPr="004E52C2">
        <w:rPr>
          <w:rFonts w:cstheme="minorHAnsi"/>
          <w:sz w:val="24"/>
          <w:szCs w:val="24"/>
          <w:lang w:val="en-US"/>
        </w:rPr>
        <w:t>and then try to see which of these food security groups is achieved with wellness sustainability in view or not and also trying to see which factors influence the food security and wellness sustainability classification a particular household may fall in.</w:t>
      </w:r>
    </w:p>
    <w:p w14:paraId="19811B99" w14:textId="77777777" w:rsidR="00B5477B" w:rsidRPr="004E52C2" w:rsidRDefault="00B5477B" w:rsidP="00B5477B">
      <w:pPr>
        <w:jc w:val="both"/>
        <w:rPr>
          <w:rFonts w:cstheme="minorHAnsi"/>
          <w:sz w:val="24"/>
          <w:szCs w:val="24"/>
        </w:rPr>
      </w:pPr>
      <w:r w:rsidRPr="004E52C2">
        <w:rPr>
          <w:rFonts w:cstheme="minorHAnsi"/>
          <w:sz w:val="24"/>
          <w:szCs w:val="24"/>
        </w:rPr>
        <w:t>In light of the concerns surrounding household food security status and the sustainability of wellness among households, this study sought to examine the profile and determinants of the food security–wellness sustainability nexus among households in Ibadan North Local Government Area. Specifically, the study investigated the current food security status of households, identified the factors influencing household food security status, and determined the factors affecting wellness sustainability among households. Furthermore, the study examined the factors influencing wellness sustainability across different food security categories, including food-secure households, food-insecure households without hunger, households experiencing moderate hunger, and households experiencing severe hunger, with or without prospects for wellness sustainability.</w:t>
      </w:r>
    </w:p>
    <w:p w14:paraId="48B67AD1" w14:textId="77777777" w:rsidR="00B5477B" w:rsidRPr="004E52C2" w:rsidRDefault="00B5477B" w:rsidP="002C3F74">
      <w:pPr>
        <w:rPr>
          <w:rFonts w:cstheme="minorHAnsi"/>
          <w:sz w:val="24"/>
          <w:szCs w:val="24"/>
          <w:lang w:val="en-US"/>
        </w:rPr>
      </w:pPr>
    </w:p>
    <w:p w14:paraId="1B3F5DAA" w14:textId="3E8B1458" w:rsidR="00141B2C" w:rsidRPr="004E52C2" w:rsidRDefault="00B5477B" w:rsidP="00141B2C">
      <w:pPr>
        <w:rPr>
          <w:rFonts w:cstheme="minorHAnsi"/>
          <w:b/>
          <w:bCs/>
          <w:sz w:val="24"/>
          <w:szCs w:val="24"/>
          <w:lang w:val="en-US"/>
        </w:rPr>
      </w:pPr>
      <w:r w:rsidRPr="004E52C2">
        <w:rPr>
          <w:rFonts w:cstheme="minorHAnsi"/>
          <w:b/>
          <w:bCs/>
          <w:sz w:val="24"/>
          <w:szCs w:val="24"/>
          <w:lang w:val="en-US"/>
        </w:rPr>
        <w:t>2. Methodology</w:t>
      </w:r>
    </w:p>
    <w:p w14:paraId="68F905BE" w14:textId="03AC09DF" w:rsidR="00141B2C" w:rsidRPr="004E52C2" w:rsidRDefault="00B5477B" w:rsidP="00141B2C">
      <w:pPr>
        <w:rPr>
          <w:rFonts w:cstheme="minorHAnsi"/>
          <w:b/>
          <w:bCs/>
          <w:sz w:val="24"/>
          <w:szCs w:val="24"/>
          <w:lang w:val="en-US"/>
        </w:rPr>
      </w:pPr>
      <w:bookmarkStart w:id="12" w:name="_Toc140036399"/>
      <w:bookmarkStart w:id="13" w:name="_Toc140036440"/>
      <w:r w:rsidRPr="004E52C2">
        <w:rPr>
          <w:rFonts w:cstheme="minorHAnsi"/>
          <w:b/>
          <w:bCs/>
          <w:sz w:val="24"/>
          <w:szCs w:val="24"/>
          <w:lang w:val="en-US"/>
        </w:rPr>
        <w:t>2</w:t>
      </w:r>
      <w:r w:rsidR="00141B2C" w:rsidRPr="004E52C2">
        <w:rPr>
          <w:rFonts w:cstheme="minorHAnsi"/>
          <w:b/>
          <w:bCs/>
          <w:sz w:val="24"/>
          <w:szCs w:val="24"/>
          <w:lang w:val="en-US"/>
        </w:rPr>
        <w:t xml:space="preserve">.1 </w:t>
      </w:r>
      <w:commentRangeStart w:id="14"/>
      <w:r w:rsidR="00141B2C" w:rsidRPr="004E52C2">
        <w:rPr>
          <w:rFonts w:cstheme="minorHAnsi"/>
          <w:b/>
          <w:bCs/>
          <w:sz w:val="24"/>
          <w:szCs w:val="24"/>
          <w:lang w:val="en-US"/>
        </w:rPr>
        <w:t>The Study Area</w:t>
      </w:r>
      <w:bookmarkEnd w:id="12"/>
      <w:bookmarkEnd w:id="13"/>
      <w:commentRangeEnd w:id="14"/>
      <w:r w:rsidR="00BA7576" w:rsidRPr="004E52C2">
        <w:rPr>
          <w:rStyle w:val="CommentReference"/>
          <w:rFonts w:cstheme="minorHAnsi"/>
          <w:b/>
          <w:bCs/>
          <w:sz w:val="24"/>
          <w:szCs w:val="24"/>
          <w:lang w:val="en-US"/>
        </w:rPr>
        <w:commentReference w:id="14"/>
      </w:r>
    </w:p>
    <w:p w14:paraId="345E32B3" w14:textId="77777777" w:rsidR="00141B2C" w:rsidRPr="004E52C2" w:rsidRDefault="00141B2C" w:rsidP="00B5477B">
      <w:pPr>
        <w:jc w:val="both"/>
        <w:rPr>
          <w:rFonts w:cstheme="minorHAnsi"/>
          <w:bCs/>
          <w:sz w:val="24"/>
          <w:szCs w:val="24"/>
          <w:lang w:val="en-US"/>
        </w:rPr>
      </w:pPr>
      <w:r w:rsidRPr="004E52C2">
        <w:rPr>
          <w:rFonts w:cstheme="minorHAnsi"/>
          <w:bCs/>
          <w:sz w:val="24"/>
          <w:szCs w:val="24"/>
          <w:lang w:val="en-US"/>
        </w:rPr>
        <w:t xml:space="preserve">This study was conducted in Ibadan North Local Government Area (LGA) of Oyo State, Nigeria. Its headquarters stands at Agodi. The postal code of the area is 200. It has bustling academic and economic activities with the presence of the First Premier University in Nigeria, the University of </w:t>
      </w:r>
      <w:r w:rsidRPr="004E52C2">
        <w:rPr>
          <w:rFonts w:cstheme="minorHAnsi"/>
          <w:bCs/>
          <w:sz w:val="24"/>
          <w:szCs w:val="24"/>
          <w:lang w:val="en-US"/>
        </w:rPr>
        <w:lastRenderedPageBreak/>
        <w:t>Ibadan, founded in 1948, and The Polytechnic, Ibadan in 1970, creating an aura of a lively place to live in. Ibadan North LGA is subdivided into 12 wards, i) Ward I N2, ii) Ward Ii, N3, iii) Ward Iii, N4, iv) Ward Iv, N5a, v) Ward Ix, (n6b Part I), vi) Ward V, N5b, vii) Ward Vi, N6a Part I Viii) Ward Vii, N6a Part II, ix) Ward Viii, N6a Part III, x) Ward X, N6b Part II, xi) Ward Xi, Nw8, xii) Ward Xii, Nw8.</w:t>
      </w:r>
    </w:p>
    <w:p w14:paraId="74E69F9B" w14:textId="1F34CEF9" w:rsidR="00141B2C" w:rsidRPr="004E52C2" w:rsidRDefault="00141B2C" w:rsidP="00B5477B">
      <w:pPr>
        <w:jc w:val="both"/>
        <w:rPr>
          <w:rFonts w:cstheme="minorHAnsi"/>
          <w:bCs/>
          <w:sz w:val="24"/>
          <w:szCs w:val="24"/>
          <w:lang w:val="en-US"/>
        </w:rPr>
      </w:pPr>
      <w:r w:rsidRPr="004E52C2">
        <w:rPr>
          <w:rFonts w:cstheme="minorHAnsi"/>
          <w:bCs/>
          <w:sz w:val="24"/>
          <w:szCs w:val="24"/>
          <w:lang w:val="en-US"/>
        </w:rPr>
        <w:t xml:space="preserve">The LGA falls between latitudes 7’23’00” and 7`27’30” North and longitudes   3`52’45” and 3`56’00” East. The LGA is bounded by six LGAs: Ido, Ibadan South East and Ibadan South West in the West, Ibadan North East in the East, Ibadan Northwest in the south and Akinyele in the North, with the administrative headquarters at Agodi gate. </w:t>
      </w:r>
      <w:commentRangeStart w:id="15"/>
      <w:r w:rsidRPr="004E52C2">
        <w:rPr>
          <w:rFonts w:cstheme="minorHAnsi"/>
          <w:bCs/>
          <w:sz w:val="24"/>
          <w:szCs w:val="24"/>
          <w:lang w:val="en-US"/>
        </w:rPr>
        <w:t xml:space="preserve">The population reported for Nigeria shows that it is the most populated local government area, with an estimated population </w:t>
      </w:r>
      <w:r w:rsidR="00B5477B" w:rsidRPr="004E52C2">
        <w:rPr>
          <w:rFonts w:cstheme="minorHAnsi"/>
          <w:bCs/>
          <w:sz w:val="24"/>
          <w:szCs w:val="24"/>
          <w:lang w:val="en-US"/>
        </w:rPr>
        <w:t>of 202,270 inhabitants</w:t>
      </w:r>
      <w:r w:rsidRPr="004E52C2">
        <w:rPr>
          <w:rFonts w:cstheme="minorHAnsi"/>
          <w:bCs/>
          <w:sz w:val="24"/>
          <w:szCs w:val="24"/>
          <w:lang w:val="en-US"/>
        </w:rPr>
        <w:t xml:space="preserve"> </w:t>
      </w:r>
      <w:sdt>
        <w:sdtPr>
          <w:rPr>
            <w:rFonts w:cstheme="minorHAnsi"/>
            <w:bCs/>
            <w:sz w:val="24"/>
            <w:szCs w:val="24"/>
            <w:lang w:val="en-US"/>
          </w:rPr>
          <w:id w:val="319320814"/>
          <w:citation/>
        </w:sdtPr>
        <w:sdtContent>
          <w:r w:rsidRPr="004E52C2">
            <w:rPr>
              <w:rFonts w:cstheme="minorHAnsi"/>
              <w:bCs/>
              <w:sz w:val="24"/>
              <w:szCs w:val="24"/>
              <w:lang w:val="en-US"/>
            </w:rPr>
            <w:fldChar w:fldCharType="begin"/>
          </w:r>
          <w:r w:rsidRPr="004E52C2">
            <w:rPr>
              <w:rFonts w:cstheme="minorHAnsi"/>
              <w:bCs/>
              <w:sz w:val="24"/>
              <w:szCs w:val="24"/>
              <w:lang w:val="en-US"/>
            </w:rPr>
            <w:instrText xml:space="preserve">CITATION Nat06 \l 1033 </w:instrText>
          </w:r>
          <w:r w:rsidRPr="004E52C2">
            <w:rPr>
              <w:rFonts w:cstheme="minorHAnsi"/>
              <w:bCs/>
              <w:sz w:val="24"/>
              <w:szCs w:val="24"/>
              <w:lang w:val="en-US"/>
            </w:rPr>
            <w:fldChar w:fldCharType="separate"/>
          </w:r>
          <w:r w:rsidRPr="004E52C2">
            <w:rPr>
              <w:rFonts w:cstheme="minorHAnsi"/>
              <w:bCs/>
              <w:sz w:val="24"/>
              <w:szCs w:val="24"/>
              <w:lang w:val="en-US"/>
            </w:rPr>
            <w:t>(NPC, 2006)</w:t>
          </w:r>
          <w:r w:rsidRPr="004E52C2">
            <w:rPr>
              <w:rFonts w:cstheme="minorHAnsi"/>
              <w:bCs/>
              <w:sz w:val="24"/>
              <w:szCs w:val="24"/>
              <w:lang w:val="en-US"/>
            </w:rPr>
            <w:fldChar w:fldCharType="end"/>
          </w:r>
        </w:sdtContent>
      </w:sdt>
      <w:r w:rsidRPr="004E52C2">
        <w:rPr>
          <w:rFonts w:cstheme="minorHAnsi"/>
          <w:bCs/>
          <w:sz w:val="24"/>
          <w:szCs w:val="24"/>
          <w:lang w:val="en-US"/>
        </w:rPr>
        <w:t>.</w:t>
      </w:r>
      <w:commentRangeEnd w:id="15"/>
      <w:r w:rsidR="00BA7576" w:rsidRPr="004E52C2">
        <w:rPr>
          <w:rStyle w:val="CommentReference"/>
          <w:rFonts w:cstheme="minorHAnsi"/>
          <w:bCs/>
          <w:sz w:val="24"/>
          <w:szCs w:val="24"/>
          <w:lang w:val="en-US"/>
        </w:rPr>
        <w:commentReference w:id="15"/>
      </w:r>
      <w:r w:rsidRPr="004E52C2">
        <w:rPr>
          <w:rFonts w:cstheme="minorHAnsi"/>
          <w:bCs/>
          <w:sz w:val="24"/>
          <w:szCs w:val="24"/>
          <w:lang w:val="en-US"/>
        </w:rPr>
        <w:t xml:space="preserve"> </w:t>
      </w:r>
      <w:r w:rsidR="00B5477B" w:rsidRPr="004E52C2">
        <w:rPr>
          <w:rFonts w:cstheme="minorHAnsi"/>
          <w:bCs/>
          <w:sz w:val="24"/>
          <w:szCs w:val="24"/>
          <w:lang w:val="en-US"/>
        </w:rPr>
        <w:t>Ibadan North</w:t>
      </w:r>
      <w:r w:rsidRPr="004E52C2">
        <w:rPr>
          <w:rFonts w:cstheme="minorHAnsi"/>
          <w:bCs/>
          <w:sz w:val="24"/>
          <w:szCs w:val="24"/>
          <w:lang w:val="en-US"/>
        </w:rPr>
        <w:t xml:space="preserve"> covers an area </w:t>
      </w:r>
      <w:r w:rsidR="00B5477B" w:rsidRPr="004E52C2">
        <w:rPr>
          <w:rFonts w:cstheme="minorHAnsi"/>
          <w:bCs/>
          <w:sz w:val="24"/>
          <w:szCs w:val="24"/>
          <w:lang w:val="en-US"/>
        </w:rPr>
        <w:t>of 145</w:t>
      </w:r>
      <w:r w:rsidRPr="004E52C2">
        <w:rPr>
          <w:rFonts w:cstheme="minorHAnsi"/>
          <w:bCs/>
          <w:sz w:val="24"/>
          <w:szCs w:val="24"/>
          <w:lang w:val="en-US"/>
        </w:rPr>
        <w:t xml:space="preserve">.58km, which is approximately 46.6% of Ibadan's total land area, making it the largest landmass. Ibadan North was estimated to have    306,795 inhabitants (Ayinnuola and Adekunle, 2008) but should be 432,900 by the population projection National Population Census </w:t>
      </w:r>
      <w:sdt>
        <w:sdtPr>
          <w:rPr>
            <w:rFonts w:cstheme="minorHAnsi"/>
            <w:bCs/>
            <w:sz w:val="24"/>
            <w:szCs w:val="24"/>
            <w:lang w:val="en-US"/>
          </w:rPr>
          <w:id w:val="2118711666"/>
          <w:citation/>
        </w:sdtPr>
        <w:sdtContent>
          <w:r w:rsidRPr="004E52C2">
            <w:rPr>
              <w:rFonts w:cstheme="minorHAnsi"/>
              <w:bCs/>
              <w:sz w:val="24"/>
              <w:szCs w:val="24"/>
              <w:lang w:val="en-US"/>
            </w:rPr>
            <w:fldChar w:fldCharType="begin"/>
          </w:r>
          <w:r w:rsidRPr="004E52C2">
            <w:rPr>
              <w:rFonts w:cstheme="minorHAnsi"/>
              <w:bCs/>
              <w:sz w:val="24"/>
              <w:szCs w:val="24"/>
              <w:lang w:val="en-US"/>
            </w:rPr>
            <w:instrText xml:space="preserve"> CITATION Nat06 \l 1033 </w:instrText>
          </w:r>
          <w:r w:rsidRPr="004E52C2">
            <w:rPr>
              <w:rFonts w:cstheme="minorHAnsi"/>
              <w:bCs/>
              <w:sz w:val="24"/>
              <w:szCs w:val="24"/>
              <w:lang w:val="en-US"/>
            </w:rPr>
            <w:fldChar w:fldCharType="separate"/>
          </w:r>
          <w:r w:rsidRPr="004E52C2">
            <w:rPr>
              <w:rFonts w:cstheme="minorHAnsi"/>
              <w:bCs/>
              <w:sz w:val="24"/>
              <w:szCs w:val="24"/>
              <w:lang w:val="en-US"/>
            </w:rPr>
            <w:t>(NPC, 2006)</w:t>
          </w:r>
          <w:r w:rsidRPr="004E52C2">
            <w:rPr>
              <w:rFonts w:cstheme="minorHAnsi"/>
              <w:bCs/>
              <w:sz w:val="24"/>
              <w:szCs w:val="24"/>
              <w:lang w:val="en-US"/>
            </w:rPr>
            <w:fldChar w:fldCharType="end"/>
          </w:r>
        </w:sdtContent>
      </w:sdt>
      <w:r w:rsidRPr="004E52C2">
        <w:rPr>
          <w:rFonts w:cstheme="minorHAnsi"/>
          <w:bCs/>
          <w:sz w:val="24"/>
          <w:szCs w:val="24"/>
          <w:lang w:val="en-US"/>
        </w:rPr>
        <w:t xml:space="preserve">. The local government comprises large and small industries (manufacturing and agro-allied industries), households, commercial centres, educational and religious services, and medical centres. </w:t>
      </w:r>
    </w:p>
    <w:p w14:paraId="4E85EEE6" w14:textId="77777777" w:rsidR="00141B2C" w:rsidRPr="004E52C2" w:rsidRDefault="00141B2C" w:rsidP="00141B2C">
      <w:pPr>
        <w:rPr>
          <w:rFonts w:cstheme="minorHAnsi"/>
          <w:b/>
          <w:bCs/>
          <w:sz w:val="24"/>
          <w:szCs w:val="24"/>
          <w:lang w:val="en-US"/>
        </w:rPr>
      </w:pPr>
    </w:p>
    <w:p w14:paraId="032AD57C" w14:textId="77777777" w:rsidR="00141B2C" w:rsidRPr="004E52C2" w:rsidRDefault="00141B2C" w:rsidP="00141B2C">
      <w:pPr>
        <w:rPr>
          <w:rFonts w:cstheme="minorHAnsi"/>
          <w:b/>
          <w:bCs/>
          <w:sz w:val="24"/>
          <w:szCs w:val="24"/>
          <w:lang w:val="en-US"/>
        </w:rPr>
      </w:pPr>
      <w:r w:rsidRPr="004E52C2">
        <w:rPr>
          <w:rFonts w:cstheme="minorHAnsi"/>
          <w:b/>
          <w:bCs/>
          <w:noProof/>
          <w:sz w:val="24"/>
          <w:szCs w:val="24"/>
          <w:lang w:val="en-US"/>
        </w:rPr>
        <w:drawing>
          <wp:inline distT="0" distB="0" distL="0" distR="0" wp14:anchorId="23BED6D0" wp14:editId="67F927E3">
            <wp:extent cx="4816549" cy="2676525"/>
            <wp:effectExtent l="0" t="0" r="3175" b="0"/>
            <wp:docPr id="1597120763" name="Picture 3" descr="Screenshot 2023-02-10 091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shot 2023-02-10 09125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20155" cy="2678529"/>
                    </a:xfrm>
                    <a:prstGeom prst="rect">
                      <a:avLst/>
                    </a:prstGeom>
                    <a:noFill/>
                    <a:ln>
                      <a:noFill/>
                    </a:ln>
                  </pic:spPr>
                </pic:pic>
              </a:graphicData>
            </a:graphic>
          </wp:inline>
        </w:drawing>
      </w:r>
    </w:p>
    <w:p w14:paraId="1D4CA70D" w14:textId="45B8B926" w:rsidR="00141B2C" w:rsidRPr="004E52C2" w:rsidRDefault="00141B2C" w:rsidP="00141B2C">
      <w:pPr>
        <w:rPr>
          <w:rFonts w:cstheme="minorHAnsi"/>
          <w:b/>
          <w:bCs/>
          <w:sz w:val="24"/>
          <w:szCs w:val="24"/>
          <w:lang w:val="en-US"/>
        </w:rPr>
      </w:pPr>
      <w:r w:rsidRPr="004E52C2">
        <w:rPr>
          <w:rFonts w:cstheme="minorHAnsi"/>
          <w:b/>
          <w:bCs/>
          <w:sz w:val="24"/>
          <w:szCs w:val="24"/>
          <w:lang w:val="en-US"/>
        </w:rPr>
        <w:t xml:space="preserve">Figure </w:t>
      </w:r>
      <w:r w:rsidR="00A41F2F">
        <w:rPr>
          <w:rFonts w:cstheme="minorHAnsi"/>
          <w:b/>
          <w:bCs/>
          <w:sz w:val="24"/>
          <w:szCs w:val="24"/>
          <w:lang w:val="en-US"/>
        </w:rPr>
        <w:t>1</w:t>
      </w:r>
      <w:r w:rsidRPr="004E52C2">
        <w:rPr>
          <w:rFonts w:cstheme="minorHAnsi"/>
          <w:b/>
          <w:bCs/>
          <w:sz w:val="24"/>
          <w:szCs w:val="24"/>
          <w:lang w:val="en-US"/>
        </w:rPr>
        <w:t>: Map of Ibadan North Local Government Areas in Oyo State</w:t>
      </w:r>
      <w:r w:rsidR="00B5477B" w:rsidRPr="004E52C2">
        <w:rPr>
          <w:rFonts w:cstheme="minorHAnsi"/>
          <w:b/>
          <w:bCs/>
          <w:sz w:val="24"/>
          <w:szCs w:val="24"/>
          <w:lang w:val="en-US"/>
        </w:rPr>
        <w:t xml:space="preserve"> (</w:t>
      </w:r>
      <w:r w:rsidR="00B5477B" w:rsidRPr="004E52C2">
        <w:rPr>
          <w:rFonts w:cstheme="minorHAnsi"/>
          <w:b/>
          <w:bCs/>
          <w:sz w:val="24"/>
          <w:szCs w:val="24"/>
        </w:rPr>
        <w:t>Ann and Samuel, 2018)</w:t>
      </w:r>
    </w:p>
    <w:p w14:paraId="521405B2" w14:textId="754F2D8E" w:rsidR="00141B2C" w:rsidRPr="004E52C2" w:rsidRDefault="00141B2C" w:rsidP="00141B2C">
      <w:pPr>
        <w:rPr>
          <w:rFonts w:cstheme="minorHAnsi"/>
          <w:b/>
          <w:bCs/>
          <w:sz w:val="24"/>
          <w:szCs w:val="24"/>
          <w:lang w:val="en-US"/>
        </w:rPr>
      </w:pPr>
      <w:r w:rsidRPr="004E52C2">
        <w:rPr>
          <w:rFonts w:cstheme="minorHAnsi"/>
          <w:bCs/>
          <w:sz w:val="24"/>
          <w:szCs w:val="24"/>
          <w:lang w:val="en-US"/>
        </w:rPr>
        <w:br w:type="page"/>
      </w:r>
      <w:bookmarkStart w:id="16" w:name="_Toc140036400"/>
      <w:bookmarkStart w:id="17" w:name="_Toc140036441"/>
      <w:r w:rsidR="00B5477B" w:rsidRPr="004E52C2">
        <w:rPr>
          <w:rFonts w:cstheme="minorHAnsi"/>
          <w:b/>
          <w:bCs/>
          <w:sz w:val="24"/>
          <w:szCs w:val="24"/>
          <w:lang w:val="en-US"/>
        </w:rPr>
        <w:lastRenderedPageBreak/>
        <w:t>2</w:t>
      </w:r>
      <w:r w:rsidRPr="004E52C2">
        <w:rPr>
          <w:rFonts w:cstheme="minorHAnsi"/>
          <w:b/>
          <w:bCs/>
          <w:sz w:val="24"/>
          <w:szCs w:val="24"/>
          <w:lang w:val="en-US"/>
        </w:rPr>
        <w:t xml:space="preserve">.2 </w:t>
      </w:r>
      <w:bookmarkEnd w:id="16"/>
      <w:bookmarkEnd w:id="17"/>
      <w:r w:rsidR="00B5477B" w:rsidRPr="004E52C2">
        <w:rPr>
          <w:rFonts w:cstheme="minorHAnsi"/>
          <w:b/>
          <w:bCs/>
          <w:sz w:val="24"/>
          <w:szCs w:val="24"/>
        </w:rPr>
        <w:t>Study Design and Data Collection</w:t>
      </w:r>
    </w:p>
    <w:p w14:paraId="13A3BA54" w14:textId="77777777" w:rsidR="00B5477B" w:rsidRPr="004E52C2" w:rsidRDefault="00B5477B" w:rsidP="00BE4DBF">
      <w:pPr>
        <w:jc w:val="both"/>
        <w:rPr>
          <w:rFonts w:cstheme="minorHAnsi"/>
          <w:bCs/>
          <w:sz w:val="24"/>
          <w:szCs w:val="24"/>
        </w:rPr>
      </w:pPr>
      <w:r w:rsidRPr="004E52C2">
        <w:rPr>
          <w:rFonts w:cstheme="minorHAnsi"/>
          <w:bCs/>
          <w:sz w:val="24"/>
          <w:szCs w:val="24"/>
        </w:rPr>
        <w:t>A cross-sectional survey design was adopted. Primary data were collected using structured questionnaires administered to selected households. The instrument captured socio-demographic characteristics, household food consumption patterns, food security status, and indicators of wellness sustainability.</w:t>
      </w:r>
    </w:p>
    <w:p w14:paraId="0B2FE9B5" w14:textId="6559201C" w:rsidR="00B5477B" w:rsidRPr="004E52C2" w:rsidRDefault="00B5477B" w:rsidP="00BE4DBF">
      <w:pPr>
        <w:jc w:val="both"/>
        <w:rPr>
          <w:rFonts w:cstheme="minorHAnsi"/>
          <w:bCs/>
          <w:sz w:val="24"/>
          <w:szCs w:val="24"/>
        </w:rPr>
      </w:pPr>
      <w:commentRangeStart w:id="18"/>
      <w:r w:rsidRPr="004E52C2">
        <w:rPr>
          <w:rFonts w:cstheme="minorHAnsi"/>
          <w:bCs/>
          <w:sz w:val="24"/>
          <w:szCs w:val="24"/>
        </w:rPr>
        <w:t>Household food security status was assessed using the Household Food Insecurity Access Scale (HFIAS)</w:t>
      </w:r>
      <w:r w:rsidR="00BE4DBF" w:rsidRPr="004E52C2">
        <w:rPr>
          <w:rFonts w:cstheme="minorHAnsi"/>
          <w:bCs/>
          <w:sz w:val="24"/>
          <w:szCs w:val="24"/>
        </w:rPr>
        <w:t xml:space="preserve"> (Masa and Sharm, 2021)</w:t>
      </w:r>
      <w:r w:rsidRPr="004E52C2">
        <w:rPr>
          <w:rFonts w:cstheme="minorHAnsi"/>
          <w:bCs/>
          <w:sz w:val="24"/>
          <w:szCs w:val="24"/>
        </w:rPr>
        <w:t xml:space="preserve">, </w:t>
      </w:r>
      <w:commentRangeEnd w:id="18"/>
      <w:r w:rsidR="00BA7576" w:rsidRPr="004E52C2">
        <w:rPr>
          <w:rStyle w:val="CommentReference"/>
          <w:rFonts w:cstheme="minorHAnsi"/>
          <w:bCs/>
          <w:sz w:val="24"/>
          <w:szCs w:val="24"/>
        </w:rPr>
        <w:commentReference w:id="18"/>
      </w:r>
      <w:r w:rsidRPr="004E52C2">
        <w:rPr>
          <w:rFonts w:cstheme="minorHAnsi"/>
          <w:bCs/>
          <w:sz w:val="24"/>
          <w:szCs w:val="24"/>
        </w:rPr>
        <w:t>while wellness sustainability was determined based on dietary consumption patterns, particularly the proportion of whole food plant-based diet (WFPBD) and intake of energy-dense processed foods.</w:t>
      </w:r>
    </w:p>
    <w:p w14:paraId="4B94D85A" w14:textId="77777777" w:rsidR="00141B2C" w:rsidRPr="004E52C2" w:rsidRDefault="00141B2C" w:rsidP="00BE4DBF">
      <w:pPr>
        <w:jc w:val="both"/>
        <w:rPr>
          <w:rFonts w:cstheme="minorHAnsi"/>
          <w:bCs/>
          <w:sz w:val="24"/>
          <w:szCs w:val="24"/>
          <w:lang w:val="en-US"/>
        </w:rPr>
      </w:pPr>
    </w:p>
    <w:p w14:paraId="283CDC66" w14:textId="7833C9B9" w:rsidR="00141B2C" w:rsidRPr="004E52C2" w:rsidRDefault="00B5477B" w:rsidP="00BE4DBF">
      <w:pPr>
        <w:jc w:val="both"/>
        <w:rPr>
          <w:rFonts w:cstheme="minorHAnsi"/>
          <w:b/>
          <w:bCs/>
          <w:sz w:val="24"/>
          <w:szCs w:val="24"/>
          <w:lang w:val="en-US"/>
        </w:rPr>
      </w:pPr>
      <w:bookmarkStart w:id="19" w:name="_Toc140036401"/>
      <w:bookmarkStart w:id="20" w:name="_Toc140036442"/>
      <w:r w:rsidRPr="004E52C2">
        <w:rPr>
          <w:rFonts w:cstheme="minorHAnsi"/>
          <w:b/>
          <w:bCs/>
          <w:sz w:val="24"/>
          <w:szCs w:val="24"/>
          <w:lang w:val="en-US"/>
        </w:rPr>
        <w:t>2</w:t>
      </w:r>
      <w:r w:rsidR="00141B2C" w:rsidRPr="004E52C2">
        <w:rPr>
          <w:rFonts w:cstheme="minorHAnsi"/>
          <w:b/>
          <w:bCs/>
          <w:sz w:val="24"/>
          <w:szCs w:val="24"/>
          <w:lang w:val="en-US"/>
        </w:rPr>
        <w:t>.3 Sampling Techniques and Procedures</w:t>
      </w:r>
      <w:bookmarkEnd w:id="19"/>
      <w:bookmarkEnd w:id="20"/>
    </w:p>
    <w:p w14:paraId="41DFF784" w14:textId="4ED6C6DD" w:rsidR="00141B2C" w:rsidRPr="004E52C2" w:rsidRDefault="00141B2C" w:rsidP="00BE4DBF">
      <w:pPr>
        <w:jc w:val="both"/>
        <w:rPr>
          <w:rFonts w:cstheme="minorHAnsi"/>
          <w:bCs/>
          <w:sz w:val="24"/>
          <w:szCs w:val="24"/>
          <w:lang w:val="en-US"/>
        </w:rPr>
      </w:pPr>
      <w:commentRangeStart w:id="21"/>
      <w:r w:rsidRPr="004E52C2">
        <w:rPr>
          <w:rFonts w:cstheme="minorHAnsi"/>
          <w:bCs/>
          <w:sz w:val="24"/>
          <w:szCs w:val="24"/>
          <w:lang w:val="en-US"/>
        </w:rPr>
        <w:t xml:space="preserve">A two-stage sampling method was used for this study. The first stage was the stratification of the communities in the LGA into 2 based on the population density (densely and sparsely populated wards) and the random selection of 2 communities, each that are densely and sparsely populated. The second stage involved the random selection of the households within each community in a proportionate to size allocation manner. </w:t>
      </w:r>
      <w:commentRangeEnd w:id="21"/>
      <w:r w:rsidR="00ED619E" w:rsidRPr="004E52C2">
        <w:rPr>
          <w:rStyle w:val="CommentReference"/>
          <w:rFonts w:cstheme="minorHAnsi"/>
          <w:bCs/>
          <w:sz w:val="24"/>
          <w:szCs w:val="24"/>
          <w:lang w:val="en-US"/>
        </w:rPr>
        <w:commentReference w:id="21"/>
      </w:r>
      <w:r w:rsidR="00D85854" w:rsidRPr="004E52C2">
        <w:rPr>
          <w:rFonts w:cstheme="minorHAnsi"/>
          <w:bCs/>
          <w:sz w:val="24"/>
          <w:szCs w:val="24"/>
          <w:lang w:val="en-US"/>
        </w:rPr>
        <w:t>Table 1</w:t>
      </w:r>
      <w:r w:rsidRPr="004E52C2">
        <w:rPr>
          <w:rFonts w:cstheme="minorHAnsi"/>
          <w:bCs/>
          <w:sz w:val="24"/>
          <w:szCs w:val="24"/>
          <w:lang w:val="en-US"/>
        </w:rPr>
        <w:t xml:space="preserve"> shows the distribution of sample size from each community. </w:t>
      </w:r>
    </w:p>
    <w:p w14:paraId="48276136"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Table 1: Sampling Distribution by Selected Communities. </w:t>
      </w:r>
    </w:p>
    <w:tbl>
      <w:tblPr>
        <w:tblW w:w="0" w:type="auto"/>
        <w:tblLook w:val="04A0" w:firstRow="1" w:lastRow="0" w:firstColumn="1" w:lastColumn="0" w:noHBand="0" w:noVBand="1"/>
      </w:tblPr>
      <w:tblGrid>
        <w:gridCol w:w="1475"/>
        <w:gridCol w:w="4590"/>
        <w:gridCol w:w="3114"/>
      </w:tblGrid>
      <w:tr w:rsidR="00141B2C" w:rsidRPr="004E52C2" w14:paraId="6CBE6032" w14:textId="77777777" w:rsidTr="00D85854">
        <w:trPr>
          <w:trHeight w:val="711"/>
        </w:trPr>
        <w:tc>
          <w:tcPr>
            <w:tcW w:w="1435" w:type="dxa"/>
            <w:tcBorders>
              <w:top w:val="single" w:sz="4" w:space="0" w:color="auto"/>
              <w:left w:val="single" w:sz="4" w:space="0" w:color="auto"/>
              <w:bottom w:val="single" w:sz="4" w:space="0" w:color="auto"/>
              <w:right w:val="single" w:sz="4" w:space="0" w:color="auto"/>
            </w:tcBorders>
            <w:hideMark/>
          </w:tcPr>
          <w:p w14:paraId="29C941CA" w14:textId="77777777" w:rsidR="00141B2C" w:rsidRPr="004E52C2" w:rsidRDefault="00141B2C" w:rsidP="00141B2C">
            <w:pPr>
              <w:rPr>
                <w:rFonts w:cstheme="minorHAnsi"/>
                <w:b/>
                <w:bCs/>
                <w:sz w:val="24"/>
                <w:szCs w:val="24"/>
                <w:lang w:val="en-US"/>
              </w:rPr>
            </w:pPr>
            <w:r w:rsidRPr="004E52C2">
              <w:rPr>
                <w:rFonts w:cstheme="minorHAnsi"/>
                <w:b/>
                <w:bCs/>
                <w:sz w:val="24"/>
                <w:szCs w:val="24"/>
                <w:lang w:val="en-US"/>
              </w:rPr>
              <w:t>Local Government Area</w:t>
            </w:r>
          </w:p>
        </w:tc>
        <w:tc>
          <w:tcPr>
            <w:tcW w:w="4590" w:type="dxa"/>
            <w:tcBorders>
              <w:top w:val="single" w:sz="4" w:space="0" w:color="auto"/>
              <w:left w:val="single" w:sz="4" w:space="0" w:color="auto"/>
              <w:bottom w:val="single" w:sz="4" w:space="0" w:color="auto"/>
              <w:right w:val="single" w:sz="4" w:space="0" w:color="auto"/>
            </w:tcBorders>
            <w:hideMark/>
          </w:tcPr>
          <w:p w14:paraId="28EDAED0" w14:textId="77777777" w:rsidR="00141B2C" w:rsidRPr="004E52C2" w:rsidRDefault="00141B2C" w:rsidP="00141B2C">
            <w:pPr>
              <w:rPr>
                <w:rFonts w:cstheme="minorHAnsi"/>
                <w:b/>
                <w:bCs/>
                <w:sz w:val="24"/>
                <w:szCs w:val="24"/>
                <w:lang w:val="en-US"/>
              </w:rPr>
            </w:pPr>
            <w:r w:rsidRPr="004E52C2">
              <w:rPr>
                <w:rFonts w:cstheme="minorHAnsi"/>
                <w:b/>
                <w:bCs/>
                <w:sz w:val="24"/>
                <w:szCs w:val="24"/>
                <w:lang w:val="en-US"/>
              </w:rPr>
              <w:t>Selected communities in each LGA</w:t>
            </w:r>
          </w:p>
        </w:tc>
        <w:tc>
          <w:tcPr>
            <w:tcW w:w="3114" w:type="dxa"/>
            <w:tcBorders>
              <w:top w:val="single" w:sz="4" w:space="0" w:color="auto"/>
              <w:left w:val="single" w:sz="4" w:space="0" w:color="auto"/>
              <w:bottom w:val="single" w:sz="4" w:space="0" w:color="auto"/>
              <w:right w:val="single" w:sz="4" w:space="0" w:color="auto"/>
            </w:tcBorders>
            <w:hideMark/>
          </w:tcPr>
          <w:p w14:paraId="41581F87" w14:textId="77777777" w:rsidR="00141B2C" w:rsidRPr="004E52C2" w:rsidRDefault="00141B2C" w:rsidP="00141B2C">
            <w:pPr>
              <w:rPr>
                <w:rFonts w:cstheme="minorHAnsi"/>
                <w:b/>
                <w:bCs/>
                <w:sz w:val="24"/>
                <w:szCs w:val="24"/>
                <w:lang w:val="en-US"/>
              </w:rPr>
            </w:pPr>
            <w:r w:rsidRPr="004E52C2">
              <w:rPr>
                <w:rFonts w:cstheme="minorHAnsi"/>
                <w:b/>
                <w:bCs/>
                <w:sz w:val="24"/>
                <w:szCs w:val="24"/>
                <w:lang w:val="en-US"/>
              </w:rPr>
              <w:t>Number of questionnaires administered</w:t>
            </w:r>
          </w:p>
        </w:tc>
      </w:tr>
      <w:tr w:rsidR="00141B2C" w:rsidRPr="004E52C2" w14:paraId="6859C80D" w14:textId="77777777" w:rsidTr="00D85854">
        <w:trPr>
          <w:trHeight w:val="375"/>
        </w:trPr>
        <w:tc>
          <w:tcPr>
            <w:tcW w:w="1435" w:type="dxa"/>
            <w:vMerge w:val="restart"/>
            <w:tcBorders>
              <w:top w:val="single" w:sz="4" w:space="0" w:color="auto"/>
              <w:left w:val="single" w:sz="4" w:space="0" w:color="auto"/>
              <w:bottom w:val="single" w:sz="4" w:space="0" w:color="auto"/>
              <w:right w:val="single" w:sz="4" w:space="0" w:color="auto"/>
            </w:tcBorders>
            <w:hideMark/>
          </w:tcPr>
          <w:p w14:paraId="5E7D5C6B"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Ibadan North</w:t>
            </w:r>
          </w:p>
        </w:tc>
        <w:tc>
          <w:tcPr>
            <w:tcW w:w="4590" w:type="dxa"/>
            <w:tcBorders>
              <w:top w:val="single" w:sz="4" w:space="0" w:color="auto"/>
              <w:left w:val="single" w:sz="4" w:space="0" w:color="auto"/>
              <w:bottom w:val="single" w:sz="4" w:space="0" w:color="auto"/>
              <w:right w:val="single" w:sz="4" w:space="0" w:color="auto"/>
            </w:tcBorders>
            <w:hideMark/>
          </w:tcPr>
          <w:p w14:paraId="0A4F5143"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New Bodija (sparsely populated)</w:t>
            </w:r>
          </w:p>
        </w:tc>
        <w:tc>
          <w:tcPr>
            <w:tcW w:w="3114" w:type="dxa"/>
            <w:tcBorders>
              <w:top w:val="single" w:sz="4" w:space="0" w:color="auto"/>
              <w:left w:val="single" w:sz="4" w:space="0" w:color="auto"/>
              <w:bottom w:val="single" w:sz="4" w:space="0" w:color="auto"/>
              <w:right w:val="single" w:sz="4" w:space="0" w:color="auto"/>
            </w:tcBorders>
            <w:hideMark/>
          </w:tcPr>
          <w:p w14:paraId="1FED2965"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50</w:t>
            </w:r>
          </w:p>
        </w:tc>
      </w:tr>
      <w:tr w:rsidR="00141B2C" w:rsidRPr="004E52C2" w14:paraId="62D51D45" w14:textId="77777777" w:rsidTr="00D85854">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5C9C0C" w14:textId="77777777" w:rsidR="00141B2C" w:rsidRPr="004E52C2" w:rsidRDefault="00141B2C" w:rsidP="00141B2C">
            <w:pPr>
              <w:rPr>
                <w:rFonts w:cstheme="minorHAnsi"/>
                <w:bCs/>
                <w:sz w:val="24"/>
                <w:szCs w:val="24"/>
                <w:lang w:val="en-US"/>
              </w:rPr>
            </w:pPr>
          </w:p>
        </w:tc>
        <w:tc>
          <w:tcPr>
            <w:tcW w:w="4590" w:type="dxa"/>
            <w:tcBorders>
              <w:top w:val="single" w:sz="4" w:space="0" w:color="auto"/>
              <w:left w:val="single" w:sz="4" w:space="0" w:color="auto"/>
              <w:bottom w:val="single" w:sz="4" w:space="0" w:color="auto"/>
              <w:right w:val="single" w:sz="4" w:space="0" w:color="auto"/>
            </w:tcBorders>
            <w:hideMark/>
          </w:tcPr>
          <w:p w14:paraId="16DB65D5"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Agodi GRA (sparsely populated)</w:t>
            </w:r>
          </w:p>
        </w:tc>
        <w:tc>
          <w:tcPr>
            <w:tcW w:w="3114" w:type="dxa"/>
            <w:tcBorders>
              <w:top w:val="single" w:sz="4" w:space="0" w:color="auto"/>
              <w:left w:val="single" w:sz="4" w:space="0" w:color="auto"/>
              <w:bottom w:val="single" w:sz="4" w:space="0" w:color="auto"/>
              <w:right w:val="single" w:sz="4" w:space="0" w:color="auto"/>
            </w:tcBorders>
            <w:hideMark/>
          </w:tcPr>
          <w:p w14:paraId="79DE5E50"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50</w:t>
            </w:r>
          </w:p>
        </w:tc>
      </w:tr>
      <w:tr w:rsidR="00141B2C" w:rsidRPr="004E52C2" w14:paraId="6D0F77F8" w14:textId="77777777" w:rsidTr="00D85854">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D0C3CC" w14:textId="77777777" w:rsidR="00141B2C" w:rsidRPr="004E52C2" w:rsidRDefault="00141B2C" w:rsidP="00141B2C">
            <w:pPr>
              <w:rPr>
                <w:rFonts w:cstheme="minorHAnsi"/>
                <w:bCs/>
                <w:sz w:val="24"/>
                <w:szCs w:val="24"/>
                <w:lang w:val="en-US"/>
              </w:rPr>
            </w:pPr>
          </w:p>
        </w:tc>
        <w:tc>
          <w:tcPr>
            <w:tcW w:w="4590" w:type="dxa"/>
            <w:tcBorders>
              <w:top w:val="single" w:sz="4" w:space="0" w:color="auto"/>
              <w:left w:val="single" w:sz="4" w:space="0" w:color="auto"/>
              <w:bottom w:val="single" w:sz="4" w:space="0" w:color="auto"/>
              <w:right w:val="single" w:sz="4" w:space="0" w:color="auto"/>
            </w:tcBorders>
            <w:hideMark/>
          </w:tcPr>
          <w:p w14:paraId="77F439E1"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Sango/Mokola (densely populated)</w:t>
            </w:r>
          </w:p>
        </w:tc>
        <w:tc>
          <w:tcPr>
            <w:tcW w:w="3114" w:type="dxa"/>
            <w:tcBorders>
              <w:top w:val="single" w:sz="4" w:space="0" w:color="auto"/>
              <w:left w:val="single" w:sz="4" w:space="0" w:color="auto"/>
              <w:bottom w:val="single" w:sz="4" w:space="0" w:color="auto"/>
              <w:right w:val="single" w:sz="4" w:space="0" w:color="auto"/>
            </w:tcBorders>
            <w:hideMark/>
          </w:tcPr>
          <w:p w14:paraId="6F5D6598"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75</w:t>
            </w:r>
          </w:p>
        </w:tc>
      </w:tr>
      <w:tr w:rsidR="00141B2C" w:rsidRPr="004E52C2" w14:paraId="10B6C0C1" w14:textId="77777777" w:rsidTr="00D85854">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7A59C3" w14:textId="77777777" w:rsidR="00141B2C" w:rsidRPr="004E52C2" w:rsidRDefault="00141B2C" w:rsidP="00141B2C">
            <w:pPr>
              <w:rPr>
                <w:rFonts w:cstheme="minorHAnsi"/>
                <w:bCs/>
                <w:sz w:val="24"/>
                <w:szCs w:val="24"/>
                <w:lang w:val="en-US"/>
              </w:rPr>
            </w:pPr>
          </w:p>
        </w:tc>
        <w:tc>
          <w:tcPr>
            <w:tcW w:w="4590" w:type="dxa"/>
            <w:tcBorders>
              <w:top w:val="single" w:sz="4" w:space="0" w:color="auto"/>
              <w:left w:val="single" w:sz="4" w:space="0" w:color="auto"/>
              <w:bottom w:val="single" w:sz="4" w:space="0" w:color="auto"/>
              <w:right w:val="single" w:sz="4" w:space="0" w:color="auto"/>
            </w:tcBorders>
            <w:hideMark/>
          </w:tcPr>
          <w:p w14:paraId="41D23A46"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Agbowo (densely populated)</w:t>
            </w:r>
          </w:p>
        </w:tc>
        <w:tc>
          <w:tcPr>
            <w:tcW w:w="3114" w:type="dxa"/>
            <w:tcBorders>
              <w:top w:val="single" w:sz="4" w:space="0" w:color="auto"/>
              <w:left w:val="single" w:sz="4" w:space="0" w:color="auto"/>
              <w:bottom w:val="single" w:sz="4" w:space="0" w:color="auto"/>
              <w:right w:val="single" w:sz="4" w:space="0" w:color="auto"/>
            </w:tcBorders>
            <w:hideMark/>
          </w:tcPr>
          <w:p w14:paraId="39125E41"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75</w:t>
            </w:r>
          </w:p>
        </w:tc>
      </w:tr>
      <w:tr w:rsidR="00141B2C" w:rsidRPr="004E52C2" w14:paraId="37E3AAA3" w14:textId="77777777" w:rsidTr="00D85854">
        <w:trPr>
          <w:trHeight w:val="3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0D571F" w14:textId="77777777" w:rsidR="00141B2C" w:rsidRPr="004E52C2" w:rsidRDefault="00141B2C" w:rsidP="00141B2C">
            <w:pPr>
              <w:rPr>
                <w:rFonts w:cstheme="minorHAnsi"/>
                <w:bCs/>
                <w:sz w:val="24"/>
                <w:szCs w:val="24"/>
                <w:lang w:val="en-US"/>
              </w:rPr>
            </w:pPr>
          </w:p>
        </w:tc>
        <w:tc>
          <w:tcPr>
            <w:tcW w:w="4590" w:type="dxa"/>
            <w:tcBorders>
              <w:top w:val="single" w:sz="4" w:space="0" w:color="auto"/>
              <w:left w:val="single" w:sz="4" w:space="0" w:color="auto"/>
              <w:bottom w:val="single" w:sz="4" w:space="0" w:color="auto"/>
              <w:right w:val="single" w:sz="4" w:space="0" w:color="auto"/>
            </w:tcBorders>
            <w:hideMark/>
          </w:tcPr>
          <w:p w14:paraId="70D42423"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Total </w:t>
            </w:r>
          </w:p>
        </w:tc>
        <w:tc>
          <w:tcPr>
            <w:tcW w:w="3114" w:type="dxa"/>
            <w:tcBorders>
              <w:top w:val="single" w:sz="4" w:space="0" w:color="auto"/>
              <w:left w:val="single" w:sz="4" w:space="0" w:color="auto"/>
              <w:bottom w:val="single" w:sz="4" w:space="0" w:color="auto"/>
              <w:right w:val="single" w:sz="4" w:space="0" w:color="auto"/>
            </w:tcBorders>
            <w:hideMark/>
          </w:tcPr>
          <w:p w14:paraId="157B57CA" w14:textId="77777777" w:rsidR="00141B2C" w:rsidRPr="004E52C2" w:rsidRDefault="00141B2C" w:rsidP="00141B2C">
            <w:pPr>
              <w:rPr>
                <w:rFonts w:cstheme="minorHAnsi"/>
                <w:bCs/>
                <w:sz w:val="24"/>
                <w:szCs w:val="24"/>
                <w:lang w:val="en-US"/>
              </w:rPr>
            </w:pPr>
            <w:commentRangeStart w:id="22"/>
            <w:r w:rsidRPr="004E52C2">
              <w:rPr>
                <w:rFonts w:cstheme="minorHAnsi"/>
                <w:bCs/>
                <w:sz w:val="24"/>
                <w:szCs w:val="24"/>
                <w:lang w:val="en-US"/>
              </w:rPr>
              <w:t>250</w:t>
            </w:r>
            <w:commentRangeEnd w:id="22"/>
            <w:r w:rsidR="00ED619E" w:rsidRPr="004E52C2">
              <w:rPr>
                <w:rStyle w:val="CommentReference"/>
                <w:rFonts w:cstheme="minorHAnsi"/>
                <w:bCs/>
                <w:sz w:val="24"/>
                <w:szCs w:val="24"/>
                <w:lang w:val="en-US"/>
              </w:rPr>
              <w:commentReference w:id="22"/>
            </w:r>
          </w:p>
        </w:tc>
      </w:tr>
    </w:tbl>
    <w:p w14:paraId="34160948" w14:textId="77777777" w:rsidR="00141B2C" w:rsidRPr="004E52C2" w:rsidRDefault="00141B2C" w:rsidP="00141B2C">
      <w:pPr>
        <w:rPr>
          <w:rFonts w:cstheme="minorHAnsi"/>
          <w:b/>
          <w:bCs/>
          <w:sz w:val="24"/>
          <w:szCs w:val="24"/>
          <w:lang w:val="en-US"/>
        </w:rPr>
      </w:pPr>
      <w:r w:rsidRPr="004E52C2">
        <w:rPr>
          <w:rFonts w:cstheme="minorHAnsi"/>
          <w:b/>
          <w:bCs/>
          <w:sz w:val="24"/>
          <w:szCs w:val="24"/>
          <w:lang w:val="en-US"/>
        </w:rPr>
        <w:br w:type="page"/>
      </w:r>
    </w:p>
    <w:p w14:paraId="1E9BFE95" w14:textId="246B93F2" w:rsidR="00B5477B" w:rsidRPr="004E52C2" w:rsidRDefault="00B5477B" w:rsidP="00B5477B">
      <w:pPr>
        <w:rPr>
          <w:rFonts w:cstheme="minorHAnsi"/>
          <w:sz w:val="24"/>
          <w:szCs w:val="24"/>
          <w:lang w:val="en-US"/>
        </w:rPr>
      </w:pPr>
      <w:bookmarkStart w:id="23" w:name="_Toc140036402"/>
      <w:bookmarkStart w:id="24" w:name="_Toc140036443"/>
      <w:r w:rsidRPr="004E52C2">
        <w:rPr>
          <w:rFonts w:cstheme="minorHAnsi"/>
          <w:b/>
          <w:bCs/>
          <w:sz w:val="24"/>
          <w:szCs w:val="24"/>
          <w:lang w:val="en-US"/>
        </w:rPr>
        <w:lastRenderedPageBreak/>
        <w:t>2</w:t>
      </w:r>
      <w:r w:rsidR="00141B2C" w:rsidRPr="004E52C2">
        <w:rPr>
          <w:rFonts w:cstheme="minorHAnsi"/>
          <w:b/>
          <w:bCs/>
          <w:sz w:val="24"/>
          <w:szCs w:val="24"/>
          <w:lang w:val="en-US"/>
        </w:rPr>
        <w:t xml:space="preserve">.4 </w:t>
      </w:r>
      <w:bookmarkEnd w:id="23"/>
      <w:bookmarkEnd w:id="24"/>
      <w:r w:rsidRPr="004E52C2">
        <w:rPr>
          <w:rFonts w:cstheme="minorHAnsi"/>
          <w:b/>
          <w:bCs/>
          <w:sz w:val="24"/>
          <w:szCs w:val="24"/>
        </w:rPr>
        <w:t>Data Analysis</w:t>
      </w:r>
    </w:p>
    <w:p w14:paraId="6182522C" w14:textId="420984BC" w:rsidR="00B5477B" w:rsidRPr="004E52C2" w:rsidRDefault="00B5477B" w:rsidP="00B5477B">
      <w:pPr>
        <w:jc w:val="both"/>
        <w:rPr>
          <w:rFonts w:cstheme="minorHAnsi"/>
          <w:sz w:val="24"/>
          <w:szCs w:val="24"/>
        </w:rPr>
      </w:pPr>
      <w:r w:rsidRPr="004E52C2">
        <w:rPr>
          <w:rFonts w:cstheme="minorHAnsi"/>
          <w:sz w:val="24"/>
          <w:szCs w:val="24"/>
        </w:rPr>
        <w:t xml:space="preserve">Data collected from the field were coded and analyzed using descriptive and inferential statistical techniques with the aid of Statistical Package for the Social Sciences (SPSS) version 24 </w:t>
      </w:r>
    </w:p>
    <w:p w14:paraId="4CDB25E7" w14:textId="6C56BC0C" w:rsidR="00B5477B" w:rsidRPr="004E52C2" w:rsidRDefault="00B5477B" w:rsidP="00B5477B">
      <w:pPr>
        <w:jc w:val="both"/>
        <w:rPr>
          <w:rFonts w:cstheme="minorHAnsi"/>
          <w:sz w:val="24"/>
          <w:szCs w:val="24"/>
        </w:rPr>
      </w:pPr>
      <w:r w:rsidRPr="004E52C2">
        <w:rPr>
          <w:rFonts w:cstheme="minorHAnsi"/>
          <w:sz w:val="24"/>
          <w:szCs w:val="24"/>
        </w:rPr>
        <w:t>Descriptive statistics such as frequencies, percentages, means, and standard deviations were used to summarize the socio-demographic characteristics of respondents, household food security status, and dietary consumption patterns. These were further used to classify households into different food security categories, namely food secure, food insecure without hunger, food insecure with moderate hunger, and food insecure with severe hunger. In addition, households were categorized based on wellness sustainability status using dietary intake patterns, particularly the proportion of whole food plant-based diet (WFPBD) and consumption of energy-dense processed foods. Inferential statistical analysis was conducted using econometric models to determine relationships between socio-economic variables and the study outcomes. Specifically, a multinomial logistic regression model was employed to identify the determinants of household food security status. This was appropriate because the dependent variable consists of more than two categorical outcomes that are not ordinally continuous.</w:t>
      </w:r>
    </w:p>
    <w:p w14:paraId="5CADAB2E" w14:textId="51B4D433" w:rsidR="00B5477B" w:rsidRPr="004E52C2" w:rsidRDefault="00B5477B" w:rsidP="00B5477B">
      <w:pPr>
        <w:jc w:val="both"/>
        <w:rPr>
          <w:rFonts w:cstheme="minorHAnsi"/>
          <w:sz w:val="24"/>
          <w:szCs w:val="24"/>
        </w:rPr>
      </w:pPr>
      <w:r w:rsidRPr="004E52C2">
        <w:rPr>
          <w:rFonts w:cstheme="minorHAnsi"/>
          <w:sz w:val="24"/>
          <w:szCs w:val="24"/>
        </w:rPr>
        <w:t>Furthermore, binary logistic regression models were used to examine the determinants of wellness sustainability among households, as well as to assess the relationship between household food security status and wellness sustainability. The logistic regression framework was adopted due to the binary nature of the dependent variable in these analyses. All statistical tests were carried out at a 10% level of significance. Variables with p-values less than 0.05 were considered statistically significant in explaining variations in household food security and wellness sustainability outcomes.</w:t>
      </w:r>
    </w:p>
    <w:p w14:paraId="687EF7B2" w14:textId="77777777" w:rsidR="00141B2C" w:rsidRPr="004E52C2" w:rsidRDefault="00141B2C" w:rsidP="00141B2C">
      <w:pPr>
        <w:rPr>
          <w:rFonts w:cstheme="minorHAnsi"/>
          <w:bCs/>
          <w:sz w:val="24"/>
          <w:szCs w:val="24"/>
          <w:lang w:val="en-US"/>
        </w:rPr>
      </w:pPr>
    </w:p>
    <w:p w14:paraId="2B2C4D7D" w14:textId="46FC2218" w:rsidR="00B5477B" w:rsidRPr="004E52C2" w:rsidRDefault="00B5477B" w:rsidP="00B5477B">
      <w:pPr>
        <w:rPr>
          <w:rFonts w:cstheme="minorHAnsi"/>
          <w:b/>
          <w:bCs/>
          <w:sz w:val="24"/>
          <w:szCs w:val="24"/>
        </w:rPr>
      </w:pPr>
      <w:r w:rsidRPr="004E52C2">
        <w:rPr>
          <w:rFonts w:cstheme="minorHAnsi"/>
          <w:b/>
          <w:bCs/>
          <w:sz w:val="24"/>
          <w:szCs w:val="24"/>
        </w:rPr>
        <w:t>2.5 A-priori Expectations</w:t>
      </w:r>
    </w:p>
    <w:p w14:paraId="5DA56EB4" w14:textId="77777777" w:rsidR="00B5477B" w:rsidRPr="004E52C2" w:rsidRDefault="00B5477B" w:rsidP="00B5477B">
      <w:pPr>
        <w:rPr>
          <w:rFonts w:cstheme="minorHAnsi"/>
          <w:sz w:val="24"/>
          <w:szCs w:val="24"/>
        </w:rPr>
      </w:pPr>
      <w:commentRangeStart w:id="25"/>
      <w:r w:rsidRPr="004E52C2">
        <w:rPr>
          <w:rFonts w:cstheme="minorHAnsi"/>
          <w:sz w:val="24"/>
          <w:szCs w:val="24"/>
        </w:rPr>
        <w:t>The expected relationships between variables and outcomes were guided by economic and nutritional theory. Income and education were expected to positively influence food security and wellness sustainability, while household size and health burden were expected to have negative effects. The effects of location and occupation were expected to vary depending on access to resources and livelihood opportunities.</w:t>
      </w:r>
      <w:commentRangeEnd w:id="25"/>
      <w:r w:rsidR="00ED619E" w:rsidRPr="004E52C2">
        <w:rPr>
          <w:rStyle w:val="CommentReference"/>
          <w:rFonts w:cstheme="minorHAnsi"/>
          <w:sz w:val="24"/>
          <w:szCs w:val="24"/>
        </w:rPr>
        <w:commentReference w:id="25"/>
      </w:r>
    </w:p>
    <w:p w14:paraId="518DED00" w14:textId="77777777" w:rsidR="00B5477B" w:rsidRPr="004E52C2" w:rsidRDefault="00B5477B" w:rsidP="00B5477B">
      <w:pPr>
        <w:rPr>
          <w:rFonts w:cstheme="minorHAnsi"/>
          <w:sz w:val="24"/>
          <w:szCs w:val="24"/>
        </w:rPr>
      </w:pPr>
    </w:p>
    <w:p w14:paraId="68500D0B" w14:textId="03204C85" w:rsidR="00141B2C" w:rsidRPr="004E52C2" w:rsidRDefault="00B5477B" w:rsidP="00141B2C">
      <w:pPr>
        <w:rPr>
          <w:rFonts w:cstheme="minorHAnsi"/>
          <w:b/>
          <w:bCs/>
          <w:sz w:val="24"/>
          <w:szCs w:val="24"/>
          <w:lang w:val="en-US"/>
        </w:rPr>
      </w:pPr>
      <w:r w:rsidRPr="004E52C2">
        <w:rPr>
          <w:rFonts w:cstheme="minorHAnsi"/>
          <w:b/>
          <w:bCs/>
          <w:sz w:val="24"/>
          <w:szCs w:val="24"/>
          <w:lang w:val="en-US"/>
        </w:rPr>
        <w:t xml:space="preserve">3. </w:t>
      </w:r>
      <w:r w:rsidR="00141B2C" w:rsidRPr="004E52C2">
        <w:rPr>
          <w:rFonts w:cstheme="minorHAnsi"/>
          <w:b/>
          <w:bCs/>
          <w:sz w:val="24"/>
          <w:szCs w:val="24"/>
          <w:lang w:val="en-US"/>
        </w:rPr>
        <w:t>RESULTS</w:t>
      </w:r>
      <w:r w:rsidRPr="004E52C2">
        <w:rPr>
          <w:rFonts w:cstheme="minorHAnsi"/>
          <w:b/>
          <w:bCs/>
          <w:sz w:val="24"/>
          <w:szCs w:val="24"/>
          <w:lang w:val="en-US"/>
        </w:rPr>
        <w:t xml:space="preserve"> </w:t>
      </w:r>
    </w:p>
    <w:p w14:paraId="4B7327C2" w14:textId="77777777" w:rsidR="00141B2C" w:rsidRPr="004E52C2" w:rsidRDefault="00141B2C" w:rsidP="00BE4DBF">
      <w:pPr>
        <w:jc w:val="both"/>
        <w:rPr>
          <w:rFonts w:cstheme="minorHAnsi"/>
          <w:bCs/>
          <w:sz w:val="24"/>
          <w:szCs w:val="24"/>
          <w:lang w:val="en-US"/>
        </w:rPr>
      </w:pPr>
      <w:commentRangeStart w:id="26"/>
      <w:r w:rsidRPr="004E52C2">
        <w:rPr>
          <w:rFonts w:cstheme="minorHAnsi"/>
          <w:bCs/>
          <w:sz w:val="24"/>
          <w:szCs w:val="24"/>
          <w:lang w:val="en-US"/>
        </w:rPr>
        <w:t>The selected socioeconomic characteristics of the households in this study include sex, age, level of education, marital status, occupation and monthly income of household head, household size, type of food consumed and location of the households.</w:t>
      </w:r>
      <w:commentRangeEnd w:id="26"/>
      <w:r w:rsidR="00B5204D" w:rsidRPr="004E52C2">
        <w:rPr>
          <w:rStyle w:val="CommentReference"/>
          <w:rFonts w:cstheme="minorHAnsi"/>
          <w:bCs/>
          <w:sz w:val="24"/>
          <w:szCs w:val="24"/>
          <w:lang w:val="en-US"/>
        </w:rPr>
        <w:commentReference w:id="26"/>
      </w:r>
    </w:p>
    <w:p w14:paraId="1BC90A48" w14:textId="7EBE1C05" w:rsidR="00141B2C" w:rsidRPr="004E52C2" w:rsidRDefault="00B5477B" w:rsidP="00BE4DBF">
      <w:pPr>
        <w:jc w:val="both"/>
        <w:rPr>
          <w:rFonts w:cstheme="minorHAnsi"/>
          <w:b/>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 xml:space="preserve">.1.1 Sex of household head </w:t>
      </w:r>
    </w:p>
    <w:p w14:paraId="0A9C269B" w14:textId="6D20F73C" w:rsidR="00141B2C" w:rsidRPr="004E52C2" w:rsidRDefault="00D85854" w:rsidP="00BE4DBF">
      <w:pPr>
        <w:jc w:val="both"/>
        <w:rPr>
          <w:rFonts w:cstheme="minorHAnsi"/>
          <w:bCs/>
          <w:sz w:val="24"/>
          <w:szCs w:val="24"/>
          <w:lang w:val="en-US"/>
        </w:rPr>
      </w:pPr>
      <w:r w:rsidRPr="004E52C2">
        <w:rPr>
          <w:rFonts w:cstheme="minorHAnsi"/>
          <w:bCs/>
          <w:sz w:val="24"/>
          <w:szCs w:val="24"/>
          <w:lang w:val="en-US"/>
        </w:rPr>
        <w:lastRenderedPageBreak/>
        <w:t xml:space="preserve">Table </w:t>
      </w:r>
      <w:r w:rsidR="004E52C2">
        <w:rPr>
          <w:rFonts w:cstheme="minorHAnsi"/>
          <w:bCs/>
          <w:sz w:val="24"/>
          <w:szCs w:val="24"/>
          <w:lang w:val="en-US"/>
        </w:rPr>
        <w:t>2</w:t>
      </w:r>
      <w:r w:rsidR="00141B2C" w:rsidRPr="004E52C2">
        <w:rPr>
          <w:rFonts w:cstheme="minorHAnsi"/>
          <w:bCs/>
          <w:sz w:val="24"/>
          <w:szCs w:val="24"/>
          <w:lang w:val="en-US"/>
        </w:rPr>
        <w:t xml:space="preserve"> shows the distribution of the households by the sex of the heads and the number of households that are Food secure, Food insecure without hunger, Food secure with moderate hunger and Food insecure with severe hunger. The male-headed households are in the majority (72.76%) While the percentage of food-secure persons is almost the same among male and female-headed households (29.41 and 30%, respectively), more persons in female-headed households (54.29%) witnessed food insecurity without hunger than males (48.66%). However, the reverse was the case for food insecurity without hunger and severe hunger, where individuals belonging to male-headed households were more (14.44 vs 12.86% and 7.49 vs 2.86%, respectively). There's a larger pool of female-headed households in the food secure or food insecure without hunger category. This can be attributed to lower income levels. Female-headed households are commonly divorced, separated or divorced, all commonly vulnerable to poverty compared to male-headed households with dual income from head and spouses. </w:t>
      </w:r>
    </w:p>
    <w:p w14:paraId="2381AF80" w14:textId="04991FB6" w:rsidR="00141B2C" w:rsidRPr="004E52C2" w:rsidRDefault="00141B2C" w:rsidP="00BE4DBF">
      <w:pPr>
        <w:jc w:val="both"/>
        <w:rPr>
          <w:rFonts w:cstheme="minorHAnsi"/>
          <w:bCs/>
          <w:sz w:val="24"/>
          <w:szCs w:val="24"/>
          <w:lang w:val="en-US"/>
        </w:rPr>
      </w:pPr>
      <w:r w:rsidRPr="004E52C2">
        <w:rPr>
          <w:rFonts w:cstheme="minorHAnsi"/>
          <w:bCs/>
          <w:sz w:val="24"/>
          <w:szCs w:val="24"/>
          <w:lang w:val="en-US"/>
        </w:rPr>
        <w:t xml:space="preserve">Table </w:t>
      </w:r>
      <w:r w:rsidR="004E52C2">
        <w:rPr>
          <w:rFonts w:cstheme="minorHAnsi"/>
          <w:bCs/>
          <w:sz w:val="24"/>
          <w:szCs w:val="24"/>
          <w:lang w:val="en-US"/>
        </w:rPr>
        <w:t>2</w:t>
      </w:r>
      <w:r w:rsidRPr="004E52C2">
        <w:rPr>
          <w:rFonts w:cstheme="minorHAnsi"/>
          <w:bCs/>
          <w:sz w:val="24"/>
          <w:szCs w:val="24"/>
          <w:lang w:val="en-US"/>
        </w:rPr>
        <w:t xml:space="preserve">: Distribution of households by sex of household head. </w:t>
      </w:r>
    </w:p>
    <w:tbl>
      <w:tblPr>
        <w:tblStyle w:val="PlainTable2"/>
        <w:tblW w:w="9900" w:type="dxa"/>
        <w:tblLayout w:type="fixed"/>
        <w:tblLook w:val="04A0" w:firstRow="1" w:lastRow="0" w:firstColumn="1" w:lastColumn="0" w:noHBand="0" w:noVBand="1"/>
      </w:tblPr>
      <w:tblGrid>
        <w:gridCol w:w="1350"/>
        <w:gridCol w:w="1621"/>
        <w:gridCol w:w="1436"/>
        <w:gridCol w:w="1891"/>
        <w:gridCol w:w="1801"/>
        <w:gridCol w:w="1801"/>
      </w:tblGrid>
      <w:tr w:rsidR="00141B2C" w:rsidRPr="004E52C2" w14:paraId="432E1718" w14:textId="77777777" w:rsidTr="00D858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dxa"/>
            <w:tcBorders>
              <w:top w:val="single" w:sz="4" w:space="0" w:color="7F7F7F" w:themeColor="text1" w:themeTint="80"/>
              <w:left w:val="nil"/>
              <w:right w:val="nil"/>
            </w:tcBorders>
            <w:hideMark/>
          </w:tcPr>
          <w:p w14:paraId="413674E7" w14:textId="77777777" w:rsidR="00141B2C" w:rsidRPr="004E52C2" w:rsidRDefault="00141B2C" w:rsidP="00BE4DBF">
            <w:pPr>
              <w:spacing w:after="160" w:line="259" w:lineRule="auto"/>
              <w:jc w:val="both"/>
              <w:rPr>
                <w:rFonts w:cstheme="minorHAnsi"/>
                <w:sz w:val="24"/>
                <w:szCs w:val="24"/>
                <w:lang w:val="en-US"/>
              </w:rPr>
            </w:pPr>
            <w:r w:rsidRPr="004E52C2">
              <w:rPr>
                <w:rFonts w:cstheme="minorHAnsi"/>
                <w:sz w:val="24"/>
                <w:szCs w:val="24"/>
                <w:lang w:val="en-US"/>
              </w:rPr>
              <w:t>Sex of household head n=257</w:t>
            </w:r>
          </w:p>
        </w:tc>
        <w:tc>
          <w:tcPr>
            <w:tcW w:w="1620" w:type="dxa"/>
            <w:tcBorders>
              <w:top w:val="single" w:sz="4" w:space="0" w:color="7F7F7F" w:themeColor="text1" w:themeTint="80"/>
              <w:left w:val="nil"/>
              <w:right w:val="nil"/>
            </w:tcBorders>
            <w:hideMark/>
          </w:tcPr>
          <w:p w14:paraId="612F8C9F" w14:textId="77777777" w:rsidR="00141B2C" w:rsidRPr="004E52C2" w:rsidRDefault="00141B2C" w:rsidP="00BE4DBF">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Frequency (%)</w:t>
            </w:r>
          </w:p>
        </w:tc>
        <w:tc>
          <w:tcPr>
            <w:tcW w:w="1435" w:type="dxa"/>
            <w:tcBorders>
              <w:top w:val="single" w:sz="4" w:space="0" w:color="7F7F7F" w:themeColor="text1" w:themeTint="80"/>
              <w:left w:val="nil"/>
              <w:right w:val="nil"/>
            </w:tcBorders>
            <w:hideMark/>
          </w:tcPr>
          <w:p w14:paraId="78328D45" w14:textId="77777777" w:rsidR="00141B2C" w:rsidRPr="004E52C2" w:rsidRDefault="00141B2C" w:rsidP="00BE4DBF">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Secure</w:t>
            </w:r>
          </w:p>
          <w:p w14:paraId="46628448" w14:textId="77777777" w:rsidR="00141B2C" w:rsidRPr="004E52C2" w:rsidRDefault="00141B2C" w:rsidP="00BE4DBF">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890" w:type="dxa"/>
            <w:tcBorders>
              <w:top w:val="single" w:sz="4" w:space="0" w:color="7F7F7F" w:themeColor="text1" w:themeTint="80"/>
              <w:left w:val="nil"/>
              <w:right w:val="nil"/>
            </w:tcBorders>
            <w:hideMark/>
          </w:tcPr>
          <w:p w14:paraId="4C798D81" w14:textId="77777777" w:rsidR="00141B2C" w:rsidRPr="004E52C2" w:rsidRDefault="00141B2C" w:rsidP="00BE4DBF">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without hunger</w:t>
            </w:r>
          </w:p>
          <w:p w14:paraId="6E367569" w14:textId="77777777" w:rsidR="00141B2C" w:rsidRPr="004E52C2" w:rsidRDefault="00141B2C" w:rsidP="00BE4DBF">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800" w:type="dxa"/>
            <w:tcBorders>
              <w:top w:val="single" w:sz="4" w:space="0" w:color="7F7F7F" w:themeColor="text1" w:themeTint="80"/>
              <w:left w:val="nil"/>
              <w:right w:val="nil"/>
            </w:tcBorders>
            <w:hideMark/>
          </w:tcPr>
          <w:p w14:paraId="3A433E66" w14:textId="77777777" w:rsidR="00141B2C" w:rsidRPr="004E52C2" w:rsidRDefault="00141B2C" w:rsidP="00BE4DBF">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moderate hunger (%)</w:t>
            </w:r>
          </w:p>
        </w:tc>
        <w:tc>
          <w:tcPr>
            <w:tcW w:w="1800" w:type="dxa"/>
            <w:tcBorders>
              <w:top w:val="single" w:sz="4" w:space="0" w:color="7F7F7F" w:themeColor="text1" w:themeTint="80"/>
              <w:left w:val="nil"/>
              <w:right w:val="nil"/>
            </w:tcBorders>
            <w:hideMark/>
          </w:tcPr>
          <w:p w14:paraId="40BD8F45" w14:textId="77777777" w:rsidR="00141B2C" w:rsidRPr="004E52C2" w:rsidRDefault="00141B2C" w:rsidP="00BE4DBF">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severe hunger (%)</w:t>
            </w:r>
          </w:p>
        </w:tc>
      </w:tr>
      <w:tr w:rsidR="00141B2C" w:rsidRPr="004E52C2" w14:paraId="12553597"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dxa"/>
            <w:tcBorders>
              <w:left w:val="nil"/>
              <w:right w:val="nil"/>
            </w:tcBorders>
            <w:hideMark/>
          </w:tcPr>
          <w:p w14:paraId="5A38C311" w14:textId="77777777" w:rsidR="00141B2C" w:rsidRPr="004E52C2" w:rsidRDefault="00141B2C" w:rsidP="00BE4DBF">
            <w:pPr>
              <w:spacing w:after="160" w:line="259" w:lineRule="auto"/>
              <w:jc w:val="both"/>
              <w:rPr>
                <w:rFonts w:cstheme="minorHAnsi"/>
                <w:sz w:val="24"/>
                <w:szCs w:val="24"/>
                <w:lang w:val="en-US"/>
              </w:rPr>
            </w:pPr>
            <w:r w:rsidRPr="004E52C2">
              <w:rPr>
                <w:rFonts w:cstheme="minorHAnsi"/>
                <w:sz w:val="24"/>
                <w:szCs w:val="24"/>
                <w:lang w:val="en-US"/>
              </w:rPr>
              <w:t>Male</w:t>
            </w:r>
          </w:p>
        </w:tc>
        <w:tc>
          <w:tcPr>
            <w:tcW w:w="1620" w:type="dxa"/>
            <w:tcBorders>
              <w:left w:val="nil"/>
              <w:right w:val="nil"/>
            </w:tcBorders>
            <w:hideMark/>
          </w:tcPr>
          <w:p w14:paraId="4EA04ABA"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72.76</w:t>
            </w:r>
          </w:p>
        </w:tc>
        <w:tc>
          <w:tcPr>
            <w:tcW w:w="1435" w:type="dxa"/>
            <w:tcBorders>
              <w:left w:val="nil"/>
              <w:right w:val="nil"/>
            </w:tcBorders>
            <w:hideMark/>
          </w:tcPr>
          <w:p w14:paraId="765F9C75"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29.41</w:t>
            </w:r>
          </w:p>
        </w:tc>
        <w:tc>
          <w:tcPr>
            <w:tcW w:w="1890" w:type="dxa"/>
            <w:tcBorders>
              <w:left w:val="nil"/>
              <w:right w:val="nil"/>
            </w:tcBorders>
            <w:hideMark/>
          </w:tcPr>
          <w:p w14:paraId="4D021B01"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48.66</w:t>
            </w:r>
          </w:p>
        </w:tc>
        <w:tc>
          <w:tcPr>
            <w:tcW w:w="1800" w:type="dxa"/>
            <w:tcBorders>
              <w:left w:val="nil"/>
              <w:right w:val="nil"/>
            </w:tcBorders>
            <w:hideMark/>
          </w:tcPr>
          <w:p w14:paraId="64D2E1C8"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14.44</w:t>
            </w:r>
          </w:p>
        </w:tc>
        <w:tc>
          <w:tcPr>
            <w:tcW w:w="1800" w:type="dxa"/>
            <w:tcBorders>
              <w:left w:val="nil"/>
              <w:right w:val="nil"/>
            </w:tcBorders>
            <w:hideMark/>
          </w:tcPr>
          <w:p w14:paraId="092CAF7E"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7.49</w:t>
            </w:r>
          </w:p>
        </w:tc>
      </w:tr>
      <w:tr w:rsidR="00141B2C" w:rsidRPr="004E52C2" w14:paraId="333E76F8" w14:textId="77777777" w:rsidTr="00D85854">
        <w:tc>
          <w:tcPr>
            <w:cnfStyle w:val="001000000000" w:firstRow="0" w:lastRow="0" w:firstColumn="1" w:lastColumn="0" w:oddVBand="0" w:evenVBand="0" w:oddHBand="0" w:evenHBand="0" w:firstRowFirstColumn="0" w:firstRowLastColumn="0" w:lastRowFirstColumn="0" w:lastRowLastColumn="0"/>
            <w:tcW w:w="1350" w:type="dxa"/>
            <w:tcBorders>
              <w:top w:val="nil"/>
              <w:left w:val="nil"/>
              <w:bottom w:val="nil"/>
              <w:right w:val="nil"/>
            </w:tcBorders>
            <w:hideMark/>
          </w:tcPr>
          <w:p w14:paraId="69F599E6" w14:textId="77777777" w:rsidR="00141B2C" w:rsidRPr="004E52C2" w:rsidRDefault="00141B2C" w:rsidP="00BE4DBF">
            <w:pPr>
              <w:spacing w:after="160" w:line="259" w:lineRule="auto"/>
              <w:jc w:val="both"/>
              <w:rPr>
                <w:rFonts w:cstheme="minorHAnsi"/>
                <w:sz w:val="24"/>
                <w:szCs w:val="24"/>
                <w:lang w:val="en-US"/>
              </w:rPr>
            </w:pPr>
            <w:r w:rsidRPr="004E52C2">
              <w:rPr>
                <w:rFonts w:cstheme="minorHAnsi"/>
                <w:sz w:val="24"/>
                <w:szCs w:val="24"/>
                <w:lang w:val="en-US"/>
              </w:rPr>
              <w:t>Female</w:t>
            </w:r>
          </w:p>
        </w:tc>
        <w:tc>
          <w:tcPr>
            <w:tcW w:w="1620" w:type="dxa"/>
            <w:tcBorders>
              <w:top w:val="nil"/>
              <w:left w:val="nil"/>
              <w:bottom w:val="nil"/>
              <w:right w:val="nil"/>
            </w:tcBorders>
            <w:hideMark/>
          </w:tcPr>
          <w:p w14:paraId="0E1E07AA"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27.24</w:t>
            </w:r>
          </w:p>
        </w:tc>
        <w:tc>
          <w:tcPr>
            <w:tcW w:w="1435" w:type="dxa"/>
            <w:tcBorders>
              <w:top w:val="nil"/>
              <w:left w:val="nil"/>
              <w:bottom w:val="nil"/>
              <w:right w:val="nil"/>
            </w:tcBorders>
            <w:hideMark/>
          </w:tcPr>
          <w:p w14:paraId="3118C8F2"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30.00</w:t>
            </w:r>
          </w:p>
        </w:tc>
        <w:tc>
          <w:tcPr>
            <w:tcW w:w="1890" w:type="dxa"/>
            <w:tcBorders>
              <w:top w:val="nil"/>
              <w:left w:val="nil"/>
              <w:bottom w:val="nil"/>
              <w:right w:val="nil"/>
            </w:tcBorders>
            <w:hideMark/>
          </w:tcPr>
          <w:p w14:paraId="1EE1AAA2"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54.29</w:t>
            </w:r>
          </w:p>
        </w:tc>
        <w:tc>
          <w:tcPr>
            <w:tcW w:w="1800" w:type="dxa"/>
            <w:tcBorders>
              <w:top w:val="nil"/>
              <w:left w:val="nil"/>
              <w:bottom w:val="nil"/>
              <w:right w:val="nil"/>
            </w:tcBorders>
            <w:hideMark/>
          </w:tcPr>
          <w:p w14:paraId="525BBD9A"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12.86</w:t>
            </w:r>
          </w:p>
        </w:tc>
        <w:tc>
          <w:tcPr>
            <w:tcW w:w="1800" w:type="dxa"/>
            <w:tcBorders>
              <w:top w:val="nil"/>
              <w:left w:val="nil"/>
              <w:bottom w:val="nil"/>
              <w:right w:val="nil"/>
            </w:tcBorders>
            <w:hideMark/>
          </w:tcPr>
          <w:p w14:paraId="248591FE"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2.86</w:t>
            </w:r>
          </w:p>
        </w:tc>
      </w:tr>
      <w:tr w:rsidR="00141B2C" w:rsidRPr="004E52C2" w14:paraId="48EFBDC6"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dxa"/>
            <w:tcBorders>
              <w:left w:val="nil"/>
              <w:right w:val="nil"/>
            </w:tcBorders>
            <w:hideMark/>
          </w:tcPr>
          <w:p w14:paraId="7E66DCAF" w14:textId="77777777" w:rsidR="00141B2C" w:rsidRPr="004E52C2" w:rsidRDefault="00141B2C" w:rsidP="00BE4DBF">
            <w:pPr>
              <w:spacing w:after="160" w:line="259" w:lineRule="auto"/>
              <w:jc w:val="both"/>
              <w:rPr>
                <w:rFonts w:cstheme="minorHAnsi"/>
                <w:sz w:val="24"/>
                <w:szCs w:val="24"/>
                <w:lang w:val="en-US"/>
              </w:rPr>
            </w:pPr>
            <w:r w:rsidRPr="004E52C2">
              <w:rPr>
                <w:rFonts w:cstheme="minorHAnsi"/>
                <w:sz w:val="24"/>
                <w:szCs w:val="24"/>
                <w:lang w:val="en-US"/>
              </w:rPr>
              <w:t>Total</w:t>
            </w:r>
          </w:p>
        </w:tc>
        <w:tc>
          <w:tcPr>
            <w:tcW w:w="1620" w:type="dxa"/>
            <w:tcBorders>
              <w:left w:val="nil"/>
              <w:right w:val="nil"/>
            </w:tcBorders>
            <w:hideMark/>
          </w:tcPr>
          <w:p w14:paraId="4B2D288C"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w:t>
            </w:r>
          </w:p>
        </w:tc>
        <w:tc>
          <w:tcPr>
            <w:tcW w:w="1435" w:type="dxa"/>
            <w:tcBorders>
              <w:left w:val="nil"/>
              <w:right w:val="nil"/>
            </w:tcBorders>
          </w:tcPr>
          <w:p w14:paraId="1E79702F"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90" w:type="dxa"/>
            <w:tcBorders>
              <w:left w:val="nil"/>
              <w:right w:val="nil"/>
            </w:tcBorders>
          </w:tcPr>
          <w:p w14:paraId="33D16F13"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00" w:type="dxa"/>
            <w:tcBorders>
              <w:left w:val="nil"/>
              <w:right w:val="nil"/>
            </w:tcBorders>
          </w:tcPr>
          <w:p w14:paraId="049F07FE"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00" w:type="dxa"/>
            <w:tcBorders>
              <w:left w:val="nil"/>
              <w:right w:val="nil"/>
            </w:tcBorders>
          </w:tcPr>
          <w:p w14:paraId="640257D0"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r>
    </w:tbl>
    <w:p w14:paraId="30502E65" w14:textId="77777777" w:rsidR="00141B2C" w:rsidRPr="004E52C2" w:rsidRDefault="00141B2C" w:rsidP="00BE4DBF">
      <w:pPr>
        <w:jc w:val="both"/>
        <w:rPr>
          <w:rFonts w:cstheme="minorHAnsi"/>
          <w:bCs/>
          <w:sz w:val="24"/>
          <w:szCs w:val="24"/>
          <w:lang w:val="en-US"/>
        </w:rPr>
      </w:pPr>
      <w:r w:rsidRPr="004E52C2">
        <w:rPr>
          <w:rFonts w:cstheme="minorHAnsi"/>
          <w:bCs/>
          <w:sz w:val="24"/>
          <w:szCs w:val="24"/>
          <w:lang w:val="en-US"/>
        </w:rPr>
        <w:t>Source: Field survey, 2023.</w:t>
      </w:r>
    </w:p>
    <w:p w14:paraId="0F10ADE3" w14:textId="7DA9520D" w:rsidR="00141B2C" w:rsidRPr="004E52C2" w:rsidRDefault="00B5477B" w:rsidP="00BE4DBF">
      <w:pPr>
        <w:jc w:val="both"/>
        <w:rPr>
          <w:rFonts w:cstheme="minorHAnsi"/>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 xml:space="preserve">.1.2 Age of household head </w:t>
      </w:r>
    </w:p>
    <w:p w14:paraId="0DEBA51A" w14:textId="3347E789" w:rsidR="00141B2C" w:rsidRPr="004E52C2" w:rsidRDefault="00D85854" w:rsidP="00BE4DBF">
      <w:pPr>
        <w:jc w:val="both"/>
        <w:rPr>
          <w:rFonts w:cstheme="minorHAnsi"/>
          <w:bCs/>
          <w:sz w:val="24"/>
          <w:szCs w:val="24"/>
          <w:lang w:val="en-US"/>
        </w:rPr>
      </w:pPr>
      <w:r w:rsidRPr="004E52C2">
        <w:rPr>
          <w:rFonts w:cstheme="minorHAnsi"/>
          <w:bCs/>
          <w:sz w:val="24"/>
          <w:szCs w:val="24"/>
          <w:lang w:val="en-US"/>
        </w:rPr>
        <w:t xml:space="preserve">Table </w:t>
      </w:r>
      <w:r w:rsidR="004E52C2">
        <w:rPr>
          <w:rFonts w:cstheme="minorHAnsi"/>
          <w:bCs/>
          <w:sz w:val="24"/>
          <w:szCs w:val="24"/>
          <w:lang w:val="en-US"/>
        </w:rPr>
        <w:t>3</w:t>
      </w:r>
      <w:r w:rsidR="00141B2C" w:rsidRPr="004E52C2">
        <w:rPr>
          <w:rFonts w:cstheme="minorHAnsi"/>
          <w:bCs/>
          <w:sz w:val="24"/>
          <w:szCs w:val="24"/>
          <w:lang w:val="en-US"/>
        </w:rPr>
        <w:t xml:space="preserve"> provides data on the household heads' mean age, which is reported as 49.15 years, and the standard deviation calculated is 12.24 years. This means the majority of household heads are closer to the age of 49. The largest age bracket are the 31-60 years category, with about 69.26%, while the least age bracket, with 11.67%, are those below 30 years. Among households with a household head aged less than 30, a large portion of 73.33% was recorded, which is higher than the two other brackets of “31-60” and “&gt;60” at 48.88% and 40.82%, respectively. Many young people are reported to be food insecure without hunger, while 0% are food insecure with severe hunger. </w:t>
      </w:r>
    </w:p>
    <w:p w14:paraId="24297C70" w14:textId="1A62541A" w:rsidR="00141B2C" w:rsidRPr="004E52C2" w:rsidRDefault="00141B2C" w:rsidP="00BE4DBF">
      <w:pPr>
        <w:jc w:val="both"/>
        <w:rPr>
          <w:rFonts w:cstheme="minorHAnsi"/>
          <w:bCs/>
          <w:sz w:val="24"/>
          <w:szCs w:val="24"/>
          <w:lang w:val="en-US"/>
        </w:rPr>
      </w:pPr>
      <w:commentRangeStart w:id="27"/>
      <w:r w:rsidRPr="004E52C2">
        <w:rPr>
          <w:rFonts w:cstheme="minorHAnsi"/>
          <w:bCs/>
          <w:sz w:val="24"/>
          <w:szCs w:val="24"/>
          <w:lang w:val="en-US"/>
        </w:rPr>
        <w:t xml:space="preserve">The Most food secure age bracket are the households with their head of household above 60, which is about 38.78%. This is in comparison to the “&lt;30” and “31-60” age brackets at 16.67% and 29.21% respectively. The description provided </w:t>
      </w:r>
      <w:r w:rsidR="00D85854" w:rsidRPr="004E52C2">
        <w:rPr>
          <w:rFonts w:cstheme="minorHAnsi"/>
          <w:bCs/>
          <w:sz w:val="24"/>
          <w:szCs w:val="24"/>
          <w:lang w:val="en-US"/>
        </w:rPr>
        <w:t xml:space="preserve">in Table </w:t>
      </w:r>
      <w:r w:rsidR="004E52C2">
        <w:rPr>
          <w:rFonts w:cstheme="minorHAnsi"/>
          <w:bCs/>
          <w:sz w:val="24"/>
          <w:szCs w:val="24"/>
          <w:lang w:val="en-US"/>
        </w:rPr>
        <w:t>3</w:t>
      </w:r>
      <w:r w:rsidRPr="004E52C2">
        <w:rPr>
          <w:rFonts w:cstheme="minorHAnsi"/>
          <w:bCs/>
          <w:sz w:val="24"/>
          <w:szCs w:val="24"/>
          <w:lang w:val="en-US"/>
        </w:rPr>
        <w:t xml:space="preserve"> shows that although elderly individuals are the most food secure, they are also the most food insecure with severe hunger, which shows that they have the most diverse category. This more significant portion of older more than any other age bracket, are experiencing food insecurity with severe hunger at 8.16%, </w:t>
      </w:r>
      <w:commentRangeEnd w:id="27"/>
      <w:r w:rsidR="00B86618" w:rsidRPr="004E52C2">
        <w:rPr>
          <w:rStyle w:val="CommentReference"/>
          <w:rFonts w:cstheme="minorHAnsi"/>
          <w:bCs/>
          <w:sz w:val="24"/>
          <w:szCs w:val="24"/>
          <w:lang w:val="en-US"/>
        </w:rPr>
        <w:lastRenderedPageBreak/>
        <w:commentReference w:id="27"/>
      </w:r>
      <w:r w:rsidRPr="004E52C2">
        <w:rPr>
          <w:rFonts w:cstheme="minorHAnsi"/>
          <w:bCs/>
          <w:sz w:val="24"/>
          <w:szCs w:val="24"/>
          <w:lang w:val="en-US"/>
        </w:rPr>
        <w:t>measured against the other age brackets of “&lt;30” and “31-60” at 6.74% and 8.16%, respectively. Households with older heads are subjected to feeding more members than other households.</w:t>
      </w:r>
    </w:p>
    <w:p w14:paraId="66978BAF" w14:textId="287CD9F3" w:rsidR="00141B2C" w:rsidRPr="004E52C2" w:rsidRDefault="00141B2C" w:rsidP="00BE4DBF">
      <w:pPr>
        <w:jc w:val="both"/>
        <w:rPr>
          <w:rFonts w:cstheme="minorHAnsi"/>
          <w:bCs/>
          <w:sz w:val="24"/>
          <w:szCs w:val="24"/>
          <w:lang w:val="en-US"/>
        </w:rPr>
      </w:pPr>
      <w:r w:rsidRPr="004E52C2">
        <w:rPr>
          <w:rFonts w:cstheme="minorHAnsi"/>
          <w:bCs/>
          <w:sz w:val="24"/>
          <w:szCs w:val="24"/>
          <w:lang w:val="en-US"/>
        </w:rPr>
        <w:t xml:space="preserve">Table </w:t>
      </w:r>
      <w:r w:rsidR="00D92B88">
        <w:rPr>
          <w:rFonts w:cstheme="minorHAnsi"/>
          <w:bCs/>
          <w:sz w:val="24"/>
          <w:szCs w:val="24"/>
          <w:lang w:val="en-US"/>
        </w:rPr>
        <w:t>3</w:t>
      </w:r>
      <w:r w:rsidRPr="004E52C2">
        <w:rPr>
          <w:rFonts w:cstheme="minorHAnsi"/>
          <w:bCs/>
          <w:sz w:val="24"/>
          <w:szCs w:val="24"/>
          <w:lang w:val="en-US"/>
        </w:rPr>
        <w:t>: Distribution of households by the age of household head.</w:t>
      </w:r>
    </w:p>
    <w:tbl>
      <w:tblPr>
        <w:tblStyle w:val="PlainTable2"/>
        <w:tblW w:w="9900" w:type="dxa"/>
        <w:tblLayout w:type="fixed"/>
        <w:tblLook w:val="04A0" w:firstRow="1" w:lastRow="0" w:firstColumn="1" w:lastColumn="0" w:noHBand="0" w:noVBand="1"/>
      </w:tblPr>
      <w:tblGrid>
        <w:gridCol w:w="1435"/>
        <w:gridCol w:w="1621"/>
        <w:gridCol w:w="1351"/>
        <w:gridCol w:w="1891"/>
        <w:gridCol w:w="1801"/>
        <w:gridCol w:w="1801"/>
      </w:tblGrid>
      <w:tr w:rsidR="00141B2C" w:rsidRPr="004E52C2" w14:paraId="279D4B88" w14:textId="77777777" w:rsidTr="00D858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Borders>
              <w:top w:val="single" w:sz="4" w:space="0" w:color="7F7F7F" w:themeColor="text1" w:themeTint="80"/>
              <w:left w:val="nil"/>
              <w:right w:val="nil"/>
            </w:tcBorders>
            <w:hideMark/>
          </w:tcPr>
          <w:p w14:paraId="5ED69EDA" w14:textId="77777777" w:rsidR="00141B2C" w:rsidRPr="004E52C2" w:rsidRDefault="00141B2C" w:rsidP="00BE4DBF">
            <w:pPr>
              <w:spacing w:after="160" w:line="259" w:lineRule="auto"/>
              <w:jc w:val="both"/>
              <w:rPr>
                <w:rFonts w:cstheme="minorHAnsi"/>
                <w:sz w:val="24"/>
                <w:szCs w:val="24"/>
                <w:lang w:val="en-US"/>
              </w:rPr>
            </w:pPr>
            <w:r w:rsidRPr="004E52C2">
              <w:rPr>
                <w:rFonts w:cstheme="minorHAnsi"/>
                <w:sz w:val="24"/>
                <w:szCs w:val="24"/>
                <w:lang w:val="en-US"/>
              </w:rPr>
              <w:t>Age of household head n=257</w:t>
            </w:r>
          </w:p>
        </w:tc>
        <w:tc>
          <w:tcPr>
            <w:tcW w:w="1620" w:type="dxa"/>
            <w:tcBorders>
              <w:top w:val="single" w:sz="4" w:space="0" w:color="7F7F7F" w:themeColor="text1" w:themeTint="80"/>
              <w:left w:val="nil"/>
              <w:right w:val="nil"/>
            </w:tcBorders>
            <w:hideMark/>
          </w:tcPr>
          <w:p w14:paraId="6A98E8B6" w14:textId="77777777" w:rsidR="00141B2C" w:rsidRPr="004E52C2" w:rsidRDefault="00141B2C" w:rsidP="00BE4DBF">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Frequency (%)</w:t>
            </w:r>
          </w:p>
        </w:tc>
        <w:tc>
          <w:tcPr>
            <w:tcW w:w="1350" w:type="dxa"/>
            <w:tcBorders>
              <w:top w:val="single" w:sz="4" w:space="0" w:color="7F7F7F" w:themeColor="text1" w:themeTint="80"/>
              <w:left w:val="nil"/>
              <w:right w:val="nil"/>
            </w:tcBorders>
            <w:hideMark/>
          </w:tcPr>
          <w:p w14:paraId="07246DF4" w14:textId="77777777" w:rsidR="00141B2C" w:rsidRPr="004E52C2" w:rsidRDefault="00141B2C" w:rsidP="00BE4DBF">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Secure</w:t>
            </w:r>
          </w:p>
          <w:p w14:paraId="1B9AE955" w14:textId="77777777" w:rsidR="00141B2C" w:rsidRPr="004E52C2" w:rsidRDefault="00141B2C" w:rsidP="00BE4DBF">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890" w:type="dxa"/>
            <w:tcBorders>
              <w:top w:val="single" w:sz="4" w:space="0" w:color="7F7F7F" w:themeColor="text1" w:themeTint="80"/>
              <w:left w:val="nil"/>
              <w:right w:val="nil"/>
            </w:tcBorders>
            <w:hideMark/>
          </w:tcPr>
          <w:p w14:paraId="20F6247E" w14:textId="77777777" w:rsidR="00141B2C" w:rsidRPr="004E52C2" w:rsidRDefault="00141B2C" w:rsidP="00BE4DBF">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without hunger</w:t>
            </w:r>
          </w:p>
          <w:p w14:paraId="1DE2BB9C" w14:textId="77777777" w:rsidR="00141B2C" w:rsidRPr="004E52C2" w:rsidRDefault="00141B2C" w:rsidP="00BE4DBF">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800" w:type="dxa"/>
            <w:tcBorders>
              <w:top w:val="single" w:sz="4" w:space="0" w:color="7F7F7F" w:themeColor="text1" w:themeTint="80"/>
              <w:left w:val="nil"/>
              <w:right w:val="nil"/>
            </w:tcBorders>
            <w:hideMark/>
          </w:tcPr>
          <w:p w14:paraId="1E440E3D" w14:textId="77777777" w:rsidR="00141B2C" w:rsidRPr="004E52C2" w:rsidRDefault="00141B2C" w:rsidP="00BE4DBF">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moderate hunger (%)</w:t>
            </w:r>
          </w:p>
        </w:tc>
        <w:tc>
          <w:tcPr>
            <w:tcW w:w="1800" w:type="dxa"/>
            <w:tcBorders>
              <w:top w:val="single" w:sz="4" w:space="0" w:color="7F7F7F" w:themeColor="text1" w:themeTint="80"/>
              <w:left w:val="nil"/>
              <w:right w:val="nil"/>
            </w:tcBorders>
            <w:hideMark/>
          </w:tcPr>
          <w:p w14:paraId="33E30756" w14:textId="77777777" w:rsidR="00141B2C" w:rsidRPr="004E52C2" w:rsidRDefault="00141B2C" w:rsidP="00BE4DBF">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severe hunger (%)</w:t>
            </w:r>
          </w:p>
        </w:tc>
      </w:tr>
      <w:tr w:rsidR="00141B2C" w:rsidRPr="004E52C2" w14:paraId="75AFEE5A"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Borders>
              <w:left w:val="nil"/>
              <w:right w:val="nil"/>
            </w:tcBorders>
            <w:hideMark/>
          </w:tcPr>
          <w:p w14:paraId="5867595A" w14:textId="77777777" w:rsidR="00141B2C" w:rsidRPr="004E52C2" w:rsidRDefault="00141B2C" w:rsidP="00BE4DBF">
            <w:pPr>
              <w:spacing w:after="160" w:line="259" w:lineRule="auto"/>
              <w:jc w:val="both"/>
              <w:rPr>
                <w:rFonts w:cstheme="minorHAnsi"/>
                <w:sz w:val="24"/>
                <w:szCs w:val="24"/>
                <w:lang w:val="en-US"/>
              </w:rPr>
            </w:pPr>
            <w:r w:rsidRPr="004E52C2">
              <w:rPr>
                <w:rFonts w:cstheme="minorHAnsi"/>
                <w:sz w:val="24"/>
                <w:szCs w:val="24"/>
                <w:lang w:val="en-US"/>
              </w:rPr>
              <w:t>&lt;30</w:t>
            </w:r>
          </w:p>
        </w:tc>
        <w:tc>
          <w:tcPr>
            <w:tcW w:w="1620" w:type="dxa"/>
            <w:tcBorders>
              <w:left w:val="nil"/>
              <w:right w:val="nil"/>
            </w:tcBorders>
            <w:hideMark/>
          </w:tcPr>
          <w:p w14:paraId="0FDBAD56"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11.67</w:t>
            </w:r>
          </w:p>
        </w:tc>
        <w:tc>
          <w:tcPr>
            <w:tcW w:w="1350" w:type="dxa"/>
            <w:tcBorders>
              <w:left w:val="nil"/>
              <w:right w:val="nil"/>
            </w:tcBorders>
            <w:hideMark/>
          </w:tcPr>
          <w:p w14:paraId="79957556"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16.67</w:t>
            </w:r>
          </w:p>
        </w:tc>
        <w:tc>
          <w:tcPr>
            <w:tcW w:w="1890" w:type="dxa"/>
            <w:tcBorders>
              <w:left w:val="nil"/>
              <w:right w:val="nil"/>
            </w:tcBorders>
            <w:hideMark/>
          </w:tcPr>
          <w:p w14:paraId="75C34DD0"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73.33</w:t>
            </w:r>
          </w:p>
        </w:tc>
        <w:tc>
          <w:tcPr>
            <w:tcW w:w="1800" w:type="dxa"/>
            <w:tcBorders>
              <w:left w:val="nil"/>
              <w:right w:val="nil"/>
            </w:tcBorders>
            <w:hideMark/>
          </w:tcPr>
          <w:p w14:paraId="608D2237"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10.00</w:t>
            </w:r>
          </w:p>
        </w:tc>
        <w:tc>
          <w:tcPr>
            <w:tcW w:w="1800" w:type="dxa"/>
            <w:tcBorders>
              <w:left w:val="nil"/>
              <w:right w:val="nil"/>
            </w:tcBorders>
            <w:hideMark/>
          </w:tcPr>
          <w:p w14:paraId="21668959"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0.00</w:t>
            </w:r>
          </w:p>
        </w:tc>
      </w:tr>
      <w:tr w:rsidR="00141B2C" w:rsidRPr="004E52C2" w14:paraId="107F602A" w14:textId="77777777" w:rsidTr="00D85854">
        <w:tc>
          <w:tcPr>
            <w:cnfStyle w:val="001000000000" w:firstRow="0" w:lastRow="0" w:firstColumn="1" w:lastColumn="0" w:oddVBand="0" w:evenVBand="0" w:oddHBand="0" w:evenHBand="0" w:firstRowFirstColumn="0" w:firstRowLastColumn="0" w:lastRowFirstColumn="0" w:lastRowLastColumn="0"/>
            <w:tcW w:w="1435" w:type="dxa"/>
            <w:tcBorders>
              <w:top w:val="nil"/>
              <w:left w:val="nil"/>
              <w:bottom w:val="nil"/>
              <w:right w:val="nil"/>
            </w:tcBorders>
            <w:hideMark/>
          </w:tcPr>
          <w:p w14:paraId="7957D66C" w14:textId="77777777" w:rsidR="00141B2C" w:rsidRPr="004E52C2" w:rsidRDefault="00141B2C" w:rsidP="00BE4DBF">
            <w:pPr>
              <w:spacing w:after="160" w:line="259" w:lineRule="auto"/>
              <w:jc w:val="both"/>
              <w:rPr>
                <w:rFonts w:cstheme="minorHAnsi"/>
                <w:sz w:val="24"/>
                <w:szCs w:val="24"/>
                <w:lang w:val="en-US"/>
              </w:rPr>
            </w:pPr>
            <w:r w:rsidRPr="004E52C2">
              <w:rPr>
                <w:rFonts w:cstheme="minorHAnsi"/>
                <w:sz w:val="24"/>
                <w:szCs w:val="24"/>
                <w:lang w:val="en-US"/>
              </w:rPr>
              <w:t>31-60</w:t>
            </w:r>
          </w:p>
        </w:tc>
        <w:tc>
          <w:tcPr>
            <w:tcW w:w="1620" w:type="dxa"/>
            <w:tcBorders>
              <w:top w:val="nil"/>
              <w:left w:val="nil"/>
              <w:bottom w:val="nil"/>
              <w:right w:val="nil"/>
            </w:tcBorders>
            <w:hideMark/>
          </w:tcPr>
          <w:p w14:paraId="39C9E472"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69.26</w:t>
            </w:r>
          </w:p>
        </w:tc>
        <w:tc>
          <w:tcPr>
            <w:tcW w:w="1350" w:type="dxa"/>
            <w:tcBorders>
              <w:top w:val="nil"/>
              <w:left w:val="nil"/>
              <w:bottom w:val="nil"/>
              <w:right w:val="nil"/>
            </w:tcBorders>
            <w:hideMark/>
          </w:tcPr>
          <w:p w14:paraId="114DC2F5"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29.21</w:t>
            </w:r>
          </w:p>
        </w:tc>
        <w:tc>
          <w:tcPr>
            <w:tcW w:w="1890" w:type="dxa"/>
            <w:tcBorders>
              <w:top w:val="nil"/>
              <w:left w:val="nil"/>
              <w:bottom w:val="nil"/>
              <w:right w:val="nil"/>
            </w:tcBorders>
            <w:hideMark/>
          </w:tcPr>
          <w:p w14:paraId="6F3CE6CD"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48.88</w:t>
            </w:r>
          </w:p>
        </w:tc>
        <w:tc>
          <w:tcPr>
            <w:tcW w:w="1800" w:type="dxa"/>
            <w:tcBorders>
              <w:top w:val="nil"/>
              <w:left w:val="nil"/>
              <w:bottom w:val="nil"/>
              <w:right w:val="nil"/>
            </w:tcBorders>
            <w:hideMark/>
          </w:tcPr>
          <w:p w14:paraId="0E6F305A"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15.17</w:t>
            </w:r>
          </w:p>
        </w:tc>
        <w:tc>
          <w:tcPr>
            <w:tcW w:w="1800" w:type="dxa"/>
            <w:tcBorders>
              <w:top w:val="nil"/>
              <w:left w:val="nil"/>
              <w:bottom w:val="nil"/>
              <w:right w:val="nil"/>
            </w:tcBorders>
            <w:hideMark/>
          </w:tcPr>
          <w:p w14:paraId="5A9E9322"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6.74</w:t>
            </w:r>
          </w:p>
        </w:tc>
      </w:tr>
      <w:tr w:rsidR="00141B2C" w:rsidRPr="004E52C2" w14:paraId="2FB65E4C"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Borders>
              <w:left w:val="nil"/>
              <w:right w:val="nil"/>
            </w:tcBorders>
            <w:hideMark/>
          </w:tcPr>
          <w:p w14:paraId="0198D273" w14:textId="77777777" w:rsidR="00141B2C" w:rsidRPr="004E52C2" w:rsidRDefault="00141B2C" w:rsidP="00BE4DBF">
            <w:pPr>
              <w:spacing w:after="160" w:line="259" w:lineRule="auto"/>
              <w:jc w:val="both"/>
              <w:rPr>
                <w:rFonts w:cstheme="minorHAnsi"/>
                <w:sz w:val="24"/>
                <w:szCs w:val="24"/>
                <w:lang w:val="en-US"/>
              </w:rPr>
            </w:pPr>
            <w:r w:rsidRPr="004E52C2">
              <w:rPr>
                <w:rFonts w:cstheme="minorHAnsi"/>
                <w:sz w:val="24"/>
                <w:szCs w:val="24"/>
                <w:lang w:val="en-US"/>
              </w:rPr>
              <w:t>&gt;60</w:t>
            </w:r>
          </w:p>
        </w:tc>
        <w:tc>
          <w:tcPr>
            <w:tcW w:w="1620" w:type="dxa"/>
            <w:tcBorders>
              <w:left w:val="nil"/>
              <w:right w:val="nil"/>
            </w:tcBorders>
            <w:hideMark/>
          </w:tcPr>
          <w:p w14:paraId="5ECE392D"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19.07</w:t>
            </w:r>
          </w:p>
        </w:tc>
        <w:tc>
          <w:tcPr>
            <w:tcW w:w="1350" w:type="dxa"/>
            <w:tcBorders>
              <w:left w:val="nil"/>
              <w:right w:val="nil"/>
            </w:tcBorders>
            <w:hideMark/>
          </w:tcPr>
          <w:p w14:paraId="2874646B"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38.78</w:t>
            </w:r>
          </w:p>
        </w:tc>
        <w:tc>
          <w:tcPr>
            <w:tcW w:w="1890" w:type="dxa"/>
            <w:tcBorders>
              <w:left w:val="nil"/>
              <w:right w:val="nil"/>
            </w:tcBorders>
            <w:hideMark/>
          </w:tcPr>
          <w:p w14:paraId="143D1F7C"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40.82</w:t>
            </w:r>
          </w:p>
        </w:tc>
        <w:tc>
          <w:tcPr>
            <w:tcW w:w="1800" w:type="dxa"/>
            <w:tcBorders>
              <w:left w:val="nil"/>
              <w:right w:val="nil"/>
            </w:tcBorders>
            <w:hideMark/>
          </w:tcPr>
          <w:p w14:paraId="07ED9DE2"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12.24</w:t>
            </w:r>
          </w:p>
        </w:tc>
        <w:tc>
          <w:tcPr>
            <w:tcW w:w="1800" w:type="dxa"/>
            <w:tcBorders>
              <w:left w:val="nil"/>
              <w:right w:val="nil"/>
            </w:tcBorders>
            <w:hideMark/>
          </w:tcPr>
          <w:p w14:paraId="41CEA5AB"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8.16</w:t>
            </w:r>
          </w:p>
        </w:tc>
      </w:tr>
      <w:tr w:rsidR="00141B2C" w:rsidRPr="004E52C2" w14:paraId="5713FAD5" w14:textId="77777777" w:rsidTr="00D85854">
        <w:tc>
          <w:tcPr>
            <w:cnfStyle w:val="001000000000" w:firstRow="0" w:lastRow="0" w:firstColumn="1" w:lastColumn="0" w:oddVBand="0" w:evenVBand="0" w:oddHBand="0" w:evenHBand="0" w:firstRowFirstColumn="0" w:firstRowLastColumn="0" w:lastRowFirstColumn="0" w:lastRowLastColumn="0"/>
            <w:tcW w:w="1435" w:type="dxa"/>
            <w:tcBorders>
              <w:top w:val="single" w:sz="4" w:space="0" w:color="7F7F7F" w:themeColor="text1" w:themeTint="80"/>
              <w:left w:val="nil"/>
              <w:bottom w:val="single" w:sz="4" w:space="0" w:color="auto"/>
              <w:right w:val="nil"/>
            </w:tcBorders>
            <w:hideMark/>
          </w:tcPr>
          <w:p w14:paraId="024C66E6" w14:textId="77777777" w:rsidR="00141B2C" w:rsidRPr="004E52C2" w:rsidRDefault="00141B2C" w:rsidP="00BE4DBF">
            <w:pPr>
              <w:spacing w:after="160" w:line="259" w:lineRule="auto"/>
              <w:jc w:val="both"/>
              <w:rPr>
                <w:rFonts w:cstheme="minorHAnsi"/>
                <w:sz w:val="24"/>
                <w:szCs w:val="24"/>
                <w:lang w:val="en-US"/>
              </w:rPr>
            </w:pPr>
            <w:r w:rsidRPr="004E52C2">
              <w:rPr>
                <w:rFonts w:cstheme="minorHAnsi"/>
                <w:sz w:val="24"/>
                <w:szCs w:val="24"/>
                <w:lang w:val="en-US"/>
              </w:rPr>
              <w:t xml:space="preserve">Total </w:t>
            </w:r>
          </w:p>
        </w:tc>
        <w:tc>
          <w:tcPr>
            <w:tcW w:w="1620" w:type="dxa"/>
            <w:tcBorders>
              <w:top w:val="single" w:sz="4" w:space="0" w:color="7F7F7F" w:themeColor="text1" w:themeTint="80"/>
              <w:left w:val="nil"/>
              <w:bottom w:val="single" w:sz="4" w:space="0" w:color="auto"/>
              <w:right w:val="nil"/>
            </w:tcBorders>
            <w:hideMark/>
          </w:tcPr>
          <w:p w14:paraId="48143E80"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w:t>
            </w:r>
          </w:p>
        </w:tc>
        <w:tc>
          <w:tcPr>
            <w:tcW w:w="1350" w:type="dxa"/>
            <w:tcBorders>
              <w:top w:val="single" w:sz="4" w:space="0" w:color="7F7F7F" w:themeColor="text1" w:themeTint="80"/>
              <w:left w:val="nil"/>
              <w:bottom w:val="single" w:sz="4" w:space="0" w:color="auto"/>
              <w:right w:val="nil"/>
            </w:tcBorders>
          </w:tcPr>
          <w:p w14:paraId="4BAE9024"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90" w:type="dxa"/>
            <w:tcBorders>
              <w:top w:val="single" w:sz="4" w:space="0" w:color="7F7F7F" w:themeColor="text1" w:themeTint="80"/>
              <w:left w:val="nil"/>
              <w:bottom w:val="single" w:sz="4" w:space="0" w:color="auto"/>
              <w:right w:val="nil"/>
            </w:tcBorders>
          </w:tcPr>
          <w:p w14:paraId="02DC852E"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00" w:type="dxa"/>
            <w:tcBorders>
              <w:top w:val="single" w:sz="4" w:space="0" w:color="7F7F7F" w:themeColor="text1" w:themeTint="80"/>
              <w:left w:val="nil"/>
              <w:bottom w:val="single" w:sz="4" w:space="0" w:color="auto"/>
              <w:right w:val="nil"/>
            </w:tcBorders>
          </w:tcPr>
          <w:p w14:paraId="60EDEFDB"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00" w:type="dxa"/>
            <w:tcBorders>
              <w:top w:val="single" w:sz="4" w:space="0" w:color="7F7F7F" w:themeColor="text1" w:themeTint="80"/>
              <w:left w:val="nil"/>
              <w:bottom w:val="single" w:sz="4" w:space="0" w:color="auto"/>
              <w:right w:val="nil"/>
            </w:tcBorders>
          </w:tcPr>
          <w:p w14:paraId="23177C9B"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r>
      <w:tr w:rsidR="00141B2C" w:rsidRPr="004E52C2" w14:paraId="590426E4"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Borders>
              <w:top w:val="single" w:sz="4" w:space="0" w:color="auto"/>
              <w:left w:val="nil"/>
              <w:bottom w:val="nil"/>
              <w:right w:val="nil"/>
            </w:tcBorders>
            <w:hideMark/>
          </w:tcPr>
          <w:p w14:paraId="348AA3E2" w14:textId="77777777" w:rsidR="00141B2C" w:rsidRPr="004E52C2" w:rsidRDefault="00141B2C" w:rsidP="00BE4DBF">
            <w:pPr>
              <w:spacing w:after="160" w:line="259" w:lineRule="auto"/>
              <w:jc w:val="both"/>
              <w:rPr>
                <w:rFonts w:cstheme="minorHAnsi"/>
                <w:sz w:val="24"/>
                <w:szCs w:val="24"/>
                <w:lang w:val="en-US"/>
              </w:rPr>
            </w:pPr>
            <w:r w:rsidRPr="004E52C2">
              <w:rPr>
                <w:rFonts w:cstheme="minorHAnsi"/>
                <w:sz w:val="24"/>
                <w:szCs w:val="24"/>
                <w:lang w:val="en-US"/>
              </w:rPr>
              <w:t xml:space="preserve">Mean age = </w:t>
            </w:r>
          </w:p>
        </w:tc>
        <w:tc>
          <w:tcPr>
            <w:tcW w:w="1620" w:type="dxa"/>
            <w:tcBorders>
              <w:top w:val="single" w:sz="4" w:space="0" w:color="auto"/>
              <w:left w:val="nil"/>
              <w:bottom w:val="nil"/>
              <w:right w:val="nil"/>
            </w:tcBorders>
            <w:hideMark/>
          </w:tcPr>
          <w:p w14:paraId="45BDDB29"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 xml:space="preserve">49.15175    </w:t>
            </w:r>
          </w:p>
        </w:tc>
        <w:tc>
          <w:tcPr>
            <w:tcW w:w="1350" w:type="dxa"/>
            <w:tcBorders>
              <w:top w:val="single" w:sz="4" w:space="0" w:color="auto"/>
              <w:left w:val="nil"/>
              <w:bottom w:val="nil"/>
              <w:right w:val="nil"/>
            </w:tcBorders>
          </w:tcPr>
          <w:p w14:paraId="1F8D875E"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90" w:type="dxa"/>
            <w:tcBorders>
              <w:top w:val="single" w:sz="4" w:space="0" w:color="auto"/>
              <w:left w:val="nil"/>
              <w:bottom w:val="nil"/>
              <w:right w:val="nil"/>
            </w:tcBorders>
          </w:tcPr>
          <w:p w14:paraId="138EE1F7"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00" w:type="dxa"/>
            <w:tcBorders>
              <w:top w:val="single" w:sz="4" w:space="0" w:color="auto"/>
              <w:left w:val="nil"/>
              <w:bottom w:val="nil"/>
              <w:right w:val="nil"/>
            </w:tcBorders>
          </w:tcPr>
          <w:p w14:paraId="6B7F78C6"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00" w:type="dxa"/>
            <w:tcBorders>
              <w:top w:val="single" w:sz="4" w:space="0" w:color="auto"/>
              <w:left w:val="nil"/>
              <w:bottom w:val="nil"/>
              <w:right w:val="nil"/>
            </w:tcBorders>
          </w:tcPr>
          <w:p w14:paraId="14493F0A" w14:textId="77777777" w:rsidR="00141B2C" w:rsidRPr="004E52C2" w:rsidRDefault="00141B2C" w:rsidP="00BE4DBF">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r>
      <w:tr w:rsidR="00141B2C" w:rsidRPr="004E52C2" w14:paraId="41495EBF" w14:textId="77777777" w:rsidTr="00D85854">
        <w:tc>
          <w:tcPr>
            <w:cnfStyle w:val="001000000000" w:firstRow="0" w:lastRow="0" w:firstColumn="1" w:lastColumn="0" w:oddVBand="0" w:evenVBand="0" w:oddHBand="0" w:evenHBand="0" w:firstRowFirstColumn="0" w:firstRowLastColumn="0" w:lastRowFirstColumn="0" w:lastRowLastColumn="0"/>
            <w:tcW w:w="1435" w:type="dxa"/>
            <w:tcBorders>
              <w:top w:val="nil"/>
              <w:left w:val="nil"/>
              <w:bottom w:val="single" w:sz="4" w:space="0" w:color="auto"/>
              <w:right w:val="nil"/>
            </w:tcBorders>
            <w:hideMark/>
          </w:tcPr>
          <w:p w14:paraId="0F54E4E1" w14:textId="77777777" w:rsidR="00141B2C" w:rsidRPr="004E52C2" w:rsidRDefault="00141B2C" w:rsidP="00BE4DBF">
            <w:pPr>
              <w:spacing w:after="160" w:line="259" w:lineRule="auto"/>
              <w:jc w:val="both"/>
              <w:rPr>
                <w:rFonts w:cstheme="minorHAnsi"/>
                <w:sz w:val="24"/>
                <w:szCs w:val="24"/>
                <w:lang w:val="en-US"/>
              </w:rPr>
            </w:pPr>
            <w:r w:rsidRPr="004E52C2">
              <w:rPr>
                <w:rFonts w:cstheme="minorHAnsi"/>
                <w:sz w:val="24"/>
                <w:szCs w:val="24"/>
                <w:lang w:val="en-US"/>
              </w:rPr>
              <w:t xml:space="preserve">Standard deviation = </w:t>
            </w:r>
          </w:p>
        </w:tc>
        <w:tc>
          <w:tcPr>
            <w:tcW w:w="1620" w:type="dxa"/>
            <w:tcBorders>
              <w:top w:val="nil"/>
              <w:left w:val="nil"/>
              <w:bottom w:val="single" w:sz="4" w:space="0" w:color="auto"/>
              <w:right w:val="nil"/>
            </w:tcBorders>
          </w:tcPr>
          <w:p w14:paraId="46DD3C5E"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p w14:paraId="3061B791"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12.24507</w:t>
            </w:r>
          </w:p>
        </w:tc>
        <w:tc>
          <w:tcPr>
            <w:tcW w:w="1350" w:type="dxa"/>
            <w:tcBorders>
              <w:top w:val="nil"/>
              <w:left w:val="nil"/>
              <w:bottom w:val="single" w:sz="4" w:space="0" w:color="auto"/>
              <w:right w:val="nil"/>
            </w:tcBorders>
          </w:tcPr>
          <w:p w14:paraId="2FCC1237"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90" w:type="dxa"/>
            <w:tcBorders>
              <w:top w:val="nil"/>
              <w:left w:val="nil"/>
              <w:bottom w:val="single" w:sz="4" w:space="0" w:color="auto"/>
              <w:right w:val="nil"/>
            </w:tcBorders>
          </w:tcPr>
          <w:p w14:paraId="42E387F8"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00" w:type="dxa"/>
            <w:tcBorders>
              <w:top w:val="nil"/>
              <w:left w:val="nil"/>
              <w:bottom w:val="single" w:sz="4" w:space="0" w:color="auto"/>
              <w:right w:val="nil"/>
            </w:tcBorders>
          </w:tcPr>
          <w:p w14:paraId="2DE41394"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00" w:type="dxa"/>
            <w:tcBorders>
              <w:top w:val="nil"/>
              <w:left w:val="nil"/>
              <w:bottom w:val="single" w:sz="4" w:space="0" w:color="auto"/>
              <w:right w:val="nil"/>
            </w:tcBorders>
          </w:tcPr>
          <w:p w14:paraId="21CFF07B" w14:textId="77777777" w:rsidR="00141B2C" w:rsidRPr="004E52C2" w:rsidRDefault="00141B2C" w:rsidP="00BE4DBF">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r>
    </w:tbl>
    <w:p w14:paraId="36C4AAD7" w14:textId="77777777" w:rsidR="00141B2C" w:rsidRPr="004E52C2" w:rsidRDefault="00141B2C" w:rsidP="00BE4DBF">
      <w:pPr>
        <w:jc w:val="both"/>
        <w:rPr>
          <w:rFonts w:cstheme="minorHAnsi"/>
          <w:bCs/>
          <w:sz w:val="24"/>
          <w:szCs w:val="24"/>
          <w:lang w:val="en-US"/>
        </w:rPr>
      </w:pPr>
      <w:r w:rsidRPr="004E52C2">
        <w:rPr>
          <w:rFonts w:cstheme="minorHAnsi"/>
          <w:bCs/>
          <w:sz w:val="24"/>
          <w:szCs w:val="24"/>
          <w:lang w:val="en-US"/>
        </w:rPr>
        <w:t>Source: Field survey, 2023.</w:t>
      </w:r>
    </w:p>
    <w:p w14:paraId="31DAD1B3" w14:textId="2F591493" w:rsidR="00141B2C" w:rsidRPr="004E52C2" w:rsidRDefault="00141B2C" w:rsidP="00BE4DBF">
      <w:pPr>
        <w:jc w:val="both"/>
        <w:rPr>
          <w:rFonts w:cstheme="minorHAnsi"/>
          <w:b/>
          <w:bCs/>
          <w:sz w:val="24"/>
          <w:szCs w:val="24"/>
          <w:lang w:val="en-US"/>
        </w:rPr>
      </w:pPr>
      <w:r w:rsidRPr="004E52C2">
        <w:rPr>
          <w:rFonts w:cstheme="minorHAnsi"/>
          <w:b/>
          <w:bCs/>
          <w:sz w:val="24"/>
          <w:szCs w:val="24"/>
          <w:lang w:val="en-US"/>
        </w:rPr>
        <w:br w:type="page"/>
      </w:r>
      <w:r w:rsidR="00B5477B" w:rsidRPr="004E52C2">
        <w:rPr>
          <w:rFonts w:cstheme="minorHAnsi"/>
          <w:b/>
          <w:bCs/>
          <w:sz w:val="24"/>
          <w:szCs w:val="24"/>
          <w:lang w:val="en-US"/>
        </w:rPr>
        <w:lastRenderedPageBreak/>
        <w:t>3</w:t>
      </w:r>
      <w:r w:rsidRPr="004E52C2">
        <w:rPr>
          <w:rFonts w:cstheme="minorHAnsi"/>
          <w:b/>
          <w:bCs/>
          <w:sz w:val="24"/>
          <w:szCs w:val="24"/>
          <w:lang w:val="en-US"/>
        </w:rPr>
        <w:t xml:space="preserve">.1.3 Level of Education of household head </w:t>
      </w:r>
    </w:p>
    <w:p w14:paraId="32AB8078" w14:textId="32B95F60" w:rsidR="00141B2C" w:rsidRPr="004E52C2" w:rsidRDefault="00D85854" w:rsidP="00BE4DBF">
      <w:pPr>
        <w:jc w:val="both"/>
        <w:rPr>
          <w:rFonts w:cstheme="minorHAnsi"/>
          <w:bCs/>
          <w:sz w:val="24"/>
          <w:szCs w:val="24"/>
          <w:lang w:val="en-US"/>
        </w:rPr>
      </w:pPr>
      <w:r w:rsidRPr="004E52C2">
        <w:rPr>
          <w:rFonts w:cstheme="minorHAnsi"/>
          <w:bCs/>
          <w:sz w:val="24"/>
          <w:szCs w:val="24"/>
          <w:lang w:val="en-US"/>
        </w:rPr>
        <w:t xml:space="preserve">Table </w:t>
      </w:r>
      <w:r w:rsidR="00A41F2F">
        <w:rPr>
          <w:rFonts w:cstheme="minorHAnsi"/>
          <w:bCs/>
          <w:sz w:val="24"/>
          <w:szCs w:val="24"/>
          <w:lang w:val="en-US"/>
        </w:rPr>
        <w:t>4</w:t>
      </w:r>
      <w:r w:rsidR="00141B2C" w:rsidRPr="004E52C2">
        <w:rPr>
          <w:rFonts w:cstheme="minorHAnsi"/>
          <w:bCs/>
          <w:sz w:val="24"/>
          <w:szCs w:val="24"/>
          <w:lang w:val="en-US"/>
        </w:rPr>
        <w:t xml:space="preserve"> shows the household distribution based on the head's educational level and corresponding food security status. The educational level of the household head is categorized into five groups: no formal education, primary school, secondary school, vocational/technical education, and tertiary education. The largest educational category was households with a head who attained tertiary education, with a share of 154 households (59.92%). Of these households, 52 (33.77%) were food secure, having the highest percentage of food secure households. In comparison, household heads with no formal education enjoyed the least percentage of food security at 14.29%. </w:t>
      </w:r>
    </w:p>
    <w:p w14:paraId="786C3729" w14:textId="77777777" w:rsidR="00141B2C" w:rsidRPr="004E52C2" w:rsidRDefault="00141B2C" w:rsidP="00936226">
      <w:pPr>
        <w:jc w:val="both"/>
        <w:rPr>
          <w:rFonts w:cstheme="minorHAnsi"/>
          <w:bCs/>
          <w:sz w:val="24"/>
          <w:szCs w:val="24"/>
          <w:lang w:val="en-US"/>
        </w:rPr>
      </w:pPr>
      <w:r w:rsidRPr="004E52C2">
        <w:rPr>
          <w:rFonts w:cstheme="minorHAnsi"/>
          <w:bCs/>
          <w:sz w:val="24"/>
          <w:szCs w:val="24"/>
          <w:lang w:val="en-US"/>
        </w:rPr>
        <w:t xml:space="preserve">Although, formal education and vocational/technical education have the least frequency at 2.72% and 5.45% respectively. They have highest portion of food insecurity without hunger households was the household heads with no formal or vocational/technical education, equally at 57.14%. While households with the head having primary school as their highest level of education, (9.34%) of the total were the least food insecure without hunger group with 41.67%. Although household heads with no formal or vocational/technical education are the highest percentages in the food insecurity without hunger category, they are in contrast under the food insecurity with severe hunger, where vocational/technical education groups have the least percentage at 0.00 unlike the household with their head having no formal education possessing the highest of this food insecurity with severe hunger category at 14.29%. </w:t>
      </w:r>
    </w:p>
    <w:p w14:paraId="6A8D093E" w14:textId="77777777" w:rsidR="00141B2C" w:rsidRPr="004E52C2" w:rsidRDefault="00141B2C" w:rsidP="00936226">
      <w:pPr>
        <w:jc w:val="both"/>
        <w:rPr>
          <w:rFonts w:cstheme="minorHAnsi"/>
          <w:bCs/>
          <w:sz w:val="24"/>
          <w:szCs w:val="24"/>
          <w:lang w:val="en-US"/>
        </w:rPr>
      </w:pPr>
      <w:r w:rsidRPr="004E52C2">
        <w:rPr>
          <w:rFonts w:cstheme="minorHAnsi"/>
          <w:bCs/>
          <w:sz w:val="24"/>
          <w:szCs w:val="24"/>
          <w:lang w:val="en-US"/>
        </w:rPr>
        <w:t xml:space="preserve">The food insecurity with moderate hunger groups had tertiary educated heads of household at the least with about 11.69%, compared to the vocational/technical educated groups at 21.43% as the highest. At the same time, no formal, primary and secondary education were reported at 14.29%, 16.67 and 17.24% respectively. </w:t>
      </w:r>
    </w:p>
    <w:p w14:paraId="3FA87859"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br w:type="page"/>
      </w:r>
    </w:p>
    <w:p w14:paraId="3D1DCC98" w14:textId="258770E5" w:rsidR="00141B2C" w:rsidRPr="004E52C2" w:rsidRDefault="00141B2C" w:rsidP="00141B2C">
      <w:pPr>
        <w:rPr>
          <w:rFonts w:cstheme="minorHAnsi"/>
          <w:bCs/>
          <w:sz w:val="24"/>
          <w:szCs w:val="24"/>
          <w:lang w:val="en-US"/>
        </w:rPr>
      </w:pPr>
      <w:r w:rsidRPr="004E52C2">
        <w:rPr>
          <w:rFonts w:cstheme="minorHAnsi"/>
          <w:bCs/>
          <w:sz w:val="24"/>
          <w:szCs w:val="24"/>
          <w:lang w:val="en-US"/>
        </w:rPr>
        <w:lastRenderedPageBreak/>
        <w:t xml:space="preserve">Table </w:t>
      </w:r>
      <w:r w:rsidR="00D92B88">
        <w:rPr>
          <w:rFonts w:cstheme="minorHAnsi"/>
          <w:bCs/>
          <w:sz w:val="24"/>
          <w:szCs w:val="24"/>
          <w:lang w:val="en-US"/>
        </w:rPr>
        <w:t>4</w:t>
      </w:r>
      <w:r w:rsidRPr="004E52C2">
        <w:rPr>
          <w:rFonts w:cstheme="minorHAnsi"/>
          <w:bCs/>
          <w:sz w:val="24"/>
          <w:szCs w:val="24"/>
          <w:lang w:val="en-US"/>
        </w:rPr>
        <w:t xml:space="preserve">: Distribution of households by the household head's education level </w:t>
      </w:r>
    </w:p>
    <w:tbl>
      <w:tblPr>
        <w:tblStyle w:val="PlainTable2"/>
        <w:tblW w:w="9900" w:type="dxa"/>
        <w:tblLayout w:type="fixed"/>
        <w:tblLook w:val="04A0" w:firstRow="1" w:lastRow="0" w:firstColumn="1" w:lastColumn="0" w:noHBand="0" w:noVBand="1"/>
      </w:tblPr>
      <w:tblGrid>
        <w:gridCol w:w="1980"/>
        <w:gridCol w:w="1531"/>
        <w:gridCol w:w="991"/>
        <w:gridCol w:w="1796"/>
        <w:gridCol w:w="1801"/>
        <w:gridCol w:w="1801"/>
      </w:tblGrid>
      <w:tr w:rsidR="00141B2C" w:rsidRPr="004E52C2" w14:paraId="4775951E" w14:textId="77777777" w:rsidTr="00D858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7F7F7F" w:themeColor="text1" w:themeTint="80"/>
              <w:left w:val="nil"/>
              <w:right w:val="nil"/>
            </w:tcBorders>
            <w:hideMark/>
          </w:tcPr>
          <w:p w14:paraId="3B3EAA07"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The educational level of the household head</w:t>
            </w:r>
          </w:p>
          <w:p w14:paraId="6E0D9AF8"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n=257</w:t>
            </w:r>
          </w:p>
        </w:tc>
        <w:tc>
          <w:tcPr>
            <w:tcW w:w="1530" w:type="dxa"/>
            <w:tcBorders>
              <w:top w:val="single" w:sz="4" w:space="0" w:color="7F7F7F" w:themeColor="text1" w:themeTint="80"/>
              <w:left w:val="nil"/>
              <w:right w:val="nil"/>
            </w:tcBorders>
            <w:hideMark/>
          </w:tcPr>
          <w:p w14:paraId="1AFF006D"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Frequency (%)</w:t>
            </w:r>
          </w:p>
        </w:tc>
        <w:tc>
          <w:tcPr>
            <w:tcW w:w="990" w:type="dxa"/>
            <w:tcBorders>
              <w:top w:val="single" w:sz="4" w:space="0" w:color="7F7F7F" w:themeColor="text1" w:themeTint="80"/>
              <w:left w:val="nil"/>
              <w:right w:val="nil"/>
            </w:tcBorders>
            <w:hideMark/>
          </w:tcPr>
          <w:p w14:paraId="43C01177"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Secure</w:t>
            </w:r>
          </w:p>
          <w:p w14:paraId="3A6AE117"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795" w:type="dxa"/>
            <w:tcBorders>
              <w:top w:val="single" w:sz="4" w:space="0" w:color="7F7F7F" w:themeColor="text1" w:themeTint="80"/>
              <w:left w:val="nil"/>
              <w:right w:val="nil"/>
            </w:tcBorders>
            <w:hideMark/>
          </w:tcPr>
          <w:p w14:paraId="314A078C"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without hunger (%)</w:t>
            </w:r>
          </w:p>
        </w:tc>
        <w:tc>
          <w:tcPr>
            <w:tcW w:w="1800" w:type="dxa"/>
            <w:tcBorders>
              <w:top w:val="single" w:sz="4" w:space="0" w:color="7F7F7F" w:themeColor="text1" w:themeTint="80"/>
              <w:left w:val="nil"/>
              <w:right w:val="nil"/>
            </w:tcBorders>
            <w:hideMark/>
          </w:tcPr>
          <w:p w14:paraId="001057AF"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moderate hunger (%)</w:t>
            </w:r>
          </w:p>
        </w:tc>
        <w:tc>
          <w:tcPr>
            <w:tcW w:w="1800" w:type="dxa"/>
            <w:tcBorders>
              <w:top w:val="single" w:sz="4" w:space="0" w:color="7F7F7F" w:themeColor="text1" w:themeTint="80"/>
              <w:left w:val="nil"/>
              <w:right w:val="nil"/>
            </w:tcBorders>
            <w:hideMark/>
          </w:tcPr>
          <w:p w14:paraId="0E00958A"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severe hunger (%)</w:t>
            </w:r>
          </w:p>
        </w:tc>
      </w:tr>
      <w:tr w:rsidR="00141B2C" w:rsidRPr="004E52C2" w14:paraId="7D6E1BA1"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left w:val="nil"/>
              <w:right w:val="nil"/>
            </w:tcBorders>
            <w:hideMark/>
          </w:tcPr>
          <w:p w14:paraId="04E67A0F"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No formal education</w:t>
            </w:r>
          </w:p>
        </w:tc>
        <w:tc>
          <w:tcPr>
            <w:tcW w:w="1530" w:type="dxa"/>
            <w:tcBorders>
              <w:left w:val="nil"/>
              <w:right w:val="nil"/>
            </w:tcBorders>
            <w:hideMark/>
          </w:tcPr>
          <w:p w14:paraId="18E550C4"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2.72</w:t>
            </w:r>
          </w:p>
        </w:tc>
        <w:tc>
          <w:tcPr>
            <w:tcW w:w="990" w:type="dxa"/>
            <w:tcBorders>
              <w:left w:val="nil"/>
              <w:right w:val="nil"/>
            </w:tcBorders>
            <w:hideMark/>
          </w:tcPr>
          <w:p w14:paraId="30583556"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14.29</w:t>
            </w:r>
          </w:p>
        </w:tc>
        <w:tc>
          <w:tcPr>
            <w:tcW w:w="1795" w:type="dxa"/>
            <w:tcBorders>
              <w:left w:val="nil"/>
              <w:right w:val="nil"/>
            </w:tcBorders>
            <w:hideMark/>
          </w:tcPr>
          <w:p w14:paraId="4302FEAE"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57.14</w:t>
            </w:r>
          </w:p>
        </w:tc>
        <w:tc>
          <w:tcPr>
            <w:tcW w:w="1800" w:type="dxa"/>
            <w:tcBorders>
              <w:left w:val="nil"/>
              <w:right w:val="nil"/>
            </w:tcBorders>
            <w:hideMark/>
          </w:tcPr>
          <w:p w14:paraId="64F13C44"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14.29</w:t>
            </w:r>
          </w:p>
        </w:tc>
        <w:tc>
          <w:tcPr>
            <w:tcW w:w="1800" w:type="dxa"/>
            <w:tcBorders>
              <w:left w:val="nil"/>
              <w:right w:val="nil"/>
            </w:tcBorders>
            <w:hideMark/>
          </w:tcPr>
          <w:p w14:paraId="15A1DB7E"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14.29</w:t>
            </w:r>
          </w:p>
        </w:tc>
      </w:tr>
      <w:tr w:rsidR="00141B2C" w:rsidRPr="004E52C2" w14:paraId="11847B69" w14:textId="77777777" w:rsidTr="00D85854">
        <w:tc>
          <w:tcPr>
            <w:cnfStyle w:val="001000000000" w:firstRow="0" w:lastRow="0" w:firstColumn="1" w:lastColumn="0" w:oddVBand="0" w:evenVBand="0" w:oddHBand="0" w:evenHBand="0" w:firstRowFirstColumn="0" w:firstRowLastColumn="0" w:lastRowFirstColumn="0" w:lastRowLastColumn="0"/>
            <w:tcW w:w="1980" w:type="dxa"/>
            <w:tcBorders>
              <w:top w:val="nil"/>
              <w:left w:val="nil"/>
              <w:bottom w:val="nil"/>
              <w:right w:val="nil"/>
            </w:tcBorders>
            <w:hideMark/>
          </w:tcPr>
          <w:p w14:paraId="0426EBCC"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Primary school</w:t>
            </w:r>
          </w:p>
        </w:tc>
        <w:tc>
          <w:tcPr>
            <w:tcW w:w="1530" w:type="dxa"/>
            <w:tcBorders>
              <w:top w:val="nil"/>
              <w:left w:val="nil"/>
              <w:bottom w:val="nil"/>
              <w:right w:val="nil"/>
            </w:tcBorders>
            <w:hideMark/>
          </w:tcPr>
          <w:p w14:paraId="6430B1C5"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9.34</w:t>
            </w:r>
          </w:p>
        </w:tc>
        <w:tc>
          <w:tcPr>
            <w:tcW w:w="990" w:type="dxa"/>
            <w:tcBorders>
              <w:top w:val="nil"/>
              <w:left w:val="nil"/>
              <w:bottom w:val="nil"/>
              <w:right w:val="nil"/>
            </w:tcBorders>
            <w:hideMark/>
          </w:tcPr>
          <w:p w14:paraId="3B20C967"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33.33</w:t>
            </w:r>
          </w:p>
        </w:tc>
        <w:tc>
          <w:tcPr>
            <w:tcW w:w="1795" w:type="dxa"/>
            <w:tcBorders>
              <w:top w:val="nil"/>
              <w:left w:val="nil"/>
              <w:bottom w:val="nil"/>
              <w:right w:val="nil"/>
            </w:tcBorders>
            <w:hideMark/>
          </w:tcPr>
          <w:p w14:paraId="73DB5167"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41.67</w:t>
            </w:r>
          </w:p>
        </w:tc>
        <w:tc>
          <w:tcPr>
            <w:tcW w:w="1800" w:type="dxa"/>
            <w:tcBorders>
              <w:top w:val="nil"/>
              <w:left w:val="nil"/>
              <w:bottom w:val="nil"/>
              <w:right w:val="nil"/>
            </w:tcBorders>
            <w:hideMark/>
          </w:tcPr>
          <w:p w14:paraId="3FCEC638"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16.67</w:t>
            </w:r>
          </w:p>
        </w:tc>
        <w:tc>
          <w:tcPr>
            <w:tcW w:w="1800" w:type="dxa"/>
            <w:tcBorders>
              <w:top w:val="nil"/>
              <w:left w:val="nil"/>
              <w:bottom w:val="nil"/>
              <w:right w:val="nil"/>
            </w:tcBorders>
            <w:hideMark/>
          </w:tcPr>
          <w:p w14:paraId="7A971819"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8.33</w:t>
            </w:r>
          </w:p>
        </w:tc>
      </w:tr>
      <w:tr w:rsidR="00141B2C" w:rsidRPr="004E52C2" w14:paraId="6D00D7A2"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left w:val="nil"/>
              <w:right w:val="nil"/>
            </w:tcBorders>
            <w:hideMark/>
          </w:tcPr>
          <w:p w14:paraId="227F163B"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Secondary school</w:t>
            </w:r>
          </w:p>
        </w:tc>
        <w:tc>
          <w:tcPr>
            <w:tcW w:w="1530" w:type="dxa"/>
            <w:tcBorders>
              <w:left w:val="nil"/>
              <w:right w:val="nil"/>
            </w:tcBorders>
            <w:hideMark/>
          </w:tcPr>
          <w:p w14:paraId="008499EC"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22.57</w:t>
            </w:r>
          </w:p>
        </w:tc>
        <w:tc>
          <w:tcPr>
            <w:tcW w:w="990" w:type="dxa"/>
            <w:tcBorders>
              <w:left w:val="nil"/>
              <w:right w:val="nil"/>
            </w:tcBorders>
            <w:hideMark/>
          </w:tcPr>
          <w:p w14:paraId="7A11A6F5"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20.69</w:t>
            </w:r>
          </w:p>
        </w:tc>
        <w:tc>
          <w:tcPr>
            <w:tcW w:w="1795" w:type="dxa"/>
            <w:tcBorders>
              <w:left w:val="nil"/>
              <w:right w:val="nil"/>
            </w:tcBorders>
            <w:hideMark/>
          </w:tcPr>
          <w:p w14:paraId="123EF600"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50.00</w:t>
            </w:r>
          </w:p>
        </w:tc>
        <w:tc>
          <w:tcPr>
            <w:tcW w:w="1800" w:type="dxa"/>
            <w:tcBorders>
              <w:left w:val="nil"/>
              <w:right w:val="nil"/>
            </w:tcBorders>
            <w:hideMark/>
          </w:tcPr>
          <w:p w14:paraId="147019B9"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17.24</w:t>
            </w:r>
          </w:p>
        </w:tc>
        <w:tc>
          <w:tcPr>
            <w:tcW w:w="1800" w:type="dxa"/>
            <w:tcBorders>
              <w:left w:val="nil"/>
              <w:right w:val="nil"/>
            </w:tcBorders>
            <w:hideMark/>
          </w:tcPr>
          <w:p w14:paraId="2B9778C5"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12.07</w:t>
            </w:r>
          </w:p>
        </w:tc>
      </w:tr>
      <w:tr w:rsidR="00141B2C" w:rsidRPr="004E52C2" w14:paraId="3233AF5B" w14:textId="77777777" w:rsidTr="00D85854">
        <w:tc>
          <w:tcPr>
            <w:cnfStyle w:val="001000000000" w:firstRow="0" w:lastRow="0" w:firstColumn="1" w:lastColumn="0" w:oddVBand="0" w:evenVBand="0" w:oddHBand="0" w:evenHBand="0" w:firstRowFirstColumn="0" w:firstRowLastColumn="0" w:lastRowFirstColumn="0" w:lastRowLastColumn="0"/>
            <w:tcW w:w="1980" w:type="dxa"/>
            <w:tcBorders>
              <w:top w:val="nil"/>
              <w:left w:val="nil"/>
              <w:bottom w:val="nil"/>
              <w:right w:val="nil"/>
            </w:tcBorders>
            <w:hideMark/>
          </w:tcPr>
          <w:p w14:paraId="545D5949"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Vocational/ Technical</w:t>
            </w:r>
          </w:p>
        </w:tc>
        <w:tc>
          <w:tcPr>
            <w:tcW w:w="1530" w:type="dxa"/>
            <w:tcBorders>
              <w:top w:val="nil"/>
              <w:left w:val="nil"/>
              <w:bottom w:val="nil"/>
              <w:right w:val="nil"/>
            </w:tcBorders>
            <w:hideMark/>
          </w:tcPr>
          <w:p w14:paraId="1C37340B"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5.45</w:t>
            </w:r>
          </w:p>
        </w:tc>
        <w:tc>
          <w:tcPr>
            <w:tcW w:w="990" w:type="dxa"/>
            <w:tcBorders>
              <w:top w:val="nil"/>
              <w:left w:val="nil"/>
              <w:bottom w:val="nil"/>
              <w:right w:val="nil"/>
            </w:tcBorders>
            <w:hideMark/>
          </w:tcPr>
          <w:p w14:paraId="0CD43A67"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21.43</w:t>
            </w:r>
          </w:p>
        </w:tc>
        <w:tc>
          <w:tcPr>
            <w:tcW w:w="1795" w:type="dxa"/>
            <w:tcBorders>
              <w:top w:val="nil"/>
              <w:left w:val="nil"/>
              <w:bottom w:val="nil"/>
              <w:right w:val="nil"/>
            </w:tcBorders>
            <w:hideMark/>
          </w:tcPr>
          <w:p w14:paraId="44D141EE"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57.14</w:t>
            </w:r>
          </w:p>
        </w:tc>
        <w:tc>
          <w:tcPr>
            <w:tcW w:w="1800" w:type="dxa"/>
            <w:tcBorders>
              <w:top w:val="nil"/>
              <w:left w:val="nil"/>
              <w:bottom w:val="nil"/>
              <w:right w:val="nil"/>
            </w:tcBorders>
            <w:hideMark/>
          </w:tcPr>
          <w:p w14:paraId="2ADB305D"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21.43</w:t>
            </w:r>
          </w:p>
        </w:tc>
        <w:tc>
          <w:tcPr>
            <w:tcW w:w="1800" w:type="dxa"/>
            <w:tcBorders>
              <w:top w:val="nil"/>
              <w:left w:val="nil"/>
              <w:bottom w:val="nil"/>
              <w:right w:val="nil"/>
            </w:tcBorders>
            <w:hideMark/>
          </w:tcPr>
          <w:p w14:paraId="35DB1EA7"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0.00</w:t>
            </w:r>
          </w:p>
        </w:tc>
      </w:tr>
      <w:tr w:rsidR="00141B2C" w:rsidRPr="004E52C2" w14:paraId="4812AE9D" w14:textId="77777777" w:rsidTr="00D85854">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980" w:type="dxa"/>
            <w:tcBorders>
              <w:left w:val="nil"/>
              <w:right w:val="nil"/>
            </w:tcBorders>
            <w:hideMark/>
          </w:tcPr>
          <w:p w14:paraId="03DB02DD"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 xml:space="preserve">Tertiary </w:t>
            </w:r>
          </w:p>
        </w:tc>
        <w:tc>
          <w:tcPr>
            <w:tcW w:w="1530" w:type="dxa"/>
            <w:tcBorders>
              <w:left w:val="nil"/>
              <w:right w:val="nil"/>
            </w:tcBorders>
            <w:hideMark/>
          </w:tcPr>
          <w:p w14:paraId="040992BC"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59.92</w:t>
            </w:r>
          </w:p>
        </w:tc>
        <w:tc>
          <w:tcPr>
            <w:tcW w:w="990" w:type="dxa"/>
            <w:tcBorders>
              <w:left w:val="nil"/>
              <w:right w:val="nil"/>
            </w:tcBorders>
            <w:hideMark/>
          </w:tcPr>
          <w:p w14:paraId="7E4EDD7B"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33.77</w:t>
            </w:r>
          </w:p>
        </w:tc>
        <w:tc>
          <w:tcPr>
            <w:tcW w:w="1795" w:type="dxa"/>
            <w:tcBorders>
              <w:left w:val="nil"/>
              <w:right w:val="nil"/>
            </w:tcBorders>
            <w:hideMark/>
          </w:tcPr>
          <w:p w14:paraId="3293B7D0"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50.65</w:t>
            </w:r>
          </w:p>
        </w:tc>
        <w:tc>
          <w:tcPr>
            <w:tcW w:w="1800" w:type="dxa"/>
            <w:tcBorders>
              <w:left w:val="nil"/>
              <w:right w:val="nil"/>
            </w:tcBorders>
            <w:hideMark/>
          </w:tcPr>
          <w:p w14:paraId="67FF716A"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11.69</w:t>
            </w:r>
          </w:p>
        </w:tc>
        <w:tc>
          <w:tcPr>
            <w:tcW w:w="1800" w:type="dxa"/>
            <w:tcBorders>
              <w:left w:val="nil"/>
              <w:right w:val="nil"/>
            </w:tcBorders>
            <w:hideMark/>
          </w:tcPr>
          <w:p w14:paraId="4DAEDAF4"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3.90</w:t>
            </w:r>
          </w:p>
        </w:tc>
      </w:tr>
      <w:tr w:rsidR="00141B2C" w:rsidRPr="004E52C2" w14:paraId="67126FE2" w14:textId="77777777" w:rsidTr="00D85854">
        <w:tc>
          <w:tcPr>
            <w:cnfStyle w:val="001000000000" w:firstRow="0" w:lastRow="0" w:firstColumn="1" w:lastColumn="0" w:oddVBand="0" w:evenVBand="0" w:oddHBand="0" w:evenHBand="0" w:firstRowFirstColumn="0" w:firstRowLastColumn="0" w:lastRowFirstColumn="0" w:lastRowLastColumn="0"/>
            <w:tcW w:w="1980" w:type="dxa"/>
            <w:tcBorders>
              <w:top w:val="nil"/>
              <w:left w:val="nil"/>
              <w:bottom w:val="single" w:sz="4" w:space="0" w:color="7F7F7F" w:themeColor="text1" w:themeTint="80"/>
              <w:right w:val="nil"/>
            </w:tcBorders>
            <w:hideMark/>
          </w:tcPr>
          <w:p w14:paraId="0FC18D10"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 xml:space="preserve">Total </w:t>
            </w:r>
          </w:p>
        </w:tc>
        <w:tc>
          <w:tcPr>
            <w:tcW w:w="1530" w:type="dxa"/>
            <w:tcBorders>
              <w:top w:val="nil"/>
              <w:left w:val="nil"/>
              <w:bottom w:val="single" w:sz="4" w:space="0" w:color="7F7F7F" w:themeColor="text1" w:themeTint="80"/>
              <w:right w:val="nil"/>
            </w:tcBorders>
            <w:hideMark/>
          </w:tcPr>
          <w:p w14:paraId="0F4D51FE"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w:t>
            </w:r>
          </w:p>
        </w:tc>
        <w:tc>
          <w:tcPr>
            <w:tcW w:w="990" w:type="dxa"/>
            <w:tcBorders>
              <w:top w:val="nil"/>
              <w:left w:val="nil"/>
              <w:bottom w:val="single" w:sz="4" w:space="0" w:color="7F7F7F" w:themeColor="text1" w:themeTint="80"/>
              <w:right w:val="nil"/>
            </w:tcBorders>
          </w:tcPr>
          <w:p w14:paraId="244F3313"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795" w:type="dxa"/>
            <w:tcBorders>
              <w:top w:val="nil"/>
              <w:left w:val="nil"/>
              <w:bottom w:val="single" w:sz="4" w:space="0" w:color="7F7F7F" w:themeColor="text1" w:themeTint="80"/>
              <w:right w:val="nil"/>
            </w:tcBorders>
          </w:tcPr>
          <w:p w14:paraId="0D67236B"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00" w:type="dxa"/>
            <w:tcBorders>
              <w:top w:val="nil"/>
              <w:left w:val="nil"/>
              <w:bottom w:val="single" w:sz="4" w:space="0" w:color="7F7F7F" w:themeColor="text1" w:themeTint="80"/>
              <w:right w:val="nil"/>
            </w:tcBorders>
          </w:tcPr>
          <w:p w14:paraId="48C6663C"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00" w:type="dxa"/>
            <w:tcBorders>
              <w:top w:val="nil"/>
              <w:left w:val="nil"/>
              <w:bottom w:val="single" w:sz="4" w:space="0" w:color="7F7F7F" w:themeColor="text1" w:themeTint="80"/>
              <w:right w:val="nil"/>
            </w:tcBorders>
          </w:tcPr>
          <w:p w14:paraId="7E4CE5A2"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r>
    </w:tbl>
    <w:p w14:paraId="495B3101"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Source: Field survey, 2023.</w:t>
      </w:r>
    </w:p>
    <w:p w14:paraId="4A73CF86" w14:textId="075D5191" w:rsidR="00141B2C" w:rsidRPr="004E52C2" w:rsidRDefault="00B5477B" w:rsidP="00141B2C">
      <w:pPr>
        <w:rPr>
          <w:rFonts w:cstheme="minorHAnsi"/>
          <w:b/>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 xml:space="preserve">.1.4 Marital status of household head </w:t>
      </w:r>
    </w:p>
    <w:p w14:paraId="57ED318D" w14:textId="0B989E79" w:rsidR="00141B2C" w:rsidRPr="004E52C2" w:rsidRDefault="00141B2C" w:rsidP="002C1684">
      <w:pPr>
        <w:jc w:val="both"/>
        <w:rPr>
          <w:rFonts w:cstheme="minorHAnsi"/>
          <w:bCs/>
          <w:sz w:val="24"/>
          <w:szCs w:val="24"/>
          <w:lang w:val="en-US"/>
        </w:rPr>
      </w:pPr>
      <w:r w:rsidRPr="004E52C2">
        <w:rPr>
          <w:rFonts w:cstheme="minorHAnsi"/>
          <w:bCs/>
          <w:sz w:val="24"/>
          <w:szCs w:val="24"/>
          <w:lang w:val="en-US"/>
        </w:rPr>
        <w:t xml:space="preserve">In the provided Table </w:t>
      </w:r>
      <w:r w:rsidR="00A41F2F">
        <w:rPr>
          <w:rFonts w:cstheme="minorHAnsi"/>
          <w:bCs/>
          <w:sz w:val="24"/>
          <w:szCs w:val="24"/>
          <w:lang w:val="en-US"/>
        </w:rPr>
        <w:t>5</w:t>
      </w:r>
      <w:r w:rsidRPr="004E52C2">
        <w:rPr>
          <w:rFonts w:cstheme="minorHAnsi"/>
          <w:bCs/>
          <w:sz w:val="24"/>
          <w:szCs w:val="24"/>
          <w:lang w:val="en-US"/>
        </w:rPr>
        <w:t xml:space="preserve">, we can observe the household distribution based on the household head's marital status and their corresponding food security status. Among the </w:t>
      </w:r>
      <w:commentRangeStart w:id="28"/>
      <w:r w:rsidRPr="004E52C2">
        <w:rPr>
          <w:rFonts w:cstheme="minorHAnsi"/>
          <w:bCs/>
          <w:sz w:val="24"/>
          <w:szCs w:val="24"/>
          <w:lang w:val="en-US"/>
        </w:rPr>
        <w:t xml:space="preserve">257 households </w:t>
      </w:r>
      <w:commentRangeEnd w:id="28"/>
      <w:r w:rsidR="00B86618" w:rsidRPr="004E52C2">
        <w:rPr>
          <w:rStyle w:val="CommentReference"/>
          <w:rFonts w:cstheme="minorHAnsi"/>
          <w:bCs/>
          <w:sz w:val="24"/>
          <w:szCs w:val="24"/>
          <w:lang w:val="en-US"/>
        </w:rPr>
        <w:commentReference w:id="28"/>
      </w:r>
      <w:r w:rsidRPr="004E52C2">
        <w:rPr>
          <w:rFonts w:cstheme="minorHAnsi"/>
          <w:bCs/>
          <w:sz w:val="24"/>
          <w:szCs w:val="24"/>
          <w:lang w:val="en-US"/>
        </w:rPr>
        <w:t xml:space="preserve">included in the study, the majority, 166 households (64.59%), were headed by individuals married in a monogamous relationship. Out of these households, 25.90% were food secure, while 52.41% experienced food insecurity without hunger, 16.87% experienced food insecurity with moderate food insecurity, and 4.82% experienced severe food insecurity. While married monogamous households may have the </w:t>
      </w:r>
      <w:r w:rsidR="00B5477B" w:rsidRPr="004E52C2">
        <w:rPr>
          <w:rFonts w:cstheme="minorHAnsi"/>
          <w:bCs/>
          <w:sz w:val="24"/>
          <w:szCs w:val="24"/>
          <w:lang w:val="en-US"/>
        </w:rPr>
        <w:t>largest</w:t>
      </w:r>
      <w:r w:rsidRPr="004E52C2">
        <w:rPr>
          <w:rFonts w:cstheme="minorHAnsi"/>
          <w:bCs/>
          <w:sz w:val="24"/>
          <w:szCs w:val="24"/>
          <w:lang w:val="en-US"/>
        </w:rPr>
        <w:t xml:space="preserve"> </w:t>
      </w:r>
      <w:r w:rsidR="00B5477B" w:rsidRPr="004E52C2">
        <w:rPr>
          <w:rFonts w:cstheme="minorHAnsi"/>
          <w:bCs/>
          <w:sz w:val="24"/>
          <w:szCs w:val="24"/>
          <w:lang w:val="en-US"/>
        </w:rPr>
        <w:t>distribution</w:t>
      </w:r>
      <w:r w:rsidRPr="004E52C2">
        <w:rPr>
          <w:rFonts w:cstheme="minorHAnsi"/>
          <w:bCs/>
          <w:sz w:val="24"/>
          <w:szCs w:val="24"/>
          <w:lang w:val="en-US"/>
        </w:rPr>
        <w:t xml:space="preserve">, it is not significant compared to other categories of food security, where it is neither the least nor highest percentiles compared to the other categories. A smaller proportion of 29 households, 11.28%, had household heads in a polygamous marriage. Among these households, 8.28% were food secure, 7.93% experienced food insecurity, hunger, 10.34% experienced severe food insecurity, and one household 3.45% experienced moderate food insecurity. Married polygamous households are the least portioned of households under the food secure with moderate hunger. </w:t>
      </w:r>
    </w:p>
    <w:p w14:paraId="4192E150" w14:textId="108EAAF4" w:rsidR="00141B2C" w:rsidRPr="004E52C2" w:rsidRDefault="00141B2C" w:rsidP="002C1684">
      <w:pPr>
        <w:jc w:val="both"/>
        <w:rPr>
          <w:rFonts w:cstheme="minorHAnsi"/>
          <w:bCs/>
          <w:sz w:val="24"/>
          <w:szCs w:val="24"/>
          <w:lang w:val="en-US"/>
        </w:rPr>
      </w:pPr>
      <w:r w:rsidRPr="004E52C2">
        <w:rPr>
          <w:rFonts w:cstheme="minorHAnsi"/>
          <w:bCs/>
          <w:sz w:val="24"/>
          <w:szCs w:val="24"/>
          <w:lang w:val="en-US"/>
        </w:rPr>
        <w:t>There were 27 households, 10.51%, where the household head had never been married. Out of these households, 22.22% were food secure, 7.41% experienced moderate food insecurity, 3.70% experienced severe food insecurity, and 66.67% experienced food insecurity without hunger, while never-married households had the highest percentile under food insecurity with hunger against other groups. Only eight households, 3.11</w:t>
      </w:r>
      <w:r w:rsidR="00B5477B" w:rsidRPr="004E52C2">
        <w:rPr>
          <w:rFonts w:cstheme="minorHAnsi"/>
          <w:bCs/>
          <w:sz w:val="24"/>
          <w:szCs w:val="24"/>
          <w:lang w:val="en-US"/>
        </w:rPr>
        <w:t>% had</w:t>
      </w:r>
      <w:r w:rsidRPr="004E52C2">
        <w:rPr>
          <w:rFonts w:cstheme="minorHAnsi"/>
          <w:bCs/>
          <w:sz w:val="24"/>
          <w:szCs w:val="24"/>
          <w:lang w:val="en-US"/>
        </w:rPr>
        <w:t xml:space="preserve"> household heads who were divorced. Among these households, 12.50% were food secure, 50% experienced food insecurity without </w:t>
      </w:r>
      <w:r w:rsidRPr="004E52C2">
        <w:rPr>
          <w:rFonts w:cstheme="minorHAnsi"/>
          <w:bCs/>
          <w:sz w:val="24"/>
          <w:szCs w:val="24"/>
          <w:lang w:val="en-US"/>
        </w:rPr>
        <w:lastRenderedPageBreak/>
        <w:t xml:space="preserve">hunger, 37.50% food insecurity with experienced moderate hunger, and none of them experienced food insecurity with severe hunger.  The minimum frequency was reported to be at 2.72% and were households with separated household heads. Out of these households, 71.43% were food secure, 14.29% experienced food insecurity without hunger, 14.29% experienced moderate food insecurity, and none of them experienced food insecurity with severe hunger. </w:t>
      </w:r>
    </w:p>
    <w:p w14:paraId="3ADA93E7" w14:textId="77777777" w:rsidR="00141B2C" w:rsidRPr="004E52C2" w:rsidRDefault="00141B2C" w:rsidP="002C1684">
      <w:pPr>
        <w:jc w:val="both"/>
        <w:rPr>
          <w:rFonts w:cstheme="minorHAnsi"/>
          <w:bCs/>
          <w:sz w:val="24"/>
          <w:szCs w:val="24"/>
          <w:lang w:val="en-US"/>
        </w:rPr>
      </w:pPr>
      <w:r w:rsidRPr="004E52C2">
        <w:rPr>
          <w:rFonts w:cstheme="minorHAnsi"/>
          <w:bCs/>
          <w:sz w:val="24"/>
          <w:szCs w:val="24"/>
          <w:lang w:val="en-US"/>
        </w:rPr>
        <w:t>Lastly, there were 20 households (7.78%) headed by widowed individuals. Of these households, 35% were food secure, 40% experienced food insecurity without hunger, 5% experienced moderate hunger, and 20% food insecurity with severe hunger.</w:t>
      </w:r>
    </w:p>
    <w:p w14:paraId="6E68D696" w14:textId="00743543"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Table </w:t>
      </w:r>
      <w:r w:rsidR="00D92B88">
        <w:rPr>
          <w:rFonts w:cstheme="minorHAnsi"/>
          <w:bCs/>
          <w:sz w:val="24"/>
          <w:szCs w:val="24"/>
          <w:lang w:val="en-US"/>
        </w:rPr>
        <w:t>5</w:t>
      </w:r>
      <w:r w:rsidRPr="004E52C2">
        <w:rPr>
          <w:rFonts w:cstheme="minorHAnsi"/>
          <w:bCs/>
          <w:sz w:val="24"/>
          <w:szCs w:val="24"/>
          <w:lang w:val="en-US"/>
        </w:rPr>
        <w:t xml:space="preserve">: Distribution of households by the marital status of the household heads. </w:t>
      </w:r>
    </w:p>
    <w:tbl>
      <w:tblPr>
        <w:tblStyle w:val="PlainTable2"/>
        <w:tblW w:w="9900" w:type="dxa"/>
        <w:tblLayout w:type="fixed"/>
        <w:tblLook w:val="04A0" w:firstRow="1" w:lastRow="0" w:firstColumn="1" w:lastColumn="0" w:noHBand="0" w:noVBand="1"/>
      </w:tblPr>
      <w:tblGrid>
        <w:gridCol w:w="1620"/>
        <w:gridCol w:w="1621"/>
        <w:gridCol w:w="1166"/>
        <w:gridCol w:w="1891"/>
        <w:gridCol w:w="1801"/>
        <w:gridCol w:w="1801"/>
      </w:tblGrid>
      <w:tr w:rsidR="00141B2C" w:rsidRPr="004E52C2" w14:paraId="417B2847" w14:textId="77777777" w:rsidTr="00D858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Borders>
              <w:top w:val="single" w:sz="4" w:space="0" w:color="7F7F7F" w:themeColor="text1" w:themeTint="80"/>
              <w:left w:val="nil"/>
              <w:right w:val="nil"/>
            </w:tcBorders>
            <w:hideMark/>
          </w:tcPr>
          <w:p w14:paraId="46FD383F"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Marital status of household head n=257</w:t>
            </w:r>
          </w:p>
        </w:tc>
        <w:tc>
          <w:tcPr>
            <w:tcW w:w="1620" w:type="dxa"/>
            <w:tcBorders>
              <w:top w:val="single" w:sz="4" w:space="0" w:color="7F7F7F" w:themeColor="text1" w:themeTint="80"/>
              <w:left w:val="nil"/>
              <w:right w:val="nil"/>
            </w:tcBorders>
            <w:hideMark/>
          </w:tcPr>
          <w:p w14:paraId="7B63972F"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Frequency (%)</w:t>
            </w:r>
          </w:p>
        </w:tc>
        <w:tc>
          <w:tcPr>
            <w:tcW w:w="1165" w:type="dxa"/>
            <w:tcBorders>
              <w:top w:val="single" w:sz="4" w:space="0" w:color="7F7F7F" w:themeColor="text1" w:themeTint="80"/>
              <w:left w:val="nil"/>
              <w:right w:val="nil"/>
            </w:tcBorders>
            <w:hideMark/>
          </w:tcPr>
          <w:p w14:paraId="36ABDF29"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Secure</w:t>
            </w:r>
          </w:p>
          <w:p w14:paraId="7A9CEFBF"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890" w:type="dxa"/>
            <w:tcBorders>
              <w:top w:val="single" w:sz="4" w:space="0" w:color="7F7F7F" w:themeColor="text1" w:themeTint="80"/>
              <w:left w:val="nil"/>
              <w:right w:val="nil"/>
            </w:tcBorders>
            <w:hideMark/>
          </w:tcPr>
          <w:p w14:paraId="71A67A01"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without hunger (%)</w:t>
            </w:r>
          </w:p>
        </w:tc>
        <w:tc>
          <w:tcPr>
            <w:tcW w:w="1800" w:type="dxa"/>
            <w:tcBorders>
              <w:top w:val="single" w:sz="4" w:space="0" w:color="7F7F7F" w:themeColor="text1" w:themeTint="80"/>
              <w:left w:val="nil"/>
              <w:right w:val="nil"/>
            </w:tcBorders>
            <w:hideMark/>
          </w:tcPr>
          <w:p w14:paraId="1AA36FE0"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moderate hunger (%)</w:t>
            </w:r>
          </w:p>
        </w:tc>
        <w:tc>
          <w:tcPr>
            <w:tcW w:w="1800" w:type="dxa"/>
            <w:tcBorders>
              <w:top w:val="single" w:sz="4" w:space="0" w:color="7F7F7F" w:themeColor="text1" w:themeTint="80"/>
              <w:left w:val="nil"/>
              <w:right w:val="nil"/>
            </w:tcBorders>
            <w:hideMark/>
          </w:tcPr>
          <w:p w14:paraId="0B07B36E"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severe hunger (%)</w:t>
            </w:r>
          </w:p>
        </w:tc>
      </w:tr>
      <w:tr w:rsidR="00141B2C" w:rsidRPr="004E52C2" w14:paraId="7C458A20"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Borders>
              <w:left w:val="nil"/>
              <w:right w:val="nil"/>
            </w:tcBorders>
            <w:hideMark/>
          </w:tcPr>
          <w:p w14:paraId="2CC4F0CE"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Married Monogamous</w:t>
            </w:r>
          </w:p>
        </w:tc>
        <w:tc>
          <w:tcPr>
            <w:tcW w:w="1620" w:type="dxa"/>
            <w:tcBorders>
              <w:left w:val="nil"/>
              <w:right w:val="nil"/>
            </w:tcBorders>
            <w:hideMark/>
          </w:tcPr>
          <w:p w14:paraId="1A56CD7B"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64.59</w:t>
            </w:r>
          </w:p>
        </w:tc>
        <w:tc>
          <w:tcPr>
            <w:tcW w:w="1165" w:type="dxa"/>
            <w:tcBorders>
              <w:left w:val="nil"/>
              <w:right w:val="nil"/>
            </w:tcBorders>
            <w:hideMark/>
          </w:tcPr>
          <w:p w14:paraId="0F159578"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25.90</w:t>
            </w:r>
          </w:p>
        </w:tc>
        <w:tc>
          <w:tcPr>
            <w:tcW w:w="1890" w:type="dxa"/>
            <w:tcBorders>
              <w:left w:val="nil"/>
              <w:right w:val="nil"/>
            </w:tcBorders>
            <w:hideMark/>
          </w:tcPr>
          <w:p w14:paraId="4A13CF65"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52.41</w:t>
            </w:r>
          </w:p>
        </w:tc>
        <w:tc>
          <w:tcPr>
            <w:tcW w:w="1800" w:type="dxa"/>
            <w:tcBorders>
              <w:left w:val="nil"/>
              <w:right w:val="nil"/>
            </w:tcBorders>
            <w:hideMark/>
          </w:tcPr>
          <w:p w14:paraId="7508355F"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16.87</w:t>
            </w:r>
          </w:p>
        </w:tc>
        <w:tc>
          <w:tcPr>
            <w:tcW w:w="1800" w:type="dxa"/>
            <w:tcBorders>
              <w:left w:val="nil"/>
              <w:right w:val="nil"/>
            </w:tcBorders>
            <w:hideMark/>
          </w:tcPr>
          <w:p w14:paraId="56F47BFD"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4.82</w:t>
            </w:r>
          </w:p>
        </w:tc>
      </w:tr>
      <w:tr w:rsidR="00141B2C" w:rsidRPr="004E52C2" w14:paraId="2C8BBD75" w14:textId="77777777" w:rsidTr="00D85854">
        <w:tc>
          <w:tcPr>
            <w:cnfStyle w:val="001000000000" w:firstRow="0" w:lastRow="0" w:firstColumn="1" w:lastColumn="0" w:oddVBand="0" w:evenVBand="0" w:oddHBand="0" w:evenHBand="0" w:firstRowFirstColumn="0" w:firstRowLastColumn="0" w:lastRowFirstColumn="0" w:lastRowLastColumn="0"/>
            <w:tcW w:w="1620" w:type="dxa"/>
            <w:tcBorders>
              <w:top w:val="nil"/>
              <w:left w:val="nil"/>
              <w:bottom w:val="nil"/>
              <w:right w:val="nil"/>
            </w:tcBorders>
            <w:hideMark/>
          </w:tcPr>
          <w:p w14:paraId="12D0D913"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Married Polygamous</w:t>
            </w:r>
          </w:p>
        </w:tc>
        <w:tc>
          <w:tcPr>
            <w:tcW w:w="1620" w:type="dxa"/>
            <w:tcBorders>
              <w:top w:val="nil"/>
              <w:left w:val="nil"/>
              <w:bottom w:val="nil"/>
              <w:right w:val="nil"/>
            </w:tcBorders>
            <w:hideMark/>
          </w:tcPr>
          <w:p w14:paraId="712473A8"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11.28</w:t>
            </w:r>
          </w:p>
        </w:tc>
        <w:tc>
          <w:tcPr>
            <w:tcW w:w="1165" w:type="dxa"/>
            <w:tcBorders>
              <w:top w:val="nil"/>
              <w:left w:val="nil"/>
              <w:bottom w:val="nil"/>
              <w:right w:val="nil"/>
            </w:tcBorders>
            <w:hideMark/>
          </w:tcPr>
          <w:p w14:paraId="1E75F85B"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48.28</w:t>
            </w:r>
          </w:p>
        </w:tc>
        <w:tc>
          <w:tcPr>
            <w:tcW w:w="1890" w:type="dxa"/>
            <w:tcBorders>
              <w:top w:val="nil"/>
              <w:left w:val="nil"/>
              <w:bottom w:val="nil"/>
              <w:right w:val="nil"/>
            </w:tcBorders>
            <w:hideMark/>
          </w:tcPr>
          <w:p w14:paraId="2EC58C82"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37.93</w:t>
            </w:r>
          </w:p>
        </w:tc>
        <w:tc>
          <w:tcPr>
            <w:tcW w:w="1800" w:type="dxa"/>
            <w:tcBorders>
              <w:top w:val="nil"/>
              <w:left w:val="nil"/>
              <w:bottom w:val="nil"/>
              <w:right w:val="nil"/>
            </w:tcBorders>
            <w:hideMark/>
          </w:tcPr>
          <w:p w14:paraId="6BAC1BB5"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3.45</w:t>
            </w:r>
          </w:p>
        </w:tc>
        <w:tc>
          <w:tcPr>
            <w:tcW w:w="1800" w:type="dxa"/>
            <w:tcBorders>
              <w:top w:val="nil"/>
              <w:left w:val="nil"/>
              <w:bottom w:val="nil"/>
              <w:right w:val="nil"/>
            </w:tcBorders>
            <w:hideMark/>
          </w:tcPr>
          <w:p w14:paraId="44AFEFB5"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10.34</w:t>
            </w:r>
          </w:p>
        </w:tc>
      </w:tr>
      <w:tr w:rsidR="00141B2C" w:rsidRPr="004E52C2" w14:paraId="0F2C6B69"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Borders>
              <w:left w:val="nil"/>
              <w:right w:val="nil"/>
            </w:tcBorders>
            <w:hideMark/>
          </w:tcPr>
          <w:p w14:paraId="07F00F05"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Never Married</w:t>
            </w:r>
          </w:p>
        </w:tc>
        <w:tc>
          <w:tcPr>
            <w:tcW w:w="1620" w:type="dxa"/>
            <w:tcBorders>
              <w:left w:val="nil"/>
              <w:right w:val="nil"/>
            </w:tcBorders>
            <w:hideMark/>
          </w:tcPr>
          <w:p w14:paraId="1F7CDA4E"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10.51</w:t>
            </w:r>
          </w:p>
        </w:tc>
        <w:tc>
          <w:tcPr>
            <w:tcW w:w="1165" w:type="dxa"/>
            <w:tcBorders>
              <w:left w:val="nil"/>
              <w:right w:val="nil"/>
            </w:tcBorders>
            <w:hideMark/>
          </w:tcPr>
          <w:p w14:paraId="13CFB19D"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22.22</w:t>
            </w:r>
          </w:p>
        </w:tc>
        <w:tc>
          <w:tcPr>
            <w:tcW w:w="1890" w:type="dxa"/>
            <w:tcBorders>
              <w:left w:val="nil"/>
              <w:right w:val="nil"/>
            </w:tcBorders>
            <w:hideMark/>
          </w:tcPr>
          <w:p w14:paraId="21DD8E42"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66.67</w:t>
            </w:r>
          </w:p>
        </w:tc>
        <w:tc>
          <w:tcPr>
            <w:tcW w:w="1800" w:type="dxa"/>
            <w:tcBorders>
              <w:left w:val="nil"/>
              <w:right w:val="nil"/>
            </w:tcBorders>
            <w:hideMark/>
          </w:tcPr>
          <w:p w14:paraId="4BA7329F"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7.41</w:t>
            </w:r>
          </w:p>
        </w:tc>
        <w:tc>
          <w:tcPr>
            <w:tcW w:w="1800" w:type="dxa"/>
            <w:tcBorders>
              <w:left w:val="nil"/>
              <w:right w:val="nil"/>
            </w:tcBorders>
            <w:hideMark/>
          </w:tcPr>
          <w:p w14:paraId="684DE3E3"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3.70</w:t>
            </w:r>
          </w:p>
        </w:tc>
      </w:tr>
      <w:tr w:rsidR="00141B2C" w:rsidRPr="004E52C2" w14:paraId="6AF6831E" w14:textId="77777777" w:rsidTr="00D85854">
        <w:tc>
          <w:tcPr>
            <w:cnfStyle w:val="001000000000" w:firstRow="0" w:lastRow="0" w:firstColumn="1" w:lastColumn="0" w:oddVBand="0" w:evenVBand="0" w:oddHBand="0" w:evenHBand="0" w:firstRowFirstColumn="0" w:firstRowLastColumn="0" w:lastRowFirstColumn="0" w:lastRowLastColumn="0"/>
            <w:tcW w:w="1620" w:type="dxa"/>
            <w:tcBorders>
              <w:top w:val="nil"/>
              <w:left w:val="nil"/>
              <w:bottom w:val="nil"/>
              <w:right w:val="nil"/>
            </w:tcBorders>
            <w:hideMark/>
          </w:tcPr>
          <w:p w14:paraId="36215CDC"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Divorced</w:t>
            </w:r>
          </w:p>
        </w:tc>
        <w:tc>
          <w:tcPr>
            <w:tcW w:w="1620" w:type="dxa"/>
            <w:tcBorders>
              <w:top w:val="nil"/>
              <w:left w:val="nil"/>
              <w:bottom w:val="nil"/>
              <w:right w:val="nil"/>
            </w:tcBorders>
            <w:hideMark/>
          </w:tcPr>
          <w:p w14:paraId="38F422DD"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3.11</w:t>
            </w:r>
          </w:p>
        </w:tc>
        <w:tc>
          <w:tcPr>
            <w:tcW w:w="1165" w:type="dxa"/>
            <w:tcBorders>
              <w:top w:val="nil"/>
              <w:left w:val="nil"/>
              <w:bottom w:val="nil"/>
              <w:right w:val="nil"/>
            </w:tcBorders>
            <w:hideMark/>
          </w:tcPr>
          <w:p w14:paraId="08EA41F1"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12.50</w:t>
            </w:r>
          </w:p>
        </w:tc>
        <w:tc>
          <w:tcPr>
            <w:tcW w:w="1890" w:type="dxa"/>
            <w:tcBorders>
              <w:top w:val="nil"/>
              <w:left w:val="nil"/>
              <w:bottom w:val="nil"/>
              <w:right w:val="nil"/>
            </w:tcBorders>
            <w:hideMark/>
          </w:tcPr>
          <w:p w14:paraId="1DF0833C"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50.00</w:t>
            </w:r>
          </w:p>
        </w:tc>
        <w:tc>
          <w:tcPr>
            <w:tcW w:w="1800" w:type="dxa"/>
            <w:tcBorders>
              <w:top w:val="nil"/>
              <w:left w:val="nil"/>
              <w:bottom w:val="nil"/>
              <w:right w:val="nil"/>
            </w:tcBorders>
            <w:hideMark/>
          </w:tcPr>
          <w:p w14:paraId="2EE74F9E"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37.50</w:t>
            </w:r>
          </w:p>
        </w:tc>
        <w:tc>
          <w:tcPr>
            <w:tcW w:w="1800" w:type="dxa"/>
            <w:tcBorders>
              <w:top w:val="nil"/>
              <w:left w:val="nil"/>
              <w:bottom w:val="nil"/>
              <w:right w:val="nil"/>
            </w:tcBorders>
            <w:hideMark/>
          </w:tcPr>
          <w:p w14:paraId="7AE62A6D"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0.00</w:t>
            </w:r>
          </w:p>
        </w:tc>
      </w:tr>
      <w:tr w:rsidR="00141B2C" w:rsidRPr="004E52C2" w14:paraId="4B177882"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Borders>
              <w:left w:val="nil"/>
              <w:right w:val="nil"/>
            </w:tcBorders>
            <w:hideMark/>
          </w:tcPr>
          <w:p w14:paraId="0E1108EB"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Separated</w:t>
            </w:r>
          </w:p>
        </w:tc>
        <w:tc>
          <w:tcPr>
            <w:tcW w:w="1620" w:type="dxa"/>
            <w:tcBorders>
              <w:left w:val="nil"/>
              <w:right w:val="nil"/>
            </w:tcBorders>
            <w:hideMark/>
          </w:tcPr>
          <w:p w14:paraId="3E8FCBF4"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2.72</w:t>
            </w:r>
          </w:p>
        </w:tc>
        <w:tc>
          <w:tcPr>
            <w:tcW w:w="1165" w:type="dxa"/>
            <w:tcBorders>
              <w:left w:val="nil"/>
              <w:right w:val="nil"/>
            </w:tcBorders>
            <w:hideMark/>
          </w:tcPr>
          <w:p w14:paraId="2D902C67"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71.43</w:t>
            </w:r>
          </w:p>
        </w:tc>
        <w:tc>
          <w:tcPr>
            <w:tcW w:w="1890" w:type="dxa"/>
            <w:tcBorders>
              <w:left w:val="nil"/>
              <w:right w:val="nil"/>
            </w:tcBorders>
            <w:hideMark/>
          </w:tcPr>
          <w:p w14:paraId="0F044051"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14.29</w:t>
            </w:r>
          </w:p>
        </w:tc>
        <w:tc>
          <w:tcPr>
            <w:tcW w:w="1800" w:type="dxa"/>
            <w:tcBorders>
              <w:left w:val="nil"/>
              <w:right w:val="nil"/>
            </w:tcBorders>
            <w:hideMark/>
          </w:tcPr>
          <w:p w14:paraId="31240F2F"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14.29</w:t>
            </w:r>
          </w:p>
        </w:tc>
        <w:tc>
          <w:tcPr>
            <w:tcW w:w="1800" w:type="dxa"/>
            <w:tcBorders>
              <w:left w:val="nil"/>
              <w:right w:val="nil"/>
            </w:tcBorders>
            <w:hideMark/>
          </w:tcPr>
          <w:p w14:paraId="4F675AE9"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0.00</w:t>
            </w:r>
          </w:p>
        </w:tc>
      </w:tr>
      <w:tr w:rsidR="00141B2C" w:rsidRPr="004E52C2" w14:paraId="21A13A49" w14:textId="77777777" w:rsidTr="00D85854">
        <w:tc>
          <w:tcPr>
            <w:cnfStyle w:val="001000000000" w:firstRow="0" w:lastRow="0" w:firstColumn="1" w:lastColumn="0" w:oddVBand="0" w:evenVBand="0" w:oddHBand="0" w:evenHBand="0" w:firstRowFirstColumn="0" w:firstRowLastColumn="0" w:lastRowFirstColumn="0" w:lastRowLastColumn="0"/>
            <w:tcW w:w="1620" w:type="dxa"/>
            <w:tcBorders>
              <w:top w:val="nil"/>
              <w:left w:val="nil"/>
              <w:bottom w:val="single" w:sz="4" w:space="0" w:color="7F7F7F" w:themeColor="text1" w:themeTint="80"/>
              <w:right w:val="nil"/>
            </w:tcBorders>
            <w:hideMark/>
          </w:tcPr>
          <w:p w14:paraId="5E76E13A"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Widowed</w:t>
            </w:r>
          </w:p>
        </w:tc>
        <w:tc>
          <w:tcPr>
            <w:tcW w:w="1620" w:type="dxa"/>
            <w:tcBorders>
              <w:top w:val="nil"/>
              <w:left w:val="nil"/>
              <w:bottom w:val="single" w:sz="4" w:space="0" w:color="7F7F7F" w:themeColor="text1" w:themeTint="80"/>
              <w:right w:val="nil"/>
            </w:tcBorders>
            <w:hideMark/>
          </w:tcPr>
          <w:p w14:paraId="11AB4B49"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7.78</w:t>
            </w:r>
          </w:p>
        </w:tc>
        <w:tc>
          <w:tcPr>
            <w:tcW w:w="1165" w:type="dxa"/>
            <w:tcBorders>
              <w:top w:val="nil"/>
              <w:left w:val="nil"/>
              <w:bottom w:val="single" w:sz="4" w:space="0" w:color="7F7F7F" w:themeColor="text1" w:themeTint="80"/>
              <w:right w:val="nil"/>
            </w:tcBorders>
            <w:hideMark/>
          </w:tcPr>
          <w:p w14:paraId="7373E17E"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35.00</w:t>
            </w:r>
          </w:p>
        </w:tc>
        <w:tc>
          <w:tcPr>
            <w:tcW w:w="1890" w:type="dxa"/>
            <w:tcBorders>
              <w:top w:val="nil"/>
              <w:left w:val="nil"/>
              <w:bottom w:val="single" w:sz="4" w:space="0" w:color="7F7F7F" w:themeColor="text1" w:themeTint="80"/>
              <w:right w:val="nil"/>
            </w:tcBorders>
            <w:hideMark/>
          </w:tcPr>
          <w:p w14:paraId="3F9EA4E5"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40.00</w:t>
            </w:r>
          </w:p>
        </w:tc>
        <w:tc>
          <w:tcPr>
            <w:tcW w:w="1800" w:type="dxa"/>
            <w:tcBorders>
              <w:top w:val="nil"/>
              <w:left w:val="nil"/>
              <w:bottom w:val="single" w:sz="4" w:space="0" w:color="7F7F7F" w:themeColor="text1" w:themeTint="80"/>
              <w:right w:val="nil"/>
            </w:tcBorders>
            <w:hideMark/>
          </w:tcPr>
          <w:p w14:paraId="4428C46D"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5.00</w:t>
            </w:r>
          </w:p>
        </w:tc>
        <w:tc>
          <w:tcPr>
            <w:tcW w:w="1800" w:type="dxa"/>
            <w:tcBorders>
              <w:top w:val="nil"/>
              <w:left w:val="nil"/>
              <w:bottom w:val="single" w:sz="4" w:space="0" w:color="7F7F7F" w:themeColor="text1" w:themeTint="80"/>
              <w:right w:val="nil"/>
            </w:tcBorders>
            <w:hideMark/>
          </w:tcPr>
          <w:p w14:paraId="6B045E44"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20.00</w:t>
            </w:r>
          </w:p>
        </w:tc>
      </w:tr>
    </w:tbl>
    <w:p w14:paraId="4145C56E"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Source: Field survey, 2023.</w:t>
      </w:r>
    </w:p>
    <w:p w14:paraId="2CB3EEAB" w14:textId="31F31A05" w:rsidR="00141B2C" w:rsidRPr="004E52C2" w:rsidRDefault="00B5477B" w:rsidP="00141B2C">
      <w:pPr>
        <w:rPr>
          <w:rFonts w:cstheme="minorHAnsi"/>
          <w:b/>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.1.5 Household size</w:t>
      </w:r>
    </w:p>
    <w:p w14:paraId="0DD7EA92" w14:textId="1F7E21CA" w:rsidR="00141B2C" w:rsidRPr="004E52C2" w:rsidRDefault="00141B2C" w:rsidP="002C1684">
      <w:pPr>
        <w:jc w:val="both"/>
        <w:rPr>
          <w:rFonts w:cstheme="minorHAnsi"/>
          <w:bCs/>
          <w:sz w:val="24"/>
          <w:szCs w:val="24"/>
          <w:lang w:val="en-US"/>
        </w:rPr>
      </w:pPr>
      <w:r w:rsidRPr="004E52C2">
        <w:rPr>
          <w:rFonts w:cstheme="minorHAnsi"/>
          <w:bCs/>
          <w:sz w:val="24"/>
          <w:szCs w:val="24"/>
          <w:lang w:val="en-US"/>
        </w:rPr>
        <w:t xml:space="preserve">The distribution of households by size and their corresponding food security statuses shows that of the 257 households </w:t>
      </w:r>
      <w:r w:rsidR="002C1684" w:rsidRPr="004E52C2">
        <w:rPr>
          <w:rFonts w:cstheme="minorHAnsi"/>
          <w:bCs/>
          <w:sz w:val="24"/>
          <w:szCs w:val="24"/>
          <w:lang w:val="en-US"/>
        </w:rPr>
        <w:t>surveyed, 60</w:t>
      </w:r>
      <w:r w:rsidRPr="004E52C2">
        <w:rPr>
          <w:rFonts w:cstheme="minorHAnsi"/>
          <w:bCs/>
          <w:sz w:val="24"/>
          <w:szCs w:val="24"/>
          <w:lang w:val="en-US"/>
        </w:rPr>
        <w:t xml:space="preserve"> households (23.35%) fall into the less than three household members category. Among these households, 7.00% are food secure, while 13.63% experience food insecurity without hunger, 1.56% face food insecurity with moderate hunger, and 1.17% face food insecurity with severe hunger. The largest group in the data recorded with 170 households, accounting for 66.15% of household sizes ranging from 4 to 7 members. Within this group, 19.84% are food secure, 32.31% experience food insecurity without hunger, 9.73% face food insecurity without hunger, and 4.28% face food insecurity with severe hunger. Lastly, the smallest proportion of households at 10.51%, have household sizes greater than eight members. Within this group, 25.93% are food secure, 40.74% experience food insecurity without hunger, </w:t>
      </w:r>
      <w:r w:rsidRPr="004E52C2">
        <w:rPr>
          <w:rFonts w:cstheme="minorHAnsi"/>
          <w:bCs/>
          <w:sz w:val="24"/>
          <w:szCs w:val="24"/>
          <w:lang w:val="en-US"/>
        </w:rPr>
        <w:lastRenderedPageBreak/>
        <w:t xml:space="preserve">25.93% face moderate food insecurity with moderate hunger, and 7.41% face severe food insecurity. </w:t>
      </w:r>
    </w:p>
    <w:p w14:paraId="2F4E8B5A" w14:textId="4C4104C4" w:rsidR="00141B2C" w:rsidRPr="004E52C2" w:rsidRDefault="00141B2C" w:rsidP="002C1684">
      <w:pPr>
        <w:jc w:val="both"/>
        <w:rPr>
          <w:rFonts w:cstheme="minorHAnsi"/>
          <w:bCs/>
          <w:sz w:val="24"/>
          <w:szCs w:val="24"/>
          <w:lang w:val="en-US"/>
        </w:rPr>
      </w:pPr>
      <w:commentRangeStart w:id="29"/>
      <w:r w:rsidRPr="004E52C2">
        <w:rPr>
          <w:rFonts w:cstheme="minorHAnsi"/>
          <w:bCs/>
          <w:sz w:val="24"/>
          <w:szCs w:val="24"/>
          <w:lang w:val="en-US"/>
        </w:rPr>
        <w:t>Interestingly, although households with 4-7 members have the largest distribution of the sample statistics, under the food secure category, it bears an equal percentile of 30% with households of 1-3 members. The highest percentage of houses that are food insecure without hunger are households with sizes less than three at 58.33%. While in contrast, although having the least frequency, the household with more than 8 members experienced the highest records of food insecurity with moderate and severe hunger at 25% and 7.41%, respectively. As the household composition becomes dominated by children and the elderly (a high dependency ratio), the higher levels of food insecurity.</w:t>
      </w:r>
      <w:commentRangeEnd w:id="29"/>
      <w:r w:rsidR="00B86618" w:rsidRPr="004E52C2">
        <w:rPr>
          <w:rStyle w:val="CommentReference"/>
          <w:rFonts w:cstheme="minorHAnsi"/>
          <w:bCs/>
          <w:sz w:val="24"/>
          <w:szCs w:val="24"/>
          <w:lang w:val="en-US"/>
        </w:rPr>
        <w:commentReference w:id="29"/>
      </w:r>
    </w:p>
    <w:p w14:paraId="7344CAE4" w14:textId="0611B020"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Table </w:t>
      </w:r>
      <w:r w:rsidR="00D92B88">
        <w:rPr>
          <w:rFonts w:cstheme="minorHAnsi"/>
          <w:bCs/>
          <w:sz w:val="24"/>
          <w:szCs w:val="24"/>
          <w:lang w:val="en-US"/>
        </w:rPr>
        <w:t>6</w:t>
      </w:r>
      <w:r w:rsidRPr="004E52C2">
        <w:rPr>
          <w:rFonts w:cstheme="minorHAnsi"/>
          <w:bCs/>
          <w:sz w:val="24"/>
          <w:szCs w:val="24"/>
          <w:lang w:val="en-US"/>
        </w:rPr>
        <w:t xml:space="preserve">: Distribution of households by size. </w:t>
      </w:r>
    </w:p>
    <w:tbl>
      <w:tblPr>
        <w:tblStyle w:val="PlainTable2"/>
        <w:tblW w:w="10125" w:type="dxa"/>
        <w:tblLayout w:type="fixed"/>
        <w:tblLook w:val="04A0" w:firstRow="1" w:lastRow="0" w:firstColumn="1" w:lastColumn="0" w:noHBand="0" w:noVBand="1"/>
      </w:tblPr>
      <w:tblGrid>
        <w:gridCol w:w="1765"/>
        <w:gridCol w:w="1524"/>
        <w:gridCol w:w="1349"/>
        <w:gridCol w:w="1889"/>
        <w:gridCol w:w="1799"/>
        <w:gridCol w:w="1799"/>
      </w:tblGrid>
      <w:tr w:rsidR="00141B2C" w:rsidRPr="004E52C2" w14:paraId="5DA8E23E" w14:textId="77777777" w:rsidTr="00D858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top w:val="single" w:sz="4" w:space="0" w:color="7F7F7F" w:themeColor="text1" w:themeTint="80"/>
              <w:left w:val="nil"/>
              <w:right w:val="nil"/>
            </w:tcBorders>
            <w:hideMark/>
          </w:tcPr>
          <w:p w14:paraId="31288CCF"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Household size</w:t>
            </w:r>
          </w:p>
          <w:p w14:paraId="7BAE9DF6"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n=257</w:t>
            </w:r>
          </w:p>
        </w:tc>
        <w:tc>
          <w:tcPr>
            <w:tcW w:w="1525" w:type="dxa"/>
            <w:tcBorders>
              <w:top w:val="single" w:sz="4" w:space="0" w:color="7F7F7F" w:themeColor="text1" w:themeTint="80"/>
              <w:left w:val="nil"/>
              <w:right w:val="nil"/>
            </w:tcBorders>
            <w:hideMark/>
          </w:tcPr>
          <w:p w14:paraId="74EEF27B"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Frequency (%)</w:t>
            </w:r>
          </w:p>
        </w:tc>
        <w:tc>
          <w:tcPr>
            <w:tcW w:w="1350" w:type="dxa"/>
            <w:tcBorders>
              <w:top w:val="single" w:sz="4" w:space="0" w:color="7F7F7F" w:themeColor="text1" w:themeTint="80"/>
              <w:left w:val="nil"/>
              <w:right w:val="nil"/>
            </w:tcBorders>
            <w:hideMark/>
          </w:tcPr>
          <w:p w14:paraId="0DD94C4D"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Secure</w:t>
            </w:r>
          </w:p>
          <w:p w14:paraId="6450E3F0"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890" w:type="dxa"/>
            <w:tcBorders>
              <w:top w:val="single" w:sz="4" w:space="0" w:color="7F7F7F" w:themeColor="text1" w:themeTint="80"/>
              <w:left w:val="nil"/>
              <w:right w:val="nil"/>
            </w:tcBorders>
            <w:hideMark/>
          </w:tcPr>
          <w:p w14:paraId="0E455059"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without hunger (%)</w:t>
            </w:r>
          </w:p>
        </w:tc>
        <w:tc>
          <w:tcPr>
            <w:tcW w:w="1800" w:type="dxa"/>
            <w:tcBorders>
              <w:top w:val="single" w:sz="4" w:space="0" w:color="7F7F7F" w:themeColor="text1" w:themeTint="80"/>
              <w:left w:val="nil"/>
              <w:right w:val="nil"/>
            </w:tcBorders>
            <w:hideMark/>
          </w:tcPr>
          <w:p w14:paraId="142817DD"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moderate hunger (%)</w:t>
            </w:r>
          </w:p>
        </w:tc>
        <w:tc>
          <w:tcPr>
            <w:tcW w:w="1800" w:type="dxa"/>
            <w:tcBorders>
              <w:top w:val="single" w:sz="4" w:space="0" w:color="7F7F7F" w:themeColor="text1" w:themeTint="80"/>
              <w:left w:val="nil"/>
              <w:right w:val="nil"/>
            </w:tcBorders>
            <w:hideMark/>
          </w:tcPr>
          <w:p w14:paraId="61282F3B"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severe hunger (%)</w:t>
            </w:r>
          </w:p>
        </w:tc>
      </w:tr>
      <w:tr w:rsidR="00141B2C" w:rsidRPr="004E52C2" w14:paraId="3ED81264"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left w:val="nil"/>
              <w:right w:val="nil"/>
            </w:tcBorders>
            <w:hideMark/>
          </w:tcPr>
          <w:p w14:paraId="32FC4F5F"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1-3</w:t>
            </w:r>
          </w:p>
        </w:tc>
        <w:tc>
          <w:tcPr>
            <w:tcW w:w="1525" w:type="dxa"/>
            <w:tcBorders>
              <w:left w:val="nil"/>
              <w:right w:val="nil"/>
            </w:tcBorders>
            <w:hideMark/>
          </w:tcPr>
          <w:p w14:paraId="147DCA1A"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23.35</w:t>
            </w:r>
          </w:p>
        </w:tc>
        <w:tc>
          <w:tcPr>
            <w:tcW w:w="1350" w:type="dxa"/>
            <w:tcBorders>
              <w:left w:val="nil"/>
              <w:right w:val="nil"/>
            </w:tcBorders>
            <w:hideMark/>
          </w:tcPr>
          <w:p w14:paraId="38BF1213"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30.00</w:t>
            </w:r>
          </w:p>
        </w:tc>
        <w:tc>
          <w:tcPr>
            <w:tcW w:w="1890" w:type="dxa"/>
            <w:tcBorders>
              <w:left w:val="nil"/>
              <w:right w:val="nil"/>
            </w:tcBorders>
            <w:hideMark/>
          </w:tcPr>
          <w:p w14:paraId="15253973"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58.33</w:t>
            </w:r>
          </w:p>
        </w:tc>
        <w:tc>
          <w:tcPr>
            <w:tcW w:w="1800" w:type="dxa"/>
            <w:tcBorders>
              <w:left w:val="nil"/>
              <w:right w:val="nil"/>
            </w:tcBorders>
            <w:hideMark/>
          </w:tcPr>
          <w:p w14:paraId="50199C63"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6.67</w:t>
            </w:r>
          </w:p>
        </w:tc>
        <w:tc>
          <w:tcPr>
            <w:tcW w:w="1800" w:type="dxa"/>
            <w:tcBorders>
              <w:left w:val="nil"/>
              <w:right w:val="nil"/>
            </w:tcBorders>
            <w:hideMark/>
          </w:tcPr>
          <w:p w14:paraId="019150DE"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5.00</w:t>
            </w:r>
          </w:p>
        </w:tc>
      </w:tr>
      <w:tr w:rsidR="00141B2C" w:rsidRPr="004E52C2" w14:paraId="41306D6E" w14:textId="77777777" w:rsidTr="00D85854">
        <w:tc>
          <w:tcPr>
            <w:cnfStyle w:val="001000000000" w:firstRow="0" w:lastRow="0" w:firstColumn="1" w:lastColumn="0" w:oddVBand="0" w:evenVBand="0" w:oddHBand="0" w:evenHBand="0" w:firstRowFirstColumn="0" w:firstRowLastColumn="0" w:lastRowFirstColumn="0" w:lastRowLastColumn="0"/>
            <w:tcW w:w="1766" w:type="dxa"/>
            <w:tcBorders>
              <w:top w:val="nil"/>
              <w:left w:val="nil"/>
              <w:bottom w:val="nil"/>
              <w:right w:val="nil"/>
            </w:tcBorders>
            <w:hideMark/>
          </w:tcPr>
          <w:p w14:paraId="02465396"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4-7</w:t>
            </w:r>
          </w:p>
        </w:tc>
        <w:tc>
          <w:tcPr>
            <w:tcW w:w="1525" w:type="dxa"/>
            <w:tcBorders>
              <w:top w:val="nil"/>
              <w:left w:val="nil"/>
              <w:bottom w:val="nil"/>
              <w:right w:val="nil"/>
            </w:tcBorders>
            <w:hideMark/>
          </w:tcPr>
          <w:p w14:paraId="5F01447B"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66.15</w:t>
            </w:r>
          </w:p>
        </w:tc>
        <w:tc>
          <w:tcPr>
            <w:tcW w:w="1350" w:type="dxa"/>
            <w:tcBorders>
              <w:top w:val="nil"/>
              <w:left w:val="nil"/>
              <w:bottom w:val="nil"/>
              <w:right w:val="nil"/>
            </w:tcBorders>
            <w:hideMark/>
          </w:tcPr>
          <w:p w14:paraId="4EAD1C38"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30.00</w:t>
            </w:r>
          </w:p>
        </w:tc>
        <w:tc>
          <w:tcPr>
            <w:tcW w:w="1890" w:type="dxa"/>
            <w:tcBorders>
              <w:top w:val="nil"/>
              <w:left w:val="nil"/>
              <w:bottom w:val="nil"/>
              <w:right w:val="nil"/>
            </w:tcBorders>
            <w:hideMark/>
          </w:tcPr>
          <w:p w14:paraId="622072A6"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48.82</w:t>
            </w:r>
          </w:p>
        </w:tc>
        <w:tc>
          <w:tcPr>
            <w:tcW w:w="1800" w:type="dxa"/>
            <w:tcBorders>
              <w:top w:val="nil"/>
              <w:left w:val="nil"/>
              <w:bottom w:val="nil"/>
              <w:right w:val="nil"/>
            </w:tcBorders>
            <w:hideMark/>
          </w:tcPr>
          <w:p w14:paraId="11DB3023"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14.71</w:t>
            </w:r>
          </w:p>
        </w:tc>
        <w:tc>
          <w:tcPr>
            <w:tcW w:w="1800" w:type="dxa"/>
            <w:tcBorders>
              <w:top w:val="nil"/>
              <w:left w:val="nil"/>
              <w:bottom w:val="nil"/>
              <w:right w:val="nil"/>
            </w:tcBorders>
            <w:hideMark/>
          </w:tcPr>
          <w:p w14:paraId="20D25C6C"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6.47</w:t>
            </w:r>
          </w:p>
        </w:tc>
      </w:tr>
      <w:tr w:rsidR="00141B2C" w:rsidRPr="004E52C2" w14:paraId="59EC962D"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left w:val="nil"/>
              <w:right w:val="nil"/>
            </w:tcBorders>
            <w:hideMark/>
          </w:tcPr>
          <w:p w14:paraId="79E2F8C3"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&gt;8</w:t>
            </w:r>
          </w:p>
        </w:tc>
        <w:tc>
          <w:tcPr>
            <w:tcW w:w="1525" w:type="dxa"/>
            <w:tcBorders>
              <w:left w:val="nil"/>
              <w:right w:val="nil"/>
            </w:tcBorders>
            <w:hideMark/>
          </w:tcPr>
          <w:p w14:paraId="136E4EF2"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10.51</w:t>
            </w:r>
          </w:p>
        </w:tc>
        <w:tc>
          <w:tcPr>
            <w:tcW w:w="1350" w:type="dxa"/>
            <w:tcBorders>
              <w:left w:val="nil"/>
              <w:right w:val="nil"/>
            </w:tcBorders>
            <w:hideMark/>
          </w:tcPr>
          <w:p w14:paraId="09D7685E"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25.93</w:t>
            </w:r>
          </w:p>
        </w:tc>
        <w:tc>
          <w:tcPr>
            <w:tcW w:w="1890" w:type="dxa"/>
            <w:tcBorders>
              <w:left w:val="nil"/>
              <w:right w:val="nil"/>
            </w:tcBorders>
            <w:hideMark/>
          </w:tcPr>
          <w:p w14:paraId="27CB9872"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40.74</w:t>
            </w:r>
          </w:p>
        </w:tc>
        <w:tc>
          <w:tcPr>
            <w:tcW w:w="1800" w:type="dxa"/>
            <w:tcBorders>
              <w:left w:val="nil"/>
              <w:right w:val="nil"/>
            </w:tcBorders>
            <w:hideMark/>
          </w:tcPr>
          <w:p w14:paraId="48A40D07"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25.93</w:t>
            </w:r>
          </w:p>
        </w:tc>
        <w:tc>
          <w:tcPr>
            <w:tcW w:w="1800" w:type="dxa"/>
            <w:tcBorders>
              <w:left w:val="nil"/>
              <w:right w:val="nil"/>
            </w:tcBorders>
            <w:hideMark/>
          </w:tcPr>
          <w:p w14:paraId="5894A78C"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7.41</w:t>
            </w:r>
          </w:p>
        </w:tc>
      </w:tr>
      <w:tr w:rsidR="00141B2C" w:rsidRPr="004E52C2" w14:paraId="309D8906" w14:textId="77777777" w:rsidTr="00D85854">
        <w:tc>
          <w:tcPr>
            <w:cnfStyle w:val="001000000000" w:firstRow="0" w:lastRow="0" w:firstColumn="1" w:lastColumn="0" w:oddVBand="0" w:evenVBand="0" w:oddHBand="0" w:evenHBand="0" w:firstRowFirstColumn="0" w:firstRowLastColumn="0" w:lastRowFirstColumn="0" w:lastRowLastColumn="0"/>
            <w:tcW w:w="1766" w:type="dxa"/>
            <w:tcBorders>
              <w:top w:val="nil"/>
              <w:left w:val="nil"/>
              <w:bottom w:val="single" w:sz="4" w:space="0" w:color="7F7F7F" w:themeColor="text1" w:themeTint="80"/>
              <w:right w:val="nil"/>
            </w:tcBorders>
            <w:hideMark/>
          </w:tcPr>
          <w:p w14:paraId="644A20E6"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Total</w:t>
            </w:r>
          </w:p>
        </w:tc>
        <w:tc>
          <w:tcPr>
            <w:tcW w:w="1525" w:type="dxa"/>
            <w:tcBorders>
              <w:top w:val="nil"/>
              <w:left w:val="nil"/>
              <w:bottom w:val="single" w:sz="4" w:space="0" w:color="7F7F7F" w:themeColor="text1" w:themeTint="80"/>
              <w:right w:val="nil"/>
            </w:tcBorders>
            <w:hideMark/>
          </w:tcPr>
          <w:p w14:paraId="0ADD0E9F"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w:t>
            </w:r>
          </w:p>
        </w:tc>
        <w:tc>
          <w:tcPr>
            <w:tcW w:w="1350" w:type="dxa"/>
            <w:tcBorders>
              <w:top w:val="nil"/>
              <w:left w:val="nil"/>
              <w:bottom w:val="single" w:sz="4" w:space="0" w:color="7F7F7F" w:themeColor="text1" w:themeTint="80"/>
              <w:right w:val="nil"/>
            </w:tcBorders>
          </w:tcPr>
          <w:p w14:paraId="5D868EED"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90" w:type="dxa"/>
            <w:tcBorders>
              <w:top w:val="nil"/>
              <w:left w:val="nil"/>
              <w:bottom w:val="single" w:sz="4" w:space="0" w:color="7F7F7F" w:themeColor="text1" w:themeTint="80"/>
              <w:right w:val="nil"/>
            </w:tcBorders>
          </w:tcPr>
          <w:p w14:paraId="0E25F789"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00" w:type="dxa"/>
            <w:tcBorders>
              <w:top w:val="nil"/>
              <w:left w:val="nil"/>
              <w:bottom w:val="single" w:sz="4" w:space="0" w:color="7F7F7F" w:themeColor="text1" w:themeTint="80"/>
              <w:right w:val="nil"/>
            </w:tcBorders>
          </w:tcPr>
          <w:p w14:paraId="619609A6"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00" w:type="dxa"/>
            <w:tcBorders>
              <w:top w:val="nil"/>
              <w:left w:val="nil"/>
              <w:bottom w:val="single" w:sz="4" w:space="0" w:color="7F7F7F" w:themeColor="text1" w:themeTint="80"/>
              <w:right w:val="nil"/>
            </w:tcBorders>
          </w:tcPr>
          <w:p w14:paraId="53FD1F10"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r>
    </w:tbl>
    <w:p w14:paraId="269E6759"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Source: Field survey, 2023.</w:t>
      </w:r>
    </w:p>
    <w:p w14:paraId="25EF95B4" w14:textId="5DA6E2DE" w:rsidR="00141B2C" w:rsidRPr="004E52C2" w:rsidRDefault="00B5477B" w:rsidP="00141B2C">
      <w:pPr>
        <w:rPr>
          <w:rFonts w:cstheme="minorHAnsi"/>
          <w:b/>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.1.6 Location of Household</w:t>
      </w:r>
    </w:p>
    <w:p w14:paraId="734EE218" w14:textId="59B77570" w:rsidR="00141B2C" w:rsidRPr="004E52C2" w:rsidRDefault="00D85854" w:rsidP="002C1684">
      <w:pPr>
        <w:jc w:val="both"/>
        <w:rPr>
          <w:rFonts w:cstheme="minorHAnsi"/>
          <w:b/>
          <w:bCs/>
          <w:sz w:val="24"/>
          <w:szCs w:val="24"/>
          <w:lang w:val="en-US"/>
        </w:rPr>
      </w:pPr>
      <w:r w:rsidRPr="004E52C2">
        <w:rPr>
          <w:rFonts w:cstheme="minorHAnsi"/>
          <w:bCs/>
          <w:sz w:val="24"/>
          <w:szCs w:val="24"/>
          <w:lang w:val="en-US"/>
        </w:rPr>
        <w:t xml:space="preserve">Table </w:t>
      </w:r>
      <w:r w:rsidR="00A41F2F">
        <w:rPr>
          <w:rFonts w:cstheme="minorHAnsi"/>
          <w:bCs/>
          <w:sz w:val="24"/>
          <w:szCs w:val="24"/>
          <w:lang w:val="en-US"/>
        </w:rPr>
        <w:t xml:space="preserve">7 </w:t>
      </w:r>
      <w:r w:rsidR="00141B2C" w:rsidRPr="004E52C2">
        <w:rPr>
          <w:rFonts w:cstheme="minorHAnsi"/>
          <w:bCs/>
          <w:sz w:val="24"/>
          <w:szCs w:val="24"/>
          <w:lang w:val="en-US"/>
        </w:rPr>
        <w:t>presents the distribution of households based on location and their corresponding food security statuses. It is imperative to note that low-populated areas in this research are the combination of areas that are sparsely populated, such as Agodi and New Bodija in Ibadan North LGA, and High populated Area is the combination of dense areas in Ibadan North LGA, such as Agbowo and Mokola/Sango.</w:t>
      </w:r>
    </w:p>
    <w:p w14:paraId="3444AC67" w14:textId="1BD50E66" w:rsidR="00141B2C" w:rsidRPr="004E52C2" w:rsidRDefault="00141B2C" w:rsidP="002C1684">
      <w:pPr>
        <w:jc w:val="both"/>
        <w:rPr>
          <w:rFonts w:cstheme="minorHAnsi"/>
          <w:bCs/>
          <w:sz w:val="24"/>
          <w:szCs w:val="24"/>
          <w:lang w:val="en-US"/>
        </w:rPr>
      </w:pPr>
      <w:r w:rsidRPr="004E52C2">
        <w:rPr>
          <w:rFonts w:cstheme="minorHAnsi"/>
          <w:bCs/>
          <w:sz w:val="24"/>
          <w:szCs w:val="24"/>
          <w:lang w:val="en-US"/>
        </w:rPr>
        <w:t>Among the 257 households, 58.75% (151) are in high-populated areas, while the remaining 41.25% (106) are in low-populated areas. For households in highly populated areas, 19.11% are food secure, indicating that 30 households out of the 151 can meet their nutritional needs without significant concerns. However, many households in this category experience varying degrees of food insecurity. Specifically, 54.30% face food insecurity without hunger, 18.54% face moderate food insecurity, and 7.28% experience severe food insecurity. While, 41.25</w:t>
      </w:r>
      <w:r w:rsidR="00B5477B" w:rsidRPr="004E52C2">
        <w:rPr>
          <w:rFonts w:cstheme="minorHAnsi"/>
          <w:bCs/>
          <w:sz w:val="24"/>
          <w:szCs w:val="24"/>
          <w:lang w:val="en-US"/>
        </w:rPr>
        <w:t>% are</w:t>
      </w:r>
      <w:r w:rsidRPr="004E52C2">
        <w:rPr>
          <w:rFonts w:cstheme="minorHAnsi"/>
          <w:bCs/>
          <w:sz w:val="24"/>
          <w:szCs w:val="24"/>
          <w:lang w:val="en-US"/>
        </w:rPr>
        <w:t xml:space="preserve"> households residing in low-populated areas. Within this category, 43.40% are food secure, indicating a more favourable situation than in highly populated areas. However, it is worth noting that food insecurity is still present, albeit to a lesser extent. Among these households, 44.34% </w:t>
      </w:r>
      <w:r w:rsidRPr="004E52C2">
        <w:rPr>
          <w:rFonts w:cstheme="minorHAnsi"/>
          <w:bCs/>
          <w:sz w:val="24"/>
          <w:szCs w:val="24"/>
          <w:lang w:val="en-US"/>
        </w:rPr>
        <w:lastRenderedPageBreak/>
        <w:t xml:space="preserve">face food insecurity without hunger, 7.55% face moderate food insecurity, and 4.72% experience severe food insecurity. These findings underscore the association between location and food security, with households in Sparsely populated areas facing higher levels of food insecurity than those in densely populated areas. </w:t>
      </w:r>
    </w:p>
    <w:p w14:paraId="4996C4A8" w14:textId="2CD243C9"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Table </w:t>
      </w:r>
      <w:r w:rsidR="00D92B88">
        <w:rPr>
          <w:rFonts w:cstheme="minorHAnsi"/>
          <w:bCs/>
          <w:sz w:val="24"/>
          <w:szCs w:val="24"/>
          <w:lang w:val="en-US"/>
        </w:rPr>
        <w:t>7</w:t>
      </w:r>
      <w:r w:rsidRPr="004E52C2">
        <w:rPr>
          <w:rFonts w:cstheme="minorHAnsi"/>
          <w:bCs/>
          <w:sz w:val="24"/>
          <w:szCs w:val="24"/>
          <w:lang w:val="en-US"/>
        </w:rPr>
        <w:t xml:space="preserve">: Distribution of households by location. </w:t>
      </w:r>
    </w:p>
    <w:tbl>
      <w:tblPr>
        <w:tblStyle w:val="PlainTable2"/>
        <w:tblW w:w="10125" w:type="dxa"/>
        <w:tblLayout w:type="fixed"/>
        <w:tblLook w:val="04A0" w:firstRow="1" w:lastRow="0" w:firstColumn="1" w:lastColumn="0" w:noHBand="0" w:noVBand="1"/>
      </w:tblPr>
      <w:tblGrid>
        <w:gridCol w:w="1765"/>
        <w:gridCol w:w="1524"/>
        <w:gridCol w:w="1349"/>
        <w:gridCol w:w="1889"/>
        <w:gridCol w:w="1799"/>
        <w:gridCol w:w="1799"/>
      </w:tblGrid>
      <w:tr w:rsidR="00141B2C" w:rsidRPr="004E52C2" w14:paraId="2053721A" w14:textId="77777777" w:rsidTr="00D858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top w:val="single" w:sz="4" w:space="0" w:color="7F7F7F" w:themeColor="text1" w:themeTint="80"/>
              <w:left w:val="nil"/>
              <w:right w:val="nil"/>
            </w:tcBorders>
            <w:hideMark/>
          </w:tcPr>
          <w:p w14:paraId="380347AF"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 xml:space="preserve">Location </w:t>
            </w:r>
          </w:p>
          <w:p w14:paraId="70E1D891"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n=257</w:t>
            </w:r>
          </w:p>
        </w:tc>
        <w:tc>
          <w:tcPr>
            <w:tcW w:w="1525" w:type="dxa"/>
            <w:tcBorders>
              <w:top w:val="single" w:sz="4" w:space="0" w:color="7F7F7F" w:themeColor="text1" w:themeTint="80"/>
              <w:left w:val="nil"/>
              <w:right w:val="nil"/>
            </w:tcBorders>
            <w:hideMark/>
          </w:tcPr>
          <w:p w14:paraId="233E2445"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Frequency (%)</w:t>
            </w:r>
          </w:p>
        </w:tc>
        <w:tc>
          <w:tcPr>
            <w:tcW w:w="1350" w:type="dxa"/>
            <w:tcBorders>
              <w:top w:val="single" w:sz="4" w:space="0" w:color="7F7F7F" w:themeColor="text1" w:themeTint="80"/>
              <w:left w:val="nil"/>
              <w:right w:val="nil"/>
            </w:tcBorders>
            <w:hideMark/>
          </w:tcPr>
          <w:p w14:paraId="22022CA1"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Secure</w:t>
            </w:r>
          </w:p>
          <w:p w14:paraId="4876F3DB"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890" w:type="dxa"/>
            <w:tcBorders>
              <w:top w:val="single" w:sz="4" w:space="0" w:color="7F7F7F" w:themeColor="text1" w:themeTint="80"/>
              <w:left w:val="nil"/>
              <w:right w:val="nil"/>
            </w:tcBorders>
            <w:hideMark/>
          </w:tcPr>
          <w:p w14:paraId="1675EA75"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without hunger (%)</w:t>
            </w:r>
          </w:p>
        </w:tc>
        <w:tc>
          <w:tcPr>
            <w:tcW w:w="1800" w:type="dxa"/>
            <w:tcBorders>
              <w:top w:val="single" w:sz="4" w:space="0" w:color="7F7F7F" w:themeColor="text1" w:themeTint="80"/>
              <w:left w:val="nil"/>
              <w:right w:val="nil"/>
            </w:tcBorders>
            <w:hideMark/>
          </w:tcPr>
          <w:p w14:paraId="44B0526F"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moderate hunger (%)</w:t>
            </w:r>
          </w:p>
        </w:tc>
        <w:tc>
          <w:tcPr>
            <w:tcW w:w="1800" w:type="dxa"/>
            <w:tcBorders>
              <w:top w:val="single" w:sz="4" w:space="0" w:color="7F7F7F" w:themeColor="text1" w:themeTint="80"/>
              <w:left w:val="nil"/>
              <w:right w:val="nil"/>
            </w:tcBorders>
            <w:hideMark/>
          </w:tcPr>
          <w:p w14:paraId="3B57548D"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severe hunger (%)</w:t>
            </w:r>
          </w:p>
        </w:tc>
      </w:tr>
      <w:tr w:rsidR="00141B2C" w:rsidRPr="004E52C2" w14:paraId="14FA681E"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left w:val="nil"/>
              <w:right w:val="nil"/>
            </w:tcBorders>
            <w:hideMark/>
          </w:tcPr>
          <w:p w14:paraId="3C4D10DC"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Sparsely populated area</w:t>
            </w:r>
          </w:p>
        </w:tc>
        <w:tc>
          <w:tcPr>
            <w:tcW w:w="1525" w:type="dxa"/>
            <w:tcBorders>
              <w:left w:val="nil"/>
              <w:right w:val="nil"/>
            </w:tcBorders>
            <w:hideMark/>
          </w:tcPr>
          <w:p w14:paraId="738C9159"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58.75</w:t>
            </w:r>
          </w:p>
        </w:tc>
        <w:tc>
          <w:tcPr>
            <w:tcW w:w="1350" w:type="dxa"/>
            <w:tcBorders>
              <w:left w:val="nil"/>
              <w:right w:val="nil"/>
            </w:tcBorders>
            <w:hideMark/>
          </w:tcPr>
          <w:p w14:paraId="72B103D5"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19.87</w:t>
            </w:r>
          </w:p>
        </w:tc>
        <w:tc>
          <w:tcPr>
            <w:tcW w:w="1890" w:type="dxa"/>
            <w:tcBorders>
              <w:left w:val="nil"/>
              <w:right w:val="nil"/>
            </w:tcBorders>
            <w:hideMark/>
          </w:tcPr>
          <w:p w14:paraId="0BECF001"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54.30</w:t>
            </w:r>
          </w:p>
        </w:tc>
        <w:tc>
          <w:tcPr>
            <w:tcW w:w="1800" w:type="dxa"/>
            <w:tcBorders>
              <w:left w:val="nil"/>
              <w:right w:val="nil"/>
            </w:tcBorders>
            <w:hideMark/>
          </w:tcPr>
          <w:p w14:paraId="1BBFFFF3"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18.54</w:t>
            </w:r>
          </w:p>
        </w:tc>
        <w:tc>
          <w:tcPr>
            <w:tcW w:w="1800" w:type="dxa"/>
            <w:tcBorders>
              <w:left w:val="nil"/>
              <w:right w:val="nil"/>
            </w:tcBorders>
            <w:hideMark/>
          </w:tcPr>
          <w:p w14:paraId="2FCADFDA"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7.28</w:t>
            </w:r>
          </w:p>
        </w:tc>
      </w:tr>
      <w:tr w:rsidR="00141B2C" w:rsidRPr="004E52C2" w14:paraId="767AFC4E" w14:textId="77777777" w:rsidTr="00D85854">
        <w:tc>
          <w:tcPr>
            <w:cnfStyle w:val="001000000000" w:firstRow="0" w:lastRow="0" w:firstColumn="1" w:lastColumn="0" w:oddVBand="0" w:evenVBand="0" w:oddHBand="0" w:evenHBand="0" w:firstRowFirstColumn="0" w:firstRowLastColumn="0" w:lastRowFirstColumn="0" w:lastRowLastColumn="0"/>
            <w:tcW w:w="1766" w:type="dxa"/>
            <w:tcBorders>
              <w:top w:val="nil"/>
              <w:left w:val="nil"/>
              <w:bottom w:val="nil"/>
              <w:right w:val="nil"/>
            </w:tcBorders>
            <w:hideMark/>
          </w:tcPr>
          <w:p w14:paraId="65790A08"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Densely populated area</w:t>
            </w:r>
          </w:p>
        </w:tc>
        <w:tc>
          <w:tcPr>
            <w:tcW w:w="1525" w:type="dxa"/>
            <w:tcBorders>
              <w:top w:val="nil"/>
              <w:left w:val="nil"/>
              <w:bottom w:val="nil"/>
              <w:right w:val="nil"/>
            </w:tcBorders>
            <w:hideMark/>
          </w:tcPr>
          <w:p w14:paraId="6F82CB84"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41.25</w:t>
            </w:r>
          </w:p>
        </w:tc>
        <w:tc>
          <w:tcPr>
            <w:tcW w:w="1350" w:type="dxa"/>
            <w:tcBorders>
              <w:top w:val="nil"/>
              <w:left w:val="nil"/>
              <w:bottom w:val="nil"/>
              <w:right w:val="nil"/>
            </w:tcBorders>
            <w:hideMark/>
          </w:tcPr>
          <w:p w14:paraId="07C67567"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43.40</w:t>
            </w:r>
          </w:p>
        </w:tc>
        <w:tc>
          <w:tcPr>
            <w:tcW w:w="1890" w:type="dxa"/>
            <w:tcBorders>
              <w:top w:val="nil"/>
              <w:left w:val="nil"/>
              <w:bottom w:val="nil"/>
              <w:right w:val="nil"/>
            </w:tcBorders>
            <w:hideMark/>
          </w:tcPr>
          <w:p w14:paraId="63929A00"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44.34</w:t>
            </w:r>
          </w:p>
        </w:tc>
        <w:tc>
          <w:tcPr>
            <w:tcW w:w="1800" w:type="dxa"/>
            <w:tcBorders>
              <w:top w:val="nil"/>
              <w:left w:val="nil"/>
              <w:bottom w:val="nil"/>
              <w:right w:val="nil"/>
            </w:tcBorders>
            <w:hideMark/>
          </w:tcPr>
          <w:p w14:paraId="0A2AEAF0"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7.55</w:t>
            </w:r>
          </w:p>
        </w:tc>
        <w:tc>
          <w:tcPr>
            <w:tcW w:w="1800" w:type="dxa"/>
            <w:tcBorders>
              <w:top w:val="nil"/>
              <w:left w:val="nil"/>
              <w:bottom w:val="nil"/>
              <w:right w:val="nil"/>
            </w:tcBorders>
            <w:hideMark/>
          </w:tcPr>
          <w:p w14:paraId="2B83B31C"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4.72</w:t>
            </w:r>
          </w:p>
        </w:tc>
      </w:tr>
      <w:tr w:rsidR="00141B2C" w:rsidRPr="004E52C2" w14:paraId="00D7E158"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left w:val="nil"/>
              <w:right w:val="nil"/>
            </w:tcBorders>
            <w:hideMark/>
          </w:tcPr>
          <w:p w14:paraId="672E32F2"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 xml:space="preserve">Total </w:t>
            </w:r>
          </w:p>
        </w:tc>
        <w:tc>
          <w:tcPr>
            <w:tcW w:w="1525" w:type="dxa"/>
            <w:tcBorders>
              <w:left w:val="nil"/>
              <w:right w:val="nil"/>
            </w:tcBorders>
            <w:hideMark/>
          </w:tcPr>
          <w:p w14:paraId="72655C6E"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w:t>
            </w:r>
          </w:p>
        </w:tc>
        <w:tc>
          <w:tcPr>
            <w:tcW w:w="1350" w:type="dxa"/>
            <w:tcBorders>
              <w:left w:val="nil"/>
              <w:right w:val="nil"/>
            </w:tcBorders>
          </w:tcPr>
          <w:p w14:paraId="3597E518"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90" w:type="dxa"/>
            <w:tcBorders>
              <w:left w:val="nil"/>
              <w:right w:val="nil"/>
            </w:tcBorders>
          </w:tcPr>
          <w:p w14:paraId="1F3C8A62"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00" w:type="dxa"/>
            <w:tcBorders>
              <w:left w:val="nil"/>
              <w:right w:val="nil"/>
            </w:tcBorders>
          </w:tcPr>
          <w:p w14:paraId="7095A212"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00" w:type="dxa"/>
            <w:tcBorders>
              <w:left w:val="nil"/>
              <w:right w:val="nil"/>
            </w:tcBorders>
          </w:tcPr>
          <w:p w14:paraId="37778FE4"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r>
    </w:tbl>
    <w:p w14:paraId="74EC9354"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Source: Field survey, 2023.</w:t>
      </w:r>
    </w:p>
    <w:p w14:paraId="32DCFDB8" w14:textId="45427671" w:rsidR="00141B2C" w:rsidRPr="004E52C2" w:rsidRDefault="00B5477B" w:rsidP="00141B2C">
      <w:pPr>
        <w:rPr>
          <w:rFonts w:cstheme="minorHAnsi"/>
          <w:b/>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 xml:space="preserve">.1.7 Primary occupation of household head </w:t>
      </w:r>
    </w:p>
    <w:p w14:paraId="62FE5921" w14:textId="30E26C2E" w:rsidR="00141B2C" w:rsidRPr="004E52C2" w:rsidRDefault="00141B2C" w:rsidP="002C1684">
      <w:pPr>
        <w:jc w:val="both"/>
        <w:rPr>
          <w:rFonts w:cstheme="minorHAnsi"/>
          <w:bCs/>
          <w:sz w:val="24"/>
          <w:szCs w:val="24"/>
          <w:lang w:val="en-US"/>
        </w:rPr>
      </w:pPr>
      <w:r w:rsidRPr="004E52C2">
        <w:rPr>
          <w:rFonts w:cstheme="minorHAnsi"/>
          <w:bCs/>
          <w:sz w:val="24"/>
          <w:szCs w:val="24"/>
          <w:lang w:val="en-US"/>
        </w:rPr>
        <w:t xml:space="preserve">The table presents each occupation category's frequency and percentage distribution and the corresponding number of households classified under each food security status. Among the households, 44 (17.12%) had household heads engaged in farming. Within this group, 38.64% were classified as food secure. Additionally, 45.45% of households experienced food insecurity without hunger, 13.64% faced moderate hunger, and 2.27% encountered severe hunger. The trading occupation was reported by 62 households (24.12%) of the 257 total. Among these trading households, 27.42% were food secure, 51.61% faced food insecurity without hunger, 12.90% experienced moderate hunger, and 8.06% encountered severe hunger. 65 households (25.29%) had their household heads employed in public salary occupations. Of these public salary households, 36.92% were classified as food secure and food insecure without hunger, while 20.00% experienced moderate and 6.15% encountered severe hunger (6.15%). Within the private salary occupation category, comprising 54 households (21.01%) of the 257 total, 20.37% were food secure, 61.11% faced food insecurity without hunger, 11.11% experienced moderate </w:t>
      </w:r>
      <w:r w:rsidR="002C1684" w:rsidRPr="004E52C2">
        <w:rPr>
          <w:rFonts w:cstheme="minorHAnsi"/>
          <w:bCs/>
          <w:sz w:val="24"/>
          <w:szCs w:val="24"/>
          <w:lang w:val="en-US"/>
        </w:rPr>
        <w:t>hunger, and</w:t>
      </w:r>
      <w:r w:rsidRPr="004E52C2">
        <w:rPr>
          <w:rFonts w:cstheme="minorHAnsi"/>
          <w:bCs/>
          <w:sz w:val="24"/>
          <w:szCs w:val="24"/>
          <w:lang w:val="en-US"/>
        </w:rPr>
        <w:t xml:space="preserve"> 7.41% encountered severe hunger. The artisan/craft occupation was reported by 22 households, 8.56% of the total. Of these households, 22.73</w:t>
      </w:r>
      <w:r w:rsidR="002C1684" w:rsidRPr="004E52C2">
        <w:rPr>
          <w:rFonts w:cstheme="minorHAnsi"/>
          <w:bCs/>
          <w:sz w:val="24"/>
          <w:szCs w:val="24"/>
          <w:lang w:val="en-US"/>
        </w:rPr>
        <w:t>% were</w:t>
      </w:r>
      <w:r w:rsidRPr="004E52C2">
        <w:rPr>
          <w:rFonts w:cstheme="minorHAnsi"/>
          <w:bCs/>
          <w:sz w:val="24"/>
          <w:szCs w:val="24"/>
          <w:lang w:val="en-US"/>
        </w:rPr>
        <w:t xml:space="preserve"> classified as food secure, 63.64% faced food insecurity without hunger, 9.09% experienced moderate hunger, and 4.55% encountered severe hunger. The most secure groups were those of farming occupation, excluding “others” with private salary occupation at the least food secure group. The highest food insecure with severe hunger are households with the head in the trading occupation. </w:t>
      </w:r>
    </w:p>
    <w:p w14:paraId="52AE264C" w14:textId="4205552A"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Table </w:t>
      </w:r>
      <w:r w:rsidR="00D92B88">
        <w:rPr>
          <w:rFonts w:cstheme="minorHAnsi"/>
          <w:bCs/>
          <w:sz w:val="24"/>
          <w:szCs w:val="24"/>
          <w:lang w:val="en-US"/>
        </w:rPr>
        <w:t>8</w:t>
      </w:r>
      <w:r w:rsidRPr="004E52C2">
        <w:rPr>
          <w:rFonts w:cstheme="minorHAnsi"/>
          <w:bCs/>
          <w:sz w:val="24"/>
          <w:szCs w:val="24"/>
          <w:lang w:val="en-US"/>
        </w:rPr>
        <w:t xml:space="preserve">: Distribution of households by Primary occupation. </w:t>
      </w:r>
    </w:p>
    <w:tbl>
      <w:tblPr>
        <w:tblStyle w:val="PlainTable2"/>
        <w:tblW w:w="10125" w:type="dxa"/>
        <w:tblLayout w:type="fixed"/>
        <w:tblLook w:val="04A0" w:firstRow="1" w:lastRow="0" w:firstColumn="1" w:lastColumn="0" w:noHBand="0" w:noVBand="1"/>
      </w:tblPr>
      <w:tblGrid>
        <w:gridCol w:w="1765"/>
        <w:gridCol w:w="1524"/>
        <w:gridCol w:w="1349"/>
        <w:gridCol w:w="1889"/>
        <w:gridCol w:w="1799"/>
        <w:gridCol w:w="1799"/>
      </w:tblGrid>
      <w:tr w:rsidR="00141B2C" w:rsidRPr="004E52C2" w14:paraId="672040F9" w14:textId="77777777" w:rsidTr="00D858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top w:val="single" w:sz="4" w:space="0" w:color="7F7F7F" w:themeColor="text1" w:themeTint="80"/>
              <w:left w:val="nil"/>
              <w:right w:val="nil"/>
            </w:tcBorders>
            <w:hideMark/>
          </w:tcPr>
          <w:p w14:paraId="7E000D3E"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lastRenderedPageBreak/>
              <w:t>Occupation of household head n=257</w:t>
            </w:r>
          </w:p>
        </w:tc>
        <w:tc>
          <w:tcPr>
            <w:tcW w:w="1525" w:type="dxa"/>
            <w:tcBorders>
              <w:top w:val="single" w:sz="4" w:space="0" w:color="7F7F7F" w:themeColor="text1" w:themeTint="80"/>
              <w:left w:val="nil"/>
              <w:right w:val="nil"/>
            </w:tcBorders>
            <w:hideMark/>
          </w:tcPr>
          <w:p w14:paraId="63090958"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Frequency (%)</w:t>
            </w:r>
          </w:p>
        </w:tc>
        <w:tc>
          <w:tcPr>
            <w:tcW w:w="1350" w:type="dxa"/>
            <w:tcBorders>
              <w:top w:val="single" w:sz="4" w:space="0" w:color="7F7F7F" w:themeColor="text1" w:themeTint="80"/>
              <w:left w:val="nil"/>
              <w:right w:val="nil"/>
            </w:tcBorders>
            <w:hideMark/>
          </w:tcPr>
          <w:p w14:paraId="6CB85EB1"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Secure</w:t>
            </w:r>
          </w:p>
          <w:p w14:paraId="78159173"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890" w:type="dxa"/>
            <w:tcBorders>
              <w:top w:val="single" w:sz="4" w:space="0" w:color="7F7F7F" w:themeColor="text1" w:themeTint="80"/>
              <w:left w:val="nil"/>
              <w:right w:val="nil"/>
            </w:tcBorders>
            <w:hideMark/>
          </w:tcPr>
          <w:p w14:paraId="6E79F15E"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without hunger (%)</w:t>
            </w:r>
          </w:p>
        </w:tc>
        <w:tc>
          <w:tcPr>
            <w:tcW w:w="1800" w:type="dxa"/>
            <w:tcBorders>
              <w:top w:val="single" w:sz="4" w:space="0" w:color="7F7F7F" w:themeColor="text1" w:themeTint="80"/>
              <w:left w:val="nil"/>
              <w:right w:val="nil"/>
            </w:tcBorders>
            <w:hideMark/>
          </w:tcPr>
          <w:p w14:paraId="572DA872"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moderate hunger (%)</w:t>
            </w:r>
          </w:p>
        </w:tc>
        <w:tc>
          <w:tcPr>
            <w:tcW w:w="1800" w:type="dxa"/>
            <w:tcBorders>
              <w:top w:val="single" w:sz="4" w:space="0" w:color="7F7F7F" w:themeColor="text1" w:themeTint="80"/>
              <w:left w:val="nil"/>
              <w:right w:val="nil"/>
            </w:tcBorders>
            <w:hideMark/>
          </w:tcPr>
          <w:p w14:paraId="0DA3FCA7"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severe hunger (%)</w:t>
            </w:r>
          </w:p>
        </w:tc>
      </w:tr>
      <w:tr w:rsidR="00141B2C" w:rsidRPr="004E52C2" w14:paraId="0CCE0DF4"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left w:val="nil"/>
              <w:right w:val="nil"/>
            </w:tcBorders>
            <w:hideMark/>
          </w:tcPr>
          <w:p w14:paraId="5B697409"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Farming</w:t>
            </w:r>
          </w:p>
        </w:tc>
        <w:tc>
          <w:tcPr>
            <w:tcW w:w="1525" w:type="dxa"/>
            <w:tcBorders>
              <w:left w:val="nil"/>
              <w:right w:val="nil"/>
            </w:tcBorders>
            <w:hideMark/>
          </w:tcPr>
          <w:p w14:paraId="77956677"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17.12</w:t>
            </w:r>
          </w:p>
        </w:tc>
        <w:tc>
          <w:tcPr>
            <w:tcW w:w="1350" w:type="dxa"/>
            <w:tcBorders>
              <w:left w:val="nil"/>
              <w:right w:val="nil"/>
            </w:tcBorders>
            <w:hideMark/>
          </w:tcPr>
          <w:p w14:paraId="3988E455"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38.64</w:t>
            </w:r>
          </w:p>
        </w:tc>
        <w:tc>
          <w:tcPr>
            <w:tcW w:w="1890" w:type="dxa"/>
            <w:tcBorders>
              <w:left w:val="nil"/>
              <w:right w:val="nil"/>
            </w:tcBorders>
            <w:hideMark/>
          </w:tcPr>
          <w:p w14:paraId="53AC6985"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45.45</w:t>
            </w:r>
          </w:p>
        </w:tc>
        <w:tc>
          <w:tcPr>
            <w:tcW w:w="1800" w:type="dxa"/>
            <w:tcBorders>
              <w:left w:val="nil"/>
              <w:right w:val="nil"/>
            </w:tcBorders>
            <w:hideMark/>
          </w:tcPr>
          <w:p w14:paraId="1858E896"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13.64</w:t>
            </w:r>
          </w:p>
        </w:tc>
        <w:tc>
          <w:tcPr>
            <w:tcW w:w="1800" w:type="dxa"/>
            <w:tcBorders>
              <w:left w:val="nil"/>
              <w:right w:val="nil"/>
            </w:tcBorders>
            <w:hideMark/>
          </w:tcPr>
          <w:p w14:paraId="25DF9118"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2.27</w:t>
            </w:r>
          </w:p>
        </w:tc>
      </w:tr>
      <w:tr w:rsidR="00141B2C" w:rsidRPr="004E52C2" w14:paraId="49B22835" w14:textId="77777777" w:rsidTr="00D85854">
        <w:tc>
          <w:tcPr>
            <w:cnfStyle w:val="001000000000" w:firstRow="0" w:lastRow="0" w:firstColumn="1" w:lastColumn="0" w:oddVBand="0" w:evenVBand="0" w:oddHBand="0" w:evenHBand="0" w:firstRowFirstColumn="0" w:firstRowLastColumn="0" w:lastRowFirstColumn="0" w:lastRowLastColumn="0"/>
            <w:tcW w:w="1766" w:type="dxa"/>
            <w:tcBorders>
              <w:top w:val="nil"/>
              <w:left w:val="nil"/>
              <w:bottom w:val="nil"/>
              <w:right w:val="nil"/>
            </w:tcBorders>
            <w:hideMark/>
          </w:tcPr>
          <w:p w14:paraId="57FA0103"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Trading</w:t>
            </w:r>
          </w:p>
        </w:tc>
        <w:tc>
          <w:tcPr>
            <w:tcW w:w="1525" w:type="dxa"/>
            <w:tcBorders>
              <w:top w:val="nil"/>
              <w:left w:val="nil"/>
              <w:bottom w:val="nil"/>
              <w:right w:val="nil"/>
            </w:tcBorders>
            <w:hideMark/>
          </w:tcPr>
          <w:p w14:paraId="2D05B2D9"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24.12</w:t>
            </w:r>
          </w:p>
        </w:tc>
        <w:tc>
          <w:tcPr>
            <w:tcW w:w="1350" w:type="dxa"/>
            <w:tcBorders>
              <w:top w:val="nil"/>
              <w:left w:val="nil"/>
              <w:bottom w:val="nil"/>
              <w:right w:val="nil"/>
            </w:tcBorders>
            <w:hideMark/>
          </w:tcPr>
          <w:p w14:paraId="4EAAF1BE"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27.42</w:t>
            </w:r>
          </w:p>
        </w:tc>
        <w:tc>
          <w:tcPr>
            <w:tcW w:w="1890" w:type="dxa"/>
            <w:tcBorders>
              <w:top w:val="nil"/>
              <w:left w:val="nil"/>
              <w:bottom w:val="nil"/>
              <w:right w:val="nil"/>
            </w:tcBorders>
            <w:hideMark/>
          </w:tcPr>
          <w:p w14:paraId="0F08E7BC"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51.61</w:t>
            </w:r>
          </w:p>
        </w:tc>
        <w:tc>
          <w:tcPr>
            <w:tcW w:w="1800" w:type="dxa"/>
            <w:tcBorders>
              <w:top w:val="nil"/>
              <w:left w:val="nil"/>
              <w:bottom w:val="nil"/>
              <w:right w:val="nil"/>
            </w:tcBorders>
            <w:hideMark/>
          </w:tcPr>
          <w:p w14:paraId="63AEC560"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12.90</w:t>
            </w:r>
          </w:p>
        </w:tc>
        <w:tc>
          <w:tcPr>
            <w:tcW w:w="1800" w:type="dxa"/>
            <w:tcBorders>
              <w:top w:val="nil"/>
              <w:left w:val="nil"/>
              <w:bottom w:val="nil"/>
              <w:right w:val="nil"/>
            </w:tcBorders>
            <w:hideMark/>
          </w:tcPr>
          <w:p w14:paraId="42D6E8EA"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8.06</w:t>
            </w:r>
          </w:p>
        </w:tc>
      </w:tr>
      <w:tr w:rsidR="00141B2C" w:rsidRPr="004E52C2" w14:paraId="6E0D6533"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left w:val="nil"/>
              <w:right w:val="nil"/>
            </w:tcBorders>
            <w:hideMark/>
          </w:tcPr>
          <w:p w14:paraId="52BD52DE"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Public Salary</w:t>
            </w:r>
          </w:p>
        </w:tc>
        <w:tc>
          <w:tcPr>
            <w:tcW w:w="1525" w:type="dxa"/>
            <w:tcBorders>
              <w:left w:val="nil"/>
              <w:right w:val="nil"/>
            </w:tcBorders>
            <w:hideMark/>
          </w:tcPr>
          <w:p w14:paraId="4420F1C7"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25.29</w:t>
            </w:r>
          </w:p>
        </w:tc>
        <w:tc>
          <w:tcPr>
            <w:tcW w:w="1350" w:type="dxa"/>
            <w:tcBorders>
              <w:left w:val="nil"/>
              <w:right w:val="nil"/>
            </w:tcBorders>
            <w:hideMark/>
          </w:tcPr>
          <w:p w14:paraId="3EE8450C"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36.92</w:t>
            </w:r>
          </w:p>
        </w:tc>
        <w:tc>
          <w:tcPr>
            <w:tcW w:w="1890" w:type="dxa"/>
            <w:tcBorders>
              <w:left w:val="nil"/>
              <w:right w:val="nil"/>
            </w:tcBorders>
            <w:hideMark/>
          </w:tcPr>
          <w:p w14:paraId="6FADAA75"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36.92</w:t>
            </w:r>
          </w:p>
        </w:tc>
        <w:tc>
          <w:tcPr>
            <w:tcW w:w="1800" w:type="dxa"/>
            <w:tcBorders>
              <w:left w:val="nil"/>
              <w:right w:val="nil"/>
            </w:tcBorders>
            <w:hideMark/>
          </w:tcPr>
          <w:p w14:paraId="7471472F"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20.00</w:t>
            </w:r>
          </w:p>
        </w:tc>
        <w:tc>
          <w:tcPr>
            <w:tcW w:w="1800" w:type="dxa"/>
            <w:tcBorders>
              <w:left w:val="nil"/>
              <w:right w:val="nil"/>
            </w:tcBorders>
            <w:hideMark/>
          </w:tcPr>
          <w:p w14:paraId="38C4B981"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6.15</w:t>
            </w:r>
          </w:p>
        </w:tc>
      </w:tr>
      <w:tr w:rsidR="00141B2C" w:rsidRPr="004E52C2" w14:paraId="1ED3EF73" w14:textId="77777777" w:rsidTr="00D85854">
        <w:tc>
          <w:tcPr>
            <w:cnfStyle w:val="001000000000" w:firstRow="0" w:lastRow="0" w:firstColumn="1" w:lastColumn="0" w:oddVBand="0" w:evenVBand="0" w:oddHBand="0" w:evenHBand="0" w:firstRowFirstColumn="0" w:firstRowLastColumn="0" w:lastRowFirstColumn="0" w:lastRowLastColumn="0"/>
            <w:tcW w:w="1766" w:type="dxa"/>
            <w:tcBorders>
              <w:top w:val="nil"/>
              <w:left w:val="nil"/>
              <w:bottom w:val="nil"/>
              <w:right w:val="nil"/>
            </w:tcBorders>
            <w:hideMark/>
          </w:tcPr>
          <w:p w14:paraId="12F03F7B"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Private Salary</w:t>
            </w:r>
          </w:p>
        </w:tc>
        <w:tc>
          <w:tcPr>
            <w:tcW w:w="1525" w:type="dxa"/>
            <w:tcBorders>
              <w:top w:val="nil"/>
              <w:left w:val="nil"/>
              <w:bottom w:val="nil"/>
              <w:right w:val="nil"/>
            </w:tcBorders>
            <w:hideMark/>
          </w:tcPr>
          <w:p w14:paraId="25BFFF2B"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21.01</w:t>
            </w:r>
          </w:p>
        </w:tc>
        <w:tc>
          <w:tcPr>
            <w:tcW w:w="1350" w:type="dxa"/>
            <w:tcBorders>
              <w:top w:val="nil"/>
              <w:left w:val="nil"/>
              <w:bottom w:val="nil"/>
              <w:right w:val="nil"/>
            </w:tcBorders>
            <w:hideMark/>
          </w:tcPr>
          <w:p w14:paraId="51ACD1E9"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20.37</w:t>
            </w:r>
          </w:p>
        </w:tc>
        <w:tc>
          <w:tcPr>
            <w:tcW w:w="1890" w:type="dxa"/>
            <w:tcBorders>
              <w:top w:val="nil"/>
              <w:left w:val="nil"/>
              <w:bottom w:val="nil"/>
              <w:right w:val="nil"/>
            </w:tcBorders>
            <w:hideMark/>
          </w:tcPr>
          <w:p w14:paraId="6DFDC7CF"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61.11</w:t>
            </w:r>
          </w:p>
        </w:tc>
        <w:tc>
          <w:tcPr>
            <w:tcW w:w="1800" w:type="dxa"/>
            <w:tcBorders>
              <w:top w:val="nil"/>
              <w:left w:val="nil"/>
              <w:bottom w:val="nil"/>
              <w:right w:val="nil"/>
            </w:tcBorders>
            <w:hideMark/>
          </w:tcPr>
          <w:p w14:paraId="3BE74D2E"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11.11</w:t>
            </w:r>
          </w:p>
        </w:tc>
        <w:tc>
          <w:tcPr>
            <w:tcW w:w="1800" w:type="dxa"/>
            <w:tcBorders>
              <w:top w:val="nil"/>
              <w:left w:val="nil"/>
              <w:bottom w:val="nil"/>
              <w:right w:val="nil"/>
            </w:tcBorders>
            <w:hideMark/>
          </w:tcPr>
          <w:p w14:paraId="3388B6A7"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7.41</w:t>
            </w:r>
          </w:p>
        </w:tc>
      </w:tr>
      <w:tr w:rsidR="00141B2C" w:rsidRPr="004E52C2" w14:paraId="708F6686"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left w:val="nil"/>
              <w:right w:val="nil"/>
            </w:tcBorders>
            <w:hideMark/>
          </w:tcPr>
          <w:p w14:paraId="4395CCE5"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Artisan/craft</w:t>
            </w:r>
          </w:p>
        </w:tc>
        <w:tc>
          <w:tcPr>
            <w:tcW w:w="1525" w:type="dxa"/>
            <w:tcBorders>
              <w:left w:val="nil"/>
              <w:right w:val="nil"/>
            </w:tcBorders>
            <w:hideMark/>
          </w:tcPr>
          <w:p w14:paraId="64E236EB"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8.56</w:t>
            </w:r>
          </w:p>
        </w:tc>
        <w:tc>
          <w:tcPr>
            <w:tcW w:w="1350" w:type="dxa"/>
            <w:tcBorders>
              <w:left w:val="nil"/>
              <w:right w:val="nil"/>
            </w:tcBorders>
            <w:hideMark/>
          </w:tcPr>
          <w:p w14:paraId="5561CB62"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22.73</w:t>
            </w:r>
          </w:p>
        </w:tc>
        <w:tc>
          <w:tcPr>
            <w:tcW w:w="1890" w:type="dxa"/>
            <w:tcBorders>
              <w:left w:val="nil"/>
              <w:right w:val="nil"/>
            </w:tcBorders>
            <w:hideMark/>
          </w:tcPr>
          <w:p w14:paraId="23C44BAA"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63.64</w:t>
            </w:r>
          </w:p>
        </w:tc>
        <w:tc>
          <w:tcPr>
            <w:tcW w:w="1800" w:type="dxa"/>
            <w:tcBorders>
              <w:left w:val="nil"/>
              <w:right w:val="nil"/>
            </w:tcBorders>
            <w:hideMark/>
          </w:tcPr>
          <w:p w14:paraId="3C97832A"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9.09</w:t>
            </w:r>
          </w:p>
        </w:tc>
        <w:tc>
          <w:tcPr>
            <w:tcW w:w="1800" w:type="dxa"/>
            <w:tcBorders>
              <w:left w:val="nil"/>
              <w:right w:val="nil"/>
            </w:tcBorders>
            <w:hideMark/>
          </w:tcPr>
          <w:p w14:paraId="1B8FA3E6"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4.55</w:t>
            </w:r>
          </w:p>
        </w:tc>
      </w:tr>
      <w:tr w:rsidR="00141B2C" w:rsidRPr="004E52C2" w14:paraId="4B77E5B9" w14:textId="77777777" w:rsidTr="00D85854">
        <w:tc>
          <w:tcPr>
            <w:cnfStyle w:val="001000000000" w:firstRow="0" w:lastRow="0" w:firstColumn="1" w:lastColumn="0" w:oddVBand="0" w:evenVBand="0" w:oddHBand="0" w:evenHBand="0" w:firstRowFirstColumn="0" w:firstRowLastColumn="0" w:lastRowFirstColumn="0" w:lastRowLastColumn="0"/>
            <w:tcW w:w="1766" w:type="dxa"/>
            <w:tcBorders>
              <w:top w:val="nil"/>
              <w:left w:val="nil"/>
              <w:bottom w:val="nil"/>
              <w:right w:val="nil"/>
            </w:tcBorders>
            <w:hideMark/>
          </w:tcPr>
          <w:p w14:paraId="485D16D2"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Others</w:t>
            </w:r>
          </w:p>
        </w:tc>
        <w:tc>
          <w:tcPr>
            <w:tcW w:w="1525" w:type="dxa"/>
            <w:tcBorders>
              <w:top w:val="nil"/>
              <w:left w:val="nil"/>
              <w:bottom w:val="nil"/>
              <w:right w:val="nil"/>
            </w:tcBorders>
            <w:hideMark/>
          </w:tcPr>
          <w:p w14:paraId="36413EBF"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3.89</w:t>
            </w:r>
          </w:p>
        </w:tc>
        <w:tc>
          <w:tcPr>
            <w:tcW w:w="1350" w:type="dxa"/>
            <w:tcBorders>
              <w:top w:val="nil"/>
              <w:left w:val="nil"/>
              <w:bottom w:val="nil"/>
              <w:right w:val="nil"/>
            </w:tcBorders>
            <w:hideMark/>
          </w:tcPr>
          <w:p w14:paraId="0010F1AB"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20.00</w:t>
            </w:r>
          </w:p>
        </w:tc>
        <w:tc>
          <w:tcPr>
            <w:tcW w:w="1890" w:type="dxa"/>
            <w:tcBorders>
              <w:top w:val="nil"/>
              <w:left w:val="nil"/>
              <w:bottom w:val="nil"/>
              <w:right w:val="nil"/>
            </w:tcBorders>
            <w:hideMark/>
          </w:tcPr>
          <w:p w14:paraId="2513DD27"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60.00</w:t>
            </w:r>
          </w:p>
        </w:tc>
        <w:tc>
          <w:tcPr>
            <w:tcW w:w="1800" w:type="dxa"/>
            <w:tcBorders>
              <w:top w:val="nil"/>
              <w:left w:val="nil"/>
              <w:bottom w:val="nil"/>
              <w:right w:val="nil"/>
            </w:tcBorders>
            <w:hideMark/>
          </w:tcPr>
          <w:p w14:paraId="0617E535"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10.00</w:t>
            </w:r>
          </w:p>
        </w:tc>
        <w:tc>
          <w:tcPr>
            <w:tcW w:w="1800" w:type="dxa"/>
            <w:tcBorders>
              <w:top w:val="nil"/>
              <w:left w:val="nil"/>
              <w:bottom w:val="nil"/>
              <w:right w:val="nil"/>
            </w:tcBorders>
            <w:hideMark/>
          </w:tcPr>
          <w:p w14:paraId="5DC0E0AB"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10.00</w:t>
            </w:r>
          </w:p>
        </w:tc>
      </w:tr>
      <w:tr w:rsidR="00141B2C" w:rsidRPr="004E52C2" w14:paraId="70A50583"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left w:val="nil"/>
              <w:right w:val="nil"/>
            </w:tcBorders>
            <w:hideMark/>
          </w:tcPr>
          <w:p w14:paraId="51B4CFBC"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 xml:space="preserve">Total </w:t>
            </w:r>
          </w:p>
        </w:tc>
        <w:tc>
          <w:tcPr>
            <w:tcW w:w="1525" w:type="dxa"/>
            <w:tcBorders>
              <w:left w:val="nil"/>
              <w:right w:val="nil"/>
            </w:tcBorders>
            <w:hideMark/>
          </w:tcPr>
          <w:p w14:paraId="20923DDC"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w:t>
            </w:r>
          </w:p>
        </w:tc>
        <w:tc>
          <w:tcPr>
            <w:tcW w:w="1350" w:type="dxa"/>
            <w:tcBorders>
              <w:left w:val="nil"/>
              <w:right w:val="nil"/>
            </w:tcBorders>
          </w:tcPr>
          <w:p w14:paraId="255BDD3E"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90" w:type="dxa"/>
            <w:tcBorders>
              <w:left w:val="nil"/>
              <w:right w:val="nil"/>
            </w:tcBorders>
          </w:tcPr>
          <w:p w14:paraId="50434F77"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00" w:type="dxa"/>
            <w:tcBorders>
              <w:left w:val="nil"/>
              <w:right w:val="nil"/>
            </w:tcBorders>
          </w:tcPr>
          <w:p w14:paraId="414C6E0F"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00" w:type="dxa"/>
            <w:tcBorders>
              <w:left w:val="nil"/>
              <w:right w:val="nil"/>
            </w:tcBorders>
          </w:tcPr>
          <w:p w14:paraId="2C270985"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r>
    </w:tbl>
    <w:p w14:paraId="05D15666"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Source: Field survey, 2023.</w:t>
      </w:r>
    </w:p>
    <w:p w14:paraId="4AEC386F" w14:textId="5137525F" w:rsidR="00141B2C" w:rsidRPr="004E52C2" w:rsidRDefault="00B5477B" w:rsidP="00141B2C">
      <w:pPr>
        <w:rPr>
          <w:rFonts w:cstheme="minorHAnsi"/>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 xml:space="preserve">.1.8 Monthly income of the household head. </w:t>
      </w:r>
    </w:p>
    <w:p w14:paraId="633DC8B3" w14:textId="68134D54" w:rsidR="00141B2C" w:rsidRPr="004E52C2" w:rsidRDefault="00141B2C" w:rsidP="002C1684">
      <w:pPr>
        <w:jc w:val="both"/>
        <w:rPr>
          <w:rFonts w:cstheme="minorHAnsi"/>
          <w:bCs/>
          <w:sz w:val="24"/>
          <w:szCs w:val="24"/>
          <w:lang w:val="en-US"/>
        </w:rPr>
      </w:pPr>
      <w:r w:rsidRPr="004E52C2">
        <w:rPr>
          <w:rFonts w:cstheme="minorHAnsi"/>
          <w:bCs/>
          <w:sz w:val="24"/>
          <w:szCs w:val="24"/>
          <w:lang w:val="en-US"/>
        </w:rPr>
        <w:t xml:space="preserve">Table </w:t>
      </w:r>
      <w:r w:rsidR="00A41F2F">
        <w:rPr>
          <w:rFonts w:cstheme="minorHAnsi"/>
          <w:bCs/>
          <w:sz w:val="24"/>
          <w:szCs w:val="24"/>
          <w:lang w:val="en-US"/>
        </w:rPr>
        <w:t>9</w:t>
      </w:r>
      <w:r w:rsidR="004E52C2">
        <w:rPr>
          <w:rFonts w:cstheme="minorHAnsi"/>
          <w:bCs/>
          <w:sz w:val="24"/>
          <w:szCs w:val="24"/>
          <w:lang w:val="en-US"/>
        </w:rPr>
        <w:t xml:space="preserve"> </w:t>
      </w:r>
      <w:r w:rsidRPr="004E52C2">
        <w:rPr>
          <w:rFonts w:cstheme="minorHAnsi"/>
          <w:bCs/>
          <w:sz w:val="24"/>
          <w:szCs w:val="24"/>
          <w:lang w:val="en-US"/>
        </w:rPr>
        <w:t xml:space="preserve">provides insights into the food security status of households based on different income brackets. The table reveals that out of the total 257 households surveyed, 38.13% have a monthly income of less than ₦100,000. Among those households earning less than ₦100,000, 19.39% </w:t>
      </w:r>
      <w:r w:rsidR="002C1684" w:rsidRPr="004E52C2">
        <w:rPr>
          <w:rFonts w:cstheme="minorHAnsi"/>
          <w:bCs/>
          <w:sz w:val="24"/>
          <w:szCs w:val="24"/>
          <w:lang w:val="en-US"/>
        </w:rPr>
        <w:t>were food</w:t>
      </w:r>
      <w:r w:rsidRPr="004E52C2">
        <w:rPr>
          <w:rFonts w:cstheme="minorHAnsi"/>
          <w:bCs/>
          <w:sz w:val="24"/>
          <w:szCs w:val="24"/>
          <w:lang w:val="en-US"/>
        </w:rPr>
        <w:t xml:space="preserve"> secure, the least under the food secure category. This category also has the highest percentile of food insecurity with severe hunger at 14.29%. While 47.96% experience food insecurity without hunger, and 18.37% face moderate hunger. These numbers highlight the significant food insecurity challenges low-income households face in the surveyed area.</w:t>
      </w:r>
    </w:p>
    <w:p w14:paraId="544954B7" w14:textId="7D109B65" w:rsidR="00141B2C" w:rsidRPr="004E52C2" w:rsidRDefault="00141B2C" w:rsidP="002C1684">
      <w:pPr>
        <w:jc w:val="both"/>
        <w:rPr>
          <w:rFonts w:cstheme="minorHAnsi"/>
          <w:bCs/>
          <w:sz w:val="24"/>
          <w:szCs w:val="24"/>
          <w:lang w:val="en-US"/>
        </w:rPr>
      </w:pPr>
      <w:r w:rsidRPr="004E52C2">
        <w:rPr>
          <w:rFonts w:cstheme="minorHAnsi"/>
          <w:bCs/>
          <w:sz w:val="24"/>
          <w:szCs w:val="24"/>
          <w:lang w:val="en-US"/>
        </w:rPr>
        <w:t>Moving to the next income bracket of ₦100,001-200,000, comprising 76 households (29.57%) of the total, the proportion of food-secure households slightly increases to 26.32%. Nevertheless, many households in this category still experience food insecurity without hunger affects 59.21%, 13.16% face moderate hunger. Surprisingly, only one household at 1.32</w:t>
      </w:r>
      <w:r w:rsidR="002C1684" w:rsidRPr="004E52C2">
        <w:rPr>
          <w:rFonts w:cstheme="minorHAnsi"/>
          <w:bCs/>
          <w:sz w:val="24"/>
          <w:szCs w:val="24"/>
          <w:lang w:val="en-US"/>
        </w:rPr>
        <w:t>% experiences</w:t>
      </w:r>
      <w:r w:rsidRPr="004E52C2">
        <w:rPr>
          <w:rFonts w:cstheme="minorHAnsi"/>
          <w:bCs/>
          <w:sz w:val="24"/>
          <w:szCs w:val="24"/>
          <w:lang w:val="en-US"/>
        </w:rPr>
        <w:t xml:space="preserve"> severe hunger, indicating comparatively better food security within this income range. The income bracket of ₦200,001-₦500,000 represents 62 households (24.12%) of the total. Within this category, 23 households (37.10%) werefood secure, indicating a relatively higher level of food security than the previous income brackets. Food insecurity without hunger 53.23%, and only 9.68% face food insecurity with moderate hunger. Encouragingly, no households in this income range experience severe hunger, suggesting a more stable food security situation.</w:t>
      </w:r>
    </w:p>
    <w:p w14:paraId="1C43DA95" w14:textId="75A491B4" w:rsidR="00141B2C" w:rsidRPr="004E52C2" w:rsidRDefault="00141B2C" w:rsidP="002C1684">
      <w:pPr>
        <w:jc w:val="both"/>
        <w:rPr>
          <w:rFonts w:cstheme="minorHAnsi"/>
          <w:bCs/>
          <w:sz w:val="24"/>
          <w:szCs w:val="24"/>
          <w:lang w:val="en-US"/>
        </w:rPr>
      </w:pPr>
      <w:r w:rsidRPr="004E52C2">
        <w:rPr>
          <w:rFonts w:cstheme="minorHAnsi"/>
          <w:bCs/>
          <w:sz w:val="24"/>
          <w:szCs w:val="24"/>
          <w:lang w:val="en-US"/>
        </w:rPr>
        <w:t xml:space="preserve">Further, the table examines households with monthly incomes ranging from ₦500,001 to ₦1,000,000, which account for 18 households (7.00%) of the 257. Among these households, 66.67% werefood secure, indicating a relatively the highgest level of food security. Only a small proportion of households in this income category experience food insecurity without hunger (16.67%), moderate hunger (11.11%), or severe hunger (5.56%). These findings suggest that </w:t>
      </w:r>
      <w:r w:rsidRPr="004E52C2">
        <w:rPr>
          <w:rFonts w:cstheme="minorHAnsi"/>
          <w:bCs/>
          <w:sz w:val="24"/>
          <w:szCs w:val="24"/>
          <w:lang w:val="en-US"/>
        </w:rPr>
        <w:lastRenderedPageBreak/>
        <w:t xml:space="preserve">higher income levels contribute to improved food security outcomes. Finally, the income bracket of &gt;₦1,000,000 includes only 3 households (1.17%) of the total. 66.67% werefood secure, demonstrating a strong correlation between higher income and food security. The remaining household experiences food insecurity </w:t>
      </w:r>
      <w:r w:rsidR="002C1684" w:rsidRPr="004E52C2">
        <w:rPr>
          <w:rFonts w:cstheme="minorHAnsi"/>
          <w:bCs/>
          <w:sz w:val="24"/>
          <w:szCs w:val="24"/>
          <w:lang w:val="en-US"/>
        </w:rPr>
        <w:t>without hunger</w:t>
      </w:r>
      <w:r w:rsidRPr="004E52C2">
        <w:rPr>
          <w:rFonts w:cstheme="minorHAnsi"/>
          <w:bCs/>
          <w:sz w:val="24"/>
          <w:szCs w:val="24"/>
          <w:lang w:val="en-US"/>
        </w:rPr>
        <w:t xml:space="preserve"> (33.33%), but no households in this income range face moderate or severe hunger. The table reveals a concerning prevalence of food insecurity among households with lower incomes, while higher-income households tend to have better food security outcomes. These findings underscore the importance of addressing income disparities and implementing effective interventions to alleviate food insecurity among vulnerable households.</w:t>
      </w:r>
    </w:p>
    <w:p w14:paraId="72254165" w14:textId="7BBE245E"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Table </w:t>
      </w:r>
      <w:r w:rsidR="00D92B88">
        <w:rPr>
          <w:rFonts w:cstheme="minorHAnsi"/>
          <w:bCs/>
          <w:sz w:val="24"/>
          <w:szCs w:val="24"/>
          <w:lang w:val="en-US"/>
        </w:rPr>
        <w:t>9</w:t>
      </w:r>
      <w:r w:rsidRPr="004E52C2">
        <w:rPr>
          <w:rFonts w:cstheme="minorHAnsi"/>
          <w:bCs/>
          <w:sz w:val="24"/>
          <w:szCs w:val="24"/>
          <w:lang w:val="en-US"/>
        </w:rPr>
        <w:t>: Distribution of households by monthly income.</w:t>
      </w:r>
    </w:p>
    <w:tbl>
      <w:tblPr>
        <w:tblStyle w:val="PlainTable2"/>
        <w:tblW w:w="5000" w:type="pct"/>
        <w:tblLook w:val="04A0" w:firstRow="1" w:lastRow="0" w:firstColumn="1" w:lastColumn="0" w:noHBand="0" w:noVBand="1"/>
      </w:tblPr>
      <w:tblGrid>
        <w:gridCol w:w="1873"/>
        <w:gridCol w:w="1383"/>
        <w:gridCol w:w="1033"/>
        <w:gridCol w:w="1747"/>
        <w:gridCol w:w="1662"/>
        <w:gridCol w:w="1662"/>
      </w:tblGrid>
      <w:tr w:rsidR="00141B2C" w:rsidRPr="004E52C2" w14:paraId="47D8A230" w14:textId="77777777" w:rsidTr="0056040E">
        <w:trPr>
          <w:cnfStyle w:val="100000000000" w:firstRow="1" w:lastRow="0" w:firstColumn="0" w:lastColumn="0" w:oddVBand="0" w:evenVBand="0" w:oddHBand="0" w:evenHBand="0" w:firstRowFirstColumn="0" w:firstRowLastColumn="0" w:lastRowFirstColumn="0" w:lastRowLastColumn="0"/>
          <w:trHeight w:val="1179"/>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7F7F7F" w:themeColor="text1" w:themeTint="80"/>
              <w:left w:val="nil"/>
              <w:right w:val="nil"/>
            </w:tcBorders>
            <w:hideMark/>
          </w:tcPr>
          <w:p w14:paraId="1A4AB388"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Monthly income of household head (₦) n=257</w:t>
            </w:r>
          </w:p>
        </w:tc>
        <w:tc>
          <w:tcPr>
            <w:tcW w:w="739" w:type="pct"/>
            <w:tcBorders>
              <w:top w:val="single" w:sz="4" w:space="0" w:color="7F7F7F" w:themeColor="text1" w:themeTint="80"/>
              <w:left w:val="nil"/>
              <w:right w:val="nil"/>
            </w:tcBorders>
            <w:hideMark/>
          </w:tcPr>
          <w:p w14:paraId="3ED63B5A"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Frequency (%)</w:t>
            </w:r>
          </w:p>
        </w:tc>
        <w:tc>
          <w:tcPr>
            <w:tcW w:w="552" w:type="pct"/>
            <w:tcBorders>
              <w:top w:val="single" w:sz="4" w:space="0" w:color="7F7F7F" w:themeColor="text1" w:themeTint="80"/>
              <w:left w:val="nil"/>
              <w:right w:val="nil"/>
            </w:tcBorders>
            <w:hideMark/>
          </w:tcPr>
          <w:p w14:paraId="3BAFC875"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Secure</w:t>
            </w:r>
          </w:p>
          <w:p w14:paraId="61AA0565"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933" w:type="pct"/>
            <w:tcBorders>
              <w:top w:val="single" w:sz="4" w:space="0" w:color="7F7F7F" w:themeColor="text1" w:themeTint="80"/>
              <w:left w:val="nil"/>
              <w:right w:val="nil"/>
            </w:tcBorders>
            <w:hideMark/>
          </w:tcPr>
          <w:p w14:paraId="529DEC2D"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without hunger (%)</w:t>
            </w:r>
          </w:p>
        </w:tc>
        <w:tc>
          <w:tcPr>
            <w:tcW w:w="888" w:type="pct"/>
            <w:tcBorders>
              <w:top w:val="single" w:sz="4" w:space="0" w:color="7F7F7F" w:themeColor="text1" w:themeTint="80"/>
              <w:left w:val="nil"/>
              <w:right w:val="nil"/>
            </w:tcBorders>
            <w:hideMark/>
          </w:tcPr>
          <w:p w14:paraId="0F7A5730"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moderate hunger (%)</w:t>
            </w:r>
          </w:p>
        </w:tc>
        <w:tc>
          <w:tcPr>
            <w:tcW w:w="888" w:type="pct"/>
            <w:tcBorders>
              <w:top w:val="single" w:sz="4" w:space="0" w:color="7F7F7F" w:themeColor="text1" w:themeTint="80"/>
              <w:left w:val="nil"/>
              <w:right w:val="nil"/>
            </w:tcBorders>
            <w:hideMark/>
          </w:tcPr>
          <w:p w14:paraId="636F81EF"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severe hunger (%)</w:t>
            </w:r>
          </w:p>
        </w:tc>
      </w:tr>
      <w:tr w:rsidR="00141B2C" w:rsidRPr="004E52C2" w14:paraId="6B3DE321" w14:textId="77777777" w:rsidTr="0056040E">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000" w:type="pct"/>
            <w:tcBorders>
              <w:left w:val="nil"/>
              <w:right w:val="nil"/>
            </w:tcBorders>
            <w:hideMark/>
          </w:tcPr>
          <w:p w14:paraId="5CD2E8A6"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&lt;100,000</w:t>
            </w:r>
          </w:p>
        </w:tc>
        <w:tc>
          <w:tcPr>
            <w:tcW w:w="739" w:type="pct"/>
            <w:tcBorders>
              <w:left w:val="nil"/>
              <w:right w:val="nil"/>
            </w:tcBorders>
            <w:hideMark/>
          </w:tcPr>
          <w:p w14:paraId="223400A6"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38.13</w:t>
            </w:r>
          </w:p>
        </w:tc>
        <w:tc>
          <w:tcPr>
            <w:tcW w:w="552" w:type="pct"/>
            <w:tcBorders>
              <w:left w:val="nil"/>
              <w:right w:val="nil"/>
            </w:tcBorders>
            <w:hideMark/>
          </w:tcPr>
          <w:p w14:paraId="400999B3"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19.39</w:t>
            </w:r>
          </w:p>
        </w:tc>
        <w:tc>
          <w:tcPr>
            <w:tcW w:w="933" w:type="pct"/>
            <w:tcBorders>
              <w:left w:val="nil"/>
              <w:right w:val="nil"/>
            </w:tcBorders>
            <w:hideMark/>
          </w:tcPr>
          <w:p w14:paraId="4B5A471C"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47.96</w:t>
            </w:r>
          </w:p>
        </w:tc>
        <w:tc>
          <w:tcPr>
            <w:tcW w:w="888" w:type="pct"/>
            <w:tcBorders>
              <w:left w:val="nil"/>
              <w:right w:val="nil"/>
            </w:tcBorders>
            <w:hideMark/>
          </w:tcPr>
          <w:p w14:paraId="6166EA44"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18.37</w:t>
            </w:r>
          </w:p>
        </w:tc>
        <w:tc>
          <w:tcPr>
            <w:tcW w:w="888" w:type="pct"/>
            <w:tcBorders>
              <w:left w:val="nil"/>
              <w:right w:val="nil"/>
            </w:tcBorders>
            <w:hideMark/>
          </w:tcPr>
          <w:p w14:paraId="44361E86"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14.29</w:t>
            </w:r>
          </w:p>
        </w:tc>
      </w:tr>
      <w:tr w:rsidR="00141B2C" w:rsidRPr="004E52C2" w14:paraId="3F6EA24E" w14:textId="77777777" w:rsidTr="0056040E">
        <w:trPr>
          <w:trHeight w:val="377"/>
        </w:trPr>
        <w:tc>
          <w:tcPr>
            <w:cnfStyle w:val="001000000000" w:firstRow="0" w:lastRow="0" w:firstColumn="1" w:lastColumn="0" w:oddVBand="0" w:evenVBand="0" w:oddHBand="0" w:evenHBand="0" w:firstRowFirstColumn="0" w:firstRowLastColumn="0" w:lastRowFirstColumn="0" w:lastRowLastColumn="0"/>
            <w:tcW w:w="1000" w:type="pct"/>
            <w:tcBorders>
              <w:top w:val="nil"/>
              <w:left w:val="nil"/>
              <w:bottom w:val="nil"/>
              <w:right w:val="nil"/>
            </w:tcBorders>
            <w:hideMark/>
          </w:tcPr>
          <w:p w14:paraId="403F4AC5"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100,001-200,000</w:t>
            </w:r>
          </w:p>
        </w:tc>
        <w:tc>
          <w:tcPr>
            <w:tcW w:w="739" w:type="pct"/>
            <w:tcBorders>
              <w:top w:val="nil"/>
              <w:left w:val="nil"/>
              <w:bottom w:val="nil"/>
              <w:right w:val="nil"/>
            </w:tcBorders>
            <w:hideMark/>
          </w:tcPr>
          <w:p w14:paraId="5724430E"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29.57</w:t>
            </w:r>
          </w:p>
        </w:tc>
        <w:tc>
          <w:tcPr>
            <w:tcW w:w="552" w:type="pct"/>
            <w:tcBorders>
              <w:top w:val="nil"/>
              <w:left w:val="nil"/>
              <w:bottom w:val="nil"/>
              <w:right w:val="nil"/>
            </w:tcBorders>
            <w:hideMark/>
          </w:tcPr>
          <w:p w14:paraId="252D419C"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26.32</w:t>
            </w:r>
          </w:p>
        </w:tc>
        <w:tc>
          <w:tcPr>
            <w:tcW w:w="933" w:type="pct"/>
            <w:tcBorders>
              <w:top w:val="nil"/>
              <w:left w:val="nil"/>
              <w:bottom w:val="nil"/>
              <w:right w:val="nil"/>
            </w:tcBorders>
            <w:hideMark/>
          </w:tcPr>
          <w:p w14:paraId="543AC920"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59.21</w:t>
            </w:r>
          </w:p>
        </w:tc>
        <w:tc>
          <w:tcPr>
            <w:tcW w:w="888" w:type="pct"/>
            <w:tcBorders>
              <w:top w:val="nil"/>
              <w:left w:val="nil"/>
              <w:bottom w:val="nil"/>
              <w:right w:val="nil"/>
            </w:tcBorders>
            <w:hideMark/>
          </w:tcPr>
          <w:p w14:paraId="6E42A717"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13.16</w:t>
            </w:r>
          </w:p>
        </w:tc>
        <w:tc>
          <w:tcPr>
            <w:tcW w:w="888" w:type="pct"/>
            <w:tcBorders>
              <w:top w:val="nil"/>
              <w:left w:val="nil"/>
              <w:bottom w:val="nil"/>
              <w:right w:val="nil"/>
            </w:tcBorders>
            <w:hideMark/>
          </w:tcPr>
          <w:p w14:paraId="0E110EBA"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1.32</w:t>
            </w:r>
          </w:p>
        </w:tc>
      </w:tr>
      <w:tr w:rsidR="00141B2C" w:rsidRPr="004E52C2" w14:paraId="494494B7" w14:textId="77777777" w:rsidTr="0056040E">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000" w:type="pct"/>
            <w:tcBorders>
              <w:left w:val="nil"/>
              <w:right w:val="nil"/>
            </w:tcBorders>
            <w:hideMark/>
          </w:tcPr>
          <w:p w14:paraId="12554EAC"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200,001-500,000</w:t>
            </w:r>
          </w:p>
        </w:tc>
        <w:tc>
          <w:tcPr>
            <w:tcW w:w="739" w:type="pct"/>
            <w:tcBorders>
              <w:left w:val="nil"/>
              <w:right w:val="nil"/>
            </w:tcBorders>
            <w:hideMark/>
          </w:tcPr>
          <w:p w14:paraId="6DB7E922"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24.12</w:t>
            </w:r>
          </w:p>
        </w:tc>
        <w:tc>
          <w:tcPr>
            <w:tcW w:w="552" w:type="pct"/>
            <w:tcBorders>
              <w:left w:val="nil"/>
              <w:right w:val="nil"/>
            </w:tcBorders>
            <w:hideMark/>
          </w:tcPr>
          <w:p w14:paraId="4377B696"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37.10</w:t>
            </w:r>
          </w:p>
        </w:tc>
        <w:tc>
          <w:tcPr>
            <w:tcW w:w="933" w:type="pct"/>
            <w:tcBorders>
              <w:left w:val="nil"/>
              <w:right w:val="nil"/>
            </w:tcBorders>
            <w:hideMark/>
          </w:tcPr>
          <w:p w14:paraId="62A46E6F"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53.23</w:t>
            </w:r>
          </w:p>
        </w:tc>
        <w:tc>
          <w:tcPr>
            <w:tcW w:w="888" w:type="pct"/>
            <w:tcBorders>
              <w:left w:val="nil"/>
              <w:right w:val="nil"/>
            </w:tcBorders>
            <w:hideMark/>
          </w:tcPr>
          <w:p w14:paraId="592D7F46"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9.68</w:t>
            </w:r>
          </w:p>
        </w:tc>
        <w:tc>
          <w:tcPr>
            <w:tcW w:w="888" w:type="pct"/>
            <w:tcBorders>
              <w:left w:val="nil"/>
              <w:right w:val="nil"/>
            </w:tcBorders>
            <w:hideMark/>
          </w:tcPr>
          <w:p w14:paraId="4178904C"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0.00</w:t>
            </w:r>
          </w:p>
        </w:tc>
      </w:tr>
      <w:tr w:rsidR="00141B2C" w:rsidRPr="004E52C2" w14:paraId="19A6CA62" w14:textId="77777777" w:rsidTr="0056040E">
        <w:trPr>
          <w:trHeight w:val="380"/>
        </w:trPr>
        <w:tc>
          <w:tcPr>
            <w:cnfStyle w:val="001000000000" w:firstRow="0" w:lastRow="0" w:firstColumn="1" w:lastColumn="0" w:oddVBand="0" w:evenVBand="0" w:oddHBand="0" w:evenHBand="0" w:firstRowFirstColumn="0" w:firstRowLastColumn="0" w:lastRowFirstColumn="0" w:lastRowLastColumn="0"/>
            <w:tcW w:w="1000" w:type="pct"/>
            <w:tcBorders>
              <w:top w:val="nil"/>
              <w:left w:val="nil"/>
              <w:bottom w:val="nil"/>
              <w:right w:val="nil"/>
            </w:tcBorders>
            <w:hideMark/>
          </w:tcPr>
          <w:p w14:paraId="670A19E7"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500,001-1,000,000</w:t>
            </w:r>
          </w:p>
        </w:tc>
        <w:tc>
          <w:tcPr>
            <w:tcW w:w="739" w:type="pct"/>
            <w:tcBorders>
              <w:top w:val="nil"/>
              <w:left w:val="nil"/>
              <w:bottom w:val="nil"/>
              <w:right w:val="nil"/>
            </w:tcBorders>
            <w:hideMark/>
          </w:tcPr>
          <w:p w14:paraId="0990A291"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7.00</w:t>
            </w:r>
          </w:p>
        </w:tc>
        <w:tc>
          <w:tcPr>
            <w:tcW w:w="552" w:type="pct"/>
            <w:tcBorders>
              <w:top w:val="nil"/>
              <w:left w:val="nil"/>
              <w:bottom w:val="nil"/>
              <w:right w:val="nil"/>
            </w:tcBorders>
            <w:hideMark/>
          </w:tcPr>
          <w:p w14:paraId="0CB93A85"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66.67</w:t>
            </w:r>
          </w:p>
        </w:tc>
        <w:tc>
          <w:tcPr>
            <w:tcW w:w="933" w:type="pct"/>
            <w:tcBorders>
              <w:top w:val="nil"/>
              <w:left w:val="nil"/>
              <w:bottom w:val="nil"/>
              <w:right w:val="nil"/>
            </w:tcBorders>
            <w:hideMark/>
          </w:tcPr>
          <w:p w14:paraId="3906A961"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16.67</w:t>
            </w:r>
          </w:p>
        </w:tc>
        <w:tc>
          <w:tcPr>
            <w:tcW w:w="888" w:type="pct"/>
            <w:tcBorders>
              <w:top w:val="nil"/>
              <w:left w:val="nil"/>
              <w:bottom w:val="nil"/>
              <w:right w:val="nil"/>
            </w:tcBorders>
            <w:hideMark/>
          </w:tcPr>
          <w:p w14:paraId="4F9CB665"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11.11</w:t>
            </w:r>
          </w:p>
        </w:tc>
        <w:tc>
          <w:tcPr>
            <w:tcW w:w="888" w:type="pct"/>
            <w:tcBorders>
              <w:top w:val="nil"/>
              <w:left w:val="nil"/>
              <w:bottom w:val="nil"/>
              <w:right w:val="nil"/>
            </w:tcBorders>
            <w:hideMark/>
          </w:tcPr>
          <w:p w14:paraId="4A0E1775"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5.56</w:t>
            </w:r>
          </w:p>
        </w:tc>
      </w:tr>
      <w:tr w:rsidR="00141B2C" w:rsidRPr="004E52C2" w14:paraId="31B3663F" w14:textId="77777777" w:rsidTr="0056040E">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000" w:type="pct"/>
            <w:tcBorders>
              <w:left w:val="nil"/>
              <w:right w:val="nil"/>
            </w:tcBorders>
            <w:hideMark/>
          </w:tcPr>
          <w:p w14:paraId="2EAED424"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&gt;1,000,000</w:t>
            </w:r>
          </w:p>
        </w:tc>
        <w:tc>
          <w:tcPr>
            <w:tcW w:w="739" w:type="pct"/>
            <w:tcBorders>
              <w:left w:val="nil"/>
              <w:right w:val="nil"/>
            </w:tcBorders>
            <w:hideMark/>
          </w:tcPr>
          <w:p w14:paraId="040D27F2"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1.17</w:t>
            </w:r>
          </w:p>
        </w:tc>
        <w:tc>
          <w:tcPr>
            <w:tcW w:w="552" w:type="pct"/>
            <w:tcBorders>
              <w:left w:val="nil"/>
              <w:right w:val="nil"/>
            </w:tcBorders>
            <w:hideMark/>
          </w:tcPr>
          <w:p w14:paraId="07C2319B"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66.67</w:t>
            </w:r>
          </w:p>
        </w:tc>
        <w:tc>
          <w:tcPr>
            <w:tcW w:w="933" w:type="pct"/>
            <w:tcBorders>
              <w:left w:val="nil"/>
              <w:right w:val="nil"/>
            </w:tcBorders>
            <w:hideMark/>
          </w:tcPr>
          <w:p w14:paraId="3FF5ADBF"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33.33</w:t>
            </w:r>
          </w:p>
        </w:tc>
        <w:tc>
          <w:tcPr>
            <w:tcW w:w="888" w:type="pct"/>
            <w:tcBorders>
              <w:left w:val="nil"/>
              <w:right w:val="nil"/>
            </w:tcBorders>
            <w:hideMark/>
          </w:tcPr>
          <w:p w14:paraId="4F175932"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0.00</w:t>
            </w:r>
          </w:p>
        </w:tc>
        <w:tc>
          <w:tcPr>
            <w:tcW w:w="888" w:type="pct"/>
            <w:tcBorders>
              <w:left w:val="nil"/>
              <w:right w:val="nil"/>
            </w:tcBorders>
            <w:hideMark/>
          </w:tcPr>
          <w:p w14:paraId="4DC5A0B7"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0.00</w:t>
            </w:r>
          </w:p>
        </w:tc>
      </w:tr>
      <w:tr w:rsidR="00141B2C" w:rsidRPr="004E52C2" w14:paraId="74E3EA4C" w14:textId="77777777" w:rsidTr="0056040E">
        <w:trPr>
          <w:trHeight w:val="1571"/>
        </w:trPr>
        <w:tc>
          <w:tcPr>
            <w:cnfStyle w:val="001000000000" w:firstRow="0" w:lastRow="0" w:firstColumn="1" w:lastColumn="0" w:oddVBand="0" w:evenVBand="0" w:oddHBand="0" w:evenHBand="0" w:firstRowFirstColumn="0" w:firstRowLastColumn="0" w:lastRowFirstColumn="0" w:lastRowLastColumn="0"/>
            <w:tcW w:w="1000" w:type="pct"/>
            <w:tcBorders>
              <w:top w:val="nil"/>
              <w:left w:val="nil"/>
              <w:bottom w:val="single" w:sz="4" w:space="0" w:color="7F7F7F" w:themeColor="text1" w:themeTint="80"/>
              <w:right w:val="nil"/>
            </w:tcBorders>
            <w:hideMark/>
          </w:tcPr>
          <w:p w14:paraId="4A664997"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Total =</w:t>
            </w:r>
          </w:p>
          <w:p w14:paraId="5122035E"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 xml:space="preserve">Mean </w:t>
            </w:r>
          </w:p>
          <w:p w14:paraId="20E7FB00"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Standard= Deviation =</w:t>
            </w:r>
          </w:p>
        </w:tc>
        <w:tc>
          <w:tcPr>
            <w:tcW w:w="739" w:type="pct"/>
            <w:tcBorders>
              <w:top w:val="nil"/>
              <w:left w:val="nil"/>
              <w:bottom w:val="single" w:sz="4" w:space="0" w:color="7F7F7F" w:themeColor="text1" w:themeTint="80"/>
              <w:right w:val="nil"/>
            </w:tcBorders>
          </w:tcPr>
          <w:p w14:paraId="7E94FE45"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w:t>
            </w:r>
          </w:p>
          <w:p w14:paraId="34EBA403"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p w14:paraId="4EFFE62C"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 xml:space="preserve">230402.7 </w:t>
            </w:r>
          </w:p>
          <w:p w14:paraId="4A2E1314"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268597.8</w:t>
            </w:r>
          </w:p>
        </w:tc>
        <w:tc>
          <w:tcPr>
            <w:tcW w:w="552" w:type="pct"/>
            <w:tcBorders>
              <w:top w:val="nil"/>
              <w:left w:val="nil"/>
              <w:bottom w:val="single" w:sz="4" w:space="0" w:color="7F7F7F" w:themeColor="text1" w:themeTint="80"/>
              <w:right w:val="nil"/>
            </w:tcBorders>
          </w:tcPr>
          <w:p w14:paraId="649ED216"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933" w:type="pct"/>
            <w:tcBorders>
              <w:top w:val="nil"/>
              <w:left w:val="nil"/>
              <w:bottom w:val="single" w:sz="4" w:space="0" w:color="7F7F7F" w:themeColor="text1" w:themeTint="80"/>
              <w:right w:val="nil"/>
            </w:tcBorders>
          </w:tcPr>
          <w:p w14:paraId="3BEE7E71"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888" w:type="pct"/>
            <w:tcBorders>
              <w:top w:val="nil"/>
              <w:left w:val="nil"/>
              <w:bottom w:val="single" w:sz="4" w:space="0" w:color="7F7F7F" w:themeColor="text1" w:themeTint="80"/>
              <w:right w:val="nil"/>
            </w:tcBorders>
          </w:tcPr>
          <w:p w14:paraId="477596D5"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888" w:type="pct"/>
            <w:tcBorders>
              <w:top w:val="nil"/>
              <w:left w:val="nil"/>
              <w:bottom w:val="single" w:sz="4" w:space="0" w:color="7F7F7F" w:themeColor="text1" w:themeTint="80"/>
              <w:right w:val="nil"/>
            </w:tcBorders>
          </w:tcPr>
          <w:p w14:paraId="052844CC"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r>
    </w:tbl>
    <w:p w14:paraId="66A05B8B"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Source: Field survey, 2023.</w:t>
      </w:r>
    </w:p>
    <w:p w14:paraId="30E4E01A" w14:textId="0BDE4E10" w:rsidR="00141B2C" w:rsidRPr="004E52C2" w:rsidRDefault="00B5477B" w:rsidP="00141B2C">
      <w:pPr>
        <w:rPr>
          <w:rFonts w:cstheme="minorHAnsi"/>
          <w:b/>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.1.9 Reported cases of NCDs</w:t>
      </w:r>
    </w:p>
    <w:p w14:paraId="577621E8" w14:textId="7C1D2A0A" w:rsidR="00141B2C" w:rsidRPr="004E52C2" w:rsidRDefault="00141B2C" w:rsidP="002C1684">
      <w:pPr>
        <w:jc w:val="both"/>
        <w:rPr>
          <w:rFonts w:cstheme="minorHAnsi"/>
          <w:bCs/>
          <w:sz w:val="24"/>
          <w:szCs w:val="24"/>
          <w:lang w:val="en-US"/>
        </w:rPr>
      </w:pPr>
      <w:r w:rsidRPr="004E52C2">
        <w:rPr>
          <w:rFonts w:cstheme="minorHAnsi"/>
          <w:bCs/>
          <w:sz w:val="24"/>
          <w:szCs w:val="24"/>
          <w:lang w:val="en-US"/>
        </w:rPr>
        <w:t>Table 1</w:t>
      </w:r>
      <w:r w:rsidR="00A41F2F">
        <w:rPr>
          <w:rFonts w:cstheme="minorHAnsi"/>
          <w:bCs/>
          <w:sz w:val="24"/>
          <w:szCs w:val="24"/>
          <w:lang w:val="en-US"/>
        </w:rPr>
        <w:t>0</w:t>
      </w:r>
      <w:r w:rsidRPr="004E52C2">
        <w:rPr>
          <w:rFonts w:cstheme="minorHAnsi"/>
          <w:bCs/>
          <w:sz w:val="24"/>
          <w:szCs w:val="24"/>
          <w:lang w:val="en-US"/>
        </w:rPr>
        <w:t xml:space="preserve"> presents the distribution of reported cases of </w:t>
      </w:r>
      <w:r w:rsidR="002C1684" w:rsidRPr="004E52C2">
        <w:rPr>
          <w:rFonts w:cstheme="minorHAnsi"/>
          <w:bCs/>
          <w:sz w:val="24"/>
          <w:szCs w:val="24"/>
          <w:lang w:val="en-US"/>
        </w:rPr>
        <w:t>non-communicable</w:t>
      </w:r>
      <w:r w:rsidRPr="004E52C2">
        <w:rPr>
          <w:rFonts w:cstheme="minorHAnsi"/>
          <w:bCs/>
          <w:sz w:val="24"/>
          <w:szCs w:val="24"/>
          <w:lang w:val="en-US"/>
        </w:rPr>
        <w:t xml:space="preserve"> diseases (NCDs) For households with cases less than 2 reported cases of NCDs, 199 (77.43%) reported having fewer than two NCDs. Among these, 29.65% of food-secure households, 51.26% of food-insecure households without hunger, 12.06% of food-insecure households with moderate hunger, and 7.04% of food-insecure households with severe hunger reported less than two cases of NCDs. This suggests that many of the surveyed population had a relatively lower NCDs prevalence. For cases with 2-3 reported cases of NCDs per household, 42 (16.34%) households reported having </w:t>
      </w:r>
      <w:r w:rsidRPr="004E52C2">
        <w:rPr>
          <w:rFonts w:cstheme="minorHAnsi"/>
          <w:bCs/>
          <w:sz w:val="24"/>
          <w:szCs w:val="24"/>
          <w:lang w:val="en-US"/>
        </w:rPr>
        <w:lastRenderedPageBreak/>
        <w:t>3-4 cases of NCDs. Among these households, 26.19% of food-secure households, 45.24% of food-insecure households without hunger, 23.81% of food-insecure households with moderate hunger, and 4.76% of food-insecure households with severe hunger fell into this category. A total of 14 (5.45%) households reported having 5-6 cases of NCDs. Within this category, 35.71% of food-secure households, 50.0% of food-insecure households without hunger, 14.29% of food-insecure households with moderate hunger, and none of the food-insecure households with severe hunger reported having 5-6 cases of NCDs. Only 2 (0.78%) households reported having more than seven cases of NCDs. Food-secure and food-insecure households without hunger reported having an equal percentage of cases. In contrast, no cases were reported in the food-insecure households with moderate or severe hunger categories. It demonstrated a high prevalence of unhealthy eating habits and lifestyles and a high prevalence of reported illnesses due to the type of consumption patterns adopted among various households.</w:t>
      </w:r>
    </w:p>
    <w:p w14:paraId="69FFA0AA" w14:textId="77777777" w:rsidR="00141B2C" w:rsidRPr="004E52C2" w:rsidRDefault="00141B2C" w:rsidP="002C1684">
      <w:pPr>
        <w:jc w:val="both"/>
        <w:rPr>
          <w:rFonts w:cstheme="minorHAnsi"/>
          <w:bCs/>
          <w:sz w:val="24"/>
          <w:szCs w:val="24"/>
          <w:lang w:val="en-US"/>
        </w:rPr>
      </w:pPr>
      <w:r w:rsidRPr="004E52C2">
        <w:rPr>
          <w:rFonts w:cstheme="minorHAnsi"/>
          <w:bCs/>
          <w:sz w:val="24"/>
          <w:szCs w:val="24"/>
          <w:lang w:val="en-US"/>
        </w:rPr>
        <w:t xml:space="preserve">The findings suggest that the prevalence of reported NCDs cases varies across food security categories, with a higher percentage of reported cases observed in food-insecure households. This information is valuable for understanding the relationship between food security and NCDs and can inform interventions and policies aimed at addressing the health challenges faced by different food-insecure populations. </w:t>
      </w:r>
    </w:p>
    <w:p w14:paraId="0EC37C5E" w14:textId="5E80CB87" w:rsidR="00141B2C" w:rsidRPr="004E52C2" w:rsidRDefault="00141B2C" w:rsidP="00141B2C">
      <w:pPr>
        <w:rPr>
          <w:rFonts w:cstheme="minorHAnsi"/>
          <w:bCs/>
          <w:sz w:val="24"/>
          <w:szCs w:val="24"/>
          <w:lang w:val="en-US"/>
        </w:rPr>
      </w:pPr>
      <w:r w:rsidRPr="004E52C2">
        <w:rPr>
          <w:rFonts w:cstheme="minorHAnsi"/>
          <w:bCs/>
          <w:sz w:val="24"/>
          <w:szCs w:val="24"/>
          <w:lang w:val="en-US"/>
        </w:rPr>
        <w:t>Table 1</w:t>
      </w:r>
      <w:r w:rsidR="00D92B88">
        <w:rPr>
          <w:rFonts w:cstheme="minorHAnsi"/>
          <w:bCs/>
          <w:sz w:val="24"/>
          <w:szCs w:val="24"/>
          <w:lang w:val="en-US"/>
        </w:rPr>
        <w:t>0</w:t>
      </w:r>
      <w:r w:rsidRPr="004E52C2">
        <w:rPr>
          <w:rFonts w:cstheme="minorHAnsi"/>
          <w:bCs/>
          <w:sz w:val="24"/>
          <w:szCs w:val="24"/>
          <w:lang w:val="en-US"/>
        </w:rPr>
        <w:t xml:space="preserve">: Distribution of reported cases of </w:t>
      </w:r>
      <w:r w:rsidR="002C1684" w:rsidRPr="004E52C2">
        <w:rPr>
          <w:rFonts w:cstheme="minorHAnsi"/>
          <w:bCs/>
          <w:sz w:val="24"/>
          <w:szCs w:val="24"/>
          <w:lang w:val="en-US"/>
        </w:rPr>
        <w:t>non-communicable</w:t>
      </w:r>
      <w:r w:rsidRPr="004E52C2">
        <w:rPr>
          <w:rFonts w:cstheme="minorHAnsi"/>
          <w:bCs/>
          <w:sz w:val="24"/>
          <w:szCs w:val="24"/>
          <w:lang w:val="en-US"/>
        </w:rPr>
        <w:t xml:space="preserve"> diseases per household.</w:t>
      </w:r>
    </w:p>
    <w:tbl>
      <w:tblPr>
        <w:tblStyle w:val="PlainTable2"/>
        <w:tblW w:w="10350" w:type="dxa"/>
        <w:tblLayout w:type="fixed"/>
        <w:tblLook w:val="04A0" w:firstRow="1" w:lastRow="0" w:firstColumn="1" w:lastColumn="0" w:noHBand="0" w:noVBand="1"/>
      </w:tblPr>
      <w:tblGrid>
        <w:gridCol w:w="2069"/>
        <w:gridCol w:w="1529"/>
        <w:gridCol w:w="1143"/>
        <w:gridCol w:w="1931"/>
        <w:gridCol w:w="1839"/>
        <w:gridCol w:w="1839"/>
      </w:tblGrid>
      <w:tr w:rsidR="00141B2C" w:rsidRPr="004E52C2" w14:paraId="793B6590" w14:textId="77777777" w:rsidTr="00D85854">
        <w:trPr>
          <w:cnfStyle w:val="100000000000" w:firstRow="1" w:lastRow="0" w:firstColumn="0" w:lastColumn="0" w:oddVBand="0" w:evenVBand="0" w:oddHBand="0" w:evenHBand="0" w:firstRowFirstColumn="0" w:firstRowLastColumn="0" w:lastRowFirstColumn="0" w:lastRowLastColumn="0"/>
          <w:trHeight w:val="1179"/>
        </w:trPr>
        <w:tc>
          <w:tcPr>
            <w:cnfStyle w:val="001000000000" w:firstRow="0" w:lastRow="0" w:firstColumn="1" w:lastColumn="0" w:oddVBand="0" w:evenVBand="0" w:oddHBand="0" w:evenHBand="0" w:firstRowFirstColumn="0" w:firstRowLastColumn="0" w:lastRowFirstColumn="0" w:lastRowLastColumn="0"/>
            <w:tcW w:w="2070" w:type="dxa"/>
            <w:tcBorders>
              <w:top w:val="single" w:sz="4" w:space="0" w:color="7F7F7F" w:themeColor="text1" w:themeTint="80"/>
              <w:left w:val="nil"/>
              <w:right w:val="nil"/>
            </w:tcBorders>
            <w:hideMark/>
          </w:tcPr>
          <w:p w14:paraId="7C86D71F"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Reported cases of NCDs n=257</w:t>
            </w:r>
          </w:p>
        </w:tc>
        <w:tc>
          <w:tcPr>
            <w:tcW w:w="1530" w:type="dxa"/>
            <w:tcBorders>
              <w:top w:val="single" w:sz="4" w:space="0" w:color="7F7F7F" w:themeColor="text1" w:themeTint="80"/>
              <w:left w:val="nil"/>
              <w:right w:val="nil"/>
            </w:tcBorders>
            <w:hideMark/>
          </w:tcPr>
          <w:p w14:paraId="5BF7AA35"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Frequency (%)</w:t>
            </w:r>
          </w:p>
        </w:tc>
        <w:tc>
          <w:tcPr>
            <w:tcW w:w="1144" w:type="dxa"/>
            <w:tcBorders>
              <w:top w:val="single" w:sz="4" w:space="0" w:color="7F7F7F" w:themeColor="text1" w:themeTint="80"/>
              <w:left w:val="nil"/>
              <w:right w:val="nil"/>
            </w:tcBorders>
            <w:hideMark/>
          </w:tcPr>
          <w:p w14:paraId="4749AD76"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Secure</w:t>
            </w:r>
          </w:p>
          <w:p w14:paraId="70906B85"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932" w:type="dxa"/>
            <w:tcBorders>
              <w:top w:val="single" w:sz="4" w:space="0" w:color="7F7F7F" w:themeColor="text1" w:themeTint="80"/>
              <w:left w:val="nil"/>
              <w:right w:val="nil"/>
            </w:tcBorders>
            <w:hideMark/>
          </w:tcPr>
          <w:p w14:paraId="6F79BD7B"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without hunger (%)</w:t>
            </w:r>
          </w:p>
        </w:tc>
        <w:tc>
          <w:tcPr>
            <w:tcW w:w="1840" w:type="dxa"/>
            <w:tcBorders>
              <w:top w:val="single" w:sz="4" w:space="0" w:color="7F7F7F" w:themeColor="text1" w:themeTint="80"/>
              <w:left w:val="nil"/>
              <w:right w:val="nil"/>
            </w:tcBorders>
            <w:hideMark/>
          </w:tcPr>
          <w:p w14:paraId="2C6714BE"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moderate hunger (%)</w:t>
            </w:r>
          </w:p>
        </w:tc>
        <w:tc>
          <w:tcPr>
            <w:tcW w:w="1840" w:type="dxa"/>
            <w:tcBorders>
              <w:top w:val="single" w:sz="4" w:space="0" w:color="7F7F7F" w:themeColor="text1" w:themeTint="80"/>
              <w:left w:val="nil"/>
              <w:right w:val="nil"/>
            </w:tcBorders>
            <w:hideMark/>
          </w:tcPr>
          <w:p w14:paraId="099376A6"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severe hunger (%)</w:t>
            </w:r>
          </w:p>
        </w:tc>
      </w:tr>
      <w:tr w:rsidR="00141B2C" w:rsidRPr="004E52C2" w14:paraId="17458AD4" w14:textId="77777777" w:rsidTr="00D85854">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2070" w:type="dxa"/>
            <w:tcBorders>
              <w:left w:val="nil"/>
              <w:right w:val="nil"/>
            </w:tcBorders>
            <w:hideMark/>
          </w:tcPr>
          <w:p w14:paraId="76B44C68"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&lt;2 Cases per household</w:t>
            </w:r>
          </w:p>
        </w:tc>
        <w:tc>
          <w:tcPr>
            <w:tcW w:w="1530" w:type="dxa"/>
            <w:tcBorders>
              <w:left w:val="nil"/>
              <w:right w:val="nil"/>
            </w:tcBorders>
            <w:hideMark/>
          </w:tcPr>
          <w:p w14:paraId="7DE41ECC"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77.43</w:t>
            </w:r>
          </w:p>
        </w:tc>
        <w:tc>
          <w:tcPr>
            <w:tcW w:w="1144" w:type="dxa"/>
            <w:tcBorders>
              <w:left w:val="nil"/>
              <w:right w:val="nil"/>
            </w:tcBorders>
            <w:hideMark/>
          </w:tcPr>
          <w:p w14:paraId="337E8367"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29.65</w:t>
            </w:r>
          </w:p>
        </w:tc>
        <w:tc>
          <w:tcPr>
            <w:tcW w:w="1932" w:type="dxa"/>
            <w:tcBorders>
              <w:left w:val="nil"/>
              <w:right w:val="nil"/>
            </w:tcBorders>
            <w:hideMark/>
          </w:tcPr>
          <w:p w14:paraId="1783D3AC"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51.26</w:t>
            </w:r>
          </w:p>
        </w:tc>
        <w:tc>
          <w:tcPr>
            <w:tcW w:w="1840" w:type="dxa"/>
            <w:tcBorders>
              <w:left w:val="nil"/>
              <w:right w:val="nil"/>
            </w:tcBorders>
            <w:hideMark/>
          </w:tcPr>
          <w:p w14:paraId="375C2B60"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12.06</w:t>
            </w:r>
          </w:p>
        </w:tc>
        <w:tc>
          <w:tcPr>
            <w:tcW w:w="1840" w:type="dxa"/>
            <w:tcBorders>
              <w:left w:val="nil"/>
              <w:right w:val="nil"/>
            </w:tcBorders>
            <w:hideMark/>
          </w:tcPr>
          <w:p w14:paraId="65F8DD10"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7.04</w:t>
            </w:r>
          </w:p>
        </w:tc>
      </w:tr>
      <w:tr w:rsidR="00141B2C" w:rsidRPr="004E52C2" w14:paraId="4B168306" w14:textId="77777777" w:rsidTr="00D85854">
        <w:trPr>
          <w:trHeight w:val="377"/>
        </w:trPr>
        <w:tc>
          <w:tcPr>
            <w:cnfStyle w:val="001000000000" w:firstRow="0" w:lastRow="0" w:firstColumn="1" w:lastColumn="0" w:oddVBand="0" w:evenVBand="0" w:oddHBand="0" w:evenHBand="0" w:firstRowFirstColumn="0" w:firstRowLastColumn="0" w:lastRowFirstColumn="0" w:lastRowLastColumn="0"/>
            <w:tcW w:w="2070" w:type="dxa"/>
            <w:tcBorders>
              <w:top w:val="nil"/>
              <w:left w:val="nil"/>
              <w:bottom w:val="nil"/>
              <w:right w:val="nil"/>
            </w:tcBorders>
            <w:hideMark/>
          </w:tcPr>
          <w:p w14:paraId="61EB9C96"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3-4 Cases per household</w:t>
            </w:r>
          </w:p>
        </w:tc>
        <w:tc>
          <w:tcPr>
            <w:tcW w:w="1530" w:type="dxa"/>
            <w:tcBorders>
              <w:top w:val="nil"/>
              <w:left w:val="nil"/>
              <w:bottom w:val="nil"/>
              <w:right w:val="nil"/>
            </w:tcBorders>
            <w:hideMark/>
          </w:tcPr>
          <w:p w14:paraId="26E321D3"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16.34</w:t>
            </w:r>
          </w:p>
        </w:tc>
        <w:tc>
          <w:tcPr>
            <w:tcW w:w="1144" w:type="dxa"/>
            <w:tcBorders>
              <w:top w:val="nil"/>
              <w:left w:val="nil"/>
              <w:bottom w:val="nil"/>
              <w:right w:val="nil"/>
            </w:tcBorders>
            <w:hideMark/>
          </w:tcPr>
          <w:p w14:paraId="729574BD"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26.19</w:t>
            </w:r>
          </w:p>
        </w:tc>
        <w:tc>
          <w:tcPr>
            <w:tcW w:w="1932" w:type="dxa"/>
            <w:tcBorders>
              <w:top w:val="nil"/>
              <w:left w:val="nil"/>
              <w:bottom w:val="nil"/>
              <w:right w:val="nil"/>
            </w:tcBorders>
            <w:hideMark/>
          </w:tcPr>
          <w:p w14:paraId="6AAC75BC"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45.24</w:t>
            </w:r>
          </w:p>
        </w:tc>
        <w:tc>
          <w:tcPr>
            <w:tcW w:w="1840" w:type="dxa"/>
            <w:tcBorders>
              <w:top w:val="nil"/>
              <w:left w:val="nil"/>
              <w:bottom w:val="nil"/>
              <w:right w:val="nil"/>
            </w:tcBorders>
            <w:hideMark/>
          </w:tcPr>
          <w:p w14:paraId="752DAFE5"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23.81</w:t>
            </w:r>
          </w:p>
        </w:tc>
        <w:tc>
          <w:tcPr>
            <w:tcW w:w="1840" w:type="dxa"/>
            <w:tcBorders>
              <w:top w:val="nil"/>
              <w:left w:val="nil"/>
              <w:bottom w:val="nil"/>
              <w:right w:val="nil"/>
            </w:tcBorders>
            <w:hideMark/>
          </w:tcPr>
          <w:p w14:paraId="74C1D508"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4.76</w:t>
            </w:r>
          </w:p>
        </w:tc>
      </w:tr>
      <w:tr w:rsidR="00141B2C" w:rsidRPr="004E52C2" w14:paraId="259DB564" w14:textId="77777777" w:rsidTr="00D85854">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2070" w:type="dxa"/>
            <w:tcBorders>
              <w:left w:val="nil"/>
              <w:right w:val="nil"/>
            </w:tcBorders>
            <w:hideMark/>
          </w:tcPr>
          <w:p w14:paraId="39AD6568"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5-6 Cases per household</w:t>
            </w:r>
          </w:p>
        </w:tc>
        <w:tc>
          <w:tcPr>
            <w:tcW w:w="1530" w:type="dxa"/>
            <w:tcBorders>
              <w:left w:val="nil"/>
              <w:right w:val="nil"/>
            </w:tcBorders>
            <w:hideMark/>
          </w:tcPr>
          <w:p w14:paraId="4C1813A8"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5.45</w:t>
            </w:r>
          </w:p>
        </w:tc>
        <w:tc>
          <w:tcPr>
            <w:tcW w:w="1144" w:type="dxa"/>
            <w:tcBorders>
              <w:left w:val="nil"/>
              <w:right w:val="nil"/>
            </w:tcBorders>
            <w:hideMark/>
          </w:tcPr>
          <w:p w14:paraId="52B6FBCE"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35.71</w:t>
            </w:r>
          </w:p>
        </w:tc>
        <w:tc>
          <w:tcPr>
            <w:tcW w:w="1932" w:type="dxa"/>
            <w:tcBorders>
              <w:left w:val="nil"/>
              <w:right w:val="nil"/>
            </w:tcBorders>
            <w:hideMark/>
          </w:tcPr>
          <w:p w14:paraId="50E6FDA1"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50.0</w:t>
            </w:r>
          </w:p>
        </w:tc>
        <w:tc>
          <w:tcPr>
            <w:tcW w:w="1840" w:type="dxa"/>
            <w:tcBorders>
              <w:left w:val="nil"/>
              <w:right w:val="nil"/>
            </w:tcBorders>
            <w:hideMark/>
          </w:tcPr>
          <w:p w14:paraId="489CE3A0"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14.29</w:t>
            </w:r>
          </w:p>
        </w:tc>
        <w:tc>
          <w:tcPr>
            <w:tcW w:w="1840" w:type="dxa"/>
            <w:tcBorders>
              <w:left w:val="nil"/>
              <w:right w:val="nil"/>
            </w:tcBorders>
            <w:hideMark/>
          </w:tcPr>
          <w:p w14:paraId="45D55EAC"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0.00</w:t>
            </w:r>
          </w:p>
        </w:tc>
      </w:tr>
      <w:tr w:rsidR="00141B2C" w:rsidRPr="004E52C2" w14:paraId="50BE6698" w14:textId="77777777" w:rsidTr="00D85854">
        <w:trPr>
          <w:trHeight w:val="380"/>
        </w:trPr>
        <w:tc>
          <w:tcPr>
            <w:cnfStyle w:val="001000000000" w:firstRow="0" w:lastRow="0" w:firstColumn="1" w:lastColumn="0" w:oddVBand="0" w:evenVBand="0" w:oddHBand="0" w:evenHBand="0" w:firstRowFirstColumn="0" w:firstRowLastColumn="0" w:lastRowFirstColumn="0" w:lastRowLastColumn="0"/>
            <w:tcW w:w="2070" w:type="dxa"/>
            <w:tcBorders>
              <w:top w:val="nil"/>
              <w:left w:val="nil"/>
              <w:bottom w:val="nil"/>
              <w:right w:val="nil"/>
            </w:tcBorders>
            <w:hideMark/>
          </w:tcPr>
          <w:p w14:paraId="2E448D0E"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&gt;7 Cases per household</w:t>
            </w:r>
          </w:p>
        </w:tc>
        <w:tc>
          <w:tcPr>
            <w:tcW w:w="1530" w:type="dxa"/>
            <w:tcBorders>
              <w:top w:val="nil"/>
              <w:left w:val="nil"/>
              <w:bottom w:val="nil"/>
              <w:right w:val="nil"/>
            </w:tcBorders>
            <w:hideMark/>
          </w:tcPr>
          <w:p w14:paraId="16E40FC1"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0.78</w:t>
            </w:r>
          </w:p>
        </w:tc>
        <w:tc>
          <w:tcPr>
            <w:tcW w:w="1144" w:type="dxa"/>
            <w:tcBorders>
              <w:top w:val="nil"/>
              <w:left w:val="nil"/>
              <w:bottom w:val="nil"/>
              <w:right w:val="nil"/>
            </w:tcBorders>
            <w:hideMark/>
          </w:tcPr>
          <w:p w14:paraId="463D2565"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50.00</w:t>
            </w:r>
          </w:p>
        </w:tc>
        <w:tc>
          <w:tcPr>
            <w:tcW w:w="1932" w:type="dxa"/>
            <w:tcBorders>
              <w:top w:val="nil"/>
              <w:left w:val="nil"/>
              <w:bottom w:val="nil"/>
              <w:right w:val="nil"/>
            </w:tcBorders>
            <w:hideMark/>
          </w:tcPr>
          <w:p w14:paraId="32D07C11"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50.00</w:t>
            </w:r>
          </w:p>
        </w:tc>
        <w:tc>
          <w:tcPr>
            <w:tcW w:w="1840" w:type="dxa"/>
            <w:tcBorders>
              <w:top w:val="nil"/>
              <w:left w:val="nil"/>
              <w:bottom w:val="nil"/>
              <w:right w:val="nil"/>
            </w:tcBorders>
            <w:hideMark/>
          </w:tcPr>
          <w:p w14:paraId="033472FE"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0.00</w:t>
            </w:r>
          </w:p>
        </w:tc>
        <w:tc>
          <w:tcPr>
            <w:tcW w:w="1840" w:type="dxa"/>
            <w:tcBorders>
              <w:top w:val="nil"/>
              <w:left w:val="nil"/>
              <w:bottom w:val="nil"/>
              <w:right w:val="nil"/>
            </w:tcBorders>
            <w:hideMark/>
          </w:tcPr>
          <w:p w14:paraId="0E2C3372"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0.00</w:t>
            </w:r>
          </w:p>
        </w:tc>
      </w:tr>
      <w:tr w:rsidR="00141B2C" w:rsidRPr="004E52C2" w14:paraId="1BA4323B" w14:textId="77777777" w:rsidTr="00D85854">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2070" w:type="dxa"/>
            <w:tcBorders>
              <w:left w:val="nil"/>
              <w:right w:val="nil"/>
            </w:tcBorders>
            <w:hideMark/>
          </w:tcPr>
          <w:p w14:paraId="3372BF51"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 xml:space="preserve">Total </w:t>
            </w:r>
          </w:p>
        </w:tc>
        <w:tc>
          <w:tcPr>
            <w:tcW w:w="1530" w:type="dxa"/>
            <w:tcBorders>
              <w:left w:val="nil"/>
              <w:right w:val="nil"/>
            </w:tcBorders>
            <w:hideMark/>
          </w:tcPr>
          <w:p w14:paraId="5422680E"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257</w:t>
            </w:r>
          </w:p>
        </w:tc>
        <w:tc>
          <w:tcPr>
            <w:tcW w:w="1144" w:type="dxa"/>
            <w:tcBorders>
              <w:left w:val="nil"/>
              <w:right w:val="nil"/>
            </w:tcBorders>
          </w:tcPr>
          <w:p w14:paraId="46FED4ED"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932" w:type="dxa"/>
            <w:tcBorders>
              <w:left w:val="nil"/>
              <w:right w:val="nil"/>
            </w:tcBorders>
          </w:tcPr>
          <w:p w14:paraId="393B5AE5"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40" w:type="dxa"/>
            <w:tcBorders>
              <w:left w:val="nil"/>
              <w:right w:val="nil"/>
            </w:tcBorders>
          </w:tcPr>
          <w:p w14:paraId="351AD204"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40" w:type="dxa"/>
            <w:tcBorders>
              <w:left w:val="nil"/>
              <w:right w:val="nil"/>
            </w:tcBorders>
          </w:tcPr>
          <w:p w14:paraId="60F7C096"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r>
    </w:tbl>
    <w:p w14:paraId="0527BEF4"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Source: Field survey, 2023.</w:t>
      </w:r>
    </w:p>
    <w:p w14:paraId="60D54EFC" w14:textId="77777777" w:rsidR="00141B2C" w:rsidRPr="004E52C2" w:rsidRDefault="00141B2C" w:rsidP="00141B2C">
      <w:pPr>
        <w:rPr>
          <w:rFonts w:cstheme="minorHAnsi"/>
          <w:b/>
          <w:bCs/>
          <w:sz w:val="24"/>
          <w:szCs w:val="24"/>
          <w:lang w:val="en-US"/>
        </w:rPr>
      </w:pPr>
    </w:p>
    <w:p w14:paraId="72440A29" w14:textId="77777777" w:rsidR="00141B2C" w:rsidRPr="004E52C2" w:rsidRDefault="00141B2C" w:rsidP="00141B2C">
      <w:pPr>
        <w:rPr>
          <w:rFonts w:cstheme="minorHAnsi"/>
          <w:b/>
          <w:bCs/>
          <w:sz w:val="24"/>
          <w:szCs w:val="24"/>
          <w:lang w:val="en-US"/>
        </w:rPr>
      </w:pPr>
    </w:p>
    <w:p w14:paraId="3746C753" w14:textId="7208A3BA" w:rsidR="00141B2C" w:rsidRPr="004E52C2" w:rsidRDefault="00B5477B" w:rsidP="00141B2C">
      <w:pPr>
        <w:rPr>
          <w:rFonts w:cstheme="minorHAnsi"/>
          <w:b/>
          <w:bCs/>
          <w:sz w:val="24"/>
          <w:szCs w:val="24"/>
          <w:lang w:val="en-US"/>
        </w:rPr>
      </w:pPr>
      <w:bookmarkStart w:id="30" w:name="_Toc140036406"/>
      <w:bookmarkStart w:id="31" w:name="_Toc140036447"/>
      <w:r w:rsidRPr="004E52C2">
        <w:rPr>
          <w:rFonts w:cstheme="minorHAnsi"/>
          <w:b/>
          <w:bCs/>
          <w:sz w:val="24"/>
          <w:szCs w:val="24"/>
          <w:lang w:val="en-US"/>
        </w:rPr>
        <w:t>3</w:t>
      </w:r>
      <w:r w:rsidR="00141B2C" w:rsidRPr="004E52C2">
        <w:rPr>
          <w:rFonts w:cstheme="minorHAnsi"/>
          <w:b/>
          <w:bCs/>
          <w:sz w:val="24"/>
          <w:szCs w:val="24"/>
          <w:lang w:val="en-US"/>
        </w:rPr>
        <w:t>.2. Factors Influencing the Food Security Status of a Household.</w:t>
      </w:r>
      <w:bookmarkEnd w:id="30"/>
      <w:bookmarkEnd w:id="31"/>
    </w:p>
    <w:p w14:paraId="31597B84" w14:textId="0E98A25D" w:rsidR="00141B2C" w:rsidRPr="004E52C2" w:rsidRDefault="00141B2C" w:rsidP="002C1684">
      <w:pPr>
        <w:jc w:val="both"/>
        <w:rPr>
          <w:rFonts w:cstheme="minorHAnsi"/>
          <w:bCs/>
          <w:sz w:val="24"/>
          <w:szCs w:val="24"/>
          <w:lang w:val="en-US"/>
        </w:rPr>
      </w:pPr>
      <w:r w:rsidRPr="004E52C2">
        <w:rPr>
          <w:rFonts w:cstheme="minorHAnsi"/>
          <w:bCs/>
          <w:sz w:val="24"/>
          <w:szCs w:val="24"/>
          <w:lang w:val="en-US"/>
        </w:rPr>
        <w:lastRenderedPageBreak/>
        <w:t>The multinomial logit regression analysis in Table 1</w:t>
      </w:r>
      <w:r w:rsidR="004E52C2">
        <w:rPr>
          <w:rFonts w:cstheme="minorHAnsi"/>
          <w:bCs/>
          <w:sz w:val="24"/>
          <w:szCs w:val="24"/>
          <w:lang w:val="en-US"/>
        </w:rPr>
        <w:t>2</w:t>
      </w:r>
      <w:r w:rsidRPr="004E52C2">
        <w:rPr>
          <w:rFonts w:cstheme="minorHAnsi"/>
          <w:bCs/>
          <w:sz w:val="24"/>
          <w:szCs w:val="24"/>
          <w:lang w:val="en-US"/>
        </w:rPr>
        <w:t xml:space="preserve"> shows the factors influencing a household’s food security status attained by the Household Food Insecurity Access Scale (HFIAS) grouped into four categories: Food secure, Food insecure without hunger, Food insecure with moderate hunger and Food insecure with severe hunger (base outcome). The multinomial logit regression model is significant at 1% and has a Pseudo R-squared 0.1044, showing that the independent variable in this model explains 10.44% of the dependent viable. </w:t>
      </w:r>
    </w:p>
    <w:p w14:paraId="50E451EA" w14:textId="698FDA38" w:rsidR="00141B2C" w:rsidRPr="004E52C2" w:rsidRDefault="00B5477B" w:rsidP="002C1684">
      <w:pPr>
        <w:jc w:val="both"/>
        <w:rPr>
          <w:rFonts w:cstheme="minorHAnsi"/>
          <w:bCs/>
          <w:sz w:val="24"/>
          <w:szCs w:val="24"/>
          <w:lang w:val="en-US"/>
        </w:rPr>
      </w:pPr>
      <w:r w:rsidRPr="004E52C2">
        <w:rPr>
          <w:rFonts w:cstheme="minorHAnsi"/>
          <w:bCs/>
          <w:sz w:val="24"/>
          <w:szCs w:val="24"/>
          <w:lang w:val="en-US"/>
        </w:rPr>
        <w:t>Table 1</w:t>
      </w:r>
      <w:r w:rsidR="004E52C2">
        <w:rPr>
          <w:rFonts w:cstheme="minorHAnsi"/>
          <w:bCs/>
          <w:sz w:val="24"/>
          <w:szCs w:val="24"/>
          <w:lang w:val="en-US"/>
        </w:rPr>
        <w:t>2</w:t>
      </w:r>
      <w:r w:rsidR="00141B2C" w:rsidRPr="004E52C2">
        <w:rPr>
          <w:rFonts w:cstheme="minorHAnsi"/>
          <w:bCs/>
          <w:sz w:val="24"/>
          <w:szCs w:val="24"/>
          <w:lang w:val="en-US"/>
        </w:rPr>
        <w:t xml:space="preserve"> shows the relationship between researched variables and food security categories. Marital status has a significance level at </w:t>
      </w:r>
      <w:r w:rsidR="002C1684" w:rsidRPr="004E52C2">
        <w:rPr>
          <w:rFonts w:cstheme="minorHAnsi"/>
          <w:bCs/>
          <w:sz w:val="24"/>
          <w:szCs w:val="24"/>
          <w:lang w:val="en-US"/>
        </w:rPr>
        <w:t>(P</w:t>
      </w:r>
      <w:r w:rsidR="00141B2C" w:rsidRPr="004E52C2">
        <w:rPr>
          <w:rFonts w:cstheme="minorHAnsi"/>
          <w:bCs/>
          <w:sz w:val="24"/>
          <w:szCs w:val="24"/>
          <w:lang w:val="en-US"/>
        </w:rPr>
        <w:t>&gt;0.063), indicating a statistical significance at 5%, a marginal effect of 0.105, which means the marital status of the head of household increases the probability of a household being food secure by 10.5%, with a standard error of 0.056. This suggests that being married is positively associated with higher levels of food security among the food-secure group. Fully food-secured households are often associated with the head of the household being married (Hanson, Sobal, and Frongillo, 2007).</w:t>
      </w:r>
    </w:p>
    <w:p w14:paraId="62276B7A" w14:textId="02997761" w:rsidR="00141B2C" w:rsidRPr="004E52C2" w:rsidRDefault="00141B2C" w:rsidP="002C1684">
      <w:pPr>
        <w:jc w:val="both"/>
        <w:rPr>
          <w:rFonts w:cstheme="minorHAnsi"/>
          <w:bCs/>
          <w:sz w:val="24"/>
          <w:szCs w:val="24"/>
          <w:lang w:val="en-US"/>
        </w:rPr>
      </w:pPr>
      <w:r w:rsidRPr="004E52C2">
        <w:rPr>
          <w:rFonts w:cstheme="minorHAnsi"/>
          <w:bCs/>
          <w:sz w:val="24"/>
          <w:szCs w:val="24"/>
          <w:lang w:val="en-US"/>
        </w:rPr>
        <w:t>Household size influences food-insecure households with moderate hunger, bearing a significance of (p&gt; 0.038), indicating a statistical significance at 5%. The marginal effect of 0.017 means that the size of a household increases the probability of the house being food insecure with moderate hunger by 1.7%. There is a 1.7% likelihood of being Food insecure with moderate hunger when they have increased household size. Households with five-plus members have significantly higher odds of food insecurity than one or two-person households</w:t>
      </w:r>
    </w:p>
    <w:p w14:paraId="1D530F9F" w14:textId="77777777" w:rsidR="00141B2C" w:rsidRPr="004E52C2" w:rsidRDefault="00141B2C" w:rsidP="002C1684">
      <w:pPr>
        <w:jc w:val="both"/>
        <w:rPr>
          <w:rFonts w:cstheme="minorHAnsi"/>
          <w:bCs/>
          <w:sz w:val="24"/>
          <w:szCs w:val="24"/>
          <w:lang w:val="en-US"/>
        </w:rPr>
      </w:pPr>
      <w:r w:rsidRPr="004E52C2">
        <w:rPr>
          <w:rFonts w:cstheme="minorHAnsi"/>
          <w:bCs/>
          <w:sz w:val="24"/>
          <w:szCs w:val="24"/>
          <w:lang w:val="en-US"/>
        </w:rPr>
        <w:t>The location of a household, with a significance level of (p&gt;0.018) indicates a statistical significance at 5%. This negative marginal effect of -0.056 means that a household's location decreases the probability of being food secure by 5.6%. This indicates that households in sparsely populated areas have a reduced chance of being food secure. For the food insecure category with moderate hunger, a significance level of (p&gt; 0.050) indicates statistical significance at 5% and a marginal effect of 0.042, meaning that the location of a house increases the probability of the household being food insecure with moderate hunger by 4.2%. This suggests that households are more likely to be moderately food secure depending on their location.</w:t>
      </w:r>
    </w:p>
    <w:p w14:paraId="168B1A9C" w14:textId="77777777" w:rsidR="00141B2C" w:rsidRPr="004E52C2" w:rsidRDefault="00141B2C" w:rsidP="002C1684">
      <w:pPr>
        <w:jc w:val="both"/>
        <w:rPr>
          <w:rFonts w:cstheme="minorHAnsi"/>
          <w:bCs/>
          <w:sz w:val="24"/>
          <w:szCs w:val="24"/>
          <w:lang w:val="en-US"/>
        </w:rPr>
      </w:pPr>
      <w:r w:rsidRPr="004E52C2">
        <w:rPr>
          <w:rFonts w:cstheme="minorHAnsi"/>
          <w:bCs/>
          <w:sz w:val="24"/>
          <w:szCs w:val="24"/>
          <w:lang w:val="en-US"/>
        </w:rPr>
        <w:t xml:space="preserve">As for the primary occupation, the significance level of (p&gt;0.041) indicates statistical significance at 5%. The marginal effect of -0.043, means that the primary occupation of a household head decreases the probability of the household being food secure by 4.3%. This suggests that households with farming as the primary occupation of the head of head household are less likely to be food secure. For the food insecure category without hunger, the significance level of 0.076 indicates statistical significance at 10%, and a marginal effect of 0.041 means that the primary occupation of the household head increases the probability of the household being food insecure without hunger. Households with farming as the primary occupation of the household head are more likely to be food insecure without hunger. </w:t>
      </w:r>
    </w:p>
    <w:p w14:paraId="1F07C08A" w14:textId="0B4630F6" w:rsidR="00141B2C" w:rsidRPr="004E52C2" w:rsidRDefault="00141B2C" w:rsidP="002C1684">
      <w:pPr>
        <w:jc w:val="both"/>
        <w:rPr>
          <w:rFonts w:cstheme="minorHAnsi"/>
          <w:bCs/>
          <w:sz w:val="24"/>
          <w:szCs w:val="24"/>
          <w:lang w:val="en-US"/>
        </w:rPr>
      </w:pPr>
    </w:p>
    <w:p w14:paraId="07721E77"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br w:type="page"/>
      </w:r>
    </w:p>
    <w:p w14:paraId="400774C7" w14:textId="1DAAB0F5" w:rsidR="00141B2C" w:rsidRPr="004E52C2" w:rsidRDefault="00141B2C" w:rsidP="00141B2C">
      <w:pPr>
        <w:rPr>
          <w:rFonts w:cstheme="minorHAnsi"/>
          <w:bCs/>
          <w:sz w:val="24"/>
          <w:szCs w:val="24"/>
          <w:lang w:val="en-US"/>
        </w:rPr>
      </w:pPr>
      <w:r w:rsidRPr="004E52C2">
        <w:rPr>
          <w:rFonts w:cstheme="minorHAnsi"/>
          <w:bCs/>
          <w:sz w:val="24"/>
          <w:szCs w:val="24"/>
          <w:lang w:val="en-US"/>
        </w:rPr>
        <w:lastRenderedPageBreak/>
        <w:t>Table 1</w:t>
      </w:r>
      <w:r w:rsidR="00D92B88">
        <w:rPr>
          <w:rFonts w:cstheme="minorHAnsi"/>
          <w:bCs/>
          <w:sz w:val="24"/>
          <w:szCs w:val="24"/>
          <w:lang w:val="en-US"/>
        </w:rPr>
        <w:t>1</w:t>
      </w:r>
      <w:r w:rsidRPr="004E52C2">
        <w:rPr>
          <w:rFonts w:cstheme="minorHAnsi"/>
          <w:bCs/>
          <w:sz w:val="24"/>
          <w:szCs w:val="24"/>
          <w:lang w:val="en-US"/>
        </w:rPr>
        <w:t xml:space="preserve">: Multinomial Logit Regression Showing the Factors influencing household food security status. </w:t>
      </w:r>
    </w:p>
    <w:tbl>
      <w:tblPr>
        <w:tblW w:w="9535" w:type="dxa"/>
        <w:tblBorders>
          <w:insideH w:val="single" w:sz="4" w:space="0" w:color="auto"/>
          <w:insideV w:val="single" w:sz="4" w:space="0" w:color="auto"/>
        </w:tblBorders>
        <w:tblLook w:val="04A0" w:firstRow="1" w:lastRow="0" w:firstColumn="1" w:lastColumn="0" w:noHBand="0" w:noVBand="1"/>
      </w:tblPr>
      <w:tblGrid>
        <w:gridCol w:w="3600"/>
        <w:gridCol w:w="1890"/>
        <w:gridCol w:w="1890"/>
        <w:gridCol w:w="2155"/>
      </w:tblGrid>
      <w:tr w:rsidR="00141B2C" w:rsidRPr="004E52C2" w14:paraId="12785DC7" w14:textId="77777777" w:rsidTr="00D85854">
        <w:tc>
          <w:tcPr>
            <w:tcW w:w="3600" w:type="dxa"/>
            <w:tcBorders>
              <w:top w:val="single" w:sz="4" w:space="0" w:color="auto"/>
              <w:left w:val="nil"/>
              <w:bottom w:val="single" w:sz="4" w:space="0" w:color="auto"/>
              <w:right w:val="nil"/>
            </w:tcBorders>
            <w:vAlign w:val="center"/>
            <w:hideMark/>
          </w:tcPr>
          <w:p w14:paraId="7917BCF2" w14:textId="77777777" w:rsidR="00141B2C" w:rsidRPr="004E52C2" w:rsidRDefault="00141B2C" w:rsidP="00141B2C">
            <w:pPr>
              <w:rPr>
                <w:rFonts w:cstheme="minorHAnsi"/>
                <w:b/>
                <w:bCs/>
                <w:sz w:val="24"/>
                <w:szCs w:val="24"/>
                <w:lang w:val="en-US"/>
              </w:rPr>
            </w:pPr>
            <w:r w:rsidRPr="004E52C2">
              <w:rPr>
                <w:rFonts w:cstheme="minorHAnsi"/>
                <w:b/>
                <w:bCs/>
                <w:sz w:val="24"/>
                <w:szCs w:val="24"/>
                <w:lang w:val="en-US"/>
              </w:rPr>
              <w:t>Variables</w:t>
            </w:r>
          </w:p>
        </w:tc>
        <w:tc>
          <w:tcPr>
            <w:tcW w:w="1890" w:type="dxa"/>
            <w:tcBorders>
              <w:top w:val="single" w:sz="4" w:space="0" w:color="auto"/>
              <w:left w:val="nil"/>
              <w:bottom w:val="single" w:sz="4" w:space="0" w:color="auto"/>
              <w:right w:val="nil"/>
            </w:tcBorders>
            <w:vAlign w:val="center"/>
            <w:hideMark/>
          </w:tcPr>
          <w:p w14:paraId="1EB89B22" w14:textId="77777777" w:rsidR="00141B2C" w:rsidRPr="004E52C2" w:rsidRDefault="00141B2C" w:rsidP="00141B2C">
            <w:pPr>
              <w:rPr>
                <w:rFonts w:cstheme="minorHAnsi"/>
                <w:b/>
                <w:bCs/>
                <w:sz w:val="24"/>
                <w:szCs w:val="24"/>
                <w:lang w:val="en-US"/>
              </w:rPr>
            </w:pPr>
            <w:r w:rsidRPr="004E52C2">
              <w:rPr>
                <w:rFonts w:cstheme="minorHAnsi"/>
                <w:b/>
                <w:bCs/>
                <w:sz w:val="24"/>
                <w:szCs w:val="24"/>
                <w:lang w:val="en-US"/>
              </w:rPr>
              <w:t>Food secure (dy/dx)</w:t>
            </w:r>
          </w:p>
        </w:tc>
        <w:tc>
          <w:tcPr>
            <w:tcW w:w="1890" w:type="dxa"/>
            <w:tcBorders>
              <w:top w:val="single" w:sz="4" w:space="0" w:color="auto"/>
              <w:left w:val="nil"/>
              <w:bottom w:val="single" w:sz="4" w:space="0" w:color="auto"/>
              <w:right w:val="nil"/>
            </w:tcBorders>
            <w:vAlign w:val="center"/>
            <w:hideMark/>
          </w:tcPr>
          <w:p w14:paraId="2B242DB6" w14:textId="77777777" w:rsidR="00141B2C" w:rsidRPr="004E52C2" w:rsidRDefault="00141B2C" w:rsidP="00141B2C">
            <w:pPr>
              <w:rPr>
                <w:rFonts w:cstheme="minorHAnsi"/>
                <w:b/>
                <w:bCs/>
                <w:sz w:val="24"/>
                <w:szCs w:val="24"/>
                <w:lang w:val="en-US"/>
              </w:rPr>
            </w:pPr>
            <w:r w:rsidRPr="004E52C2">
              <w:rPr>
                <w:rFonts w:cstheme="minorHAnsi"/>
                <w:b/>
                <w:bCs/>
                <w:sz w:val="24"/>
                <w:szCs w:val="24"/>
                <w:lang w:val="en-US"/>
              </w:rPr>
              <w:t>Food Insecure without hunger (dy/dx)</w:t>
            </w:r>
          </w:p>
        </w:tc>
        <w:tc>
          <w:tcPr>
            <w:tcW w:w="2155" w:type="dxa"/>
            <w:tcBorders>
              <w:top w:val="single" w:sz="4" w:space="0" w:color="auto"/>
              <w:left w:val="nil"/>
              <w:bottom w:val="single" w:sz="4" w:space="0" w:color="auto"/>
              <w:right w:val="nil"/>
            </w:tcBorders>
            <w:vAlign w:val="center"/>
            <w:hideMark/>
          </w:tcPr>
          <w:p w14:paraId="25FA6819" w14:textId="77777777" w:rsidR="00141B2C" w:rsidRPr="004E52C2" w:rsidRDefault="00141B2C" w:rsidP="00141B2C">
            <w:pPr>
              <w:rPr>
                <w:rFonts w:cstheme="minorHAnsi"/>
                <w:b/>
                <w:bCs/>
                <w:sz w:val="24"/>
                <w:szCs w:val="24"/>
                <w:lang w:val="en-US"/>
              </w:rPr>
            </w:pPr>
            <w:r w:rsidRPr="004E52C2">
              <w:rPr>
                <w:rFonts w:cstheme="minorHAnsi"/>
                <w:b/>
                <w:bCs/>
                <w:sz w:val="24"/>
                <w:szCs w:val="24"/>
                <w:lang w:val="en-US"/>
              </w:rPr>
              <w:t>Food Insecure with Moderate hunger (dy/dx)</w:t>
            </w:r>
          </w:p>
        </w:tc>
      </w:tr>
      <w:tr w:rsidR="00141B2C" w:rsidRPr="004E52C2" w14:paraId="64552556" w14:textId="77777777" w:rsidTr="00D85854">
        <w:tc>
          <w:tcPr>
            <w:tcW w:w="3600" w:type="dxa"/>
            <w:tcBorders>
              <w:top w:val="single" w:sz="4" w:space="0" w:color="auto"/>
              <w:left w:val="nil"/>
              <w:bottom w:val="single" w:sz="4" w:space="0" w:color="auto"/>
              <w:right w:val="nil"/>
            </w:tcBorders>
            <w:hideMark/>
          </w:tcPr>
          <w:p w14:paraId="2EB254D7"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Sex of Household head</w:t>
            </w:r>
          </w:p>
        </w:tc>
        <w:tc>
          <w:tcPr>
            <w:tcW w:w="1890" w:type="dxa"/>
            <w:tcBorders>
              <w:top w:val="single" w:sz="4" w:space="0" w:color="auto"/>
              <w:left w:val="nil"/>
              <w:bottom w:val="single" w:sz="4" w:space="0" w:color="auto"/>
              <w:right w:val="nil"/>
            </w:tcBorders>
            <w:hideMark/>
          </w:tcPr>
          <w:p w14:paraId="0A6D82C4"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0.013</w:t>
            </w:r>
          </w:p>
          <w:p w14:paraId="263E57B2"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(0.062)</w:t>
            </w:r>
          </w:p>
        </w:tc>
        <w:tc>
          <w:tcPr>
            <w:tcW w:w="1890" w:type="dxa"/>
            <w:tcBorders>
              <w:top w:val="single" w:sz="4" w:space="0" w:color="auto"/>
              <w:left w:val="nil"/>
              <w:bottom w:val="single" w:sz="4" w:space="0" w:color="auto"/>
              <w:right w:val="nil"/>
            </w:tcBorders>
            <w:hideMark/>
          </w:tcPr>
          <w:p w14:paraId="40B70DDF"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0.050</w:t>
            </w:r>
          </w:p>
          <w:p w14:paraId="499C056B"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(0.073)</w:t>
            </w:r>
          </w:p>
        </w:tc>
        <w:tc>
          <w:tcPr>
            <w:tcW w:w="2155" w:type="dxa"/>
            <w:tcBorders>
              <w:top w:val="single" w:sz="4" w:space="0" w:color="auto"/>
              <w:left w:val="nil"/>
              <w:bottom w:val="single" w:sz="4" w:space="0" w:color="auto"/>
              <w:right w:val="nil"/>
            </w:tcBorders>
            <w:hideMark/>
          </w:tcPr>
          <w:p w14:paraId="0188B8CF"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0.008</w:t>
            </w:r>
          </w:p>
          <w:p w14:paraId="752695FE"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(0.050)</w:t>
            </w:r>
          </w:p>
        </w:tc>
      </w:tr>
      <w:tr w:rsidR="00141B2C" w:rsidRPr="004E52C2" w14:paraId="58C283E0" w14:textId="77777777" w:rsidTr="00D85854">
        <w:tc>
          <w:tcPr>
            <w:tcW w:w="3600" w:type="dxa"/>
            <w:tcBorders>
              <w:top w:val="single" w:sz="4" w:space="0" w:color="auto"/>
              <w:left w:val="nil"/>
              <w:bottom w:val="single" w:sz="4" w:space="0" w:color="auto"/>
              <w:right w:val="nil"/>
            </w:tcBorders>
            <w:hideMark/>
          </w:tcPr>
          <w:p w14:paraId="3186478F"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Age of Household head </w:t>
            </w:r>
          </w:p>
        </w:tc>
        <w:tc>
          <w:tcPr>
            <w:tcW w:w="1890" w:type="dxa"/>
            <w:tcBorders>
              <w:top w:val="single" w:sz="4" w:space="0" w:color="auto"/>
              <w:left w:val="nil"/>
              <w:bottom w:val="single" w:sz="4" w:space="0" w:color="auto"/>
              <w:right w:val="nil"/>
            </w:tcBorders>
            <w:hideMark/>
          </w:tcPr>
          <w:p w14:paraId="07740155"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0.004</w:t>
            </w:r>
          </w:p>
          <w:p w14:paraId="0863DF31"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(0.016)</w:t>
            </w:r>
          </w:p>
        </w:tc>
        <w:tc>
          <w:tcPr>
            <w:tcW w:w="1890" w:type="dxa"/>
            <w:tcBorders>
              <w:top w:val="single" w:sz="4" w:space="0" w:color="auto"/>
              <w:left w:val="nil"/>
              <w:bottom w:val="single" w:sz="4" w:space="0" w:color="auto"/>
              <w:right w:val="nil"/>
            </w:tcBorders>
            <w:hideMark/>
          </w:tcPr>
          <w:p w14:paraId="7A760EF3"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-0.005</w:t>
            </w:r>
          </w:p>
          <w:p w14:paraId="1E286A4E"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(0.017)</w:t>
            </w:r>
          </w:p>
        </w:tc>
        <w:tc>
          <w:tcPr>
            <w:tcW w:w="2155" w:type="dxa"/>
            <w:tcBorders>
              <w:top w:val="single" w:sz="4" w:space="0" w:color="auto"/>
              <w:left w:val="nil"/>
              <w:bottom w:val="single" w:sz="4" w:space="0" w:color="auto"/>
              <w:right w:val="nil"/>
            </w:tcBorders>
            <w:hideMark/>
          </w:tcPr>
          <w:p w14:paraId="0F82E6B7"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-0.002</w:t>
            </w:r>
          </w:p>
          <w:p w14:paraId="2BD9ACAF"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(0.011)</w:t>
            </w:r>
          </w:p>
        </w:tc>
      </w:tr>
      <w:tr w:rsidR="00141B2C" w:rsidRPr="004E52C2" w14:paraId="73602938" w14:textId="77777777" w:rsidTr="00D85854">
        <w:tc>
          <w:tcPr>
            <w:tcW w:w="3600" w:type="dxa"/>
            <w:tcBorders>
              <w:top w:val="single" w:sz="4" w:space="0" w:color="auto"/>
              <w:left w:val="nil"/>
              <w:bottom w:val="single" w:sz="4" w:space="0" w:color="auto"/>
              <w:right w:val="nil"/>
            </w:tcBorders>
            <w:hideMark/>
          </w:tcPr>
          <w:p w14:paraId="3949FB19"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Level of education of Household head</w:t>
            </w:r>
          </w:p>
        </w:tc>
        <w:tc>
          <w:tcPr>
            <w:tcW w:w="1890" w:type="dxa"/>
            <w:tcBorders>
              <w:top w:val="single" w:sz="4" w:space="0" w:color="auto"/>
              <w:left w:val="nil"/>
              <w:bottom w:val="single" w:sz="4" w:space="0" w:color="auto"/>
              <w:right w:val="nil"/>
            </w:tcBorders>
            <w:hideMark/>
          </w:tcPr>
          <w:p w14:paraId="6632B5F0"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0.0312</w:t>
            </w:r>
          </w:p>
          <w:p w14:paraId="427A9972"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(0.0244)</w:t>
            </w:r>
          </w:p>
        </w:tc>
        <w:tc>
          <w:tcPr>
            <w:tcW w:w="1890" w:type="dxa"/>
            <w:tcBorders>
              <w:top w:val="single" w:sz="4" w:space="0" w:color="auto"/>
              <w:left w:val="nil"/>
              <w:bottom w:val="single" w:sz="4" w:space="0" w:color="auto"/>
              <w:right w:val="nil"/>
            </w:tcBorders>
            <w:hideMark/>
          </w:tcPr>
          <w:p w14:paraId="745D7B69"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-0.010</w:t>
            </w:r>
          </w:p>
          <w:p w14:paraId="4154528C"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(0.027)</w:t>
            </w:r>
          </w:p>
        </w:tc>
        <w:tc>
          <w:tcPr>
            <w:tcW w:w="2155" w:type="dxa"/>
            <w:tcBorders>
              <w:top w:val="single" w:sz="4" w:space="0" w:color="auto"/>
              <w:left w:val="nil"/>
              <w:bottom w:val="single" w:sz="4" w:space="0" w:color="auto"/>
              <w:right w:val="nil"/>
            </w:tcBorders>
            <w:hideMark/>
          </w:tcPr>
          <w:p w14:paraId="5AEF91CF"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-0.007</w:t>
            </w:r>
          </w:p>
          <w:p w14:paraId="33B9A0F2"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(0.018)</w:t>
            </w:r>
          </w:p>
        </w:tc>
      </w:tr>
      <w:tr w:rsidR="00141B2C" w:rsidRPr="004E52C2" w14:paraId="75577E32" w14:textId="77777777" w:rsidTr="00D85854">
        <w:tc>
          <w:tcPr>
            <w:tcW w:w="3600" w:type="dxa"/>
            <w:tcBorders>
              <w:top w:val="single" w:sz="4" w:space="0" w:color="auto"/>
              <w:left w:val="nil"/>
              <w:bottom w:val="single" w:sz="4" w:space="0" w:color="auto"/>
              <w:right w:val="nil"/>
            </w:tcBorders>
            <w:hideMark/>
          </w:tcPr>
          <w:p w14:paraId="4B1A4A38"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Marital status of Household head</w:t>
            </w:r>
          </w:p>
        </w:tc>
        <w:tc>
          <w:tcPr>
            <w:tcW w:w="1890" w:type="dxa"/>
            <w:tcBorders>
              <w:top w:val="single" w:sz="4" w:space="0" w:color="auto"/>
              <w:left w:val="nil"/>
              <w:bottom w:val="single" w:sz="4" w:space="0" w:color="auto"/>
              <w:right w:val="nil"/>
            </w:tcBorders>
            <w:hideMark/>
          </w:tcPr>
          <w:p w14:paraId="4A9E305E"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0.105**</w:t>
            </w:r>
          </w:p>
          <w:p w14:paraId="31B260D0"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(0.056)</w:t>
            </w:r>
          </w:p>
        </w:tc>
        <w:tc>
          <w:tcPr>
            <w:tcW w:w="1890" w:type="dxa"/>
            <w:tcBorders>
              <w:top w:val="single" w:sz="4" w:space="0" w:color="auto"/>
              <w:left w:val="nil"/>
              <w:bottom w:val="single" w:sz="4" w:space="0" w:color="auto"/>
              <w:right w:val="nil"/>
            </w:tcBorders>
            <w:hideMark/>
          </w:tcPr>
          <w:p w14:paraId="2338DD29"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-0.088</w:t>
            </w:r>
          </w:p>
          <w:p w14:paraId="57894051"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(0.068)</w:t>
            </w:r>
          </w:p>
        </w:tc>
        <w:tc>
          <w:tcPr>
            <w:tcW w:w="2155" w:type="dxa"/>
            <w:tcBorders>
              <w:top w:val="single" w:sz="4" w:space="0" w:color="auto"/>
              <w:left w:val="nil"/>
              <w:bottom w:val="single" w:sz="4" w:space="0" w:color="auto"/>
              <w:right w:val="nil"/>
            </w:tcBorders>
            <w:hideMark/>
          </w:tcPr>
          <w:p w14:paraId="477535C6"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-0.078   </w:t>
            </w:r>
          </w:p>
          <w:p w14:paraId="769CB84E"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(0.050)</w:t>
            </w:r>
          </w:p>
        </w:tc>
      </w:tr>
      <w:tr w:rsidR="00141B2C" w:rsidRPr="004E52C2" w14:paraId="6756A030" w14:textId="77777777" w:rsidTr="00D85854">
        <w:tc>
          <w:tcPr>
            <w:tcW w:w="3600" w:type="dxa"/>
            <w:tcBorders>
              <w:top w:val="single" w:sz="4" w:space="0" w:color="auto"/>
              <w:left w:val="nil"/>
              <w:bottom w:val="single" w:sz="4" w:space="0" w:color="auto"/>
              <w:right w:val="nil"/>
            </w:tcBorders>
            <w:hideMark/>
          </w:tcPr>
          <w:p w14:paraId="389139BA"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Household size </w:t>
            </w:r>
          </w:p>
        </w:tc>
        <w:tc>
          <w:tcPr>
            <w:tcW w:w="1890" w:type="dxa"/>
            <w:tcBorders>
              <w:top w:val="single" w:sz="4" w:space="0" w:color="auto"/>
              <w:left w:val="nil"/>
              <w:bottom w:val="single" w:sz="4" w:space="0" w:color="auto"/>
              <w:right w:val="nil"/>
            </w:tcBorders>
            <w:hideMark/>
          </w:tcPr>
          <w:p w14:paraId="36606E43"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-0.006</w:t>
            </w:r>
          </w:p>
          <w:p w14:paraId="2C72C414"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(0.131)</w:t>
            </w:r>
          </w:p>
        </w:tc>
        <w:tc>
          <w:tcPr>
            <w:tcW w:w="1890" w:type="dxa"/>
            <w:tcBorders>
              <w:top w:val="single" w:sz="4" w:space="0" w:color="auto"/>
              <w:left w:val="nil"/>
              <w:bottom w:val="single" w:sz="4" w:space="0" w:color="auto"/>
              <w:right w:val="nil"/>
            </w:tcBorders>
            <w:hideMark/>
          </w:tcPr>
          <w:p w14:paraId="49D8EE89"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-0.008</w:t>
            </w:r>
          </w:p>
          <w:p w14:paraId="2243CB3F"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(0.014)</w:t>
            </w:r>
          </w:p>
        </w:tc>
        <w:tc>
          <w:tcPr>
            <w:tcW w:w="2155" w:type="dxa"/>
            <w:tcBorders>
              <w:top w:val="single" w:sz="4" w:space="0" w:color="auto"/>
              <w:left w:val="nil"/>
              <w:bottom w:val="single" w:sz="4" w:space="0" w:color="auto"/>
              <w:right w:val="nil"/>
            </w:tcBorders>
            <w:hideMark/>
          </w:tcPr>
          <w:p w14:paraId="1DD902AF"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 .017**</w:t>
            </w:r>
          </w:p>
          <w:p w14:paraId="2948C267"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(0.008)</w:t>
            </w:r>
          </w:p>
        </w:tc>
      </w:tr>
      <w:tr w:rsidR="00141B2C" w:rsidRPr="004E52C2" w14:paraId="700C574D" w14:textId="77777777" w:rsidTr="00D85854">
        <w:tc>
          <w:tcPr>
            <w:tcW w:w="3600" w:type="dxa"/>
            <w:tcBorders>
              <w:top w:val="single" w:sz="4" w:space="0" w:color="auto"/>
              <w:left w:val="nil"/>
              <w:bottom w:val="single" w:sz="4" w:space="0" w:color="auto"/>
              <w:right w:val="nil"/>
            </w:tcBorders>
            <w:hideMark/>
          </w:tcPr>
          <w:p w14:paraId="014C492D"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Location of Household </w:t>
            </w:r>
          </w:p>
        </w:tc>
        <w:tc>
          <w:tcPr>
            <w:tcW w:w="1890" w:type="dxa"/>
            <w:tcBorders>
              <w:top w:val="single" w:sz="4" w:space="0" w:color="auto"/>
              <w:left w:val="nil"/>
              <w:bottom w:val="single" w:sz="4" w:space="0" w:color="auto"/>
              <w:right w:val="nil"/>
            </w:tcBorders>
            <w:hideMark/>
          </w:tcPr>
          <w:p w14:paraId="66A000DD"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-0.056**</w:t>
            </w:r>
          </w:p>
          <w:p w14:paraId="234DFCFF"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(0.024)</w:t>
            </w:r>
          </w:p>
        </w:tc>
        <w:tc>
          <w:tcPr>
            <w:tcW w:w="1890" w:type="dxa"/>
            <w:tcBorders>
              <w:top w:val="single" w:sz="4" w:space="0" w:color="auto"/>
              <w:left w:val="nil"/>
              <w:bottom w:val="single" w:sz="4" w:space="0" w:color="auto"/>
              <w:right w:val="nil"/>
            </w:tcBorders>
            <w:hideMark/>
          </w:tcPr>
          <w:p w14:paraId="01EF985C"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0.026</w:t>
            </w:r>
          </w:p>
          <w:p w14:paraId="5FB4AD1A"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(0.029)</w:t>
            </w:r>
          </w:p>
        </w:tc>
        <w:tc>
          <w:tcPr>
            <w:tcW w:w="2155" w:type="dxa"/>
            <w:tcBorders>
              <w:top w:val="single" w:sz="4" w:space="0" w:color="auto"/>
              <w:left w:val="nil"/>
              <w:bottom w:val="single" w:sz="4" w:space="0" w:color="auto"/>
              <w:right w:val="nil"/>
            </w:tcBorders>
            <w:hideMark/>
          </w:tcPr>
          <w:p w14:paraId="3161BAAE"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0.042**</w:t>
            </w:r>
          </w:p>
          <w:p w14:paraId="0D4375D6"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(0.021)</w:t>
            </w:r>
          </w:p>
        </w:tc>
      </w:tr>
      <w:tr w:rsidR="00141B2C" w:rsidRPr="004E52C2" w14:paraId="1B6057DC" w14:textId="77777777" w:rsidTr="00D85854">
        <w:tc>
          <w:tcPr>
            <w:tcW w:w="3600" w:type="dxa"/>
            <w:tcBorders>
              <w:top w:val="single" w:sz="4" w:space="0" w:color="auto"/>
              <w:left w:val="nil"/>
              <w:bottom w:val="single" w:sz="4" w:space="0" w:color="auto"/>
              <w:right w:val="nil"/>
            </w:tcBorders>
            <w:hideMark/>
          </w:tcPr>
          <w:p w14:paraId="247E0688"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Primary of Household head Occupation</w:t>
            </w:r>
          </w:p>
        </w:tc>
        <w:tc>
          <w:tcPr>
            <w:tcW w:w="1890" w:type="dxa"/>
            <w:tcBorders>
              <w:top w:val="single" w:sz="4" w:space="0" w:color="auto"/>
              <w:left w:val="nil"/>
              <w:bottom w:val="single" w:sz="4" w:space="0" w:color="auto"/>
              <w:right w:val="nil"/>
            </w:tcBorders>
            <w:hideMark/>
          </w:tcPr>
          <w:p w14:paraId="11CD5611"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-0.043**</w:t>
            </w:r>
          </w:p>
          <w:p w14:paraId="0D6B88AB"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(0.021)</w:t>
            </w:r>
          </w:p>
        </w:tc>
        <w:tc>
          <w:tcPr>
            <w:tcW w:w="1890" w:type="dxa"/>
            <w:tcBorders>
              <w:top w:val="single" w:sz="4" w:space="0" w:color="auto"/>
              <w:left w:val="nil"/>
              <w:bottom w:val="single" w:sz="4" w:space="0" w:color="auto"/>
              <w:right w:val="nil"/>
            </w:tcBorders>
            <w:hideMark/>
          </w:tcPr>
          <w:p w14:paraId="7166CE54"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0.041*</w:t>
            </w:r>
          </w:p>
          <w:p w14:paraId="10064DED"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(0.023)</w:t>
            </w:r>
          </w:p>
        </w:tc>
        <w:tc>
          <w:tcPr>
            <w:tcW w:w="2155" w:type="dxa"/>
            <w:tcBorders>
              <w:top w:val="single" w:sz="4" w:space="0" w:color="auto"/>
              <w:left w:val="nil"/>
              <w:bottom w:val="single" w:sz="4" w:space="0" w:color="auto"/>
              <w:right w:val="nil"/>
            </w:tcBorders>
            <w:hideMark/>
          </w:tcPr>
          <w:p w14:paraId="5CE835AB"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(-0.002) </w:t>
            </w:r>
          </w:p>
          <w:p w14:paraId="535FC047"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0.016</w:t>
            </w:r>
          </w:p>
        </w:tc>
      </w:tr>
      <w:tr w:rsidR="00141B2C" w:rsidRPr="004E52C2" w14:paraId="25791EA4" w14:textId="77777777" w:rsidTr="00D85854">
        <w:tc>
          <w:tcPr>
            <w:tcW w:w="3600" w:type="dxa"/>
            <w:tcBorders>
              <w:top w:val="single" w:sz="4" w:space="0" w:color="auto"/>
              <w:left w:val="nil"/>
              <w:bottom w:val="single" w:sz="4" w:space="0" w:color="auto"/>
              <w:right w:val="nil"/>
            </w:tcBorders>
            <w:hideMark/>
          </w:tcPr>
          <w:p w14:paraId="5A175442"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Income of Household head</w:t>
            </w:r>
          </w:p>
        </w:tc>
        <w:tc>
          <w:tcPr>
            <w:tcW w:w="1890" w:type="dxa"/>
            <w:tcBorders>
              <w:top w:val="single" w:sz="4" w:space="0" w:color="auto"/>
              <w:left w:val="nil"/>
              <w:bottom w:val="single" w:sz="4" w:space="0" w:color="auto"/>
              <w:right w:val="nil"/>
            </w:tcBorders>
            <w:hideMark/>
          </w:tcPr>
          <w:p w14:paraId="4C0850CD"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4.12e-07***</w:t>
            </w:r>
          </w:p>
          <w:p w14:paraId="7610A6BB"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(1.18e-07)</w:t>
            </w:r>
          </w:p>
        </w:tc>
        <w:tc>
          <w:tcPr>
            <w:tcW w:w="1890" w:type="dxa"/>
            <w:tcBorders>
              <w:top w:val="single" w:sz="4" w:space="0" w:color="auto"/>
              <w:left w:val="nil"/>
              <w:bottom w:val="single" w:sz="4" w:space="0" w:color="auto"/>
              <w:right w:val="nil"/>
            </w:tcBorders>
            <w:hideMark/>
          </w:tcPr>
          <w:p w14:paraId="77D9411A"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5.75e-08</w:t>
            </w:r>
          </w:p>
          <w:p w14:paraId="64A3754F"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(1.84e-07)</w:t>
            </w:r>
          </w:p>
        </w:tc>
        <w:tc>
          <w:tcPr>
            <w:tcW w:w="2155" w:type="dxa"/>
            <w:tcBorders>
              <w:top w:val="single" w:sz="4" w:space="0" w:color="auto"/>
              <w:left w:val="nil"/>
              <w:bottom w:val="single" w:sz="4" w:space="0" w:color="auto"/>
              <w:right w:val="nil"/>
            </w:tcBorders>
            <w:hideMark/>
          </w:tcPr>
          <w:p w14:paraId="6DD84312"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-5.66e-08   </w:t>
            </w:r>
          </w:p>
          <w:p w14:paraId="1C91EE8B"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(1.28e-07)</w:t>
            </w:r>
          </w:p>
        </w:tc>
      </w:tr>
      <w:tr w:rsidR="00141B2C" w:rsidRPr="004E52C2" w14:paraId="362851DF" w14:textId="77777777" w:rsidTr="00D85854">
        <w:tc>
          <w:tcPr>
            <w:tcW w:w="3600" w:type="dxa"/>
            <w:tcBorders>
              <w:top w:val="single" w:sz="4" w:space="0" w:color="auto"/>
              <w:left w:val="nil"/>
              <w:bottom w:val="nil"/>
              <w:right w:val="nil"/>
            </w:tcBorders>
            <w:hideMark/>
          </w:tcPr>
          <w:p w14:paraId="329952BE"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No of Observations</w:t>
            </w:r>
          </w:p>
        </w:tc>
        <w:tc>
          <w:tcPr>
            <w:tcW w:w="5935" w:type="dxa"/>
            <w:gridSpan w:val="3"/>
            <w:tcBorders>
              <w:top w:val="single" w:sz="4" w:space="0" w:color="auto"/>
              <w:left w:val="nil"/>
              <w:bottom w:val="nil"/>
              <w:right w:val="nil"/>
            </w:tcBorders>
            <w:hideMark/>
          </w:tcPr>
          <w:p w14:paraId="3F0822B5"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257</w:t>
            </w:r>
          </w:p>
        </w:tc>
      </w:tr>
      <w:tr w:rsidR="00141B2C" w:rsidRPr="004E52C2" w14:paraId="20B268E8" w14:textId="77777777" w:rsidTr="00D85854">
        <w:tc>
          <w:tcPr>
            <w:tcW w:w="3600" w:type="dxa"/>
            <w:hideMark/>
          </w:tcPr>
          <w:p w14:paraId="43D9A2DD"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Pseudo R-squared</w:t>
            </w:r>
          </w:p>
        </w:tc>
        <w:tc>
          <w:tcPr>
            <w:tcW w:w="5935" w:type="dxa"/>
            <w:gridSpan w:val="3"/>
            <w:hideMark/>
          </w:tcPr>
          <w:p w14:paraId="0F49E3BC"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0.1044</w:t>
            </w:r>
          </w:p>
        </w:tc>
      </w:tr>
      <w:tr w:rsidR="00141B2C" w:rsidRPr="004E52C2" w14:paraId="38C96E9D" w14:textId="77777777" w:rsidTr="00D85854">
        <w:tc>
          <w:tcPr>
            <w:tcW w:w="3600" w:type="dxa"/>
            <w:hideMark/>
          </w:tcPr>
          <w:p w14:paraId="776F5C4D"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LR Chi-squared (11)</w:t>
            </w:r>
          </w:p>
        </w:tc>
        <w:tc>
          <w:tcPr>
            <w:tcW w:w="5935" w:type="dxa"/>
            <w:gridSpan w:val="3"/>
            <w:hideMark/>
          </w:tcPr>
          <w:p w14:paraId="0634F5E1"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0.0001</w:t>
            </w:r>
          </w:p>
        </w:tc>
      </w:tr>
      <w:tr w:rsidR="00141B2C" w:rsidRPr="004E52C2" w14:paraId="7D865729" w14:textId="77777777" w:rsidTr="00D85854">
        <w:tc>
          <w:tcPr>
            <w:tcW w:w="3600" w:type="dxa"/>
            <w:tcBorders>
              <w:top w:val="nil"/>
              <w:left w:val="nil"/>
              <w:bottom w:val="single" w:sz="4" w:space="0" w:color="auto"/>
              <w:right w:val="nil"/>
            </w:tcBorders>
            <w:hideMark/>
          </w:tcPr>
          <w:p w14:paraId="22A54784"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Log-likelihood</w:t>
            </w:r>
          </w:p>
        </w:tc>
        <w:tc>
          <w:tcPr>
            <w:tcW w:w="5935" w:type="dxa"/>
            <w:gridSpan w:val="3"/>
            <w:tcBorders>
              <w:top w:val="nil"/>
              <w:left w:val="nil"/>
              <w:bottom w:val="single" w:sz="4" w:space="0" w:color="auto"/>
              <w:right w:val="nil"/>
            </w:tcBorders>
            <w:hideMark/>
          </w:tcPr>
          <w:p w14:paraId="39B55B8F"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 xml:space="preserve">265.70901  </w:t>
            </w:r>
          </w:p>
        </w:tc>
      </w:tr>
    </w:tbl>
    <w:p w14:paraId="25CAB469"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Note: ***, ** and  *denote significance at the 0.01, 0.05 and 0.10 levels, respectively.</w:t>
      </w:r>
    </w:p>
    <w:p w14:paraId="6C77E500"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Standard Error in parenthesis.</w:t>
      </w:r>
    </w:p>
    <w:p w14:paraId="65970E7F" w14:textId="6E352693" w:rsidR="00141B2C" w:rsidRPr="004E52C2" w:rsidRDefault="00141B2C" w:rsidP="000578A7">
      <w:pPr>
        <w:rPr>
          <w:rFonts w:cstheme="minorHAnsi"/>
          <w:b/>
          <w:bCs/>
          <w:sz w:val="24"/>
          <w:szCs w:val="24"/>
          <w:lang w:val="en-US"/>
        </w:rPr>
      </w:pPr>
      <w:r w:rsidRPr="004E52C2">
        <w:rPr>
          <w:rFonts w:cstheme="minorHAnsi"/>
          <w:bCs/>
          <w:sz w:val="24"/>
          <w:szCs w:val="24"/>
          <w:lang w:val="en-US"/>
        </w:rPr>
        <w:t>Source: Field survey, 2023.</w:t>
      </w:r>
    </w:p>
    <w:p w14:paraId="6F14047C" w14:textId="1DEF6370" w:rsidR="00141B2C" w:rsidRPr="004E52C2" w:rsidRDefault="00B5477B" w:rsidP="00141B2C">
      <w:pPr>
        <w:rPr>
          <w:rFonts w:cstheme="minorHAnsi"/>
          <w:b/>
          <w:bCs/>
          <w:sz w:val="24"/>
          <w:szCs w:val="24"/>
          <w:lang w:val="en-US"/>
        </w:rPr>
      </w:pPr>
      <w:bookmarkStart w:id="32" w:name="_Toc140036407"/>
      <w:bookmarkStart w:id="33" w:name="_Toc140036448"/>
      <w:r w:rsidRPr="004E52C2">
        <w:rPr>
          <w:rFonts w:cstheme="minorHAnsi"/>
          <w:b/>
          <w:bCs/>
          <w:sz w:val="24"/>
          <w:szCs w:val="24"/>
          <w:lang w:val="en-US"/>
        </w:rPr>
        <w:lastRenderedPageBreak/>
        <w:t>3</w:t>
      </w:r>
      <w:r w:rsidR="00141B2C" w:rsidRPr="004E52C2">
        <w:rPr>
          <w:rFonts w:cstheme="minorHAnsi"/>
          <w:b/>
          <w:bCs/>
          <w:sz w:val="24"/>
          <w:szCs w:val="24"/>
          <w:lang w:val="en-US"/>
        </w:rPr>
        <w:t>.3 Factors Influencing the Wellness Sustainability of Households.</w:t>
      </w:r>
      <w:bookmarkEnd w:id="32"/>
      <w:bookmarkEnd w:id="33"/>
    </w:p>
    <w:p w14:paraId="6DFD0DE4" w14:textId="38794360" w:rsidR="00141B2C" w:rsidRPr="004E52C2" w:rsidRDefault="00141B2C" w:rsidP="002C1684">
      <w:pPr>
        <w:jc w:val="both"/>
        <w:rPr>
          <w:rFonts w:cstheme="minorHAnsi"/>
          <w:bCs/>
          <w:sz w:val="24"/>
          <w:szCs w:val="24"/>
          <w:lang w:val="en-US"/>
        </w:rPr>
      </w:pPr>
      <w:r w:rsidRPr="004E52C2">
        <w:rPr>
          <w:rFonts w:cstheme="minorHAnsi"/>
          <w:bCs/>
          <w:sz w:val="24"/>
          <w:szCs w:val="24"/>
          <w:lang w:val="en-US"/>
        </w:rPr>
        <w:t>The table below shows the results of a logistic regression analysis. The logistic regression model is statistically significant, as indicated by the LR chi-square test with a value of 60.99 and a p-value of 0.0000. The logit regression Model in Table 1</w:t>
      </w:r>
      <w:r w:rsidR="004E52C2">
        <w:rPr>
          <w:rFonts w:cstheme="minorHAnsi"/>
          <w:bCs/>
          <w:sz w:val="24"/>
          <w:szCs w:val="24"/>
          <w:lang w:val="en-US"/>
        </w:rPr>
        <w:t>4</w:t>
      </w:r>
      <w:r w:rsidRPr="004E52C2">
        <w:rPr>
          <w:rFonts w:cstheme="minorHAnsi"/>
          <w:bCs/>
          <w:sz w:val="24"/>
          <w:szCs w:val="24"/>
          <w:lang w:val="en-US"/>
        </w:rPr>
        <w:t xml:space="preserve"> is significant at 1% and has a Pseudo R-squared 0.1869, showing that the independent variable in this model explains 18.69% of the dependent viable. </w:t>
      </w:r>
    </w:p>
    <w:p w14:paraId="200AE5FB" w14:textId="213761B4" w:rsidR="00141B2C" w:rsidRPr="004E52C2" w:rsidRDefault="00141B2C" w:rsidP="002C1684">
      <w:pPr>
        <w:jc w:val="both"/>
        <w:rPr>
          <w:rFonts w:cstheme="minorHAnsi"/>
          <w:bCs/>
          <w:sz w:val="24"/>
          <w:szCs w:val="24"/>
          <w:lang w:val="en-US"/>
        </w:rPr>
      </w:pPr>
      <w:r w:rsidRPr="004E52C2">
        <w:rPr>
          <w:rFonts w:cstheme="minorHAnsi"/>
          <w:bCs/>
          <w:sz w:val="24"/>
          <w:szCs w:val="24"/>
          <w:lang w:val="en-US"/>
        </w:rPr>
        <w:t xml:space="preserve">The logistic regression analysis investigates the factors influencing the dietary wellness sustainability of households. Here, we consider the consumption patterns of households with healthy food exceeding 45% of their complete diet. This considers eating foods closest to wholeness, and this means that the food classified as healthy are whole food plant-based diets that consist of vegetables, fruits, whole grains, legumes, seeds, and nuts. In contrast, unhealthy foods like added sugars, white flour, processed oils, and processed foods are considered refined </w:t>
      </w:r>
      <w:sdt>
        <w:sdtPr>
          <w:rPr>
            <w:rFonts w:cstheme="minorHAnsi"/>
            <w:bCs/>
            <w:sz w:val="24"/>
            <w:szCs w:val="24"/>
            <w:lang w:val="en-US"/>
          </w:rPr>
          <w:id w:val="-1524007461"/>
          <w:citation/>
        </w:sdtPr>
        <w:sdtContent>
          <w:r w:rsidRPr="004E52C2">
            <w:rPr>
              <w:rFonts w:cstheme="minorHAnsi"/>
              <w:bCs/>
              <w:sz w:val="24"/>
              <w:szCs w:val="24"/>
              <w:lang w:val="en-US"/>
            </w:rPr>
            <w:fldChar w:fldCharType="begin"/>
          </w:r>
          <w:r w:rsidRPr="004E52C2">
            <w:rPr>
              <w:rFonts w:cstheme="minorHAnsi"/>
              <w:bCs/>
              <w:sz w:val="24"/>
              <w:szCs w:val="24"/>
              <w:lang w:val="en-US"/>
            </w:rPr>
            <w:instrText xml:space="preserve"> CITATION Kub23 \l 1033 </w:instrText>
          </w:r>
          <w:r w:rsidRPr="004E52C2">
            <w:rPr>
              <w:rFonts w:cstheme="minorHAnsi"/>
              <w:bCs/>
              <w:sz w:val="24"/>
              <w:szCs w:val="24"/>
              <w:lang w:val="en-US"/>
            </w:rPr>
            <w:fldChar w:fldCharType="separate"/>
          </w:r>
          <w:r w:rsidRPr="004E52C2">
            <w:rPr>
              <w:rFonts w:cstheme="minorHAnsi"/>
              <w:bCs/>
              <w:sz w:val="24"/>
              <w:szCs w:val="24"/>
              <w:lang w:val="en-US"/>
            </w:rPr>
            <w:t>(Kubala, 2023)</w:t>
          </w:r>
          <w:r w:rsidRPr="004E52C2">
            <w:rPr>
              <w:rFonts w:cstheme="minorHAnsi"/>
              <w:bCs/>
              <w:sz w:val="24"/>
              <w:szCs w:val="24"/>
              <w:lang w:val="en-US"/>
            </w:rPr>
            <w:fldChar w:fldCharType="end"/>
          </w:r>
        </w:sdtContent>
      </w:sdt>
      <w:r w:rsidRPr="004E52C2">
        <w:rPr>
          <w:rFonts w:cstheme="minorHAnsi"/>
          <w:bCs/>
          <w:sz w:val="24"/>
          <w:szCs w:val="24"/>
          <w:lang w:val="en-US"/>
        </w:rPr>
        <w:t xml:space="preserve">. The factors considered here highlight significance when the consumption of WFPBD is </w:t>
      </w:r>
      <w:r w:rsidR="002C1684" w:rsidRPr="004E52C2">
        <w:rPr>
          <w:rFonts w:cstheme="minorHAnsi"/>
          <w:bCs/>
          <w:sz w:val="24"/>
          <w:szCs w:val="24"/>
          <w:lang w:val="en-US"/>
        </w:rPr>
        <w:t>above 45</w:t>
      </w:r>
      <w:r w:rsidRPr="004E52C2">
        <w:rPr>
          <w:rFonts w:cstheme="minorHAnsi"/>
          <w:bCs/>
          <w:sz w:val="24"/>
          <w:szCs w:val="24"/>
          <w:lang w:val="en-US"/>
        </w:rPr>
        <w:t>% of total consumption. The aim is to identify significant predictors influencing Dietary Wellness Sustainability.</w:t>
      </w:r>
    </w:p>
    <w:p w14:paraId="5D25954A" w14:textId="4DA6750F" w:rsidR="00141B2C" w:rsidRPr="004E52C2" w:rsidRDefault="00141B2C" w:rsidP="002C1684">
      <w:pPr>
        <w:jc w:val="both"/>
        <w:rPr>
          <w:rFonts w:cstheme="minorHAnsi"/>
          <w:bCs/>
          <w:sz w:val="24"/>
          <w:szCs w:val="24"/>
          <w:lang w:val="en-US"/>
        </w:rPr>
      </w:pPr>
      <w:r w:rsidRPr="004E52C2">
        <w:rPr>
          <w:rFonts w:cstheme="minorHAnsi"/>
          <w:bCs/>
          <w:sz w:val="24"/>
          <w:szCs w:val="24"/>
          <w:lang w:val="en-US"/>
        </w:rPr>
        <w:t>Household size bears a significance of (p&gt; 0.015), indicating a statistical significance at 5%. The marginal effect of -0.152 means that the size of a household decreases the probability of the household’s wellness sustainability by 15.2%. This indicates that households with larger sizes are more likely to be devoided of wellness sustainability. The primary occupation of the household head is significant at (p&gt;0.009), indicating a statistical significance of 1%. The marginal effect of -0.055 means that a household head's primary occupation decreases the household's probability of attaining wellness sustainability by 5.5%. This suggests that households with non-farming as the primary occupation of the head of head household are less likely to attain wellness sustainability. Full-time working mothers reported spending less time in meal preparation, preparing fewer family meals, and consuming fewer fruits and vegetables. When work-life stress was higher, the outcome was a less healthful food environment, exemplified by even fewer family meals and more frequent fast foods and sugar-sweetened beverages.</w:t>
      </w:r>
      <w:r w:rsidR="002C1684" w:rsidRPr="004E52C2">
        <w:rPr>
          <w:rFonts w:cstheme="minorHAnsi"/>
          <w:bCs/>
          <w:sz w:val="24"/>
          <w:szCs w:val="24"/>
          <w:lang w:val="en-US"/>
        </w:rPr>
        <w:t xml:space="preserve"> </w:t>
      </w:r>
    </w:p>
    <w:p w14:paraId="05DD2030" w14:textId="159FECF5" w:rsidR="00141B2C" w:rsidRPr="004E52C2" w:rsidRDefault="00141B2C" w:rsidP="002C1684">
      <w:pPr>
        <w:jc w:val="both"/>
        <w:rPr>
          <w:rFonts w:cstheme="minorHAnsi"/>
          <w:bCs/>
          <w:sz w:val="24"/>
          <w:szCs w:val="24"/>
          <w:lang w:val="en-US"/>
        </w:rPr>
      </w:pPr>
      <w:r w:rsidRPr="004E52C2">
        <w:rPr>
          <w:rFonts w:cstheme="minorHAnsi"/>
          <w:bCs/>
          <w:sz w:val="24"/>
          <w:szCs w:val="24"/>
          <w:lang w:val="en-US"/>
        </w:rPr>
        <w:t xml:space="preserve">In contrast, variables such as sex, age, education, size, location, income, and the number of reported cases of </w:t>
      </w:r>
      <w:r w:rsidR="002C1684" w:rsidRPr="004E52C2">
        <w:rPr>
          <w:rFonts w:cstheme="minorHAnsi"/>
          <w:bCs/>
          <w:sz w:val="24"/>
          <w:szCs w:val="24"/>
          <w:lang w:val="en-US"/>
        </w:rPr>
        <w:t>non-communicable</w:t>
      </w:r>
      <w:r w:rsidRPr="004E52C2">
        <w:rPr>
          <w:rFonts w:cstheme="minorHAnsi"/>
          <w:bCs/>
          <w:sz w:val="24"/>
          <w:szCs w:val="24"/>
          <w:lang w:val="en-US"/>
        </w:rPr>
        <w:t xml:space="preserve"> diseases do not exhibit statistically significant associations with wellness sustainability at an above 45% healthy consumption. This implies that these factors may not substantially impact achieving dietary wellness sustainability above 45% in the context of a whole-food, plant-based diet. It is worth noting that the concept of dietary wellness sustainability may be a unique study area with limited previous research directly examining this specific measure.</w:t>
      </w:r>
    </w:p>
    <w:p w14:paraId="0F287EEC" w14:textId="71A60823" w:rsidR="00141B2C" w:rsidRPr="004E52C2" w:rsidRDefault="00141B2C" w:rsidP="00141B2C">
      <w:pPr>
        <w:rPr>
          <w:rFonts w:cstheme="minorHAnsi"/>
          <w:bCs/>
          <w:sz w:val="24"/>
          <w:szCs w:val="24"/>
          <w:lang w:val="en-US"/>
        </w:rPr>
      </w:pPr>
      <w:r w:rsidRPr="004E52C2">
        <w:rPr>
          <w:rFonts w:cstheme="minorHAnsi"/>
          <w:bCs/>
          <w:sz w:val="24"/>
          <w:szCs w:val="24"/>
          <w:lang w:val="en-US"/>
        </w:rPr>
        <w:t>Table 1</w:t>
      </w:r>
      <w:r w:rsidR="00D92B88">
        <w:rPr>
          <w:rFonts w:cstheme="minorHAnsi"/>
          <w:bCs/>
          <w:sz w:val="24"/>
          <w:szCs w:val="24"/>
          <w:lang w:val="en-US"/>
        </w:rPr>
        <w:t>2</w:t>
      </w:r>
      <w:r w:rsidRPr="004E52C2">
        <w:rPr>
          <w:rFonts w:cstheme="minorHAnsi"/>
          <w:bCs/>
          <w:sz w:val="24"/>
          <w:szCs w:val="24"/>
          <w:lang w:val="en-US"/>
        </w:rPr>
        <w:t xml:space="preserve">: Logit Regression Result Showing the Factors influencing wellness sustainability of households. </w:t>
      </w:r>
    </w:p>
    <w:tbl>
      <w:tblPr>
        <w:tblStyle w:val="TableGrid1"/>
        <w:tblW w:w="9270" w:type="dxa"/>
        <w:tblInd w:w="-5" w:type="dxa"/>
        <w:tblBorders>
          <w:left w:val="none" w:sz="0" w:space="0" w:color="auto"/>
          <w:right w:val="none" w:sz="0" w:space="0" w:color="auto"/>
          <w:insideV w:val="none" w:sz="0" w:space="0" w:color="auto"/>
        </w:tblBorders>
        <w:tblLook w:val="04A0" w:firstRow="1" w:lastRow="0" w:firstColumn="1" w:lastColumn="0" w:noHBand="0" w:noVBand="1"/>
      </w:tblPr>
      <w:tblGrid>
        <w:gridCol w:w="3870"/>
        <w:gridCol w:w="1440"/>
        <w:gridCol w:w="1350"/>
        <w:gridCol w:w="1255"/>
        <w:gridCol w:w="1355"/>
      </w:tblGrid>
      <w:tr w:rsidR="00141B2C" w:rsidRPr="004E52C2" w14:paraId="21DC16BE" w14:textId="77777777" w:rsidTr="00D85854">
        <w:trPr>
          <w:trHeight w:val="260"/>
        </w:trPr>
        <w:tc>
          <w:tcPr>
            <w:tcW w:w="3870" w:type="dxa"/>
            <w:tcBorders>
              <w:top w:val="single" w:sz="4" w:space="0" w:color="auto"/>
              <w:left w:val="nil"/>
              <w:bottom w:val="single" w:sz="4" w:space="0" w:color="auto"/>
              <w:right w:val="nil"/>
            </w:tcBorders>
            <w:hideMark/>
          </w:tcPr>
          <w:p w14:paraId="1F99E107"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Variables</w:t>
            </w:r>
          </w:p>
        </w:tc>
        <w:tc>
          <w:tcPr>
            <w:tcW w:w="1440" w:type="dxa"/>
            <w:tcBorders>
              <w:top w:val="single" w:sz="4" w:space="0" w:color="auto"/>
              <w:left w:val="nil"/>
              <w:bottom w:val="single" w:sz="4" w:space="0" w:color="auto"/>
              <w:right w:val="nil"/>
            </w:tcBorders>
            <w:vAlign w:val="center"/>
            <w:hideMark/>
          </w:tcPr>
          <w:p w14:paraId="6D5A9358"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Dy/dx</w:t>
            </w:r>
          </w:p>
        </w:tc>
        <w:tc>
          <w:tcPr>
            <w:tcW w:w="1350" w:type="dxa"/>
            <w:tcBorders>
              <w:top w:val="single" w:sz="4" w:space="0" w:color="auto"/>
              <w:left w:val="nil"/>
              <w:bottom w:val="single" w:sz="4" w:space="0" w:color="auto"/>
              <w:right w:val="nil"/>
            </w:tcBorders>
            <w:vAlign w:val="center"/>
            <w:hideMark/>
          </w:tcPr>
          <w:p w14:paraId="46D393F3"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Std. Err.</w:t>
            </w:r>
          </w:p>
        </w:tc>
        <w:tc>
          <w:tcPr>
            <w:tcW w:w="1255" w:type="dxa"/>
            <w:tcBorders>
              <w:top w:val="single" w:sz="4" w:space="0" w:color="auto"/>
              <w:left w:val="nil"/>
              <w:bottom w:val="single" w:sz="4" w:space="0" w:color="auto"/>
              <w:right w:val="nil"/>
            </w:tcBorders>
            <w:vAlign w:val="center"/>
            <w:hideMark/>
          </w:tcPr>
          <w:p w14:paraId="3DDFAA38"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 xml:space="preserve">   Z</w:t>
            </w:r>
          </w:p>
        </w:tc>
        <w:tc>
          <w:tcPr>
            <w:tcW w:w="1355" w:type="dxa"/>
            <w:tcBorders>
              <w:top w:val="single" w:sz="4" w:space="0" w:color="auto"/>
              <w:left w:val="nil"/>
              <w:bottom w:val="single" w:sz="4" w:space="0" w:color="auto"/>
              <w:right w:val="nil"/>
            </w:tcBorders>
            <w:vAlign w:val="center"/>
            <w:hideMark/>
          </w:tcPr>
          <w:p w14:paraId="4891F11F"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P &gt; |z|</w:t>
            </w:r>
          </w:p>
        </w:tc>
      </w:tr>
      <w:tr w:rsidR="00141B2C" w:rsidRPr="004E52C2" w14:paraId="0B2CCCAB" w14:textId="77777777" w:rsidTr="00D85854">
        <w:tc>
          <w:tcPr>
            <w:tcW w:w="3870" w:type="dxa"/>
            <w:tcBorders>
              <w:top w:val="single" w:sz="4" w:space="0" w:color="auto"/>
              <w:left w:val="nil"/>
              <w:bottom w:val="single" w:sz="4" w:space="0" w:color="auto"/>
              <w:right w:val="nil"/>
            </w:tcBorders>
            <w:hideMark/>
          </w:tcPr>
          <w:p w14:paraId="136140C2"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lastRenderedPageBreak/>
              <w:t>Sex of household head</w:t>
            </w:r>
          </w:p>
        </w:tc>
        <w:tc>
          <w:tcPr>
            <w:tcW w:w="1440" w:type="dxa"/>
            <w:tcBorders>
              <w:top w:val="single" w:sz="4" w:space="0" w:color="auto"/>
              <w:left w:val="nil"/>
              <w:bottom w:val="single" w:sz="4" w:space="0" w:color="auto"/>
              <w:right w:val="nil"/>
            </w:tcBorders>
            <w:hideMark/>
          </w:tcPr>
          <w:p w14:paraId="14FDFBC4"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-0.031 </w:t>
            </w:r>
          </w:p>
        </w:tc>
        <w:tc>
          <w:tcPr>
            <w:tcW w:w="1350" w:type="dxa"/>
            <w:tcBorders>
              <w:top w:val="single" w:sz="4" w:space="0" w:color="auto"/>
              <w:left w:val="nil"/>
              <w:bottom w:val="single" w:sz="4" w:space="0" w:color="auto"/>
              <w:right w:val="nil"/>
            </w:tcBorders>
            <w:hideMark/>
          </w:tcPr>
          <w:p w14:paraId="6EB044E6"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0.069  </w:t>
            </w:r>
          </w:p>
        </w:tc>
        <w:tc>
          <w:tcPr>
            <w:tcW w:w="1255" w:type="dxa"/>
            <w:tcBorders>
              <w:top w:val="single" w:sz="4" w:space="0" w:color="auto"/>
              <w:left w:val="nil"/>
              <w:bottom w:val="single" w:sz="4" w:space="0" w:color="auto"/>
              <w:right w:val="nil"/>
            </w:tcBorders>
            <w:hideMark/>
          </w:tcPr>
          <w:p w14:paraId="7B501C5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-0.44   </w:t>
            </w:r>
          </w:p>
        </w:tc>
        <w:tc>
          <w:tcPr>
            <w:tcW w:w="1355" w:type="dxa"/>
            <w:tcBorders>
              <w:top w:val="single" w:sz="4" w:space="0" w:color="auto"/>
              <w:left w:val="nil"/>
              <w:bottom w:val="single" w:sz="4" w:space="0" w:color="auto"/>
              <w:right w:val="nil"/>
            </w:tcBorders>
            <w:hideMark/>
          </w:tcPr>
          <w:p w14:paraId="4B5B5DDD"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0.658</w:t>
            </w:r>
          </w:p>
        </w:tc>
      </w:tr>
      <w:tr w:rsidR="00141B2C" w:rsidRPr="004E52C2" w14:paraId="00377C29" w14:textId="77777777" w:rsidTr="00D85854">
        <w:tc>
          <w:tcPr>
            <w:tcW w:w="3870" w:type="dxa"/>
            <w:tcBorders>
              <w:top w:val="single" w:sz="4" w:space="0" w:color="auto"/>
              <w:left w:val="nil"/>
              <w:bottom w:val="single" w:sz="4" w:space="0" w:color="auto"/>
              <w:right w:val="nil"/>
            </w:tcBorders>
            <w:hideMark/>
          </w:tcPr>
          <w:p w14:paraId="50B46661"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Age of household head</w:t>
            </w:r>
          </w:p>
        </w:tc>
        <w:tc>
          <w:tcPr>
            <w:tcW w:w="1440" w:type="dxa"/>
            <w:tcBorders>
              <w:top w:val="single" w:sz="4" w:space="0" w:color="auto"/>
              <w:left w:val="nil"/>
              <w:bottom w:val="single" w:sz="4" w:space="0" w:color="auto"/>
              <w:right w:val="nil"/>
            </w:tcBorders>
            <w:hideMark/>
          </w:tcPr>
          <w:p w14:paraId="33C88229"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-0.001   </w:t>
            </w:r>
          </w:p>
        </w:tc>
        <w:tc>
          <w:tcPr>
            <w:tcW w:w="1350" w:type="dxa"/>
            <w:tcBorders>
              <w:top w:val="single" w:sz="4" w:space="0" w:color="auto"/>
              <w:left w:val="nil"/>
              <w:bottom w:val="single" w:sz="4" w:space="0" w:color="auto"/>
              <w:right w:val="nil"/>
            </w:tcBorders>
            <w:hideMark/>
          </w:tcPr>
          <w:p w14:paraId="2E364074"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0.003   </w:t>
            </w:r>
          </w:p>
        </w:tc>
        <w:tc>
          <w:tcPr>
            <w:tcW w:w="1255" w:type="dxa"/>
            <w:tcBorders>
              <w:top w:val="single" w:sz="4" w:space="0" w:color="auto"/>
              <w:left w:val="nil"/>
              <w:bottom w:val="single" w:sz="4" w:space="0" w:color="auto"/>
              <w:right w:val="nil"/>
            </w:tcBorders>
            <w:hideMark/>
          </w:tcPr>
          <w:p w14:paraId="725368A5"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-0.19   </w:t>
            </w:r>
          </w:p>
        </w:tc>
        <w:tc>
          <w:tcPr>
            <w:tcW w:w="1355" w:type="dxa"/>
            <w:tcBorders>
              <w:top w:val="single" w:sz="4" w:space="0" w:color="auto"/>
              <w:left w:val="nil"/>
              <w:bottom w:val="single" w:sz="4" w:space="0" w:color="auto"/>
              <w:right w:val="nil"/>
            </w:tcBorders>
            <w:hideMark/>
          </w:tcPr>
          <w:p w14:paraId="04E27F3A"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0.851</w:t>
            </w:r>
          </w:p>
        </w:tc>
      </w:tr>
      <w:tr w:rsidR="00141B2C" w:rsidRPr="004E52C2" w14:paraId="33536493" w14:textId="77777777" w:rsidTr="00D85854">
        <w:tc>
          <w:tcPr>
            <w:tcW w:w="3870" w:type="dxa"/>
            <w:tcBorders>
              <w:top w:val="single" w:sz="4" w:space="0" w:color="auto"/>
              <w:left w:val="nil"/>
              <w:bottom w:val="single" w:sz="4" w:space="0" w:color="auto"/>
              <w:right w:val="nil"/>
            </w:tcBorders>
            <w:hideMark/>
          </w:tcPr>
          <w:p w14:paraId="6BA2EB30"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Level of education of household head</w:t>
            </w:r>
          </w:p>
        </w:tc>
        <w:tc>
          <w:tcPr>
            <w:tcW w:w="1440" w:type="dxa"/>
            <w:tcBorders>
              <w:top w:val="single" w:sz="4" w:space="0" w:color="auto"/>
              <w:left w:val="nil"/>
              <w:bottom w:val="single" w:sz="4" w:space="0" w:color="auto"/>
              <w:right w:val="nil"/>
            </w:tcBorders>
            <w:hideMark/>
          </w:tcPr>
          <w:p w14:paraId="6425766A"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-0.065   </w:t>
            </w:r>
          </w:p>
        </w:tc>
        <w:tc>
          <w:tcPr>
            <w:tcW w:w="1350" w:type="dxa"/>
            <w:tcBorders>
              <w:top w:val="single" w:sz="4" w:space="0" w:color="auto"/>
              <w:left w:val="nil"/>
              <w:bottom w:val="single" w:sz="4" w:space="0" w:color="auto"/>
              <w:right w:val="nil"/>
            </w:tcBorders>
            <w:hideMark/>
          </w:tcPr>
          <w:p w14:paraId="0C3CB0FB"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0.190    </w:t>
            </w:r>
          </w:p>
        </w:tc>
        <w:tc>
          <w:tcPr>
            <w:tcW w:w="1255" w:type="dxa"/>
            <w:tcBorders>
              <w:top w:val="single" w:sz="4" w:space="0" w:color="auto"/>
              <w:left w:val="nil"/>
              <w:bottom w:val="single" w:sz="4" w:space="0" w:color="auto"/>
              <w:right w:val="nil"/>
            </w:tcBorders>
            <w:hideMark/>
          </w:tcPr>
          <w:p w14:paraId="0F5E32F3"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-0.34   </w:t>
            </w:r>
          </w:p>
        </w:tc>
        <w:tc>
          <w:tcPr>
            <w:tcW w:w="1355" w:type="dxa"/>
            <w:tcBorders>
              <w:top w:val="single" w:sz="4" w:space="0" w:color="auto"/>
              <w:left w:val="nil"/>
              <w:bottom w:val="single" w:sz="4" w:space="0" w:color="auto"/>
              <w:right w:val="nil"/>
            </w:tcBorders>
            <w:hideMark/>
          </w:tcPr>
          <w:p w14:paraId="2BD55CBC"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0.733</w:t>
            </w:r>
          </w:p>
        </w:tc>
      </w:tr>
      <w:tr w:rsidR="00141B2C" w:rsidRPr="004E52C2" w14:paraId="2638C1B5" w14:textId="77777777" w:rsidTr="00D85854">
        <w:tc>
          <w:tcPr>
            <w:tcW w:w="3870" w:type="dxa"/>
            <w:tcBorders>
              <w:top w:val="single" w:sz="4" w:space="0" w:color="auto"/>
              <w:left w:val="nil"/>
              <w:bottom w:val="single" w:sz="4" w:space="0" w:color="auto"/>
              <w:right w:val="nil"/>
            </w:tcBorders>
            <w:hideMark/>
          </w:tcPr>
          <w:p w14:paraId="214631CC"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Marital status of household head</w:t>
            </w:r>
          </w:p>
        </w:tc>
        <w:tc>
          <w:tcPr>
            <w:tcW w:w="1440" w:type="dxa"/>
            <w:tcBorders>
              <w:top w:val="single" w:sz="4" w:space="0" w:color="auto"/>
              <w:left w:val="nil"/>
              <w:bottom w:val="single" w:sz="4" w:space="0" w:color="auto"/>
              <w:right w:val="nil"/>
            </w:tcBorders>
            <w:hideMark/>
          </w:tcPr>
          <w:p w14:paraId="1CF12326"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0.087   </w:t>
            </w:r>
          </w:p>
        </w:tc>
        <w:tc>
          <w:tcPr>
            <w:tcW w:w="1350" w:type="dxa"/>
            <w:tcBorders>
              <w:top w:val="single" w:sz="4" w:space="0" w:color="auto"/>
              <w:left w:val="nil"/>
              <w:bottom w:val="single" w:sz="4" w:space="0" w:color="auto"/>
              <w:right w:val="nil"/>
            </w:tcBorders>
            <w:hideMark/>
          </w:tcPr>
          <w:p w14:paraId="69DE1995"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0.063    </w:t>
            </w:r>
          </w:p>
        </w:tc>
        <w:tc>
          <w:tcPr>
            <w:tcW w:w="1255" w:type="dxa"/>
            <w:tcBorders>
              <w:top w:val="single" w:sz="4" w:space="0" w:color="auto"/>
              <w:left w:val="nil"/>
              <w:bottom w:val="single" w:sz="4" w:space="0" w:color="auto"/>
              <w:right w:val="nil"/>
            </w:tcBorders>
            <w:hideMark/>
          </w:tcPr>
          <w:p w14:paraId="08884C7D"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1.38   </w:t>
            </w:r>
          </w:p>
        </w:tc>
        <w:tc>
          <w:tcPr>
            <w:tcW w:w="1355" w:type="dxa"/>
            <w:tcBorders>
              <w:top w:val="single" w:sz="4" w:space="0" w:color="auto"/>
              <w:left w:val="nil"/>
              <w:bottom w:val="single" w:sz="4" w:space="0" w:color="auto"/>
              <w:right w:val="nil"/>
            </w:tcBorders>
            <w:hideMark/>
          </w:tcPr>
          <w:p w14:paraId="6FEB055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0.169</w:t>
            </w:r>
          </w:p>
        </w:tc>
      </w:tr>
      <w:tr w:rsidR="00141B2C" w:rsidRPr="004E52C2" w14:paraId="2A8C22B8" w14:textId="77777777" w:rsidTr="00D85854">
        <w:tc>
          <w:tcPr>
            <w:tcW w:w="3870" w:type="dxa"/>
            <w:tcBorders>
              <w:top w:val="single" w:sz="4" w:space="0" w:color="auto"/>
              <w:left w:val="nil"/>
              <w:bottom w:val="single" w:sz="4" w:space="0" w:color="auto"/>
              <w:right w:val="nil"/>
            </w:tcBorders>
            <w:hideMark/>
          </w:tcPr>
          <w:p w14:paraId="6A6C1431"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Household size</w:t>
            </w:r>
          </w:p>
        </w:tc>
        <w:tc>
          <w:tcPr>
            <w:tcW w:w="1440" w:type="dxa"/>
            <w:tcBorders>
              <w:top w:val="single" w:sz="4" w:space="0" w:color="auto"/>
              <w:left w:val="nil"/>
              <w:bottom w:val="single" w:sz="4" w:space="0" w:color="auto"/>
              <w:right w:val="nil"/>
            </w:tcBorders>
            <w:hideMark/>
          </w:tcPr>
          <w:p w14:paraId="4F4F9B0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-0.152   </w:t>
            </w:r>
          </w:p>
        </w:tc>
        <w:tc>
          <w:tcPr>
            <w:tcW w:w="1350" w:type="dxa"/>
            <w:tcBorders>
              <w:top w:val="single" w:sz="4" w:space="0" w:color="auto"/>
              <w:left w:val="nil"/>
              <w:bottom w:val="single" w:sz="4" w:space="0" w:color="auto"/>
              <w:right w:val="nil"/>
            </w:tcBorders>
            <w:hideMark/>
          </w:tcPr>
          <w:p w14:paraId="3BFB45B8"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0.063    </w:t>
            </w:r>
          </w:p>
        </w:tc>
        <w:tc>
          <w:tcPr>
            <w:tcW w:w="1255" w:type="dxa"/>
            <w:tcBorders>
              <w:top w:val="single" w:sz="4" w:space="0" w:color="auto"/>
              <w:left w:val="nil"/>
              <w:bottom w:val="single" w:sz="4" w:space="0" w:color="auto"/>
              <w:right w:val="nil"/>
            </w:tcBorders>
            <w:hideMark/>
          </w:tcPr>
          <w:p w14:paraId="31AE6615"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-2.42   </w:t>
            </w:r>
          </w:p>
        </w:tc>
        <w:tc>
          <w:tcPr>
            <w:tcW w:w="1355" w:type="dxa"/>
            <w:tcBorders>
              <w:top w:val="single" w:sz="4" w:space="0" w:color="auto"/>
              <w:left w:val="nil"/>
              <w:bottom w:val="single" w:sz="4" w:space="0" w:color="auto"/>
              <w:right w:val="nil"/>
            </w:tcBorders>
            <w:hideMark/>
          </w:tcPr>
          <w:p w14:paraId="0A8EFCFD"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0.015**</w:t>
            </w:r>
          </w:p>
        </w:tc>
      </w:tr>
      <w:tr w:rsidR="00141B2C" w:rsidRPr="004E52C2" w14:paraId="4F5BB52B" w14:textId="77777777" w:rsidTr="00D85854">
        <w:tc>
          <w:tcPr>
            <w:tcW w:w="3870" w:type="dxa"/>
            <w:tcBorders>
              <w:top w:val="single" w:sz="4" w:space="0" w:color="auto"/>
              <w:left w:val="nil"/>
              <w:bottom w:val="single" w:sz="4" w:space="0" w:color="auto"/>
              <w:right w:val="nil"/>
            </w:tcBorders>
            <w:hideMark/>
          </w:tcPr>
          <w:p w14:paraId="5D1CB825"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 xml:space="preserve">Location of household </w:t>
            </w:r>
          </w:p>
        </w:tc>
        <w:tc>
          <w:tcPr>
            <w:tcW w:w="1440" w:type="dxa"/>
            <w:tcBorders>
              <w:top w:val="single" w:sz="4" w:space="0" w:color="auto"/>
              <w:left w:val="nil"/>
              <w:bottom w:val="single" w:sz="4" w:space="0" w:color="auto"/>
              <w:right w:val="nil"/>
            </w:tcBorders>
            <w:hideMark/>
          </w:tcPr>
          <w:p w14:paraId="31D15256"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-0.008   </w:t>
            </w:r>
          </w:p>
        </w:tc>
        <w:tc>
          <w:tcPr>
            <w:tcW w:w="1350" w:type="dxa"/>
            <w:tcBorders>
              <w:top w:val="single" w:sz="4" w:space="0" w:color="auto"/>
              <w:left w:val="nil"/>
              <w:bottom w:val="single" w:sz="4" w:space="0" w:color="auto"/>
              <w:right w:val="nil"/>
            </w:tcBorders>
            <w:hideMark/>
          </w:tcPr>
          <w:p w14:paraId="4650807D"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0.027    </w:t>
            </w:r>
          </w:p>
        </w:tc>
        <w:tc>
          <w:tcPr>
            <w:tcW w:w="1255" w:type="dxa"/>
            <w:tcBorders>
              <w:top w:val="single" w:sz="4" w:space="0" w:color="auto"/>
              <w:left w:val="nil"/>
              <w:bottom w:val="single" w:sz="4" w:space="0" w:color="auto"/>
              <w:right w:val="nil"/>
            </w:tcBorders>
            <w:hideMark/>
          </w:tcPr>
          <w:p w14:paraId="195E0DAF"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-0.30   </w:t>
            </w:r>
          </w:p>
        </w:tc>
        <w:tc>
          <w:tcPr>
            <w:tcW w:w="1355" w:type="dxa"/>
            <w:tcBorders>
              <w:top w:val="single" w:sz="4" w:space="0" w:color="auto"/>
              <w:left w:val="nil"/>
              <w:bottom w:val="single" w:sz="4" w:space="0" w:color="auto"/>
              <w:right w:val="nil"/>
            </w:tcBorders>
            <w:hideMark/>
          </w:tcPr>
          <w:p w14:paraId="483FB6FC"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0.767</w:t>
            </w:r>
          </w:p>
        </w:tc>
      </w:tr>
      <w:tr w:rsidR="00141B2C" w:rsidRPr="004E52C2" w14:paraId="4ABD7818" w14:textId="77777777" w:rsidTr="00D85854">
        <w:tc>
          <w:tcPr>
            <w:tcW w:w="3870" w:type="dxa"/>
            <w:tcBorders>
              <w:top w:val="single" w:sz="4" w:space="0" w:color="auto"/>
              <w:left w:val="nil"/>
              <w:bottom w:val="single" w:sz="4" w:space="0" w:color="auto"/>
              <w:right w:val="nil"/>
            </w:tcBorders>
            <w:hideMark/>
          </w:tcPr>
          <w:p w14:paraId="0C420160"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Primary Occupation of household head</w:t>
            </w:r>
          </w:p>
        </w:tc>
        <w:tc>
          <w:tcPr>
            <w:tcW w:w="1440" w:type="dxa"/>
            <w:tcBorders>
              <w:top w:val="single" w:sz="4" w:space="0" w:color="auto"/>
              <w:left w:val="nil"/>
              <w:bottom w:val="single" w:sz="4" w:space="0" w:color="auto"/>
              <w:right w:val="nil"/>
            </w:tcBorders>
            <w:hideMark/>
          </w:tcPr>
          <w:p w14:paraId="5B3B6FAE"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-0.055   </w:t>
            </w:r>
          </w:p>
        </w:tc>
        <w:tc>
          <w:tcPr>
            <w:tcW w:w="1350" w:type="dxa"/>
            <w:tcBorders>
              <w:top w:val="single" w:sz="4" w:space="0" w:color="auto"/>
              <w:left w:val="nil"/>
              <w:bottom w:val="single" w:sz="4" w:space="0" w:color="auto"/>
              <w:right w:val="nil"/>
            </w:tcBorders>
            <w:hideMark/>
          </w:tcPr>
          <w:p w14:paraId="12383BB5"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0.021      </w:t>
            </w:r>
          </w:p>
        </w:tc>
        <w:tc>
          <w:tcPr>
            <w:tcW w:w="1255" w:type="dxa"/>
            <w:tcBorders>
              <w:top w:val="single" w:sz="4" w:space="0" w:color="auto"/>
              <w:left w:val="nil"/>
              <w:bottom w:val="single" w:sz="4" w:space="0" w:color="auto"/>
              <w:right w:val="nil"/>
            </w:tcBorders>
            <w:hideMark/>
          </w:tcPr>
          <w:p w14:paraId="12574BE6"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-2.60</w:t>
            </w:r>
          </w:p>
        </w:tc>
        <w:tc>
          <w:tcPr>
            <w:tcW w:w="1355" w:type="dxa"/>
            <w:tcBorders>
              <w:top w:val="single" w:sz="4" w:space="0" w:color="auto"/>
              <w:left w:val="nil"/>
              <w:bottom w:val="single" w:sz="4" w:space="0" w:color="auto"/>
              <w:right w:val="nil"/>
            </w:tcBorders>
            <w:hideMark/>
          </w:tcPr>
          <w:p w14:paraId="3A07726C"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0.009***</w:t>
            </w:r>
          </w:p>
        </w:tc>
      </w:tr>
      <w:tr w:rsidR="00141B2C" w:rsidRPr="004E52C2" w14:paraId="77666956" w14:textId="77777777" w:rsidTr="00D85854">
        <w:tc>
          <w:tcPr>
            <w:tcW w:w="3870" w:type="dxa"/>
            <w:tcBorders>
              <w:top w:val="single" w:sz="4" w:space="0" w:color="auto"/>
              <w:left w:val="nil"/>
              <w:bottom w:val="single" w:sz="4" w:space="0" w:color="auto"/>
              <w:right w:val="nil"/>
            </w:tcBorders>
            <w:hideMark/>
          </w:tcPr>
          <w:p w14:paraId="61B508E8"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Income of household head</w:t>
            </w:r>
          </w:p>
        </w:tc>
        <w:tc>
          <w:tcPr>
            <w:tcW w:w="1440" w:type="dxa"/>
            <w:tcBorders>
              <w:top w:val="single" w:sz="4" w:space="0" w:color="auto"/>
              <w:left w:val="nil"/>
              <w:bottom w:val="single" w:sz="4" w:space="0" w:color="auto"/>
              <w:right w:val="nil"/>
            </w:tcBorders>
            <w:hideMark/>
          </w:tcPr>
          <w:p w14:paraId="7923A47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5.02e-09   </w:t>
            </w:r>
          </w:p>
        </w:tc>
        <w:tc>
          <w:tcPr>
            <w:tcW w:w="1350" w:type="dxa"/>
            <w:tcBorders>
              <w:top w:val="single" w:sz="4" w:space="0" w:color="auto"/>
              <w:left w:val="nil"/>
              <w:bottom w:val="single" w:sz="4" w:space="0" w:color="auto"/>
              <w:right w:val="nil"/>
            </w:tcBorders>
            <w:hideMark/>
          </w:tcPr>
          <w:p w14:paraId="6769508E"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1.15e-07     </w:t>
            </w:r>
          </w:p>
        </w:tc>
        <w:tc>
          <w:tcPr>
            <w:tcW w:w="1255" w:type="dxa"/>
            <w:tcBorders>
              <w:top w:val="single" w:sz="4" w:space="0" w:color="auto"/>
              <w:left w:val="nil"/>
              <w:bottom w:val="single" w:sz="4" w:space="0" w:color="auto"/>
              <w:right w:val="nil"/>
            </w:tcBorders>
            <w:hideMark/>
          </w:tcPr>
          <w:p w14:paraId="4E44440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0.04   </w:t>
            </w:r>
          </w:p>
        </w:tc>
        <w:tc>
          <w:tcPr>
            <w:tcW w:w="1355" w:type="dxa"/>
            <w:tcBorders>
              <w:top w:val="single" w:sz="4" w:space="0" w:color="auto"/>
              <w:left w:val="nil"/>
              <w:bottom w:val="single" w:sz="4" w:space="0" w:color="auto"/>
              <w:right w:val="nil"/>
            </w:tcBorders>
            <w:hideMark/>
          </w:tcPr>
          <w:p w14:paraId="2BF1D433"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0.965</w:t>
            </w:r>
          </w:p>
        </w:tc>
      </w:tr>
      <w:tr w:rsidR="00141B2C" w:rsidRPr="004E52C2" w14:paraId="091243C5" w14:textId="77777777" w:rsidTr="00D85854">
        <w:tc>
          <w:tcPr>
            <w:tcW w:w="3870" w:type="dxa"/>
            <w:tcBorders>
              <w:top w:val="single" w:sz="4" w:space="0" w:color="auto"/>
              <w:left w:val="nil"/>
              <w:bottom w:val="single" w:sz="4" w:space="0" w:color="auto"/>
              <w:right w:val="nil"/>
            </w:tcBorders>
            <w:hideMark/>
          </w:tcPr>
          <w:p w14:paraId="2EE40D04"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Reported cases of NCDs</w:t>
            </w:r>
          </w:p>
        </w:tc>
        <w:tc>
          <w:tcPr>
            <w:tcW w:w="1440" w:type="dxa"/>
            <w:tcBorders>
              <w:top w:val="single" w:sz="4" w:space="0" w:color="auto"/>
              <w:left w:val="nil"/>
              <w:bottom w:val="single" w:sz="4" w:space="0" w:color="auto"/>
              <w:right w:val="nil"/>
            </w:tcBorders>
            <w:hideMark/>
          </w:tcPr>
          <w:p w14:paraId="7DD4273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0.015   </w:t>
            </w:r>
          </w:p>
        </w:tc>
        <w:tc>
          <w:tcPr>
            <w:tcW w:w="1350" w:type="dxa"/>
            <w:tcBorders>
              <w:top w:val="single" w:sz="4" w:space="0" w:color="auto"/>
              <w:left w:val="nil"/>
              <w:bottom w:val="single" w:sz="4" w:space="0" w:color="auto"/>
              <w:right w:val="nil"/>
            </w:tcBorders>
            <w:hideMark/>
          </w:tcPr>
          <w:p w14:paraId="4EF093B6"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0.018     </w:t>
            </w:r>
          </w:p>
        </w:tc>
        <w:tc>
          <w:tcPr>
            <w:tcW w:w="1255" w:type="dxa"/>
            <w:tcBorders>
              <w:top w:val="single" w:sz="4" w:space="0" w:color="auto"/>
              <w:left w:val="nil"/>
              <w:bottom w:val="single" w:sz="4" w:space="0" w:color="auto"/>
              <w:right w:val="nil"/>
            </w:tcBorders>
            <w:hideMark/>
          </w:tcPr>
          <w:p w14:paraId="7E5F9258"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0.81   </w:t>
            </w:r>
          </w:p>
        </w:tc>
        <w:tc>
          <w:tcPr>
            <w:tcW w:w="1355" w:type="dxa"/>
            <w:tcBorders>
              <w:top w:val="single" w:sz="4" w:space="0" w:color="auto"/>
              <w:left w:val="nil"/>
              <w:bottom w:val="single" w:sz="4" w:space="0" w:color="auto"/>
              <w:right w:val="nil"/>
            </w:tcBorders>
            <w:hideMark/>
          </w:tcPr>
          <w:p w14:paraId="337E2305"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0.420</w:t>
            </w:r>
          </w:p>
        </w:tc>
      </w:tr>
      <w:tr w:rsidR="00141B2C" w:rsidRPr="004E52C2" w14:paraId="057F2DF6" w14:textId="77777777" w:rsidTr="00D85854">
        <w:tc>
          <w:tcPr>
            <w:tcW w:w="3870" w:type="dxa"/>
            <w:tcBorders>
              <w:top w:val="single" w:sz="4" w:space="0" w:color="auto"/>
              <w:left w:val="nil"/>
              <w:bottom w:val="single" w:sz="4" w:space="0" w:color="auto"/>
              <w:right w:val="nil"/>
            </w:tcBorders>
            <w:hideMark/>
          </w:tcPr>
          <w:p w14:paraId="1CBEA4F3"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No of Observations</w:t>
            </w:r>
          </w:p>
        </w:tc>
        <w:tc>
          <w:tcPr>
            <w:tcW w:w="1440" w:type="dxa"/>
            <w:tcBorders>
              <w:top w:val="single" w:sz="4" w:space="0" w:color="auto"/>
              <w:left w:val="nil"/>
              <w:bottom w:val="single" w:sz="4" w:space="0" w:color="auto"/>
              <w:right w:val="nil"/>
            </w:tcBorders>
            <w:hideMark/>
          </w:tcPr>
          <w:p w14:paraId="58CAC396"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257</w:t>
            </w:r>
          </w:p>
        </w:tc>
        <w:tc>
          <w:tcPr>
            <w:tcW w:w="1350" w:type="dxa"/>
            <w:tcBorders>
              <w:top w:val="single" w:sz="4" w:space="0" w:color="auto"/>
              <w:left w:val="nil"/>
              <w:bottom w:val="single" w:sz="4" w:space="0" w:color="auto"/>
              <w:right w:val="nil"/>
            </w:tcBorders>
          </w:tcPr>
          <w:p w14:paraId="75BE2C01"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p>
        </w:tc>
        <w:tc>
          <w:tcPr>
            <w:tcW w:w="1255" w:type="dxa"/>
            <w:tcBorders>
              <w:top w:val="single" w:sz="4" w:space="0" w:color="auto"/>
              <w:left w:val="nil"/>
              <w:bottom w:val="single" w:sz="4" w:space="0" w:color="auto"/>
              <w:right w:val="nil"/>
            </w:tcBorders>
          </w:tcPr>
          <w:p w14:paraId="1BAB0C64"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p>
        </w:tc>
        <w:tc>
          <w:tcPr>
            <w:tcW w:w="1355" w:type="dxa"/>
            <w:tcBorders>
              <w:top w:val="single" w:sz="4" w:space="0" w:color="auto"/>
              <w:left w:val="nil"/>
              <w:bottom w:val="single" w:sz="4" w:space="0" w:color="auto"/>
              <w:right w:val="nil"/>
            </w:tcBorders>
          </w:tcPr>
          <w:p w14:paraId="0C070CB5"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p>
        </w:tc>
      </w:tr>
      <w:tr w:rsidR="00141B2C" w:rsidRPr="004E52C2" w14:paraId="6CE4D261" w14:textId="77777777" w:rsidTr="00D85854">
        <w:tc>
          <w:tcPr>
            <w:tcW w:w="3870" w:type="dxa"/>
            <w:tcBorders>
              <w:top w:val="single" w:sz="4" w:space="0" w:color="auto"/>
              <w:left w:val="nil"/>
              <w:bottom w:val="single" w:sz="4" w:space="0" w:color="auto"/>
              <w:right w:val="nil"/>
            </w:tcBorders>
            <w:hideMark/>
          </w:tcPr>
          <w:p w14:paraId="7B12DE4D"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Pseudo R-squared</w:t>
            </w:r>
          </w:p>
        </w:tc>
        <w:tc>
          <w:tcPr>
            <w:tcW w:w="1440" w:type="dxa"/>
            <w:tcBorders>
              <w:top w:val="single" w:sz="4" w:space="0" w:color="auto"/>
              <w:left w:val="nil"/>
              <w:bottom w:val="single" w:sz="4" w:space="0" w:color="auto"/>
              <w:right w:val="nil"/>
            </w:tcBorders>
            <w:hideMark/>
          </w:tcPr>
          <w:p w14:paraId="1DE7290F"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0.0532</w:t>
            </w:r>
          </w:p>
        </w:tc>
        <w:tc>
          <w:tcPr>
            <w:tcW w:w="1350" w:type="dxa"/>
            <w:tcBorders>
              <w:top w:val="single" w:sz="4" w:space="0" w:color="auto"/>
              <w:left w:val="nil"/>
              <w:bottom w:val="single" w:sz="4" w:space="0" w:color="auto"/>
              <w:right w:val="nil"/>
            </w:tcBorders>
          </w:tcPr>
          <w:p w14:paraId="481EEC4E"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p>
        </w:tc>
        <w:tc>
          <w:tcPr>
            <w:tcW w:w="1255" w:type="dxa"/>
            <w:tcBorders>
              <w:top w:val="single" w:sz="4" w:space="0" w:color="auto"/>
              <w:left w:val="nil"/>
              <w:bottom w:val="single" w:sz="4" w:space="0" w:color="auto"/>
              <w:right w:val="nil"/>
            </w:tcBorders>
          </w:tcPr>
          <w:p w14:paraId="655C4D9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p>
        </w:tc>
        <w:tc>
          <w:tcPr>
            <w:tcW w:w="1355" w:type="dxa"/>
            <w:tcBorders>
              <w:top w:val="single" w:sz="4" w:space="0" w:color="auto"/>
              <w:left w:val="nil"/>
              <w:bottom w:val="single" w:sz="4" w:space="0" w:color="auto"/>
              <w:right w:val="nil"/>
            </w:tcBorders>
          </w:tcPr>
          <w:p w14:paraId="21199138"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p>
        </w:tc>
      </w:tr>
      <w:tr w:rsidR="00141B2C" w:rsidRPr="004E52C2" w14:paraId="537B9414" w14:textId="77777777" w:rsidTr="00D85854">
        <w:tc>
          <w:tcPr>
            <w:tcW w:w="3870" w:type="dxa"/>
            <w:tcBorders>
              <w:top w:val="single" w:sz="4" w:space="0" w:color="auto"/>
              <w:left w:val="nil"/>
              <w:bottom w:val="single" w:sz="4" w:space="0" w:color="auto"/>
              <w:right w:val="nil"/>
            </w:tcBorders>
            <w:hideMark/>
          </w:tcPr>
          <w:p w14:paraId="2167C68E"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LR Chi-squared (11)</w:t>
            </w:r>
          </w:p>
        </w:tc>
        <w:tc>
          <w:tcPr>
            <w:tcW w:w="1440" w:type="dxa"/>
            <w:tcBorders>
              <w:top w:val="single" w:sz="4" w:space="0" w:color="auto"/>
              <w:left w:val="nil"/>
              <w:bottom w:val="single" w:sz="4" w:space="0" w:color="auto"/>
              <w:right w:val="nil"/>
            </w:tcBorders>
            <w:hideMark/>
          </w:tcPr>
          <w:p w14:paraId="2538FE0B"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17.36</w:t>
            </w:r>
          </w:p>
        </w:tc>
        <w:tc>
          <w:tcPr>
            <w:tcW w:w="1350" w:type="dxa"/>
            <w:tcBorders>
              <w:top w:val="single" w:sz="4" w:space="0" w:color="auto"/>
              <w:left w:val="nil"/>
              <w:bottom w:val="single" w:sz="4" w:space="0" w:color="auto"/>
              <w:right w:val="nil"/>
            </w:tcBorders>
          </w:tcPr>
          <w:p w14:paraId="1676B84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p>
        </w:tc>
        <w:tc>
          <w:tcPr>
            <w:tcW w:w="1255" w:type="dxa"/>
            <w:tcBorders>
              <w:top w:val="single" w:sz="4" w:space="0" w:color="auto"/>
              <w:left w:val="nil"/>
              <w:bottom w:val="single" w:sz="4" w:space="0" w:color="auto"/>
              <w:right w:val="nil"/>
            </w:tcBorders>
          </w:tcPr>
          <w:p w14:paraId="63882BD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p>
        </w:tc>
        <w:tc>
          <w:tcPr>
            <w:tcW w:w="1355" w:type="dxa"/>
            <w:tcBorders>
              <w:top w:val="single" w:sz="4" w:space="0" w:color="auto"/>
              <w:left w:val="nil"/>
              <w:bottom w:val="single" w:sz="4" w:space="0" w:color="auto"/>
              <w:right w:val="nil"/>
            </w:tcBorders>
          </w:tcPr>
          <w:p w14:paraId="7A0601AF"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p>
        </w:tc>
      </w:tr>
      <w:tr w:rsidR="00141B2C" w:rsidRPr="004E52C2" w14:paraId="0E8B18EB" w14:textId="77777777" w:rsidTr="00D85854">
        <w:tc>
          <w:tcPr>
            <w:tcW w:w="3870" w:type="dxa"/>
            <w:tcBorders>
              <w:top w:val="single" w:sz="4" w:space="0" w:color="auto"/>
              <w:left w:val="nil"/>
              <w:bottom w:val="single" w:sz="4" w:space="0" w:color="auto"/>
              <w:right w:val="nil"/>
            </w:tcBorders>
            <w:hideMark/>
          </w:tcPr>
          <w:p w14:paraId="46ECA6B2"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Prob &gt; Chi-squared</w:t>
            </w:r>
          </w:p>
        </w:tc>
        <w:tc>
          <w:tcPr>
            <w:tcW w:w="1440" w:type="dxa"/>
            <w:tcBorders>
              <w:top w:val="single" w:sz="4" w:space="0" w:color="auto"/>
              <w:left w:val="nil"/>
              <w:bottom w:val="single" w:sz="4" w:space="0" w:color="auto"/>
              <w:right w:val="nil"/>
            </w:tcBorders>
            <w:hideMark/>
          </w:tcPr>
          <w:p w14:paraId="7FC3D5EC"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0.0434</w:t>
            </w:r>
          </w:p>
        </w:tc>
        <w:tc>
          <w:tcPr>
            <w:tcW w:w="1350" w:type="dxa"/>
            <w:tcBorders>
              <w:top w:val="single" w:sz="4" w:space="0" w:color="auto"/>
              <w:left w:val="nil"/>
              <w:bottom w:val="single" w:sz="4" w:space="0" w:color="auto"/>
              <w:right w:val="nil"/>
            </w:tcBorders>
          </w:tcPr>
          <w:p w14:paraId="16F2C815"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p>
        </w:tc>
        <w:tc>
          <w:tcPr>
            <w:tcW w:w="1255" w:type="dxa"/>
            <w:tcBorders>
              <w:top w:val="single" w:sz="4" w:space="0" w:color="auto"/>
              <w:left w:val="nil"/>
              <w:bottom w:val="single" w:sz="4" w:space="0" w:color="auto"/>
              <w:right w:val="nil"/>
            </w:tcBorders>
          </w:tcPr>
          <w:p w14:paraId="7AF27F2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p>
        </w:tc>
        <w:tc>
          <w:tcPr>
            <w:tcW w:w="1355" w:type="dxa"/>
            <w:tcBorders>
              <w:top w:val="single" w:sz="4" w:space="0" w:color="auto"/>
              <w:left w:val="nil"/>
              <w:bottom w:val="single" w:sz="4" w:space="0" w:color="auto"/>
              <w:right w:val="nil"/>
            </w:tcBorders>
          </w:tcPr>
          <w:p w14:paraId="4404FDD8"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p>
        </w:tc>
      </w:tr>
      <w:tr w:rsidR="00141B2C" w:rsidRPr="004E52C2" w14:paraId="0B7067AA" w14:textId="77777777" w:rsidTr="00D85854">
        <w:tc>
          <w:tcPr>
            <w:tcW w:w="3870" w:type="dxa"/>
            <w:tcBorders>
              <w:top w:val="single" w:sz="4" w:space="0" w:color="auto"/>
              <w:left w:val="nil"/>
              <w:bottom w:val="single" w:sz="4" w:space="0" w:color="auto"/>
              <w:right w:val="nil"/>
            </w:tcBorders>
            <w:hideMark/>
          </w:tcPr>
          <w:p w14:paraId="0947B3DC"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Log-likelihood</w:t>
            </w:r>
          </w:p>
        </w:tc>
        <w:tc>
          <w:tcPr>
            <w:tcW w:w="1440" w:type="dxa"/>
            <w:tcBorders>
              <w:top w:val="single" w:sz="4" w:space="0" w:color="auto"/>
              <w:left w:val="nil"/>
              <w:bottom w:val="single" w:sz="4" w:space="0" w:color="auto"/>
              <w:right w:val="nil"/>
            </w:tcBorders>
            <w:hideMark/>
          </w:tcPr>
          <w:p w14:paraId="1ECBB326"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-154.43959</w:t>
            </w:r>
          </w:p>
        </w:tc>
        <w:tc>
          <w:tcPr>
            <w:tcW w:w="1350" w:type="dxa"/>
            <w:tcBorders>
              <w:top w:val="single" w:sz="4" w:space="0" w:color="auto"/>
              <w:left w:val="nil"/>
              <w:bottom w:val="single" w:sz="4" w:space="0" w:color="auto"/>
              <w:right w:val="nil"/>
            </w:tcBorders>
          </w:tcPr>
          <w:p w14:paraId="07A48370"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p>
        </w:tc>
        <w:tc>
          <w:tcPr>
            <w:tcW w:w="1255" w:type="dxa"/>
            <w:tcBorders>
              <w:top w:val="single" w:sz="4" w:space="0" w:color="auto"/>
              <w:left w:val="nil"/>
              <w:bottom w:val="single" w:sz="4" w:space="0" w:color="auto"/>
              <w:right w:val="nil"/>
            </w:tcBorders>
          </w:tcPr>
          <w:p w14:paraId="4D530FDE"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p>
        </w:tc>
        <w:tc>
          <w:tcPr>
            <w:tcW w:w="1355" w:type="dxa"/>
            <w:tcBorders>
              <w:top w:val="single" w:sz="4" w:space="0" w:color="auto"/>
              <w:left w:val="nil"/>
              <w:bottom w:val="single" w:sz="4" w:space="0" w:color="auto"/>
              <w:right w:val="nil"/>
            </w:tcBorders>
          </w:tcPr>
          <w:p w14:paraId="069489A0"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p>
        </w:tc>
      </w:tr>
    </w:tbl>
    <w:p w14:paraId="7245A27F"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Note: ***, ** and  *denote significance at the 0.01, 0.05 and 0.10 levels, respectively.</w:t>
      </w:r>
    </w:p>
    <w:p w14:paraId="7477D5C0"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Source: Field survey, 2023.</w:t>
      </w:r>
    </w:p>
    <w:p w14:paraId="34500B14" w14:textId="084E43CF" w:rsidR="00141B2C" w:rsidRPr="004E52C2" w:rsidRDefault="00B5477B" w:rsidP="00141B2C">
      <w:pPr>
        <w:rPr>
          <w:rFonts w:cstheme="minorHAnsi"/>
          <w:b/>
          <w:bCs/>
          <w:sz w:val="24"/>
          <w:szCs w:val="24"/>
          <w:lang w:val="en-US"/>
        </w:rPr>
      </w:pPr>
      <w:bookmarkStart w:id="34" w:name="_Toc140036408"/>
      <w:bookmarkStart w:id="35" w:name="_Toc140036449"/>
      <w:r w:rsidRPr="004E52C2">
        <w:rPr>
          <w:rFonts w:cstheme="minorHAnsi"/>
          <w:b/>
          <w:bCs/>
          <w:sz w:val="24"/>
          <w:szCs w:val="24"/>
          <w:lang w:val="en-US"/>
        </w:rPr>
        <w:t>3</w:t>
      </w:r>
      <w:r w:rsidR="00141B2C" w:rsidRPr="004E52C2">
        <w:rPr>
          <w:rFonts w:cstheme="minorHAnsi"/>
          <w:b/>
          <w:bCs/>
          <w:sz w:val="24"/>
          <w:szCs w:val="24"/>
          <w:lang w:val="en-US"/>
        </w:rPr>
        <w:t>.4 Household Wellness Sustainability By Food Security Categories</w:t>
      </w:r>
      <w:bookmarkEnd w:id="34"/>
      <w:bookmarkEnd w:id="35"/>
    </w:p>
    <w:p w14:paraId="7DC5E07E" w14:textId="431C7C2E" w:rsidR="00141B2C" w:rsidRPr="004E52C2" w:rsidRDefault="00B5477B" w:rsidP="00141B2C">
      <w:pPr>
        <w:rPr>
          <w:rFonts w:cstheme="minorHAnsi"/>
          <w:b/>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.4.1 Distribution of Household's Wellness Sustainability by food security category.</w:t>
      </w:r>
    </w:p>
    <w:p w14:paraId="2B4246FF" w14:textId="3B6B7F11" w:rsidR="00141B2C" w:rsidRPr="004E52C2" w:rsidRDefault="00141B2C" w:rsidP="002C1684">
      <w:pPr>
        <w:jc w:val="both"/>
        <w:rPr>
          <w:rFonts w:cstheme="minorHAnsi"/>
          <w:bCs/>
          <w:sz w:val="24"/>
          <w:szCs w:val="24"/>
          <w:lang w:val="en-US"/>
        </w:rPr>
      </w:pPr>
      <w:r w:rsidRPr="004E52C2">
        <w:rPr>
          <w:rFonts w:cstheme="minorHAnsi"/>
          <w:bCs/>
          <w:sz w:val="24"/>
          <w:szCs w:val="24"/>
          <w:lang w:val="en-US"/>
        </w:rPr>
        <w:t xml:space="preserve">The table below illustrates that 33.07% of all households surveyed had dietary wellness sustainability. This diet is measured in alignment above 45% consumption of a healthy diet based on whole food plant-based diets. These diets emphasize consuming whole, unrefined plant foods such as fruits, vegetables, whole grains, legumes, roots and </w:t>
      </w:r>
      <w:r w:rsidR="002C1684" w:rsidRPr="004E52C2">
        <w:rPr>
          <w:rFonts w:cstheme="minorHAnsi"/>
          <w:bCs/>
          <w:sz w:val="24"/>
          <w:szCs w:val="24"/>
          <w:lang w:val="en-US"/>
        </w:rPr>
        <w:t>tubers, nuts</w:t>
      </w:r>
      <w:r w:rsidRPr="004E52C2">
        <w:rPr>
          <w:rFonts w:cstheme="minorHAnsi"/>
          <w:bCs/>
          <w:sz w:val="24"/>
          <w:szCs w:val="24"/>
          <w:lang w:val="en-US"/>
        </w:rPr>
        <w:t>, and seeds. Among these households, 31.76% are food secure, 42.35% experience food insecurity without hunger, 18.82 experience moderate hunger, and 7.06% experience severe hunger.</w:t>
      </w:r>
    </w:p>
    <w:p w14:paraId="28AA7CFB" w14:textId="77777777" w:rsidR="00141B2C" w:rsidRPr="004E52C2" w:rsidRDefault="00141B2C" w:rsidP="002C1684">
      <w:pPr>
        <w:jc w:val="both"/>
        <w:rPr>
          <w:rFonts w:cstheme="minorHAnsi"/>
          <w:bCs/>
          <w:sz w:val="24"/>
          <w:szCs w:val="24"/>
          <w:lang w:val="en-US"/>
        </w:rPr>
      </w:pPr>
      <w:r w:rsidRPr="004E52C2">
        <w:rPr>
          <w:rFonts w:cstheme="minorHAnsi"/>
          <w:bCs/>
          <w:sz w:val="24"/>
          <w:szCs w:val="24"/>
          <w:lang w:val="en-US"/>
        </w:rPr>
        <w:t xml:space="preserve">Conversely, more households consume an unwholesome or unsustainable diet characterized by consuming highly processed or refined foods and drinks containing high amounts of fat, salt, and sugars. These diets tend towards a prospect of illness, as NCDs are commonly associated with poor dietary practices. 66.93 % of the total households consumed an unwholesome diet at </w:t>
      </w:r>
      <w:r w:rsidRPr="004E52C2">
        <w:rPr>
          <w:rFonts w:cstheme="minorHAnsi"/>
          <w:bCs/>
          <w:sz w:val="24"/>
          <w:szCs w:val="24"/>
          <w:lang w:val="en-US"/>
        </w:rPr>
        <w:lastRenderedPageBreak/>
        <w:t>=/&lt;45% of WFPBD. This means that approximately 7 in 10 households eat diets that have greater than 55% of their portion high in salt, sugar, fat, processed oils or processed meats this poises these households towards wellness unsustainability. Within this group, 30.84% are food secure, 48.13% experience food insecurity without hunger, 15.42% experience food insecurity with moderate hunger, and 5.61% experience food insecurity with severe hunger.</w:t>
      </w:r>
    </w:p>
    <w:p w14:paraId="4497A6DA" w14:textId="522A1E97" w:rsidR="00141B2C" w:rsidRPr="004E52C2" w:rsidRDefault="00141B2C" w:rsidP="00B5477B">
      <w:pPr>
        <w:jc w:val="both"/>
        <w:rPr>
          <w:rFonts w:cstheme="minorHAnsi"/>
          <w:bCs/>
          <w:sz w:val="24"/>
          <w:szCs w:val="24"/>
          <w:lang w:val="en-US"/>
        </w:rPr>
      </w:pPr>
      <w:r w:rsidRPr="004E52C2">
        <w:rPr>
          <w:rFonts w:cstheme="minorHAnsi"/>
          <w:bCs/>
          <w:sz w:val="24"/>
          <w:szCs w:val="24"/>
          <w:lang w:val="en-US"/>
        </w:rPr>
        <w:t xml:space="preserve">It is imperative to state that a larger portion of sustainable households are in the food secure category at 31.76%, compared to households with unsustainable diets at 28.49%. A larger share of those who live unsustainable diets are in the food insure without huger category at 54.07% compared to 42.35%. A diet that is predominantly plant-based and low in salt, saturated fats and added sugars is recommended as part of a healthy lifestyle. </w:t>
      </w:r>
    </w:p>
    <w:p w14:paraId="08E8BFEE" w14:textId="6A6BD805" w:rsidR="00141B2C" w:rsidRPr="004E52C2" w:rsidRDefault="00141B2C" w:rsidP="00141B2C">
      <w:pPr>
        <w:rPr>
          <w:rFonts w:cstheme="minorHAnsi"/>
          <w:bCs/>
          <w:sz w:val="24"/>
          <w:szCs w:val="24"/>
          <w:lang w:val="en-US"/>
        </w:rPr>
      </w:pPr>
      <w:r w:rsidRPr="004E52C2">
        <w:rPr>
          <w:rFonts w:cstheme="minorHAnsi"/>
          <w:bCs/>
          <w:sz w:val="24"/>
          <w:szCs w:val="24"/>
          <w:lang w:val="en-US"/>
        </w:rPr>
        <w:t>Table 1</w:t>
      </w:r>
      <w:r w:rsidR="00D92B88">
        <w:rPr>
          <w:rFonts w:cstheme="minorHAnsi"/>
          <w:bCs/>
          <w:sz w:val="24"/>
          <w:szCs w:val="24"/>
          <w:lang w:val="en-US"/>
        </w:rPr>
        <w:t>3</w:t>
      </w:r>
      <w:r w:rsidRPr="004E52C2">
        <w:rPr>
          <w:rFonts w:cstheme="minorHAnsi"/>
          <w:bCs/>
          <w:sz w:val="24"/>
          <w:szCs w:val="24"/>
          <w:lang w:val="en-US"/>
        </w:rPr>
        <w:t>: Distribution of households by wellness sustainability</w:t>
      </w:r>
    </w:p>
    <w:tbl>
      <w:tblPr>
        <w:tblStyle w:val="PlainTable2"/>
        <w:tblW w:w="10125" w:type="dxa"/>
        <w:tblLayout w:type="fixed"/>
        <w:tblLook w:val="04A0" w:firstRow="1" w:lastRow="0" w:firstColumn="1" w:lastColumn="0" w:noHBand="0" w:noVBand="1"/>
      </w:tblPr>
      <w:tblGrid>
        <w:gridCol w:w="2699"/>
        <w:gridCol w:w="1349"/>
        <w:gridCol w:w="989"/>
        <w:gridCol w:w="1619"/>
        <w:gridCol w:w="1709"/>
        <w:gridCol w:w="1760"/>
      </w:tblGrid>
      <w:tr w:rsidR="00141B2C" w:rsidRPr="004E52C2" w14:paraId="6311799C" w14:textId="77777777" w:rsidTr="00D858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Borders>
              <w:top w:val="single" w:sz="4" w:space="0" w:color="7F7F7F" w:themeColor="text1" w:themeTint="80"/>
              <w:left w:val="nil"/>
              <w:right w:val="nil"/>
            </w:tcBorders>
            <w:hideMark/>
          </w:tcPr>
          <w:p w14:paraId="6417D2EB"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Wellness sustainability of a household</w:t>
            </w:r>
          </w:p>
          <w:p w14:paraId="010369D3"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n=257</w:t>
            </w:r>
          </w:p>
        </w:tc>
        <w:tc>
          <w:tcPr>
            <w:tcW w:w="1350" w:type="dxa"/>
            <w:tcBorders>
              <w:top w:val="single" w:sz="4" w:space="0" w:color="7F7F7F" w:themeColor="text1" w:themeTint="80"/>
              <w:left w:val="nil"/>
              <w:right w:val="nil"/>
            </w:tcBorders>
            <w:hideMark/>
          </w:tcPr>
          <w:p w14:paraId="7AFF7F11"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Frequency (%)</w:t>
            </w:r>
          </w:p>
        </w:tc>
        <w:tc>
          <w:tcPr>
            <w:tcW w:w="990" w:type="dxa"/>
            <w:tcBorders>
              <w:top w:val="single" w:sz="4" w:space="0" w:color="7F7F7F" w:themeColor="text1" w:themeTint="80"/>
              <w:left w:val="nil"/>
              <w:right w:val="nil"/>
            </w:tcBorders>
            <w:hideMark/>
          </w:tcPr>
          <w:p w14:paraId="36BAB0F4"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Secure</w:t>
            </w:r>
          </w:p>
          <w:p w14:paraId="332356BC"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620" w:type="dxa"/>
            <w:tcBorders>
              <w:top w:val="single" w:sz="4" w:space="0" w:color="7F7F7F" w:themeColor="text1" w:themeTint="80"/>
              <w:left w:val="nil"/>
              <w:right w:val="nil"/>
            </w:tcBorders>
            <w:hideMark/>
          </w:tcPr>
          <w:p w14:paraId="6DC338D2"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without hunger (%)</w:t>
            </w:r>
          </w:p>
        </w:tc>
        <w:tc>
          <w:tcPr>
            <w:tcW w:w="1710" w:type="dxa"/>
            <w:tcBorders>
              <w:top w:val="single" w:sz="4" w:space="0" w:color="7F7F7F" w:themeColor="text1" w:themeTint="80"/>
              <w:left w:val="nil"/>
              <w:right w:val="nil"/>
            </w:tcBorders>
            <w:hideMark/>
          </w:tcPr>
          <w:p w14:paraId="7567B7E9"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moderate hunger (%)</w:t>
            </w:r>
          </w:p>
        </w:tc>
        <w:tc>
          <w:tcPr>
            <w:tcW w:w="1761" w:type="dxa"/>
            <w:tcBorders>
              <w:top w:val="single" w:sz="4" w:space="0" w:color="7F7F7F" w:themeColor="text1" w:themeTint="80"/>
              <w:left w:val="nil"/>
              <w:right w:val="nil"/>
            </w:tcBorders>
            <w:hideMark/>
          </w:tcPr>
          <w:p w14:paraId="27076DF1" w14:textId="77777777" w:rsidR="00141B2C" w:rsidRPr="004E52C2" w:rsidRDefault="00141B2C" w:rsidP="00141B2C">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severe hunger (%)</w:t>
            </w:r>
          </w:p>
        </w:tc>
      </w:tr>
      <w:tr w:rsidR="00141B2C" w:rsidRPr="004E52C2" w14:paraId="795288FB"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Borders>
              <w:left w:val="nil"/>
              <w:right w:val="nil"/>
            </w:tcBorders>
            <w:hideMark/>
          </w:tcPr>
          <w:p w14:paraId="30734551"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 xml:space="preserve">With wellness sustainability </w:t>
            </w:r>
          </w:p>
        </w:tc>
        <w:tc>
          <w:tcPr>
            <w:tcW w:w="1350" w:type="dxa"/>
            <w:tcBorders>
              <w:left w:val="nil"/>
              <w:right w:val="nil"/>
            </w:tcBorders>
            <w:hideMark/>
          </w:tcPr>
          <w:p w14:paraId="513700A1"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33.07</w:t>
            </w:r>
          </w:p>
        </w:tc>
        <w:tc>
          <w:tcPr>
            <w:tcW w:w="990" w:type="dxa"/>
            <w:tcBorders>
              <w:left w:val="nil"/>
              <w:right w:val="nil"/>
            </w:tcBorders>
            <w:hideMark/>
          </w:tcPr>
          <w:p w14:paraId="461FEFEA"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 xml:space="preserve">31.76      </w:t>
            </w:r>
          </w:p>
        </w:tc>
        <w:tc>
          <w:tcPr>
            <w:tcW w:w="1620" w:type="dxa"/>
            <w:tcBorders>
              <w:left w:val="nil"/>
              <w:right w:val="nil"/>
            </w:tcBorders>
            <w:hideMark/>
          </w:tcPr>
          <w:p w14:paraId="5243AC2A"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 xml:space="preserve">42.35      </w:t>
            </w:r>
          </w:p>
        </w:tc>
        <w:tc>
          <w:tcPr>
            <w:tcW w:w="1710" w:type="dxa"/>
            <w:tcBorders>
              <w:left w:val="nil"/>
              <w:right w:val="nil"/>
            </w:tcBorders>
            <w:hideMark/>
          </w:tcPr>
          <w:p w14:paraId="09309E07"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 xml:space="preserve">18.82       </w:t>
            </w:r>
          </w:p>
        </w:tc>
        <w:tc>
          <w:tcPr>
            <w:tcW w:w="1761" w:type="dxa"/>
            <w:tcBorders>
              <w:left w:val="nil"/>
              <w:right w:val="nil"/>
            </w:tcBorders>
            <w:hideMark/>
          </w:tcPr>
          <w:p w14:paraId="292B330F"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7.06</w:t>
            </w:r>
          </w:p>
        </w:tc>
      </w:tr>
      <w:tr w:rsidR="00141B2C" w:rsidRPr="004E52C2" w14:paraId="6B2A30AA" w14:textId="77777777" w:rsidTr="00D85854">
        <w:tc>
          <w:tcPr>
            <w:cnfStyle w:val="001000000000" w:firstRow="0" w:lastRow="0" w:firstColumn="1" w:lastColumn="0" w:oddVBand="0" w:evenVBand="0" w:oddHBand="0" w:evenHBand="0" w:firstRowFirstColumn="0" w:firstRowLastColumn="0" w:lastRowFirstColumn="0" w:lastRowLastColumn="0"/>
            <w:tcW w:w="2700" w:type="dxa"/>
            <w:tcBorders>
              <w:top w:val="nil"/>
              <w:left w:val="nil"/>
              <w:bottom w:val="nil"/>
              <w:right w:val="nil"/>
            </w:tcBorders>
            <w:hideMark/>
          </w:tcPr>
          <w:p w14:paraId="6E5E10C6"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Without wellness sustainability</w:t>
            </w:r>
          </w:p>
        </w:tc>
        <w:tc>
          <w:tcPr>
            <w:tcW w:w="1350" w:type="dxa"/>
            <w:tcBorders>
              <w:top w:val="nil"/>
              <w:left w:val="nil"/>
              <w:bottom w:val="nil"/>
              <w:right w:val="nil"/>
            </w:tcBorders>
            <w:hideMark/>
          </w:tcPr>
          <w:p w14:paraId="29B6650E"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66.93</w:t>
            </w:r>
          </w:p>
        </w:tc>
        <w:tc>
          <w:tcPr>
            <w:tcW w:w="990" w:type="dxa"/>
            <w:tcBorders>
              <w:top w:val="nil"/>
              <w:left w:val="nil"/>
              <w:bottom w:val="nil"/>
              <w:right w:val="nil"/>
            </w:tcBorders>
            <w:hideMark/>
          </w:tcPr>
          <w:p w14:paraId="554F9DEE"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 xml:space="preserve">28.49      </w:t>
            </w:r>
          </w:p>
        </w:tc>
        <w:tc>
          <w:tcPr>
            <w:tcW w:w="1620" w:type="dxa"/>
            <w:tcBorders>
              <w:top w:val="nil"/>
              <w:left w:val="nil"/>
              <w:bottom w:val="nil"/>
              <w:right w:val="nil"/>
            </w:tcBorders>
            <w:hideMark/>
          </w:tcPr>
          <w:p w14:paraId="6A6A971D"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 xml:space="preserve">54.07      </w:t>
            </w:r>
          </w:p>
        </w:tc>
        <w:tc>
          <w:tcPr>
            <w:tcW w:w="1710" w:type="dxa"/>
            <w:tcBorders>
              <w:top w:val="nil"/>
              <w:left w:val="nil"/>
              <w:bottom w:val="nil"/>
              <w:right w:val="nil"/>
            </w:tcBorders>
            <w:hideMark/>
          </w:tcPr>
          <w:p w14:paraId="163423B5"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 xml:space="preserve">11.63       </w:t>
            </w:r>
          </w:p>
        </w:tc>
        <w:tc>
          <w:tcPr>
            <w:tcW w:w="1761" w:type="dxa"/>
            <w:tcBorders>
              <w:top w:val="nil"/>
              <w:left w:val="nil"/>
              <w:bottom w:val="nil"/>
              <w:right w:val="nil"/>
            </w:tcBorders>
            <w:hideMark/>
          </w:tcPr>
          <w:p w14:paraId="694A8701" w14:textId="77777777" w:rsidR="00141B2C" w:rsidRPr="004E52C2" w:rsidRDefault="00141B2C" w:rsidP="00141B2C">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5.81</w:t>
            </w:r>
          </w:p>
        </w:tc>
      </w:tr>
      <w:tr w:rsidR="00141B2C" w:rsidRPr="004E52C2" w14:paraId="37426809"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Borders>
              <w:left w:val="nil"/>
              <w:right w:val="nil"/>
            </w:tcBorders>
            <w:hideMark/>
          </w:tcPr>
          <w:p w14:paraId="4C99DAE6" w14:textId="77777777" w:rsidR="00141B2C" w:rsidRPr="004E52C2" w:rsidRDefault="00141B2C" w:rsidP="00141B2C">
            <w:pPr>
              <w:spacing w:after="160" w:line="259" w:lineRule="auto"/>
              <w:rPr>
                <w:rFonts w:cstheme="minorHAnsi"/>
                <w:sz w:val="24"/>
                <w:szCs w:val="24"/>
                <w:lang w:val="en-US"/>
              </w:rPr>
            </w:pPr>
            <w:r w:rsidRPr="004E52C2">
              <w:rPr>
                <w:rFonts w:cstheme="minorHAnsi"/>
                <w:sz w:val="24"/>
                <w:szCs w:val="24"/>
                <w:lang w:val="en-US"/>
              </w:rPr>
              <w:t xml:space="preserve">Total </w:t>
            </w:r>
          </w:p>
        </w:tc>
        <w:tc>
          <w:tcPr>
            <w:tcW w:w="1350" w:type="dxa"/>
            <w:tcBorders>
              <w:left w:val="nil"/>
              <w:right w:val="nil"/>
            </w:tcBorders>
            <w:hideMark/>
          </w:tcPr>
          <w:p w14:paraId="456F8E2F"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w:t>
            </w:r>
          </w:p>
        </w:tc>
        <w:tc>
          <w:tcPr>
            <w:tcW w:w="990" w:type="dxa"/>
            <w:tcBorders>
              <w:left w:val="nil"/>
              <w:right w:val="nil"/>
            </w:tcBorders>
          </w:tcPr>
          <w:p w14:paraId="63AE78BD"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620" w:type="dxa"/>
            <w:tcBorders>
              <w:left w:val="nil"/>
              <w:right w:val="nil"/>
            </w:tcBorders>
          </w:tcPr>
          <w:p w14:paraId="375AD86E"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710" w:type="dxa"/>
            <w:tcBorders>
              <w:left w:val="nil"/>
              <w:right w:val="nil"/>
            </w:tcBorders>
          </w:tcPr>
          <w:p w14:paraId="332DD1C6"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761" w:type="dxa"/>
            <w:tcBorders>
              <w:left w:val="nil"/>
              <w:right w:val="nil"/>
            </w:tcBorders>
          </w:tcPr>
          <w:p w14:paraId="7FD55C49" w14:textId="77777777" w:rsidR="00141B2C" w:rsidRPr="004E52C2" w:rsidRDefault="00141B2C" w:rsidP="00141B2C">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r>
    </w:tbl>
    <w:p w14:paraId="099E0381"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Source: Field survey, 2023.</w:t>
      </w:r>
    </w:p>
    <w:p w14:paraId="0DF9245D" w14:textId="77777777" w:rsidR="00141B2C" w:rsidRPr="004E52C2" w:rsidRDefault="00141B2C" w:rsidP="00141B2C">
      <w:pPr>
        <w:rPr>
          <w:rFonts w:cstheme="minorHAnsi"/>
          <w:bCs/>
          <w:sz w:val="24"/>
          <w:szCs w:val="24"/>
          <w:lang w:val="en-US"/>
        </w:rPr>
      </w:pPr>
    </w:p>
    <w:p w14:paraId="29F4B59D" w14:textId="6E0ADCB7" w:rsidR="00141B2C" w:rsidRPr="004E52C2" w:rsidRDefault="00141B2C" w:rsidP="00141B2C">
      <w:pPr>
        <w:rPr>
          <w:rFonts w:cstheme="minorHAnsi"/>
          <w:bCs/>
          <w:sz w:val="24"/>
          <w:szCs w:val="24"/>
          <w:lang w:val="en-US"/>
        </w:rPr>
      </w:pPr>
      <w:r w:rsidRPr="004E52C2">
        <w:rPr>
          <w:rFonts w:cstheme="minorHAnsi"/>
          <w:bCs/>
          <w:sz w:val="24"/>
          <w:szCs w:val="24"/>
          <w:lang w:val="en-US"/>
        </w:rPr>
        <w:t>Table 1</w:t>
      </w:r>
      <w:r w:rsidR="004E52C2">
        <w:rPr>
          <w:rFonts w:cstheme="minorHAnsi"/>
          <w:bCs/>
          <w:sz w:val="24"/>
          <w:szCs w:val="24"/>
          <w:lang w:val="en-US"/>
        </w:rPr>
        <w:t xml:space="preserve">6 </w:t>
      </w:r>
      <w:r w:rsidRPr="004E52C2">
        <w:rPr>
          <w:rFonts w:cstheme="minorHAnsi"/>
          <w:bCs/>
          <w:sz w:val="24"/>
          <w:szCs w:val="24"/>
          <w:lang w:val="en-US"/>
        </w:rPr>
        <w:t>presents the distribution of the food security-wellness nexus among a sample of 257 households, categorized into eight groups: food secure with and without wellness, food insecure without hunger with and without wellness sustainability, food insecure with moderate hunger with and without wellness sustainability, and food insecure with severe hunger with and without wellness sustainability.</w:t>
      </w:r>
    </w:p>
    <w:p w14:paraId="2BE819DC" w14:textId="42B891E7" w:rsidR="00141B2C" w:rsidRPr="004E52C2" w:rsidRDefault="00141B2C" w:rsidP="00D85854">
      <w:pPr>
        <w:jc w:val="both"/>
        <w:rPr>
          <w:rFonts w:cstheme="minorHAnsi"/>
          <w:bCs/>
          <w:sz w:val="24"/>
          <w:szCs w:val="24"/>
          <w:lang w:val="en-US"/>
        </w:rPr>
      </w:pPr>
      <w:r w:rsidRPr="004E52C2">
        <w:rPr>
          <w:rFonts w:cstheme="minorHAnsi"/>
          <w:bCs/>
          <w:sz w:val="24"/>
          <w:szCs w:val="24"/>
          <w:lang w:val="en-US"/>
        </w:rPr>
        <w:t xml:space="preserve">Food Secure </w:t>
      </w:r>
      <w:r w:rsidR="00AC2005" w:rsidRPr="004E52C2">
        <w:rPr>
          <w:rFonts w:cstheme="minorHAnsi"/>
          <w:bCs/>
          <w:sz w:val="24"/>
          <w:szCs w:val="24"/>
          <w:lang w:val="en-US"/>
        </w:rPr>
        <w:t>with</w:t>
      </w:r>
      <w:r w:rsidRPr="004E52C2">
        <w:rPr>
          <w:rFonts w:cstheme="minorHAnsi"/>
          <w:bCs/>
          <w:sz w:val="24"/>
          <w:szCs w:val="24"/>
          <w:lang w:val="en-US"/>
        </w:rPr>
        <w:t xml:space="preserve"> Wellness Sustainability at 10.51%, these households have consistent access to nutrition and health, which promotes overall well-being. This is an ideal category. However, this is representative of only one-tenth of the total sample.  Food Insecure Without Hunger </w:t>
      </w:r>
      <w:r w:rsidR="00AC2005" w:rsidRPr="004E52C2">
        <w:rPr>
          <w:rFonts w:cstheme="minorHAnsi"/>
          <w:bCs/>
          <w:sz w:val="24"/>
          <w:szCs w:val="24"/>
          <w:lang w:val="en-US"/>
        </w:rPr>
        <w:t>with</w:t>
      </w:r>
      <w:r w:rsidRPr="004E52C2">
        <w:rPr>
          <w:rFonts w:cstheme="minorHAnsi"/>
          <w:bCs/>
          <w:sz w:val="24"/>
          <w:szCs w:val="24"/>
          <w:lang w:val="en-US"/>
        </w:rPr>
        <w:t xml:space="preserve"> Wellness Sustainability 14.01%, these households may not face hunger, but they encounter challenges in accessing a consistently nutritious and diverse diet despite the presence of wellness programs. Food Insecure </w:t>
      </w:r>
      <w:r w:rsidR="00AC2005" w:rsidRPr="004E52C2">
        <w:rPr>
          <w:rFonts w:cstheme="minorHAnsi"/>
          <w:bCs/>
          <w:sz w:val="24"/>
          <w:szCs w:val="24"/>
          <w:lang w:val="en-US"/>
        </w:rPr>
        <w:t>with</w:t>
      </w:r>
      <w:r w:rsidRPr="004E52C2">
        <w:rPr>
          <w:rFonts w:cstheme="minorHAnsi"/>
          <w:bCs/>
          <w:sz w:val="24"/>
          <w:szCs w:val="24"/>
          <w:lang w:val="en-US"/>
        </w:rPr>
        <w:t xml:space="preserve"> Moderate Hunger With Wellness Sustainability 6.23%, these household experience food insecurity with moderate levels of hunger, while also having access to wellness sustainability initiatives. These households face more pronounced food insecurity, including occasional experiences of moderate hunger, despite the presence of wellness </w:t>
      </w:r>
      <w:r w:rsidRPr="004E52C2">
        <w:rPr>
          <w:rFonts w:cstheme="minorHAnsi"/>
          <w:bCs/>
          <w:sz w:val="24"/>
          <w:szCs w:val="24"/>
          <w:lang w:val="en-US"/>
        </w:rPr>
        <w:lastRenderedPageBreak/>
        <w:t xml:space="preserve">programs. Food Insecure </w:t>
      </w:r>
      <w:r w:rsidR="00D85854" w:rsidRPr="004E52C2">
        <w:rPr>
          <w:rFonts w:cstheme="minorHAnsi"/>
          <w:bCs/>
          <w:sz w:val="24"/>
          <w:szCs w:val="24"/>
          <w:lang w:val="en-US"/>
        </w:rPr>
        <w:t>with</w:t>
      </w:r>
      <w:r w:rsidRPr="004E52C2">
        <w:rPr>
          <w:rFonts w:cstheme="minorHAnsi"/>
          <w:bCs/>
          <w:sz w:val="24"/>
          <w:szCs w:val="24"/>
          <w:lang w:val="en-US"/>
        </w:rPr>
        <w:t xml:space="preserve"> Severe Hunger With Wellness, 2.33% of household experience severe food insecurity and severe hunger while still having access to wellness sustainability initiatives. These households face the most severe challenges in food, even with the presence of wellness sustainability. This is the least ported of all eight groups.</w:t>
      </w:r>
    </w:p>
    <w:p w14:paraId="0234CDE4" w14:textId="43C97DBB" w:rsidR="00141B2C" w:rsidRPr="004E52C2" w:rsidRDefault="00141B2C" w:rsidP="00D85854">
      <w:pPr>
        <w:jc w:val="both"/>
        <w:rPr>
          <w:rFonts w:cstheme="minorHAnsi"/>
          <w:bCs/>
          <w:sz w:val="24"/>
          <w:szCs w:val="24"/>
          <w:lang w:val="en-US"/>
        </w:rPr>
      </w:pPr>
      <w:r w:rsidRPr="004E52C2">
        <w:rPr>
          <w:rFonts w:cstheme="minorHAnsi"/>
          <w:bCs/>
          <w:sz w:val="24"/>
          <w:szCs w:val="24"/>
          <w:lang w:val="en-US"/>
        </w:rPr>
        <w:t xml:space="preserve">Food Secure Without Wellness Sustainability, 19.07% of these households do not have access to wellness sustainability. These households have consistent access to food but lack wellness sustainability. These households tend to consume more refined sugars, processed meals, and high salt and fat diets, which predisposes the household to illnesses commonly NCDs related. This is the second largest category. Where one in every five families sampled were categorized in this group. Food Insecure Without Hunger Without Wellness Sustainability, 36.19% of these households face challenges accessing food and well-being concerns. This is the largest category where two of every five households sampled were </w:t>
      </w:r>
      <w:r w:rsidR="00B5477B" w:rsidRPr="004E52C2">
        <w:rPr>
          <w:rFonts w:cstheme="minorHAnsi"/>
          <w:bCs/>
          <w:sz w:val="24"/>
          <w:szCs w:val="24"/>
          <w:lang w:val="en-US"/>
        </w:rPr>
        <w:t>categorized</w:t>
      </w:r>
      <w:r w:rsidRPr="004E52C2">
        <w:rPr>
          <w:rFonts w:cstheme="minorHAnsi"/>
          <w:bCs/>
          <w:sz w:val="24"/>
          <w:szCs w:val="24"/>
          <w:lang w:val="en-US"/>
        </w:rPr>
        <w:t xml:space="preserve"> under.  Food Insecure With Moderate Hunger Without Wellness Sustainability 7.78% of households face more pronounced food insecurity, including occasional experiences of moderate hunger, and do not have wellness sustainability. This household </w:t>
      </w:r>
      <w:r w:rsidR="00AC2005" w:rsidRPr="004E52C2">
        <w:rPr>
          <w:rFonts w:cstheme="minorHAnsi"/>
          <w:bCs/>
          <w:sz w:val="24"/>
          <w:szCs w:val="24"/>
          <w:lang w:val="en-US"/>
        </w:rPr>
        <w:t>barely</w:t>
      </w:r>
      <w:r w:rsidRPr="004E52C2">
        <w:rPr>
          <w:rFonts w:cstheme="minorHAnsi"/>
          <w:bCs/>
          <w:sz w:val="24"/>
          <w:szCs w:val="24"/>
          <w:lang w:val="en-US"/>
        </w:rPr>
        <w:t xml:space="preserve"> eats and has a prospect of illnesses in their later years. Food Insecure </w:t>
      </w:r>
      <w:r w:rsidR="00AC2005" w:rsidRPr="004E52C2">
        <w:rPr>
          <w:rFonts w:cstheme="minorHAnsi"/>
          <w:bCs/>
          <w:sz w:val="24"/>
          <w:szCs w:val="24"/>
          <w:lang w:val="en-US"/>
        </w:rPr>
        <w:t>with</w:t>
      </w:r>
      <w:r w:rsidRPr="004E52C2">
        <w:rPr>
          <w:rFonts w:cstheme="minorHAnsi"/>
          <w:bCs/>
          <w:sz w:val="24"/>
          <w:szCs w:val="24"/>
          <w:lang w:val="en-US"/>
        </w:rPr>
        <w:t xml:space="preserve"> Severe Hunger Without Wellness Sustainability 3.89%, these households face the most severe challenges in accessing food and wellness sustainability. This group suffers the most, as they lack both food and wellness. </w:t>
      </w:r>
    </w:p>
    <w:p w14:paraId="3ECB4373"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In conclusion, these findings indicate the importance of wellness sustainability in promoting food security. The data suggests that households with wellness sustainability exhibit lower rates of food insecurity, emphasizing the positive impact of such interventions in ensuring consistent access to proper and wholesome food. This highlights the significance of holistic approaches that address both hunger and broader dimensions of food security and well-being.</w:t>
      </w:r>
    </w:p>
    <w:p w14:paraId="16E75F49" w14:textId="4B21B27C" w:rsidR="00141B2C" w:rsidRPr="004E52C2" w:rsidRDefault="00141B2C" w:rsidP="00141B2C">
      <w:pPr>
        <w:rPr>
          <w:rFonts w:cstheme="minorHAnsi"/>
          <w:bCs/>
          <w:sz w:val="24"/>
          <w:szCs w:val="24"/>
          <w:lang w:val="en-US"/>
        </w:rPr>
      </w:pPr>
      <w:r w:rsidRPr="004E52C2">
        <w:rPr>
          <w:rFonts w:cstheme="minorHAnsi"/>
          <w:bCs/>
          <w:sz w:val="24"/>
          <w:szCs w:val="24"/>
          <w:lang w:val="en-US"/>
        </w:rPr>
        <w:t>Table 1</w:t>
      </w:r>
      <w:r w:rsidR="00D92B88">
        <w:rPr>
          <w:rFonts w:cstheme="minorHAnsi"/>
          <w:bCs/>
          <w:sz w:val="24"/>
          <w:szCs w:val="24"/>
          <w:lang w:val="en-US"/>
        </w:rPr>
        <w:t>4</w:t>
      </w:r>
      <w:r w:rsidRPr="004E52C2">
        <w:rPr>
          <w:rFonts w:cstheme="minorHAnsi"/>
          <w:bCs/>
          <w:sz w:val="24"/>
          <w:szCs w:val="24"/>
          <w:lang w:val="en-US"/>
        </w:rPr>
        <w:t>: Distribution of household by food security-wellness nexus</w:t>
      </w:r>
    </w:p>
    <w:tbl>
      <w:tblPr>
        <w:tblStyle w:val="TableGrid"/>
        <w:tblW w:w="9355" w:type="dxa"/>
        <w:tblInd w:w="0" w:type="dxa"/>
        <w:tblLook w:val="04A0" w:firstRow="1" w:lastRow="0" w:firstColumn="1" w:lastColumn="0" w:noHBand="0" w:noVBand="1"/>
      </w:tblPr>
      <w:tblGrid>
        <w:gridCol w:w="2245"/>
        <w:gridCol w:w="1530"/>
        <w:gridCol w:w="1800"/>
        <w:gridCol w:w="1890"/>
        <w:gridCol w:w="1890"/>
      </w:tblGrid>
      <w:tr w:rsidR="00141B2C" w:rsidRPr="004E52C2" w14:paraId="2B6FEB58" w14:textId="77777777" w:rsidTr="00D85854">
        <w:tc>
          <w:tcPr>
            <w:tcW w:w="2245" w:type="dxa"/>
            <w:tcBorders>
              <w:top w:val="single" w:sz="4" w:space="0" w:color="auto"/>
              <w:left w:val="single" w:sz="4" w:space="0" w:color="auto"/>
              <w:bottom w:val="single" w:sz="4" w:space="0" w:color="auto"/>
              <w:right w:val="single" w:sz="4" w:space="0" w:color="auto"/>
            </w:tcBorders>
            <w:hideMark/>
          </w:tcPr>
          <w:p w14:paraId="453F2918" w14:textId="77777777" w:rsidR="00141B2C" w:rsidRPr="004E52C2" w:rsidRDefault="00141B2C" w:rsidP="00141B2C">
            <w:pPr>
              <w:spacing w:after="160" w:line="259" w:lineRule="auto"/>
              <w:ind w:left="0" w:right="0" w:firstLine="0"/>
              <w:rPr>
                <w:rFonts w:cstheme="minorHAnsi"/>
                <w:b/>
                <w:bCs/>
                <w:sz w:val="24"/>
                <w:szCs w:val="24"/>
                <w:lang w:val="en-US"/>
              </w:rPr>
            </w:pPr>
            <w:r w:rsidRPr="004E52C2">
              <w:rPr>
                <w:rFonts w:cstheme="minorHAnsi"/>
                <w:b/>
                <w:bCs/>
                <w:sz w:val="24"/>
                <w:szCs w:val="24"/>
                <w:lang w:val="en-US"/>
              </w:rPr>
              <w:t>n=257</w:t>
            </w:r>
          </w:p>
        </w:tc>
        <w:tc>
          <w:tcPr>
            <w:tcW w:w="1530" w:type="dxa"/>
            <w:tcBorders>
              <w:top w:val="single" w:sz="4" w:space="0" w:color="auto"/>
              <w:left w:val="single" w:sz="4" w:space="0" w:color="auto"/>
              <w:bottom w:val="single" w:sz="4" w:space="0" w:color="auto"/>
              <w:right w:val="single" w:sz="4" w:space="0" w:color="auto"/>
            </w:tcBorders>
            <w:hideMark/>
          </w:tcPr>
          <w:p w14:paraId="231852B1" w14:textId="77777777" w:rsidR="00141B2C" w:rsidRPr="004E52C2" w:rsidRDefault="00141B2C" w:rsidP="00141B2C">
            <w:pPr>
              <w:spacing w:after="160" w:line="259" w:lineRule="auto"/>
              <w:ind w:left="0" w:right="0" w:firstLine="0"/>
              <w:rPr>
                <w:rFonts w:cstheme="minorHAnsi"/>
                <w:b/>
                <w:bCs/>
                <w:sz w:val="24"/>
                <w:szCs w:val="24"/>
                <w:lang w:val="en-US"/>
              </w:rPr>
            </w:pPr>
            <w:r w:rsidRPr="004E52C2">
              <w:rPr>
                <w:rFonts w:cstheme="minorHAnsi"/>
                <w:b/>
                <w:bCs/>
                <w:sz w:val="24"/>
                <w:szCs w:val="24"/>
                <w:lang w:val="en-US"/>
              </w:rPr>
              <w:t>Food Secure</w:t>
            </w:r>
          </w:p>
          <w:p w14:paraId="77290306" w14:textId="77777777" w:rsidR="00141B2C" w:rsidRPr="004E52C2" w:rsidRDefault="00141B2C" w:rsidP="00141B2C">
            <w:pPr>
              <w:spacing w:after="160" w:line="259" w:lineRule="auto"/>
              <w:ind w:left="0" w:right="0" w:firstLine="0"/>
              <w:rPr>
                <w:rFonts w:cstheme="minorHAnsi"/>
                <w:b/>
                <w:bCs/>
                <w:sz w:val="24"/>
                <w:szCs w:val="24"/>
                <w:lang w:val="en-US"/>
              </w:rPr>
            </w:pPr>
            <w:r w:rsidRPr="004E52C2">
              <w:rPr>
                <w:rFonts w:cstheme="minorHAnsi"/>
                <w:b/>
                <w:bCs/>
                <w:sz w:val="24"/>
                <w:szCs w:val="24"/>
                <w:lang w:val="en-US"/>
              </w:rPr>
              <w:t>(%)</w:t>
            </w:r>
          </w:p>
        </w:tc>
        <w:tc>
          <w:tcPr>
            <w:tcW w:w="1800" w:type="dxa"/>
            <w:tcBorders>
              <w:top w:val="single" w:sz="4" w:space="0" w:color="auto"/>
              <w:left w:val="single" w:sz="4" w:space="0" w:color="auto"/>
              <w:bottom w:val="single" w:sz="4" w:space="0" w:color="auto"/>
              <w:right w:val="single" w:sz="4" w:space="0" w:color="auto"/>
            </w:tcBorders>
            <w:hideMark/>
          </w:tcPr>
          <w:p w14:paraId="7B65FC41" w14:textId="77777777" w:rsidR="00141B2C" w:rsidRPr="004E52C2" w:rsidRDefault="00141B2C" w:rsidP="00141B2C">
            <w:pPr>
              <w:spacing w:after="160" w:line="259" w:lineRule="auto"/>
              <w:ind w:left="0" w:right="0" w:firstLine="0"/>
              <w:rPr>
                <w:rFonts w:cstheme="minorHAnsi"/>
                <w:b/>
                <w:bCs/>
                <w:sz w:val="24"/>
                <w:szCs w:val="24"/>
                <w:lang w:val="en-US"/>
              </w:rPr>
            </w:pPr>
            <w:r w:rsidRPr="004E52C2">
              <w:rPr>
                <w:rFonts w:cstheme="minorHAnsi"/>
                <w:b/>
                <w:bCs/>
                <w:sz w:val="24"/>
                <w:szCs w:val="24"/>
                <w:lang w:val="en-US"/>
              </w:rPr>
              <w:t>Food insecure without hunger (%)</w:t>
            </w:r>
          </w:p>
        </w:tc>
        <w:tc>
          <w:tcPr>
            <w:tcW w:w="1890" w:type="dxa"/>
            <w:tcBorders>
              <w:top w:val="single" w:sz="4" w:space="0" w:color="auto"/>
              <w:left w:val="single" w:sz="4" w:space="0" w:color="auto"/>
              <w:bottom w:val="single" w:sz="4" w:space="0" w:color="auto"/>
              <w:right w:val="single" w:sz="4" w:space="0" w:color="auto"/>
            </w:tcBorders>
            <w:hideMark/>
          </w:tcPr>
          <w:p w14:paraId="128B4C37" w14:textId="77777777" w:rsidR="00141B2C" w:rsidRPr="004E52C2" w:rsidRDefault="00141B2C" w:rsidP="00141B2C">
            <w:pPr>
              <w:spacing w:after="160" w:line="259" w:lineRule="auto"/>
              <w:ind w:left="0" w:right="0" w:firstLine="0"/>
              <w:rPr>
                <w:rFonts w:cstheme="minorHAnsi"/>
                <w:b/>
                <w:bCs/>
                <w:sz w:val="24"/>
                <w:szCs w:val="24"/>
                <w:lang w:val="en-US"/>
              </w:rPr>
            </w:pPr>
            <w:r w:rsidRPr="004E52C2">
              <w:rPr>
                <w:rFonts w:cstheme="minorHAnsi"/>
                <w:b/>
                <w:bCs/>
                <w:sz w:val="24"/>
                <w:szCs w:val="24"/>
                <w:lang w:val="en-US"/>
              </w:rPr>
              <w:t>Food insecure with moderate hunger (%)</w:t>
            </w:r>
          </w:p>
        </w:tc>
        <w:tc>
          <w:tcPr>
            <w:tcW w:w="1890" w:type="dxa"/>
            <w:tcBorders>
              <w:top w:val="single" w:sz="4" w:space="0" w:color="auto"/>
              <w:left w:val="single" w:sz="4" w:space="0" w:color="auto"/>
              <w:bottom w:val="single" w:sz="4" w:space="0" w:color="auto"/>
              <w:right w:val="single" w:sz="4" w:space="0" w:color="auto"/>
            </w:tcBorders>
            <w:hideMark/>
          </w:tcPr>
          <w:p w14:paraId="04F7A48A" w14:textId="77777777" w:rsidR="00141B2C" w:rsidRPr="004E52C2" w:rsidRDefault="00141B2C" w:rsidP="00141B2C">
            <w:pPr>
              <w:spacing w:after="160" w:line="259" w:lineRule="auto"/>
              <w:ind w:left="0" w:right="0" w:firstLine="0"/>
              <w:rPr>
                <w:rFonts w:cstheme="minorHAnsi"/>
                <w:b/>
                <w:bCs/>
                <w:sz w:val="24"/>
                <w:szCs w:val="24"/>
                <w:lang w:val="en-US"/>
              </w:rPr>
            </w:pPr>
            <w:r w:rsidRPr="004E52C2">
              <w:rPr>
                <w:rFonts w:cstheme="minorHAnsi"/>
                <w:b/>
                <w:bCs/>
                <w:sz w:val="24"/>
                <w:szCs w:val="24"/>
                <w:lang w:val="en-US"/>
              </w:rPr>
              <w:t>Food insecure with severe hunger (%)</w:t>
            </w:r>
          </w:p>
        </w:tc>
      </w:tr>
      <w:tr w:rsidR="00141B2C" w:rsidRPr="004E52C2" w14:paraId="6D41EF51" w14:textId="77777777" w:rsidTr="00D85854">
        <w:tc>
          <w:tcPr>
            <w:tcW w:w="2245" w:type="dxa"/>
            <w:tcBorders>
              <w:top w:val="single" w:sz="4" w:space="0" w:color="auto"/>
              <w:left w:val="single" w:sz="4" w:space="0" w:color="auto"/>
              <w:bottom w:val="single" w:sz="4" w:space="0" w:color="auto"/>
              <w:right w:val="single" w:sz="4" w:space="0" w:color="auto"/>
            </w:tcBorders>
            <w:hideMark/>
          </w:tcPr>
          <w:p w14:paraId="7FA4650F" w14:textId="77777777" w:rsidR="00141B2C" w:rsidRPr="004E52C2" w:rsidRDefault="00141B2C" w:rsidP="00141B2C">
            <w:pPr>
              <w:spacing w:after="160" w:line="259" w:lineRule="auto"/>
              <w:ind w:left="0" w:right="0" w:firstLine="0"/>
              <w:rPr>
                <w:rFonts w:cstheme="minorHAnsi"/>
                <w:b/>
                <w:bCs/>
                <w:sz w:val="24"/>
                <w:szCs w:val="24"/>
                <w:lang w:val="en-US"/>
              </w:rPr>
            </w:pPr>
            <w:r w:rsidRPr="004E52C2">
              <w:rPr>
                <w:rFonts w:cstheme="minorHAnsi"/>
                <w:b/>
                <w:bCs/>
                <w:sz w:val="24"/>
                <w:szCs w:val="24"/>
                <w:lang w:val="en-US"/>
              </w:rPr>
              <w:t xml:space="preserve">With Wellness sustainability </w:t>
            </w:r>
          </w:p>
        </w:tc>
        <w:tc>
          <w:tcPr>
            <w:tcW w:w="1530" w:type="dxa"/>
            <w:tcBorders>
              <w:top w:val="single" w:sz="4" w:space="0" w:color="auto"/>
              <w:left w:val="single" w:sz="4" w:space="0" w:color="auto"/>
              <w:bottom w:val="single" w:sz="4" w:space="0" w:color="auto"/>
              <w:right w:val="single" w:sz="4" w:space="0" w:color="auto"/>
            </w:tcBorders>
            <w:hideMark/>
          </w:tcPr>
          <w:p w14:paraId="60C5E556" w14:textId="77777777" w:rsidR="00141B2C" w:rsidRPr="004E52C2" w:rsidRDefault="00141B2C" w:rsidP="00141B2C">
            <w:pPr>
              <w:spacing w:after="160" w:line="259" w:lineRule="auto"/>
              <w:ind w:left="0" w:right="0" w:firstLine="0"/>
              <w:rPr>
                <w:rFonts w:cstheme="minorHAnsi"/>
                <w:bCs/>
                <w:sz w:val="24"/>
                <w:szCs w:val="24"/>
                <w:lang w:val="en-US"/>
              </w:rPr>
            </w:pPr>
            <w:r w:rsidRPr="004E52C2">
              <w:rPr>
                <w:rFonts w:cstheme="minorHAnsi"/>
                <w:bCs/>
                <w:sz w:val="24"/>
                <w:szCs w:val="24"/>
                <w:lang w:val="en-US"/>
              </w:rPr>
              <w:t>10.51</w:t>
            </w:r>
          </w:p>
        </w:tc>
        <w:tc>
          <w:tcPr>
            <w:tcW w:w="1800" w:type="dxa"/>
            <w:tcBorders>
              <w:top w:val="single" w:sz="4" w:space="0" w:color="auto"/>
              <w:left w:val="single" w:sz="4" w:space="0" w:color="auto"/>
              <w:bottom w:val="single" w:sz="4" w:space="0" w:color="auto"/>
              <w:right w:val="single" w:sz="4" w:space="0" w:color="auto"/>
            </w:tcBorders>
            <w:hideMark/>
          </w:tcPr>
          <w:p w14:paraId="22FBFBDF" w14:textId="77777777" w:rsidR="00141B2C" w:rsidRPr="004E52C2" w:rsidRDefault="00141B2C" w:rsidP="00141B2C">
            <w:pPr>
              <w:spacing w:after="160" w:line="259" w:lineRule="auto"/>
              <w:ind w:left="0" w:right="0" w:firstLine="0"/>
              <w:rPr>
                <w:rFonts w:cstheme="minorHAnsi"/>
                <w:bCs/>
                <w:sz w:val="24"/>
                <w:szCs w:val="24"/>
                <w:lang w:val="en-US"/>
              </w:rPr>
            </w:pPr>
            <w:r w:rsidRPr="004E52C2">
              <w:rPr>
                <w:rFonts w:cstheme="minorHAnsi"/>
                <w:bCs/>
                <w:sz w:val="24"/>
                <w:szCs w:val="24"/>
                <w:lang w:val="en-US"/>
              </w:rPr>
              <w:t>14.01</w:t>
            </w:r>
          </w:p>
        </w:tc>
        <w:tc>
          <w:tcPr>
            <w:tcW w:w="1890" w:type="dxa"/>
            <w:tcBorders>
              <w:top w:val="single" w:sz="4" w:space="0" w:color="auto"/>
              <w:left w:val="single" w:sz="4" w:space="0" w:color="auto"/>
              <w:bottom w:val="single" w:sz="4" w:space="0" w:color="auto"/>
              <w:right w:val="single" w:sz="4" w:space="0" w:color="auto"/>
            </w:tcBorders>
            <w:hideMark/>
          </w:tcPr>
          <w:p w14:paraId="37FA5581" w14:textId="77777777" w:rsidR="00141B2C" w:rsidRPr="004E52C2" w:rsidRDefault="00141B2C" w:rsidP="00141B2C">
            <w:pPr>
              <w:spacing w:after="160" w:line="259" w:lineRule="auto"/>
              <w:ind w:left="0" w:right="0" w:firstLine="0"/>
              <w:rPr>
                <w:rFonts w:cstheme="minorHAnsi"/>
                <w:bCs/>
                <w:sz w:val="24"/>
                <w:szCs w:val="24"/>
                <w:lang w:val="en-US"/>
              </w:rPr>
            </w:pPr>
            <w:r w:rsidRPr="004E52C2">
              <w:rPr>
                <w:rFonts w:cstheme="minorHAnsi"/>
                <w:bCs/>
                <w:sz w:val="24"/>
                <w:szCs w:val="24"/>
                <w:lang w:val="en-US"/>
              </w:rPr>
              <w:t>6.23</w:t>
            </w:r>
          </w:p>
        </w:tc>
        <w:tc>
          <w:tcPr>
            <w:tcW w:w="1890" w:type="dxa"/>
            <w:tcBorders>
              <w:top w:val="single" w:sz="4" w:space="0" w:color="auto"/>
              <w:left w:val="single" w:sz="4" w:space="0" w:color="auto"/>
              <w:bottom w:val="single" w:sz="4" w:space="0" w:color="auto"/>
              <w:right w:val="single" w:sz="4" w:space="0" w:color="auto"/>
            </w:tcBorders>
            <w:hideMark/>
          </w:tcPr>
          <w:p w14:paraId="19AF183F" w14:textId="77777777" w:rsidR="00141B2C" w:rsidRPr="004E52C2" w:rsidRDefault="00141B2C" w:rsidP="00141B2C">
            <w:pPr>
              <w:spacing w:after="160" w:line="259" w:lineRule="auto"/>
              <w:ind w:left="0" w:right="0" w:firstLine="0"/>
              <w:rPr>
                <w:rFonts w:cstheme="minorHAnsi"/>
                <w:bCs/>
                <w:sz w:val="24"/>
                <w:szCs w:val="24"/>
                <w:lang w:val="en-US"/>
              </w:rPr>
            </w:pPr>
            <w:r w:rsidRPr="004E52C2">
              <w:rPr>
                <w:rFonts w:cstheme="minorHAnsi"/>
                <w:bCs/>
                <w:sz w:val="24"/>
                <w:szCs w:val="24"/>
                <w:lang w:val="en-US"/>
              </w:rPr>
              <w:t>2.33</w:t>
            </w:r>
          </w:p>
        </w:tc>
      </w:tr>
      <w:tr w:rsidR="00141B2C" w:rsidRPr="004E52C2" w14:paraId="794DAF8D" w14:textId="77777777" w:rsidTr="00D85854">
        <w:tc>
          <w:tcPr>
            <w:tcW w:w="2245" w:type="dxa"/>
            <w:tcBorders>
              <w:top w:val="single" w:sz="4" w:space="0" w:color="auto"/>
              <w:left w:val="single" w:sz="4" w:space="0" w:color="auto"/>
              <w:bottom w:val="single" w:sz="4" w:space="0" w:color="auto"/>
              <w:right w:val="single" w:sz="4" w:space="0" w:color="auto"/>
            </w:tcBorders>
            <w:hideMark/>
          </w:tcPr>
          <w:p w14:paraId="1586ECBE" w14:textId="77777777" w:rsidR="00141B2C" w:rsidRPr="004E52C2" w:rsidRDefault="00141B2C" w:rsidP="00141B2C">
            <w:pPr>
              <w:spacing w:after="160" w:line="259" w:lineRule="auto"/>
              <w:ind w:left="0" w:right="0" w:firstLine="0"/>
              <w:rPr>
                <w:rFonts w:cstheme="minorHAnsi"/>
                <w:b/>
                <w:bCs/>
                <w:sz w:val="24"/>
                <w:szCs w:val="24"/>
                <w:lang w:val="en-US"/>
              </w:rPr>
            </w:pPr>
            <w:r w:rsidRPr="004E52C2">
              <w:rPr>
                <w:rFonts w:cstheme="minorHAnsi"/>
                <w:b/>
                <w:bCs/>
                <w:sz w:val="24"/>
                <w:szCs w:val="24"/>
                <w:lang w:val="en-US"/>
              </w:rPr>
              <w:t>Without Wellness sustainability</w:t>
            </w:r>
          </w:p>
        </w:tc>
        <w:tc>
          <w:tcPr>
            <w:tcW w:w="1530" w:type="dxa"/>
            <w:tcBorders>
              <w:top w:val="single" w:sz="4" w:space="0" w:color="auto"/>
              <w:left w:val="single" w:sz="4" w:space="0" w:color="auto"/>
              <w:bottom w:val="single" w:sz="4" w:space="0" w:color="auto"/>
              <w:right w:val="single" w:sz="4" w:space="0" w:color="auto"/>
            </w:tcBorders>
            <w:hideMark/>
          </w:tcPr>
          <w:p w14:paraId="7434E14E" w14:textId="77777777" w:rsidR="00141B2C" w:rsidRPr="004E52C2" w:rsidRDefault="00141B2C" w:rsidP="00141B2C">
            <w:pPr>
              <w:spacing w:after="160" w:line="259" w:lineRule="auto"/>
              <w:ind w:left="0" w:right="0" w:firstLine="0"/>
              <w:rPr>
                <w:rFonts w:cstheme="minorHAnsi"/>
                <w:bCs/>
                <w:sz w:val="24"/>
                <w:szCs w:val="24"/>
                <w:lang w:val="en-US"/>
              </w:rPr>
            </w:pPr>
            <w:r w:rsidRPr="004E52C2">
              <w:rPr>
                <w:rFonts w:cstheme="minorHAnsi"/>
                <w:bCs/>
                <w:sz w:val="24"/>
                <w:szCs w:val="24"/>
                <w:lang w:val="en-US"/>
              </w:rPr>
              <w:t>19.07</w:t>
            </w:r>
          </w:p>
        </w:tc>
        <w:tc>
          <w:tcPr>
            <w:tcW w:w="1800" w:type="dxa"/>
            <w:tcBorders>
              <w:top w:val="single" w:sz="4" w:space="0" w:color="auto"/>
              <w:left w:val="single" w:sz="4" w:space="0" w:color="auto"/>
              <w:bottom w:val="single" w:sz="4" w:space="0" w:color="auto"/>
              <w:right w:val="single" w:sz="4" w:space="0" w:color="auto"/>
            </w:tcBorders>
            <w:hideMark/>
          </w:tcPr>
          <w:p w14:paraId="2BB45497" w14:textId="77777777" w:rsidR="00141B2C" w:rsidRPr="004E52C2" w:rsidRDefault="00141B2C" w:rsidP="00141B2C">
            <w:pPr>
              <w:spacing w:after="160" w:line="259" w:lineRule="auto"/>
              <w:ind w:left="0" w:right="0" w:firstLine="0"/>
              <w:rPr>
                <w:rFonts w:cstheme="minorHAnsi"/>
                <w:bCs/>
                <w:sz w:val="24"/>
                <w:szCs w:val="24"/>
                <w:lang w:val="en-US"/>
              </w:rPr>
            </w:pPr>
            <w:r w:rsidRPr="004E52C2">
              <w:rPr>
                <w:rFonts w:cstheme="minorHAnsi"/>
                <w:bCs/>
                <w:sz w:val="24"/>
                <w:szCs w:val="24"/>
                <w:lang w:val="en-US"/>
              </w:rPr>
              <w:t>36.19</w:t>
            </w:r>
          </w:p>
        </w:tc>
        <w:tc>
          <w:tcPr>
            <w:tcW w:w="1890" w:type="dxa"/>
            <w:tcBorders>
              <w:top w:val="single" w:sz="4" w:space="0" w:color="auto"/>
              <w:left w:val="single" w:sz="4" w:space="0" w:color="auto"/>
              <w:bottom w:val="single" w:sz="4" w:space="0" w:color="auto"/>
              <w:right w:val="single" w:sz="4" w:space="0" w:color="auto"/>
            </w:tcBorders>
            <w:hideMark/>
          </w:tcPr>
          <w:p w14:paraId="401DE405" w14:textId="77777777" w:rsidR="00141B2C" w:rsidRPr="004E52C2" w:rsidRDefault="00141B2C" w:rsidP="00141B2C">
            <w:pPr>
              <w:spacing w:after="160" w:line="259" w:lineRule="auto"/>
              <w:ind w:left="0" w:right="0" w:firstLine="0"/>
              <w:rPr>
                <w:rFonts w:cstheme="minorHAnsi"/>
                <w:bCs/>
                <w:sz w:val="24"/>
                <w:szCs w:val="24"/>
                <w:lang w:val="en-US"/>
              </w:rPr>
            </w:pPr>
            <w:r w:rsidRPr="004E52C2">
              <w:rPr>
                <w:rFonts w:cstheme="minorHAnsi"/>
                <w:bCs/>
                <w:sz w:val="24"/>
                <w:szCs w:val="24"/>
                <w:lang w:val="en-US"/>
              </w:rPr>
              <w:t>7.78</w:t>
            </w:r>
          </w:p>
        </w:tc>
        <w:tc>
          <w:tcPr>
            <w:tcW w:w="1890" w:type="dxa"/>
            <w:tcBorders>
              <w:top w:val="single" w:sz="4" w:space="0" w:color="auto"/>
              <w:left w:val="single" w:sz="4" w:space="0" w:color="auto"/>
              <w:bottom w:val="single" w:sz="4" w:space="0" w:color="auto"/>
              <w:right w:val="single" w:sz="4" w:space="0" w:color="auto"/>
            </w:tcBorders>
            <w:hideMark/>
          </w:tcPr>
          <w:p w14:paraId="55C17260" w14:textId="77777777" w:rsidR="00141B2C" w:rsidRPr="004E52C2" w:rsidRDefault="00141B2C" w:rsidP="00141B2C">
            <w:pPr>
              <w:spacing w:after="160" w:line="259" w:lineRule="auto"/>
              <w:ind w:left="0" w:right="0" w:firstLine="0"/>
              <w:rPr>
                <w:rFonts w:cstheme="minorHAnsi"/>
                <w:bCs/>
                <w:sz w:val="24"/>
                <w:szCs w:val="24"/>
                <w:lang w:val="en-US"/>
              </w:rPr>
            </w:pPr>
            <w:r w:rsidRPr="004E52C2">
              <w:rPr>
                <w:rFonts w:cstheme="minorHAnsi"/>
                <w:bCs/>
                <w:sz w:val="24"/>
                <w:szCs w:val="24"/>
                <w:lang w:val="en-US"/>
              </w:rPr>
              <w:t>3.89</w:t>
            </w:r>
          </w:p>
        </w:tc>
      </w:tr>
    </w:tbl>
    <w:p w14:paraId="3454BCE5"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Source: Field survey, 2023.</w:t>
      </w:r>
    </w:p>
    <w:p w14:paraId="31DF5CA8" w14:textId="77777777" w:rsidR="00141B2C" w:rsidRPr="004E52C2" w:rsidRDefault="00141B2C" w:rsidP="00141B2C">
      <w:pPr>
        <w:rPr>
          <w:rFonts w:cstheme="minorHAnsi"/>
          <w:b/>
          <w:bCs/>
          <w:sz w:val="24"/>
          <w:szCs w:val="24"/>
          <w:lang w:val="en-US"/>
        </w:rPr>
      </w:pPr>
    </w:p>
    <w:p w14:paraId="60F26D19" w14:textId="22C7B24A" w:rsidR="00141B2C" w:rsidRPr="004E52C2" w:rsidRDefault="00B5477B" w:rsidP="00141B2C">
      <w:pPr>
        <w:rPr>
          <w:rFonts w:cstheme="minorHAnsi"/>
          <w:b/>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.4.2 Factors Influencing Household Wellness Sustainability By Food Security Categories</w:t>
      </w:r>
    </w:p>
    <w:p w14:paraId="4F5050A4" w14:textId="4F67B9AB" w:rsidR="00141B2C" w:rsidRPr="004E52C2" w:rsidRDefault="00B5477B" w:rsidP="00141B2C">
      <w:pPr>
        <w:rPr>
          <w:rFonts w:cstheme="minorHAnsi"/>
          <w:b/>
          <w:bCs/>
          <w:sz w:val="24"/>
          <w:szCs w:val="24"/>
          <w:lang w:val="en-US"/>
        </w:rPr>
      </w:pPr>
      <w:r w:rsidRPr="004E52C2">
        <w:rPr>
          <w:rFonts w:cstheme="minorHAnsi"/>
          <w:b/>
          <w:bCs/>
          <w:sz w:val="24"/>
          <w:szCs w:val="24"/>
          <w:lang w:val="en-US"/>
        </w:rPr>
        <w:lastRenderedPageBreak/>
        <w:t>3</w:t>
      </w:r>
      <w:r w:rsidR="00141B2C" w:rsidRPr="004E52C2">
        <w:rPr>
          <w:rFonts w:cstheme="minorHAnsi"/>
          <w:b/>
          <w:bCs/>
          <w:sz w:val="24"/>
          <w:szCs w:val="24"/>
          <w:lang w:val="en-US"/>
        </w:rPr>
        <w:t>.2.1 Factors Influencing Households to Attain Wellness Sustainability by Food Security Status.</w:t>
      </w:r>
    </w:p>
    <w:p w14:paraId="57328762" w14:textId="77777777" w:rsidR="00141B2C" w:rsidRPr="004E52C2" w:rsidRDefault="00141B2C" w:rsidP="00D85854">
      <w:pPr>
        <w:jc w:val="both"/>
        <w:rPr>
          <w:rFonts w:cstheme="minorHAnsi"/>
          <w:bCs/>
          <w:sz w:val="24"/>
          <w:szCs w:val="24"/>
          <w:lang w:val="en-US"/>
        </w:rPr>
      </w:pPr>
      <w:r w:rsidRPr="004E52C2">
        <w:rPr>
          <w:rFonts w:cstheme="minorHAnsi"/>
          <w:bCs/>
          <w:sz w:val="24"/>
          <w:szCs w:val="24"/>
          <w:lang w:val="en-US"/>
        </w:rPr>
        <w:t xml:space="preserve">The table below shows the results of a series of logistic regressions of the factors influencing a household to attain wellness sustainability by food security status. </w:t>
      </w:r>
    </w:p>
    <w:p w14:paraId="48809258" w14:textId="77777777" w:rsidR="00141B2C" w:rsidRPr="004E52C2" w:rsidRDefault="00141B2C" w:rsidP="00D85854">
      <w:pPr>
        <w:jc w:val="both"/>
        <w:rPr>
          <w:rFonts w:cstheme="minorHAnsi"/>
          <w:bCs/>
          <w:sz w:val="24"/>
          <w:szCs w:val="24"/>
          <w:lang w:val="en-US"/>
        </w:rPr>
      </w:pPr>
      <w:r w:rsidRPr="004E52C2">
        <w:rPr>
          <w:rFonts w:cstheme="minorHAnsi"/>
          <w:bCs/>
          <w:sz w:val="24"/>
          <w:szCs w:val="24"/>
          <w:lang w:val="en-US"/>
        </w:rPr>
        <w:t>For food Secure with wellness sustainability: Age of the Household head is significant at 10%. The marginal effect of -0.003 means for every unit increase in the age of the household head, the probability of being food secure with wellness sustainability decreases by 0.3%. This suggests that older household heads are more likely to experience food insecurity. Location of Household is significant at 1%. The marginal effect of 0.108 means that a household's location increases the probability of the household being food secure with wellness sustainability by 10.8%. This suggests that the locality of a household influences the household’s wellness sustainability towards being food secure.</w:t>
      </w:r>
    </w:p>
    <w:p w14:paraId="077B0859" w14:textId="77777777" w:rsidR="00141B2C" w:rsidRPr="004E52C2" w:rsidRDefault="00141B2C" w:rsidP="00D85854">
      <w:pPr>
        <w:jc w:val="both"/>
        <w:rPr>
          <w:rFonts w:cstheme="minorHAnsi"/>
          <w:bCs/>
          <w:sz w:val="24"/>
          <w:szCs w:val="24"/>
          <w:lang w:val="en-US"/>
        </w:rPr>
      </w:pPr>
      <w:r w:rsidRPr="004E52C2">
        <w:rPr>
          <w:rFonts w:cstheme="minorHAnsi"/>
          <w:bCs/>
          <w:sz w:val="24"/>
          <w:szCs w:val="24"/>
          <w:lang w:val="en-US"/>
        </w:rPr>
        <w:t xml:space="preserve">Food Insecure without Hunger with wellness sustainability: The marital status of the Household head is significant at 10%. The marginal effect of 0.088 means the household head's marital status increases the probability of attaining wellness sustainability in the food insecure without hunger category by 8.8%. Being married is associated with being food insecure without hunger with wellness sustainability. The primary occupation of the household head is significant at 10%. The marginal effect of -0.157 means that the primary occupation of the household head decreases the probability of the household attaining wellness sustainability in the food insecure without hunger category by 15.7%. This suggests that having a farming occupation decreases your probability of being food insecure with wellness sustainability. </w:t>
      </w:r>
    </w:p>
    <w:p w14:paraId="15FBF1A9" w14:textId="77777777" w:rsidR="00141B2C" w:rsidRPr="004E52C2" w:rsidRDefault="00141B2C" w:rsidP="00D85854">
      <w:pPr>
        <w:jc w:val="both"/>
        <w:rPr>
          <w:rFonts w:cstheme="minorHAnsi"/>
          <w:bCs/>
          <w:sz w:val="24"/>
          <w:szCs w:val="24"/>
          <w:lang w:val="en-US"/>
        </w:rPr>
      </w:pPr>
      <w:r w:rsidRPr="004E52C2">
        <w:rPr>
          <w:rFonts w:cstheme="minorHAnsi"/>
          <w:bCs/>
          <w:sz w:val="24"/>
          <w:szCs w:val="24"/>
          <w:lang w:val="en-US"/>
        </w:rPr>
        <w:t xml:space="preserve">Food Insecure with Moderate Hunger: Location of Households is significant at 5%. The marginal effect of -0.124 means that the location of a household decreases the probability of the household attaining wellness sustainability in the food insecure with moderate hunger category by 12.4%. Living in a sparsely populated area decreases a household's likelihood of being food insecure, with moderate hunger, while attaining wellness sustainability. </w:t>
      </w:r>
    </w:p>
    <w:p w14:paraId="7D72A420" w14:textId="77777777" w:rsidR="00141B2C" w:rsidRPr="004E52C2" w:rsidRDefault="00141B2C" w:rsidP="00D85854">
      <w:pPr>
        <w:jc w:val="both"/>
        <w:rPr>
          <w:rFonts w:cstheme="minorHAnsi"/>
          <w:bCs/>
          <w:sz w:val="24"/>
          <w:szCs w:val="24"/>
          <w:lang w:val="en-US"/>
        </w:rPr>
      </w:pPr>
      <w:r w:rsidRPr="004E52C2">
        <w:rPr>
          <w:rFonts w:cstheme="minorHAnsi"/>
          <w:bCs/>
          <w:sz w:val="24"/>
          <w:szCs w:val="24"/>
          <w:lang w:val="en-US"/>
        </w:rPr>
        <w:t>Food Insecure with Severe Hunger: Age of the Household head is significant at 1%. The marginal effect of -0.003 means that for every unit increase in the age of the household head, the probability of the household attaining wellness sustainability in the food insecure with severe hunger category decreases by 0.3%. This suggests that older household heads are less likely to experience food insecurity with severe hunger while attaining wellness sustainability. The monthly income of the Household head is significant at 5%. The marginal effect of 7.67e-07 means that the unit increase per naira in the monthly income of the household head increases the probability of the household attaining wellness sustainability in the food insecure with severe hunger category by 0.000077%</w:t>
      </w:r>
    </w:p>
    <w:p w14:paraId="320F679F" w14:textId="77777777" w:rsidR="00141B2C" w:rsidRPr="004E52C2" w:rsidRDefault="00141B2C" w:rsidP="00141B2C">
      <w:pPr>
        <w:rPr>
          <w:rFonts w:cstheme="minorHAnsi"/>
          <w:bCs/>
          <w:sz w:val="24"/>
          <w:szCs w:val="24"/>
          <w:lang w:val="en-US"/>
        </w:rPr>
      </w:pPr>
    </w:p>
    <w:p w14:paraId="14070C51"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br w:type="page"/>
      </w:r>
    </w:p>
    <w:p w14:paraId="6D7032D3" w14:textId="4C08EB6C" w:rsidR="00141B2C" w:rsidRPr="004E52C2" w:rsidRDefault="00141B2C" w:rsidP="00141B2C">
      <w:pPr>
        <w:rPr>
          <w:rFonts w:cstheme="minorHAnsi"/>
          <w:bCs/>
          <w:sz w:val="24"/>
          <w:szCs w:val="24"/>
          <w:lang w:val="en-US"/>
        </w:rPr>
      </w:pPr>
      <w:r w:rsidRPr="004E52C2">
        <w:rPr>
          <w:rFonts w:cstheme="minorHAnsi"/>
          <w:bCs/>
          <w:sz w:val="24"/>
          <w:szCs w:val="24"/>
          <w:lang w:val="en-US"/>
        </w:rPr>
        <w:lastRenderedPageBreak/>
        <w:t>Table 1</w:t>
      </w:r>
      <w:r w:rsidR="00D92B88">
        <w:rPr>
          <w:rFonts w:cstheme="minorHAnsi"/>
          <w:bCs/>
          <w:sz w:val="24"/>
          <w:szCs w:val="24"/>
          <w:lang w:val="en-US"/>
        </w:rPr>
        <w:t>5</w:t>
      </w:r>
      <w:r w:rsidRPr="004E52C2">
        <w:rPr>
          <w:rFonts w:cstheme="minorHAnsi"/>
          <w:bCs/>
          <w:sz w:val="24"/>
          <w:szCs w:val="24"/>
          <w:lang w:val="en-US"/>
        </w:rPr>
        <w:t xml:space="preserve">: Logit Regression Showing the Factors influencing households to attain wellness sustainability by food security status. </w:t>
      </w:r>
    </w:p>
    <w:tbl>
      <w:tblPr>
        <w:tblStyle w:val="TableGrid1"/>
        <w:tblW w:w="10080" w:type="dxa"/>
        <w:tblInd w:w="-5"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3150"/>
        <w:gridCol w:w="1530"/>
        <w:gridCol w:w="1800"/>
        <w:gridCol w:w="1800"/>
        <w:gridCol w:w="1800"/>
      </w:tblGrid>
      <w:tr w:rsidR="00141B2C" w:rsidRPr="004E52C2" w14:paraId="16B2C82C" w14:textId="77777777" w:rsidTr="00D85854">
        <w:tc>
          <w:tcPr>
            <w:tcW w:w="3150" w:type="dxa"/>
            <w:tcBorders>
              <w:top w:val="single" w:sz="4" w:space="0" w:color="auto"/>
              <w:left w:val="nil"/>
              <w:bottom w:val="single" w:sz="4" w:space="0" w:color="auto"/>
              <w:right w:val="nil"/>
            </w:tcBorders>
            <w:hideMark/>
          </w:tcPr>
          <w:p w14:paraId="045AB9B9"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Variables</w:t>
            </w:r>
          </w:p>
        </w:tc>
        <w:tc>
          <w:tcPr>
            <w:tcW w:w="1530" w:type="dxa"/>
            <w:tcBorders>
              <w:top w:val="single" w:sz="4" w:space="0" w:color="auto"/>
              <w:left w:val="nil"/>
              <w:bottom w:val="single" w:sz="4" w:space="0" w:color="auto"/>
              <w:right w:val="nil"/>
            </w:tcBorders>
            <w:hideMark/>
          </w:tcPr>
          <w:p w14:paraId="2793A56E"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Food secure (dy/dx)</w:t>
            </w:r>
          </w:p>
        </w:tc>
        <w:tc>
          <w:tcPr>
            <w:tcW w:w="1800" w:type="dxa"/>
            <w:tcBorders>
              <w:top w:val="single" w:sz="4" w:space="0" w:color="auto"/>
              <w:left w:val="nil"/>
              <w:bottom w:val="single" w:sz="4" w:space="0" w:color="auto"/>
              <w:right w:val="nil"/>
            </w:tcBorders>
            <w:hideMark/>
          </w:tcPr>
          <w:p w14:paraId="663E41C7"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Food Insecure without hunger (dy/dx)</w:t>
            </w:r>
          </w:p>
        </w:tc>
        <w:tc>
          <w:tcPr>
            <w:tcW w:w="1800" w:type="dxa"/>
            <w:tcBorders>
              <w:top w:val="single" w:sz="4" w:space="0" w:color="auto"/>
              <w:left w:val="nil"/>
              <w:bottom w:val="single" w:sz="4" w:space="0" w:color="auto"/>
              <w:right w:val="nil"/>
            </w:tcBorders>
            <w:hideMark/>
          </w:tcPr>
          <w:p w14:paraId="7D6E60CE"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Food Insecure with Moderate hunger (dy/dx)</w:t>
            </w:r>
          </w:p>
        </w:tc>
        <w:tc>
          <w:tcPr>
            <w:tcW w:w="1800" w:type="dxa"/>
            <w:tcBorders>
              <w:top w:val="single" w:sz="4" w:space="0" w:color="auto"/>
              <w:left w:val="nil"/>
              <w:bottom w:val="single" w:sz="4" w:space="0" w:color="auto"/>
              <w:right w:val="nil"/>
            </w:tcBorders>
            <w:hideMark/>
          </w:tcPr>
          <w:p w14:paraId="0E84C629"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Food Insecure with Severe hunger (dy/dx)</w:t>
            </w:r>
          </w:p>
        </w:tc>
      </w:tr>
      <w:tr w:rsidR="00141B2C" w:rsidRPr="004E52C2" w14:paraId="3A21C479" w14:textId="77777777" w:rsidTr="00D85854">
        <w:tc>
          <w:tcPr>
            <w:tcW w:w="3150" w:type="dxa"/>
            <w:tcBorders>
              <w:top w:val="single" w:sz="4" w:space="0" w:color="auto"/>
              <w:left w:val="nil"/>
              <w:bottom w:val="single" w:sz="4" w:space="0" w:color="auto"/>
              <w:right w:val="nil"/>
            </w:tcBorders>
            <w:hideMark/>
          </w:tcPr>
          <w:p w14:paraId="63B5F914"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Sex of Household head</w:t>
            </w:r>
          </w:p>
        </w:tc>
        <w:tc>
          <w:tcPr>
            <w:tcW w:w="1530" w:type="dxa"/>
            <w:tcBorders>
              <w:top w:val="single" w:sz="4" w:space="0" w:color="auto"/>
              <w:left w:val="nil"/>
              <w:bottom w:val="single" w:sz="4" w:space="0" w:color="auto"/>
              <w:right w:val="nil"/>
            </w:tcBorders>
            <w:vAlign w:val="center"/>
            <w:hideMark/>
          </w:tcPr>
          <w:p w14:paraId="57215DD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0.0454 (0.051)</w:t>
            </w:r>
          </w:p>
        </w:tc>
        <w:tc>
          <w:tcPr>
            <w:tcW w:w="1800" w:type="dxa"/>
            <w:tcBorders>
              <w:top w:val="single" w:sz="4" w:space="0" w:color="auto"/>
              <w:left w:val="nil"/>
              <w:bottom w:val="single" w:sz="4" w:space="0" w:color="auto"/>
              <w:right w:val="nil"/>
            </w:tcBorders>
            <w:vAlign w:val="center"/>
            <w:hideMark/>
          </w:tcPr>
          <w:p w14:paraId="3619D853"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-0.056</w:t>
            </w:r>
          </w:p>
          <w:p w14:paraId="188CAC1D"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(0.048)</w:t>
            </w:r>
          </w:p>
        </w:tc>
        <w:tc>
          <w:tcPr>
            <w:tcW w:w="1800" w:type="dxa"/>
            <w:tcBorders>
              <w:top w:val="single" w:sz="4" w:space="0" w:color="auto"/>
              <w:left w:val="nil"/>
              <w:bottom w:val="single" w:sz="4" w:space="0" w:color="auto"/>
              <w:right w:val="nil"/>
            </w:tcBorders>
            <w:vAlign w:val="center"/>
            <w:hideMark/>
          </w:tcPr>
          <w:p w14:paraId="67B3A4B5"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-0.004</w:t>
            </w:r>
          </w:p>
          <w:p w14:paraId="71C29B3A"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(0.036)</w:t>
            </w:r>
          </w:p>
        </w:tc>
        <w:tc>
          <w:tcPr>
            <w:tcW w:w="1800" w:type="dxa"/>
            <w:tcBorders>
              <w:top w:val="single" w:sz="4" w:space="0" w:color="auto"/>
              <w:left w:val="nil"/>
              <w:bottom w:val="single" w:sz="4" w:space="0" w:color="auto"/>
              <w:right w:val="nil"/>
            </w:tcBorders>
            <w:vAlign w:val="center"/>
            <w:hideMark/>
          </w:tcPr>
          <w:p w14:paraId="51C9FA5A"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-0.006</w:t>
            </w:r>
          </w:p>
          <w:p w14:paraId="4C963951"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(0.023)</w:t>
            </w:r>
          </w:p>
        </w:tc>
      </w:tr>
      <w:tr w:rsidR="00141B2C" w:rsidRPr="004E52C2" w14:paraId="1BF9D768" w14:textId="77777777" w:rsidTr="00D85854">
        <w:tc>
          <w:tcPr>
            <w:tcW w:w="3150" w:type="dxa"/>
            <w:tcBorders>
              <w:top w:val="single" w:sz="4" w:space="0" w:color="auto"/>
              <w:left w:val="nil"/>
              <w:bottom w:val="single" w:sz="4" w:space="0" w:color="auto"/>
              <w:right w:val="nil"/>
            </w:tcBorders>
            <w:hideMark/>
          </w:tcPr>
          <w:p w14:paraId="3C7B2CF3"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 xml:space="preserve">Age of Household head </w:t>
            </w:r>
          </w:p>
        </w:tc>
        <w:tc>
          <w:tcPr>
            <w:tcW w:w="1530" w:type="dxa"/>
            <w:tcBorders>
              <w:top w:val="single" w:sz="4" w:space="0" w:color="auto"/>
              <w:left w:val="nil"/>
              <w:bottom w:val="single" w:sz="4" w:space="0" w:color="auto"/>
              <w:right w:val="nil"/>
            </w:tcBorders>
            <w:vAlign w:val="center"/>
            <w:hideMark/>
          </w:tcPr>
          <w:p w14:paraId="5C783BB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-0.003*</w:t>
            </w:r>
          </w:p>
          <w:p w14:paraId="0B96F834"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(0.002)</w:t>
            </w:r>
          </w:p>
        </w:tc>
        <w:tc>
          <w:tcPr>
            <w:tcW w:w="1800" w:type="dxa"/>
            <w:tcBorders>
              <w:top w:val="single" w:sz="4" w:space="0" w:color="auto"/>
              <w:left w:val="nil"/>
              <w:bottom w:val="single" w:sz="4" w:space="0" w:color="auto"/>
              <w:right w:val="nil"/>
            </w:tcBorders>
            <w:vAlign w:val="center"/>
            <w:hideMark/>
          </w:tcPr>
          <w:p w14:paraId="39BCA2E1"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0.001</w:t>
            </w:r>
          </w:p>
          <w:p w14:paraId="14C1703A"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(0.002)</w:t>
            </w:r>
          </w:p>
        </w:tc>
        <w:tc>
          <w:tcPr>
            <w:tcW w:w="1800" w:type="dxa"/>
            <w:tcBorders>
              <w:top w:val="single" w:sz="4" w:space="0" w:color="auto"/>
              <w:left w:val="nil"/>
              <w:bottom w:val="single" w:sz="4" w:space="0" w:color="auto"/>
              <w:right w:val="nil"/>
            </w:tcBorders>
            <w:vAlign w:val="center"/>
            <w:hideMark/>
          </w:tcPr>
          <w:p w14:paraId="5BFB166B"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0.001</w:t>
            </w:r>
          </w:p>
          <w:p w14:paraId="4A97ED4C"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(0.001)</w:t>
            </w:r>
          </w:p>
        </w:tc>
        <w:tc>
          <w:tcPr>
            <w:tcW w:w="1800" w:type="dxa"/>
            <w:tcBorders>
              <w:top w:val="single" w:sz="4" w:space="0" w:color="auto"/>
              <w:left w:val="nil"/>
              <w:bottom w:val="single" w:sz="4" w:space="0" w:color="auto"/>
              <w:right w:val="nil"/>
            </w:tcBorders>
            <w:vAlign w:val="center"/>
            <w:hideMark/>
          </w:tcPr>
          <w:p w14:paraId="41776210"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-0.003***   (0.001)</w:t>
            </w:r>
          </w:p>
        </w:tc>
      </w:tr>
      <w:tr w:rsidR="00141B2C" w:rsidRPr="004E52C2" w14:paraId="7A04279B" w14:textId="77777777" w:rsidTr="00D85854">
        <w:tc>
          <w:tcPr>
            <w:tcW w:w="3150" w:type="dxa"/>
            <w:tcBorders>
              <w:top w:val="single" w:sz="4" w:space="0" w:color="auto"/>
              <w:left w:val="nil"/>
              <w:bottom w:val="single" w:sz="4" w:space="0" w:color="auto"/>
              <w:right w:val="nil"/>
            </w:tcBorders>
            <w:hideMark/>
          </w:tcPr>
          <w:p w14:paraId="5AC97138"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Level of education of Household head</w:t>
            </w:r>
          </w:p>
        </w:tc>
        <w:tc>
          <w:tcPr>
            <w:tcW w:w="1530" w:type="dxa"/>
            <w:tcBorders>
              <w:top w:val="single" w:sz="4" w:space="0" w:color="auto"/>
              <w:left w:val="nil"/>
              <w:bottom w:val="single" w:sz="4" w:space="0" w:color="auto"/>
              <w:right w:val="nil"/>
            </w:tcBorders>
            <w:vAlign w:val="center"/>
            <w:hideMark/>
          </w:tcPr>
          <w:p w14:paraId="7D095346"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-0.010</w:t>
            </w:r>
          </w:p>
          <w:p w14:paraId="69CC8DC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(0.017)</w:t>
            </w:r>
          </w:p>
        </w:tc>
        <w:tc>
          <w:tcPr>
            <w:tcW w:w="1800" w:type="dxa"/>
            <w:tcBorders>
              <w:top w:val="single" w:sz="4" w:space="0" w:color="auto"/>
              <w:left w:val="nil"/>
              <w:bottom w:val="single" w:sz="4" w:space="0" w:color="auto"/>
              <w:right w:val="nil"/>
            </w:tcBorders>
            <w:vAlign w:val="center"/>
            <w:hideMark/>
          </w:tcPr>
          <w:p w14:paraId="6767F41E"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-0.016</w:t>
            </w:r>
          </w:p>
          <w:p w14:paraId="1A0D0129"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(0.020)</w:t>
            </w:r>
          </w:p>
        </w:tc>
        <w:tc>
          <w:tcPr>
            <w:tcW w:w="1800" w:type="dxa"/>
            <w:tcBorders>
              <w:top w:val="single" w:sz="4" w:space="0" w:color="auto"/>
              <w:left w:val="nil"/>
              <w:bottom w:val="single" w:sz="4" w:space="0" w:color="auto"/>
              <w:right w:val="nil"/>
            </w:tcBorders>
            <w:vAlign w:val="center"/>
            <w:hideMark/>
          </w:tcPr>
          <w:p w14:paraId="7FF248B3"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0.014</w:t>
            </w:r>
          </w:p>
          <w:p w14:paraId="0CDBEDD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(0.012)</w:t>
            </w:r>
          </w:p>
        </w:tc>
        <w:tc>
          <w:tcPr>
            <w:tcW w:w="1800" w:type="dxa"/>
            <w:tcBorders>
              <w:top w:val="single" w:sz="4" w:space="0" w:color="auto"/>
              <w:left w:val="nil"/>
              <w:bottom w:val="single" w:sz="4" w:space="0" w:color="auto"/>
              <w:right w:val="nil"/>
            </w:tcBorders>
            <w:vAlign w:val="center"/>
            <w:hideMark/>
          </w:tcPr>
          <w:p w14:paraId="6C3F4F41"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-0.000</w:t>
            </w:r>
          </w:p>
          <w:p w14:paraId="53D052C5"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(0.007)</w:t>
            </w:r>
          </w:p>
        </w:tc>
      </w:tr>
      <w:tr w:rsidR="00141B2C" w:rsidRPr="004E52C2" w14:paraId="71B87AE4" w14:textId="77777777" w:rsidTr="00D85854">
        <w:tc>
          <w:tcPr>
            <w:tcW w:w="3150" w:type="dxa"/>
            <w:tcBorders>
              <w:top w:val="single" w:sz="4" w:space="0" w:color="auto"/>
              <w:left w:val="nil"/>
              <w:bottom w:val="single" w:sz="4" w:space="0" w:color="auto"/>
              <w:right w:val="nil"/>
            </w:tcBorders>
            <w:hideMark/>
          </w:tcPr>
          <w:p w14:paraId="0C704F8F"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Marital status of Household head</w:t>
            </w:r>
          </w:p>
        </w:tc>
        <w:tc>
          <w:tcPr>
            <w:tcW w:w="1530" w:type="dxa"/>
            <w:tcBorders>
              <w:top w:val="single" w:sz="4" w:space="0" w:color="auto"/>
              <w:left w:val="nil"/>
              <w:bottom w:val="single" w:sz="4" w:space="0" w:color="auto"/>
              <w:right w:val="nil"/>
            </w:tcBorders>
            <w:vAlign w:val="center"/>
            <w:hideMark/>
          </w:tcPr>
          <w:p w14:paraId="4BA8EA4E"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-0.008   (0.041)</w:t>
            </w:r>
          </w:p>
        </w:tc>
        <w:tc>
          <w:tcPr>
            <w:tcW w:w="1800" w:type="dxa"/>
            <w:tcBorders>
              <w:top w:val="single" w:sz="4" w:space="0" w:color="auto"/>
              <w:left w:val="nil"/>
              <w:bottom w:val="single" w:sz="4" w:space="0" w:color="auto"/>
              <w:right w:val="nil"/>
            </w:tcBorders>
            <w:vAlign w:val="center"/>
            <w:hideMark/>
          </w:tcPr>
          <w:p w14:paraId="2A31858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0.088*</w:t>
            </w:r>
          </w:p>
          <w:p w14:paraId="48DB978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(0.051)</w:t>
            </w:r>
          </w:p>
        </w:tc>
        <w:tc>
          <w:tcPr>
            <w:tcW w:w="1800" w:type="dxa"/>
            <w:tcBorders>
              <w:top w:val="single" w:sz="4" w:space="0" w:color="auto"/>
              <w:left w:val="nil"/>
              <w:bottom w:val="single" w:sz="4" w:space="0" w:color="auto"/>
              <w:right w:val="nil"/>
            </w:tcBorders>
            <w:vAlign w:val="center"/>
            <w:hideMark/>
          </w:tcPr>
          <w:p w14:paraId="2B5104F0"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0.058</w:t>
            </w:r>
          </w:p>
          <w:p w14:paraId="5E373E6E"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(0.040)</w:t>
            </w:r>
          </w:p>
        </w:tc>
        <w:tc>
          <w:tcPr>
            <w:tcW w:w="1800" w:type="dxa"/>
            <w:tcBorders>
              <w:top w:val="single" w:sz="4" w:space="0" w:color="auto"/>
              <w:left w:val="nil"/>
              <w:bottom w:val="single" w:sz="4" w:space="0" w:color="auto"/>
              <w:right w:val="nil"/>
            </w:tcBorders>
            <w:vAlign w:val="center"/>
            <w:hideMark/>
          </w:tcPr>
          <w:p w14:paraId="0862FA99"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-0.018</w:t>
            </w:r>
          </w:p>
          <w:p w14:paraId="583483FE"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(0.017)</w:t>
            </w:r>
          </w:p>
        </w:tc>
      </w:tr>
      <w:tr w:rsidR="00141B2C" w:rsidRPr="004E52C2" w14:paraId="60F75154" w14:textId="77777777" w:rsidTr="00D85854">
        <w:tc>
          <w:tcPr>
            <w:tcW w:w="3150" w:type="dxa"/>
            <w:tcBorders>
              <w:top w:val="single" w:sz="4" w:space="0" w:color="auto"/>
              <w:left w:val="nil"/>
              <w:bottom w:val="single" w:sz="4" w:space="0" w:color="auto"/>
              <w:right w:val="nil"/>
            </w:tcBorders>
            <w:hideMark/>
          </w:tcPr>
          <w:p w14:paraId="4D4F71F1"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 xml:space="preserve">Household size </w:t>
            </w:r>
          </w:p>
        </w:tc>
        <w:tc>
          <w:tcPr>
            <w:tcW w:w="1530" w:type="dxa"/>
            <w:tcBorders>
              <w:top w:val="single" w:sz="4" w:space="0" w:color="auto"/>
              <w:left w:val="nil"/>
              <w:bottom w:val="single" w:sz="4" w:space="0" w:color="auto"/>
              <w:right w:val="nil"/>
            </w:tcBorders>
            <w:vAlign w:val="center"/>
            <w:hideMark/>
          </w:tcPr>
          <w:p w14:paraId="7BD300CA"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-0.009</w:t>
            </w:r>
          </w:p>
          <w:p w14:paraId="68D24835"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(0.007)</w:t>
            </w:r>
          </w:p>
        </w:tc>
        <w:tc>
          <w:tcPr>
            <w:tcW w:w="1800" w:type="dxa"/>
            <w:tcBorders>
              <w:top w:val="single" w:sz="4" w:space="0" w:color="auto"/>
              <w:left w:val="nil"/>
              <w:bottom w:val="single" w:sz="4" w:space="0" w:color="auto"/>
              <w:right w:val="nil"/>
            </w:tcBorders>
            <w:vAlign w:val="center"/>
            <w:hideMark/>
          </w:tcPr>
          <w:p w14:paraId="6628F8C9"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0.003</w:t>
            </w:r>
          </w:p>
          <w:p w14:paraId="4CDD2790"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(0.011)</w:t>
            </w:r>
          </w:p>
        </w:tc>
        <w:tc>
          <w:tcPr>
            <w:tcW w:w="1800" w:type="dxa"/>
            <w:tcBorders>
              <w:top w:val="single" w:sz="4" w:space="0" w:color="auto"/>
              <w:left w:val="nil"/>
              <w:bottom w:val="single" w:sz="4" w:space="0" w:color="auto"/>
              <w:right w:val="nil"/>
            </w:tcBorders>
            <w:vAlign w:val="center"/>
            <w:hideMark/>
          </w:tcPr>
          <w:p w14:paraId="5B439268"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-0.002</w:t>
            </w:r>
          </w:p>
          <w:p w14:paraId="4A548A7B"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(0.005)</w:t>
            </w:r>
          </w:p>
        </w:tc>
        <w:tc>
          <w:tcPr>
            <w:tcW w:w="1800" w:type="dxa"/>
            <w:tcBorders>
              <w:top w:val="single" w:sz="4" w:space="0" w:color="auto"/>
              <w:left w:val="nil"/>
              <w:bottom w:val="single" w:sz="4" w:space="0" w:color="auto"/>
              <w:right w:val="nil"/>
            </w:tcBorders>
            <w:vAlign w:val="center"/>
            <w:hideMark/>
          </w:tcPr>
          <w:p w14:paraId="28515D56"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0.005</w:t>
            </w:r>
          </w:p>
          <w:p w14:paraId="54767F1D"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(0.005)</w:t>
            </w:r>
          </w:p>
        </w:tc>
      </w:tr>
      <w:tr w:rsidR="00141B2C" w:rsidRPr="004E52C2" w14:paraId="4467FCDE" w14:textId="77777777" w:rsidTr="00D85854">
        <w:tc>
          <w:tcPr>
            <w:tcW w:w="3150" w:type="dxa"/>
            <w:tcBorders>
              <w:top w:val="single" w:sz="4" w:space="0" w:color="auto"/>
              <w:left w:val="nil"/>
              <w:bottom w:val="single" w:sz="4" w:space="0" w:color="auto"/>
              <w:right w:val="nil"/>
            </w:tcBorders>
            <w:hideMark/>
          </w:tcPr>
          <w:p w14:paraId="0AF7DC89"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 xml:space="preserve">Location of Household </w:t>
            </w:r>
          </w:p>
        </w:tc>
        <w:tc>
          <w:tcPr>
            <w:tcW w:w="1530" w:type="dxa"/>
            <w:tcBorders>
              <w:top w:val="single" w:sz="4" w:space="0" w:color="auto"/>
              <w:left w:val="nil"/>
              <w:bottom w:val="single" w:sz="4" w:space="0" w:color="auto"/>
              <w:right w:val="nil"/>
            </w:tcBorders>
            <w:vAlign w:val="center"/>
            <w:hideMark/>
          </w:tcPr>
          <w:p w14:paraId="61D41F2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0.108***   (0.042)</w:t>
            </w:r>
          </w:p>
        </w:tc>
        <w:tc>
          <w:tcPr>
            <w:tcW w:w="1800" w:type="dxa"/>
            <w:tcBorders>
              <w:top w:val="single" w:sz="4" w:space="0" w:color="auto"/>
              <w:left w:val="nil"/>
              <w:bottom w:val="single" w:sz="4" w:space="0" w:color="auto"/>
              <w:right w:val="nil"/>
            </w:tcBorders>
            <w:vAlign w:val="center"/>
            <w:hideMark/>
          </w:tcPr>
          <w:p w14:paraId="21BBFB8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0.050</w:t>
            </w:r>
          </w:p>
          <w:p w14:paraId="43AD3426"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(0.045)</w:t>
            </w:r>
          </w:p>
        </w:tc>
        <w:tc>
          <w:tcPr>
            <w:tcW w:w="1800" w:type="dxa"/>
            <w:tcBorders>
              <w:top w:val="single" w:sz="4" w:space="0" w:color="auto"/>
              <w:left w:val="nil"/>
              <w:bottom w:val="single" w:sz="4" w:space="0" w:color="auto"/>
              <w:right w:val="nil"/>
            </w:tcBorders>
            <w:vAlign w:val="center"/>
            <w:hideMark/>
          </w:tcPr>
          <w:p w14:paraId="66B661EE"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-0.124**   (0.062)</w:t>
            </w:r>
          </w:p>
        </w:tc>
        <w:tc>
          <w:tcPr>
            <w:tcW w:w="1800" w:type="dxa"/>
            <w:tcBorders>
              <w:top w:val="single" w:sz="4" w:space="0" w:color="auto"/>
              <w:left w:val="nil"/>
              <w:bottom w:val="single" w:sz="4" w:space="0" w:color="auto"/>
              <w:right w:val="nil"/>
            </w:tcBorders>
            <w:vAlign w:val="center"/>
            <w:hideMark/>
          </w:tcPr>
          <w:p w14:paraId="7DD7D64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-0.001</w:t>
            </w:r>
          </w:p>
          <w:p w14:paraId="5C44546F"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(0.019)</w:t>
            </w:r>
          </w:p>
        </w:tc>
      </w:tr>
      <w:tr w:rsidR="00141B2C" w:rsidRPr="004E52C2" w14:paraId="2D270BA3" w14:textId="77777777" w:rsidTr="00D85854">
        <w:tc>
          <w:tcPr>
            <w:tcW w:w="3150" w:type="dxa"/>
            <w:tcBorders>
              <w:top w:val="single" w:sz="4" w:space="0" w:color="auto"/>
              <w:left w:val="nil"/>
              <w:bottom w:val="single" w:sz="4" w:space="0" w:color="auto"/>
              <w:right w:val="nil"/>
            </w:tcBorders>
            <w:hideMark/>
          </w:tcPr>
          <w:p w14:paraId="645CA29E"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Primary of Household head Occupation</w:t>
            </w:r>
          </w:p>
        </w:tc>
        <w:tc>
          <w:tcPr>
            <w:tcW w:w="1530" w:type="dxa"/>
            <w:tcBorders>
              <w:top w:val="single" w:sz="4" w:space="0" w:color="auto"/>
              <w:left w:val="nil"/>
              <w:bottom w:val="single" w:sz="4" w:space="0" w:color="auto"/>
              <w:right w:val="nil"/>
            </w:tcBorders>
            <w:vAlign w:val="center"/>
            <w:hideMark/>
          </w:tcPr>
          <w:p w14:paraId="50D77CA9"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0.033   (0.048)</w:t>
            </w:r>
          </w:p>
        </w:tc>
        <w:tc>
          <w:tcPr>
            <w:tcW w:w="1800" w:type="dxa"/>
            <w:tcBorders>
              <w:top w:val="single" w:sz="4" w:space="0" w:color="auto"/>
              <w:left w:val="nil"/>
              <w:bottom w:val="single" w:sz="4" w:space="0" w:color="auto"/>
              <w:right w:val="nil"/>
            </w:tcBorders>
            <w:vAlign w:val="center"/>
            <w:hideMark/>
          </w:tcPr>
          <w:p w14:paraId="75D6437F"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-0.157*</w:t>
            </w:r>
          </w:p>
          <w:p w14:paraId="37E852C0"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(0.087)</w:t>
            </w:r>
          </w:p>
        </w:tc>
        <w:tc>
          <w:tcPr>
            <w:tcW w:w="1800" w:type="dxa"/>
            <w:tcBorders>
              <w:top w:val="single" w:sz="4" w:space="0" w:color="auto"/>
              <w:left w:val="nil"/>
              <w:bottom w:val="single" w:sz="4" w:space="0" w:color="auto"/>
              <w:right w:val="nil"/>
            </w:tcBorders>
            <w:vAlign w:val="center"/>
            <w:hideMark/>
          </w:tcPr>
          <w:p w14:paraId="66BB7414"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0.025</w:t>
            </w:r>
          </w:p>
          <w:p w14:paraId="4061056C"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(0.035)</w:t>
            </w:r>
          </w:p>
        </w:tc>
        <w:tc>
          <w:tcPr>
            <w:tcW w:w="1800" w:type="dxa"/>
            <w:tcBorders>
              <w:top w:val="single" w:sz="4" w:space="0" w:color="auto"/>
              <w:left w:val="nil"/>
              <w:bottom w:val="single" w:sz="4" w:space="0" w:color="auto"/>
              <w:right w:val="nil"/>
            </w:tcBorders>
            <w:vAlign w:val="center"/>
            <w:hideMark/>
          </w:tcPr>
          <w:p w14:paraId="6519D820"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-0.005</w:t>
            </w:r>
          </w:p>
          <w:p w14:paraId="2B851FF0"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(0.006)</w:t>
            </w:r>
          </w:p>
        </w:tc>
      </w:tr>
      <w:tr w:rsidR="00141B2C" w:rsidRPr="004E52C2" w14:paraId="77789BC7" w14:textId="77777777" w:rsidTr="00D85854">
        <w:tc>
          <w:tcPr>
            <w:tcW w:w="3150" w:type="dxa"/>
            <w:tcBorders>
              <w:top w:val="single" w:sz="4" w:space="0" w:color="auto"/>
              <w:left w:val="nil"/>
              <w:bottom w:val="single" w:sz="4" w:space="0" w:color="auto"/>
              <w:right w:val="nil"/>
            </w:tcBorders>
            <w:hideMark/>
          </w:tcPr>
          <w:p w14:paraId="4DF630B3"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Monthly income of Household head</w:t>
            </w:r>
          </w:p>
        </w:tc>
        <w:tc>
          <w:tcPr>
            <w:tcW w:w="1530" w:type="dxa"/>
            <w:tcBorders>
              <w:top w:val="single" w:sz="4" w:space="0" w:color="auto"/>
              <w:left w:val="nil"/>
              <w:bottom w:val="single" w:sz="4" w:space="0" w:color="auto"/>
              <w:right w:val="nil"/>
            </w:tcBorders>
            <w:vAlign w:val="center"/>
            <w:hideMark/>
          </w:tcPr>
          <w:p w14:paraId="78B71D9D"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-1.69e-08   (5.56e-08)</w:t>
            </w:r>
          </w:p>
        </w:tc>
        <w:tc>
          <w:tcPr>
            <w:tcW w:w="1800" w:type="dxa"/>
            <w:tcBorders>
              <w:top w:val="single" w:sz="4" w:space="0" w:color="auto"/>
              <w:left w:val="nil"/>
              <w:bottom w:val="single" w:sz="4" w:space="0" w:color="auto"/>
              <w:right w:val="nil"/>
            </w:tcBorders>
            <w:vAlign w:val="center"/>
            <w:hideMark/>
          </w:tcPr>
          <w:p w14:paraId="23F8010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2.36e-08   (9.37e-08)</w:t>
            </w:r>
          </w:p>
        </w:tc>
        <w:tc>
          <w:tcPr>
            <w:tcW w:w="1800" w:type="dxa"/>
            <w:tcBorders>
              <w:top w:val="single" w:sz="4" w:space="0" w:color="auto"/>
              <w:left w:val="nil"/>
              <w:bottom w:val="single" w:sz="4" w:space="0" w:color="auto"/>
              <w:right w:val="nil"/>
            </w:tcBorders>
            <w:vAlign w:val="center"/>
            <w:hideMark/>
          </w:tcPr>
          <w:p w14:paraId="7C4C4015"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2.32e-08   (9.00e-08)</w:t>
            </w:r>
          </w:p>
        </w:tc>
        <w:tc>
          <w:tcPr>
            <w:tcW w:w="1800" w:type="dxa"/>
            <w:tcBorders>
              <w:top w:val="single" w:sz="4" w:space="0" w:color="auto"/>
              <w:left w:val="nil"/>
              <w:bottom w:val="single" w:sz="4" w:space="0" w:color="auto"/>
              <w:right w:val="nil"/>
            </w:tcBorders>
            <w:vAlign w:val="center"/>
            <w:hideMark/>
          </w:tcPr>
          <w:p w14:paraId="14435DF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7.67e-07**   (3.07e-07)</w:t>
            </w:r>
          </w:p>
        </w:tc>
      </w:tr>
      <w:tr w:rsidR="00141B2C" w:rsidRPr="004E52C2" w14:paraId="11618501" w14:textId="77777777" w:rsidTr="00D85854">
        <w:tc>
          <w:tcPr>
            <w:tcW w:w="3150" w:type="dxa"/>
            <w:tcBorders>
              <w:top w:val="single" w:sz="4" w:space="0" w:color="auto"/>
              <w:left w:val="nil"/>
              <w:bottom w:val="single" w:sz="4" w:space="0" w:color="auto"/>
              <w:right w:val="nil"/>
            </w:tcBorders>
            <w:hideMark/>
          </w:tcPr>
          <w:p w14:paraId="68FD1355"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No of Observations</w:t>
            </w:r>
          </w:p>
        </w:tc>
        <w:tc>
          <w:tcPr>
            <w:tcW w:w="1530" w:type="dxa"/>
            <w:tcBorders>
              <w:top w:val="single" w:sz="4" w:space="0" w:color="auto"/>
              <w:left w:val="nil"/>
              <w:bottom w:val="single" w:sz="4" w:space="0" w:color="auto"/>
              <w:right w:val="nil"/>
            </w:tcBorders>
            <w:vAlign w:val="center"/>
            <w:hideMark/>
          </w:tcPr>
          <w:p w14:paraId="4FDB8F66"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257</w:t>
            </w:r>
          </w:p>
        </w:tc>
        <w:tc>
          <w:tcPr>
            <w:tcW w:w="1800" w:type="dxa"/>
            <w:tcBorders>
              <w:top w:val="single" w:sz="4" w:space="0" w:color="auto"/>
              <w:left w:val="nil"/>
              <w:bottom w:val="single" w:sz="4" w:space="0" w:color="auto"/>
              <w:right w:val="nil"/>
            </w:tcBorders>
            <w:vAlign w:val="center"/>
            <w:hideMark/>
          </w:tcPr>
          <w:p w14:paraId="35192EFF"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257</w:t>
            </w:r>
          </w:p>
        </w:tc>
        <w:tc>
          <w:tcPr>
            <w:tcW w:w="1800" w:type="dxa"/>
            <w:tcBorders>
              <w:top w:val="single" w:sz="4" w:space="0" w:color="auto"/>
              <w:left w:val="nil"/>
              <w:bottom w:val="single" w:sz="4" w:space="0" w:color="auto"/>
              <w:right w:val="nil"/>
            </w:tcBorders>
            <w:vAlign w:val="center"/>
            <w:hideMark/>
          </w:tcPr>
          <w:p w14:paraId="222CB88B"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257</w:t>
            </w:r>
          </w:p>
        </w:tc>
        <w:tc>
          <w:tcPr>
            <w:tcW w:w="1800" w:type="dxa"/>
            <w:tcBorders>
              <w:top w:val="single" w:sz="4" w:space="0" w:color="auto"/>
              <w:left w:val="nil"/>
              <w:bottom w:val="single" w:sz="4" w:space="0" w:color="auto"/>
              <w:right w:val="nil"/>
            </w:tcBorders>
            <w:vAlign w:val="center"/>
            <w:hideMark/>
          </w:tcPr>
          <w:p w14:paraId="28B0600C"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257</w:t>
            </w:r>
          </w:p>
        </w:tc>
      </w:tr>
      <w:tr w:rsidR="00141B2C" w:rsidRPr="004E52C2" w14:paraId="469590C1" w14:textId="77777777" w:rsidTr="00D85854">
        <w:tc>
          <w:tcPr>
            <w:tcW w:w="3150" w:type="dxa"/>
            <w:tcBorders>
              <w:top w:val="single" w:sz="4" w:space="0" w:color="auto"/>
              <w:left w:val="nil"/>
              <w:bottom w:val="single" w:sz="4" w:space="0" w:color="auto"/>
              <w:right w:val="nil"/>
            </w:tcBorders>
            <w:hideMark/>
          </w:tcPr>
          <w:p w14:paraId="65382644"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Pseudo R-squared</w:t>
            </w:r>
          </w:p>
        </w:tc>
        <w:tc>
          <w:tcPr>
            <w:tcW w:w="1530" w:type="dxa"/>
            <w:tcBorders>
              <w:top w:val="single" w:sz="4" w:space="0" w:color="auto"/>
              <w:left w:val="nil"/>
              <w:bottom w:val="single" w:sz="4" w:space="0" w:color="auto"/>
              <w:right w:val="nil"/>
            </w:tcBorders>
            <w:vAlign w:val="center"/>
            <w:hideMark/>
          </w:tcPr>
          <w:p w14:paraId="3620F3AB"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0.1211</w:t>
            </w:r>
          </w:p>
        </w:tc>
        <w:tc>
          <w:tcPr>
            <w:tcW w:w="1800" w:type="dxa"/>
            <w:tcBorders>
              <w:top w:val="single" w:sz="4" w:space="0" w:color="auto"/>
              <w:left w:val="nil"/>
              <w:bottom w:val="single" w:sz="4" w:space="0" w:color="auto"/>
              <w:right w:val="nil"/>
            </w:tcBorders>
            <w:vAlign w:val="center"/>
            <w:hideMark/>
          </w:tcPr>
          <w:p w14:paraId="2930AF5B"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0.0560</w:t>
            </w:r>
          </w:p>
        </w:tc>
        <w:tc>
          <w:tcPr>
            <w:tcW w:w="1800" w:type="dxa"/>
            <w:tcBorders>
              <w:top w:val="single" w:sz="4" w:space="0" w:color="auto"/>
              <w:left w:val="nil"/>
              <w:bottom w:val="single" w:sz="4" w:space="0" w:color="auto"/>
              <w:right w:val="nil"/>
            </w:tcBorders>
            <w:vAlign w:val="center"/>
            <w:hideMark/>
          </w:tcPr>
          <w:p w14:paraId="4BC3ED6E"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0.1279</w:t>
            </w:r>
          </w:p>
        </w:tc>
        <w:tc>
          <w:tcPr>
            <w:tcW w:w="1800" w:type="dxa"/>
            <w:tcBorders>
              <w:top w:val="single" w:sz="4" w:space="0" w:color="auto"/>
              <w:left w:val="nil"/>
              <w:bottom w:val="single" w:sz="4" w:space="0" w:color="auto"/>
              <w:right w:val="nil"/>
            </w:tcBorders>
            <w:vAlign w:val="center"/>
            <w:hideMark/>
          </w:tcPr>
          <w:p w14:paraId="367877B8"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0.4950</w:t>
            </w:r>
          </w:p>
        </w:tc>
      </w:tr>
      <w:tr w:rsidR="00141B2C" w:rsidRPr="004E52C2" w14:paraId="0D5EA32B" w14:textId="77777777" w:rsidTr="00D85854">
        <w:tc>
          <w:tcPr>
            <w:tcW w:w="3150" w:type="dxa"/>
            <w:tcBorders>
              <w:top w:val="single" w:sz="4" w:space="0" w:color="auto"/>
              <w:left w:val="nil"/>
              <w:bottom w:val="single" w:sz="4" w:space="0" w:color="auto"/>
              <w:right w:val="nil"/>
            </w:tcBorders>
            <w:hideMark/>
          </w:tcPr>
          <w:p w14:paraId="72DF1DD1"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 xml:space="preserve">Prob &gt; Chi-squared </w:t>
            </w:r>
          </w:p>
        </w:tc>
        <w:tc>
          <w:tcPr>
            <w:tcW w:w="1530" w:type="dxa"/>
            <w:tcBorders>
              <w:top w:val="single" w:sz="4" w:space="0" w:color="auto"/>
              <w:left w:val="nil"/>
              <w:bottom w:val="single" w:sz="4" w:space="0" w:color="auto"/>
              <w:right w:val="nil"/>
            </w:tcBorders>
            <w:vAlign w:val="center"/>
            <w:hideMark/>
          </w:tcPr>
          <w:p w14:paraId="7487D5BB"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0.0074</w:t>
            </w:r>
          </w:p>
        </w:tc>
        <w:tc>
          <w:tcPr>
            <w:tcW w:w="1800" w:type="dxa"/>
            <w:tcBorders>
              <w:top w:val="single" w:sz="4" w:space="0" w:color="auto"/>
              <w:left w:val="nil"/>
              <w:bottom w:val="single" w:sz="4" w:space="0" w:color="auto"/>
              <w:right w:val="nil"/>
            </w:tcBorders>
            <w:vAlign w:val="center"/>
            <w:hideMark/>
          </w:tcPr>
          <w:p w14:paraId="1A1F5C0D"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0.0167</w:t>
            </w:r>
          </w:p>
        </w:tc>
        <w:tc>
          <w:tcPr>
            <w:tcW w:w="1800" w:type="dxa"/>
            <w:tcBorders>
              <w:top w:val="single" w:sz="4" w:space="0" w:color="auto"/>
              <w:left w:val="nil"/>
              <w:bottom w:val="single" w:sz="4" w:space="0" w:color="auto"/>
              <w:right w:val="nil"/>
            </w:tcBorders>
            <w:vAlign w:val="center"/>
            <w:hideMark/>
          </w:tcPr>
          <w:p w14:paraId="401B0E9A"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0.050</w:t>
            </w:r>
          </w:p>
        </w:tc>
        <w:tc>
          <w:tcPr>
            <w:tcW w:w="1800" w:type="dxa"/>
            <w:tcBorders>
              <w:top w:val="single" w:sz="4" w:space="0" w:color="auto"/>
              <w:left w:val="nil"/>
              <w:bottom w:val="single" w:sz="4" w:space="0" w:color="auto"/>
              <w:right w:val="nil"/>
            </w:tcBorders>
            <w:vAlign w:val="center"/>
            <w:hideMark/>
          </w:tcPr>
          <w:p w14:paraId="690C0668"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0.0004</w:t>
            </w:r>
          </w:p>
        </w:tc>
      </w:tr>
      <w:tr w:rsidR="00141B2C" w:rsidRPr="004E52C2" w14:paraId="442D24B6" w14:textId="77777777" w:rsidTr="00D85854">
        <w:tc>
          <w:tcPr>
            <w:tcW w:w="3150" w:type="dxa"/>
            <w:tcBorders>
              <w:top w:val="single" w:sz="4" w:space="0" w:color="auto"/>
              <w:left w:val="nil"/>
              <w:bottom w:val="single" w:sz="4" w:space="0" w:color="auto"/>
              <w:right w:val="nil"/>
            </w:tcBorders>
            <w:hideMark/>
          </w:tcPr>
          <w:p w14:paraId="02A664DE"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LR chi2(8)</w:t>
            </w:r>
          </w:p>
        </w:tc>
        <w:tc>
          <w:tcPr>
            <w:tcW w:w="1530" w:type="dxa"/>
            <w:tcBorders>
              <w:top w:val="single" w:sz="4" w:space="0" w:color="auto"/>
              <w:left w:val="nil"/>
              <w:bottom w:val="single" w:sz="4" w:space="0" w:color="auto"/>
              <w:right w:val="nil"/>
            </w:tcBorders>
            <w:vAlign w:val="center"/>
            <w:hideMark/>
          </w:tcPr>
          <w:p w14:paraId="44784D9F"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20.92</w:t>
            </w:r>
          </w:p>
        </w:tc>
        <w:tc>
          <w:tcPr>
            <w:tcW w:w="1800" w:type="dxa"/>
            <w:tcBorders>
              <w:top w:val="single" w:sz="4" w:space="0" w:color="auto"/>
              <w:left w:val="nil"/>
              <w:bottom w:val="single" w:sz="4" w:space="0" w:color="auto"/>
              <w:right w:val="nil"/>
            </w:tcBorders>
            <w:vAlign w:val="center"/>
            <w:hideMark/>
          </w:tcPr>
          <w:p w14:paraId="5646B6B6"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11.66</w:t>
            </w:r>
          </w:p>
        </w:tc>
        <w:tc>
          <w:tcPr>
            <w:tcW w:w="1800" w:type="dxa"/>
            <w:tcBorders>
              <w:top w:val="single" w:sz="4" w:space="0" w:color="auto"/>
              <w:left w:val="nil"/>
              <w:bottom w:val="single" w:sz="4" w:space="0" w:color="auto"/>
              <w:right w:val="nil"/>
            </w:tcBorders>
            <w:vAlign w:val="center"/>
            <w:hideMark/>
          </w:tcPr>
          <w:p w14:paraId="71DC4ED0"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15.32</w:t>
            </w:r>
          </w:p>
        </w:tc>
        <w:tc>
          <w:tcPr>
            <w:tcW w:w="1800" w:type="dxa"/>
            <w:tcBorders>
              <w:top w:val="single" w:sz="4" w:space="0" w:color="auto"/>
              <w:left w:val="nil"/>
              <w:bottom w:val="single" w:sz="4" w:space="0" w:color="auto"/>
              <w:right w:val="nil"/>
            </w:tcBorders>
            <w:vAlign w:val="center"/>
            <w:hideMark/>
          </w:tcPr>
          <w:p w14:paraId="2BC87494"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28.19</w:t>
            </w:r>
          </w:p>
        </w:tc>
      </w:tr>
      <w:tr w:rsidR="00141B2C" w:rsidRPr="004E52C2" w14:paraId="77BF0C0A" w14:textId="77777777" w:rsidTr="00D85854">
        <w:tc>
          <w:tcPr>
            <w:tcW w:w="3150" w:type="dxa"/>
            <w:tcBorders>
              <w:top w:val="single" w:sz="4" w:space="0" w:color="auto"/>
              <w:left w:val="nil"/>
              <w:bottom w:val="single" w:sz="4" w:space="0" w:color="auto"/>
              <w:right w:val="nil"/>
            </w:tcBorders>
            <w:hideMark/>
          </w:tcPr>
          <w:p w14:paraId="12E636E2"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Log-likelihood</w:t>
            </w:r>
          </w:p>
        </w:tc>
        <w:tc>
          <w:tcPr>
            <w:tcW w:w="1530" w:type="dxa"/>
            <w:tcBorders>
              <w:top w:val="single" w:sz="4" w:space="0" w:color="auto"/>
              <w:left w:val="nil"/>
              <w:bottom w:val="single" w:sz="4" w:space="0" w:color="auto"/>
              <w:right w:val="nil"/>
            </w:tcBorders>
            <w:hideMark/>
          </w:tcPr>
          <w:p w14:paraId="24D42AA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-75.909148</w:t>
            </w:r>
          </w:p>
        </w:tc>
        <w:tc>
          <w:tcPr>
            <w:tcW w:w="1800" w:type="dxa"/>
            <w:tcBorders>
              <w:top w:val="single" w:sz="4" w:space="0" w:color="auto"/>
              <w:left w:val="nil"/>
              <w:bottom w:val="single" w:sz="4" w:space="0" w:color="auto"/>
              <w:right w:val="nil"/>
            </w:tcBorders>
            <w:hideMark/>
          </w:tcPr>
          <w:p w14:paraId="7A745AF8"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-98.281928</w:t>
            </w:r>
          </w:p>
        </w:tc>
        <w:tc>
          <w:tcPr>
            <w:tcW w:w="1800" w:type="dxa"/>
            <w:tcBorders>
              <w:top w:val="single" w:sz="4" w:space="0" w:color="auto"/>
              <w:left w:val="nil"/>
              <w:bottom w:val="single" w:sz="4" w:space="0" w:color="auto"/>
              <w:right w:val="nil"/>
            </w:tcBorders>
            <w:hideMark/>
          </w:tcPr>
          <w:p w14:paraId="5CD2DF4B"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-52.253397</w:t>
            </w:r>
          </w:p>
        </w:tc>
        <w:tc>
          <w:tcPr>
            <w:tcW w:w="1800" w:type="dxa"/>
            <w:tcBorders>
              <w:top w:val="single" w:sz="4" w:space="0" w:color="auto"/>
              <w:left w:val="nil"/>
              <w:bottom w:val="single" w:sz="4" w:space="0" w:color="auto"/>
              <w:right w:val="nil"/>
            </w:tcBorders>
            <w:hideMark/>
          </w:tcPr>
          <w:p w14:paraId="20CD1C2F"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-14.377851</w:t>
            </w:r>
          </w:p>
        </w:tc>
      </w:tr>
    </w:tbl>
    <w:p w14:paraId="773DDB15"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Note: ***, ** and  *denote significance at the 0.01, 0.05 and 0.10 levels, respectively.</w:t>
      </w:r>
    </w:p>
    <w:p w14:paraId="1B0AB3C9"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Standard Error in parenthesis.</w:t>
      </w:r>
    </w:p>
    <w:p w14:paraId="049FE2F1" w14:textId="0815C786" w:rsidR="00141B2C" w:rsidRPr="004E52C2" w:rsidRDefault="00141B2C" w:rsidP="00141B2C">
      <w:pPr>
        <w:rPr>
          <w:rFonts w:cstheme="minorHAnsi"/>
          <w:bCs/>
          <w:sz w:val="24"/>
          <w:szCs w:val="24"/>
          <w:lang w:val="en-US"/>
        </w:rPr>
      </w:pPr>
      <w:r w:rsidRPr="004E52C2">
        <w:rPr>
          <w:rFonts w:cstheme="minorHAnsi"/>
          <w:bCs/>
          <w:sz w:val="24"/>
          <w:szCs w:val="24"/>
          <w:lang w:val="en-US"/>
        </w:rPr>
        <w:lastRenderedPageBreak/>
        <w:t>Source: Field survey, 2023</w:t>
      </w:r>
    </w:p>
    <w:p w14:paraId="379ECF00" w14:textId="77777777" w:rsidR="000578A7" w:rsidRPr="004E52C2" w:rsidRDefault="000578A7" w:rsidP="00141B2C">
      <w:pPr>
        <w:rPr>
          <w:rFonts w:cstheme="minorHAnsi"/>
          <w:bCs/>
          <w:sz w:val="24"/>
          <w:szCs w:val="24"/>
          <w:lang w:val="en-US"/>
        </w:rPr>
      </w:pPr>
    </w:p>
    <w:p w14:paraId="025232D1" w14:textId="6EF92592" w:rsidR="00141B2C" w:rsidRPr="004E52C2" w:rsidRDefault="00B5477B" w:rsidP="00141B2C">
      <w:pPr>
        <w:rPr>
          <w:rFonts w:cstheme="minorHAnsi"/>
          <w:b/>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.2.1 Factors Influencing Households to be Devoid of Wellness Sustainability by Food Security Status.</w:t>
      </w:r>
    </w:p>
    <w:p w14:paraId="26742CA2" w14:textId="4436DF6F" w:rsidR="00141B2C" w:rsidRPr="004E52C2" w:rsidRDefault="00D85854" w:rsidP="00141B2C">
      <w:pPr>
        <w:rPr>
          <w:rFonts w:cstheme="minorHAnsi"/>
          <w:bCs/>
          <w:sz w:val="24"/>
          <w:szCs w:val="24"/>
          <w:lang w:val="en-US"/>
        </w:rPr>
      </w:pPr>
      <w:r w:rsidRPr="004E52C2">
        <w:rPr>
          <w:rFonts w:cstheme="minorHAnsi"/>
          <w:bCs/>
          <w:sz w:val="24"/>
          <w:szCs w:val="24"/>
          <w:lang w:val="en-US"/>
        </w:rPr>
        <w:t>Table 1</w:t>
      </w:r>
      <w:r w:rsidR="00A41F2F">
        <w:rPr>
          <w:rFonts w:cstheme="minorHAnsi"/>
          <w:bCs/>
          <w:sz w:val="24"/>
          <w:szCs w:val="24"/>
          <w:lang w:val="en-US"/>
        </w:rPr>
        <w:t xml:space="preserve">6 </w:t>
      </w:r>
      <w:r w:rsidR="00141B2C" w:rsidRPr="004E52C2">
        <w:rPr>
          <w:rFonts w:cstheme="minorHAnsi"/>
          <w:bCs/>
          <w:sz w:val="24"/>
          <w:szCs w:val="24"/>
          <w:lang w:val="en-US"/>
        </w:rPr>
        <w:t xml:space="preserve">shows the results of a series of logistic regressions of the factors influencing a household to be without wellness sustainability by food security status. </w:t>
      </w:r>
    </w:p>
    <w:p w14:paraId="3EB898CB" w14:textId="21186D0C" w:rsidR="00141B2C" w:rsidRPr="004E52C2" w:rsidRDefault="00141B2C" w:rsidP="00B5477B">
      <w:pPr>
        <w:jc w:val="both"/>
        <w:rPr>
          <w:rFonts w:cstheme="minorHAnsi"/>
          <w:bCs/>
          <w:sz w:val="24"/>
          <w:szCs w:val="24"/>
          <w:lang w:val="en-US"/>
        </w:rPr>
      </w:pPr>
      <w:r w:rsidRPr="004E52C2">
        <w:rPr>
          <w:rFonts w:cstheme="minorHAnsi"/>
          <w:bCs/>
          <w:sz w:val="24"/>
          <w:szCs w:val="24"/>
          <w:lang w:val="en-US"/>
        </w:rPr>
        <w:t>Food Secure: Household size is significant at 10%. The marginal effect of 0.024 means that the household size increases the probability of a household being devoid of wellness sustainability under the food secure category by 2.4%. This suggests that larger households are more likely to be food secure without wellness sustainability. The primary occupation of the household head is significant at 5%. The marginal effect of 0.106 means that the primary occupation of the household head increases the probability of the household being devoided of wellness sustainability in the food secure category by 10.6%. This suggests that having a farming occupation increases the probability of a household being food insecure without wellness sustainability. The monthly income of the household head is significant at 1%. The marginal effect of -2.47e-07 means that the monthly income of the household head decreases the probability of the household being devoided of wellness sustainability in the food secure category by 7.67e-07. This suggests that a decrease in monthly income influences a household to be food secure without wellness sustainability.</w:t>
      </w:r>
      <w:r w:rsidR="00B5477B" w:rsidRPr="004E52C2">
        <w:rPr>
          <w:rFonts w:cstheme="minorHAnsi"/>
          <w:bCs/>
          <w:sz w:val="24"/>
          <w:szCs w:val="24"/>
          <w:lang w:val="en-US"/>
        </w:rPr>
        <w:t xml:space="preserve"> </w:t>
      </w:r>
      <w:r w:rsidRPr="004E52C2">
        <w:rPr>
          <w:rFonts w:cstheme="minorHAnsi"/>
          <w:bCs/>
          <w:sz w:val="24"/>
          <w:szCs w:val="24"/>
          <w:lang w:val="en-US"/>
        </w:rPr>
        <w:t>Food Insecure without Hunger: Location of Household is significant at 10%. The marginal effect of -0.119 means that the location of a household decreases the probability of the household being devoided of wellness sustainability in the food insecure without hunger category by 11.9%. Living in a sparsely populated area decreases a household's likelihood of being food insecure, without hunger, while devoiding the wellness sustainability of the household.</w:t>
      </w:r>
    </w:p>
    <w:p w14:paraId="55D34E91" w14:textId="5360D16B" w:rsidR="00141B2C" w:rsidRPr="004E52C2" w:rsidRDefault="00141B2C" w:rsidP="00B5477B">
      <w:pPr>
        <w:jc w:val="both"/>
        <w:rPr>
          <w:rFonts w:cstheme="minorHAnsi"/>
          <w:bCs/>
          <w:sz w:val="24"/>
          <w:szCs w:val="24"/>
          <w:lang w:val="en-US"/>
        </w:rPr>
      </w:pPr>
      <w:r w:rsidRPr="004E52C2">
        <w:rPr>
          <w:rFonts w:cstheme="minorHAnsi"/>
          <w:bCs/>
          <w:sz w:val="24"/>
          <w:szCs w:val="24"/>
          <w:lang w:val="en-US"/>
        </w:rPr>
        <w:t>Food Insecure with Moderate Hunger: Household size is significant at 5%. The marginal effect of -0.012 means that the household size decreases the probability of a household being devoid of wellness sustainability under the food insecure with moderate hunger category by 1.2%. This suggests that smaller households are more likely to be food insecure with moderate hunger without wellness sustainability.</w:t>
      </w:r>
      <w:r w:rsidR="00B5477B" w:rsidRPr="004E52C2">
        <w:rPr>
          <w:rFonts w:cstheme="minorHAnsi"/>
          <w:bCs/>
          <w:sz w:val="24"/>
          <w:szCs w:val="24"/>
          <w:lang w:val="en-US"/>
        </w:rPr>
        <w:t xml:space="preserve"> </w:t>
      </w:r>
      <w:r w:rsidRPr="004E52C2">
        <w:rPr>
          <w:rFonts w:cstheme="minorHAnsi"/>
          <w:bCs/>
          <w:sz w:val="24"/>
          <w:szCs w:val="24"/>
          <w:lang w:val="en-US"/>
        </w:rPr>
        <w:t>Food Insecure with Severe Hunger: The monthly income of the household head is significant at 1%. The marginal effect of 1.17e-06 means that the monthly income of the household head increases the probability of the household being devoided of wellness sustainability in the food insecure with severe hunger category. This suggests that an increase in monthly income influences a household to be food insecure with severe hunger while being devoided by wellness sustainability.</w:t>
      </w:r>
    </w:p>
    <w:p w14:paraId="2679FE13" w14:textId="5FE7A44A" w:rsidR="00141B2C" w:rsidRPr="004E52C2" w:rsidRDefault="00141B2C" w:rsidP="00141B2C">
      <w:pPr>
        <w:rPr>
          <w:rFonts w:cstheme="minorHAnsi"/>
          <w:bCs/>
          <w:sz w:val="24"/>
          <w:szCs w:val="24"/>
          <w:lang w:val="en-US"/>
        </w:rPr>
      </w:pPr>
      <w:r w:rsidRPr="004E52C2">
        <w:rPr>
          <w:rFonts w:cstheme="minorHAnsi"/>
          <w:bCs/>
          <w:sz w:val="24"/>
          <w:szCs w:val="24"/>
          <w:lang w:val="en-US"/>
        </w:rPr>
        <w:t>Table 1</w:t>
      </w:r>
      <w:r w:rsidR="00D92B88">
        <w:rPr>
          <w:rFonts w:cstheme="minorHAnsi"/>
          <w:bCs/>
          <w:sz w:val="24"/>
          <w:szCs w:val="24"/>
          <w:lang w:val="en-US"/>
        </w:rPr>
        <w:t>6</w:t>
      </w:r>
      <w:r w:rsidRPr="004E52C2">
        <w:rPr>
          <w:rFonts w:cstheme="minorHAnsi"/>
          <w:bCs/>
          <w:sz w:val="24"/>
          <w:szCs w:val="24"/>
          <w:lang w:val="en-US"/>
        </w:rPr>
        <w:t>: Logit Regression Showing the Factors influencing households to be devoid of wellness sustainability by food security status.</w:t>
      </w:r>
    </w:p>
    <w:tbl>
      <w:tblPr>
        <w:tblStyle w:val="TableGrid1"/>
        <w:tblW w:w="10080" w:type="dxa"/>
        <w:tblInd w:w="-5" w:type="dxa"/>
        <w:tblBorders>
          <w:left w:val="none" w:sz="0" w:space="0" w:color="auto"/>
          <w:right w:val="none" w:sz="0" w:space="0" w:color="auto"/>
          <w:insideV w:val="none" w:sz="0" w:space="0" w:color="auto"/>
        </w:tblBorders>
        <w:tblLook w:val="04A0" w:firstRow="1" w:lastRow="0" w:firstColumn="1" w:lastColumn="0" w:noHBand="0" w:noVBand="1"/>
      </w:tblPr>
      <w:tblGrid>
        <w:gridCol w:w="3060"/>
        <w:gridCol w:w="1620"/>
        <w:gridCol w:w="1800"/>
        <w:gridCol w:w="1800"/>
        <w:gridCol w:w="1800"/>
      </w:tblGrid>
      <w:tr w:rsidR="00141B2C" w:rsidRPr="004E52C2" w14:paraId="7F021772" w14:textId="77777777" w:rsidTr="00D85854">
        <w:tc>
          <w:tcPr>
            <w:tcW w:w="3060" w:type="dxa"/>
            <w:tcBorders>
              <w:top w:val="single" w:sz="4" w:space="0" w:color="auto"/>
              <w:left w:val="nil"/>
              <w:bottom w:val="single" w:sz="4" w:space="0" w:color="auto"/>
              <w:right w:val="nil"/>
            </w:tcBorders>
            <w:hideMark/>
          </w:tcPr>
          <w:p w14:paraId="3114D9DF"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lastRenderedPageBreak/>
              <w:t>Variables</w:t>
            </w:r>
          </w:p>
        </w:tc>
        <w:tc>
          <w:tcPr>
            <w:tcW w:w="1620" w:type="dxa"/>
            <w:tcBorders>
              <w:top w:val="single" w:sz="4" w:space="0" w:color="auto"/>
              <w:left w:val="nil"/>
              <w:bottom w:val="single" w:sz="4" w:space="0" w:color="auto"/>
              <w:right w:val="nil"/>
            </w:tcBorders>
            <w:hideMark/>
          </w:tcPr>
          <w:p w14:paraId="07F717FB"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Food secure (dy/dx)</w:t>
            </w:r>
          </w:p>
        </w:tc>
        <w:tc>
          <w:tcPr>
            <w:tcW w:w="1800" w:type="dxa"/>
            <w:tcBorders>
              <w:top w:val="single" w:sz="4" w:space="0" w:color="auto"/>
              <w:left w:val="nil"/>
              <w:bottom w:val="single" w:sz="4" w:space="0" w:color="auto"/>
              <w:right w:val="nil"/>
            </w:tcBorders>
            <w:hideMark/>
          </w:tcPr>
          <w:p w14:paraId="2D5FB51A"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Food Insecure without hunger (dy/dx)</w:t>
            </w:r>
          </w:p>
        </w:tc>
        <w:tc>
          <w:tcPr>
            <w:tcW w:w="1800" w:type="dxa"/>
            <w:tcBorders>
              <w:top w:val="single" w:sz="4" w:space="0" w:color="auto"/>
              <w:left w:val="nil"/>
              <w:bottom w:val="single" w:sz="4" w:space="0" w:color="auto"/>
              <w:right w:val="nil"/>
            </w:tcBorders>
            <w:hideMark/>
          </w:tcPr>
          <w:p w14:paraId="4BB373C5"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Food Insecure with Moderate hunger (dy/dx)</w:t>
            </w:r>
          </w:p>
        </w:tc>
        <w:tc>
          <w:tcPr>
            <w:tcW w:w="1800" w:type="dxa"/>
            <w:tcBorders>
              <w:top w:val="single" w:sz="4" w:space="0" w:color="auto"/>
              <w:left w:val="nil"/>
              <w:bottom w:val="single" w:sz="4" w:space="0" w:color="auto"/>
              <w:right w:val="nil"/>
            </w:tcBorders>
            <w:hideMark/>
          </w:tcPr>
          <w:p w14:paraId="3E6D37CA"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Food Insecure with Severe hunger (dy/dx)</w:t>
            </w:r>
          </w:p>
        </w:tc>
      </w:tr>
      <w:tr w:rsidR="00141B2C" w:rsidRPr="004E52C2" w14:paraId="0A3519D8" w14:textId="77777777" w:rsidTr="00D85854">
        <w:tc>
          <w:tcPr>
            <w:tcW w:w="3060" w:type="dxa"/>
            <w:tcBorders>
              <w:top w:val="single" w:sz="4" w:space="0" w:color="auto"/>
              <w:left w:val="nil"/>
              <w:bottom w:val="single" w:sz="4" w:space="0" w:color="auto"/>
              <w:right w:val="nil"/>
            </w:tcBorders>
            <w:hideMark/>
          </w:tcPr>
          <w:p w14:paraId="0E4A732B"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Sex of Household head</w:t>
            </w:r>
          </w:p>
        </w:tc>
        <w:tc>
          <w:tcPr>
            <w:tcW w:w="1620" w:type="dxa"/>
            <w:tcBorders>
              <w:top w:val="single" w:sz="4" w:space="0" w:color="auto"/>
              <w:left w:val="nil"/>
              <w:bottom w:val="single" w:sz="4" w:space="0" w:color="auto"/>
              <w:right w:val="nil"/>
            </w:tcBorders>
            <w:hideMark/>
          </w:tcPr>
          <w:p w14:paraId="5930EABF"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-0.055  (0.052)</w:t>
            </w:r>
          </w:p>
        </w:tc>
        <w:tc>
          <w:tcPr>
            <w:tcW w:w="1800" w:type="dxa"/>
            <w:tcBorders>
              <w:top w:val="single" w:sz="4" w:space="0" w:color="auto"/>
              <w:left w:val="nil"/>
              <w:bottom w:val="single" w:sz="4" w:space="0" w:color="auto"/>
              <w:right w:val="nil"/>
            </w:tcBorders>
            <w:hideMark/>
          </w:tcPr>
          <w:p w14:paraId="44AA8F15"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0.018  </w:t>
            </w:r>
          </w:p>
          <w:p w14:paraId="5E3FEF78"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(0.069)</w:t>
            </w:r>
          </w:p>
        </w:tc>
        <w:tc>
          <w:tcPr>
            <w:tcW w:w="1800" w:type="dxa"/>
            <w:tcBorders>
              <w:top w:val="single" w:sz="4" w:space="0" w:color="auto"/>
              <w:left w:val="nil"/>
              <w:bottom w:val="single" w:sz="4" w:space="0" w:color="auto"/>
              <w:right w:val="nil"/>
            </w:tcBorders>
            <w:hideMark/>
          </w:tcPr>
          <w:p w14:paraId="55D2BC70"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-0.005 </w:t>
            </w:r>
          </w:p>
          <w:p w14:paraId="1093F978"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(0.039)</w:t>
            </w:r>
          </w:p>
        </w:tc>
        <w:tc>
          <w:tcPr>
            <w:tcW w:w="1800" w:type="dxa"/>
            <w:tcBorders>
              <w:top w:val="single" w:sz="4" w:space="0" w:color="auto"/>
              <w:left w:val="nil"/>
              <w:bottom w:val="single" w:sz="4" w:space="0" w:color="auto"/>
              <w:right w:val="nil"/>
            </w:tcBorders>
            <w:hideMark/>
          </w:tcPr>
          <w:p w14:paraId="17D62FD6"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0.050 </w:t>
            </w:r>
          </w:p>
          <w:p w14:paraId="0EF5E3E9"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(0.039)</w:t>
            </w:r>
          </w:p>
        </w:tc>
      </w:tr>
      <w:tr w:rsidR="00141B2C" w:rsidRPr="004E52C2" w14:paraId="28405EC4" w14:textId="77777777" w:rsidTr="00D85854">
        <w:tc>
          <w:tcPr>
            <w:tcW w:w="3060" w:type="dxa"/>
            <w:tcBorders>
              <w:top w:val="single" w:sz="4" w:space="0" w:color="auto"/>
              <w:left w:val="nil"/>
              <w:bottom w:val="single" w:sz="4" w:space="0" w:color="auto"/>
              <w:right w:val="nil"/>
            </w:tcBorders>
            <w:hideMark/>
          </w:tcPr>
          <w:p w14:paraId="322D2FCA"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 xml:space="preserve">Age of Household head </w:t>
            </w:r>
          </w:p>
        </w:tc>
        <w:tc>
          <w:tcPr>
            <w:tcW w:w="1620" w:type="dxa"/>
            <w:tcBorders>
              <w:top w:val="single" w:sz="4" w:space="0" w:color="auto"/>
              <w:left w:val="nil"/>
              <w:bottom w:val="single" w:sz="4" w:space="0" w:color="auto"/>
              <w:right w:val="nil"/>
            </w:tcBorders>
            <w:hideMark/>
          </w:tcPr>
          <w:p w14:paraId="0A8F1454"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-0.003   (0.002)</w:t>
            </w:r>
          </w:p>
        </w:tc>
        <w:tc>
          <w:tcPr>
            <w:tcW w:w="1800" w:type="dxa"/>
            <w:tcBorders>
              <w:top w:val="single" w:sz="4" w:space="0" w:color="auto"/>
              <w:left w:val="nil"/>
              <w:bottom w:val="single" w:sz="4" w:space="0" w:color="auto"/>
              <w:right w:val="nil"/>
            </w:tcBorders>
            <w:hideMark/>
          </w:tcPr>
          <w:p w14:paraId="2E0B99FB"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0.002 </w:t>
            </w:r>
          </w:p>
          <w:p w14:paraId="0E1F064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(0.003)</w:t>
            </w:r>
          </w:p>
        </w:tc>
        <w:tc>
          <w:tcPr>
            <w:tcW w:w="1800" w:type="dxa"/>
            <w:tcBorders>
              <w:top w:val="single" w:sz="4" w:space="0" w:color="auto"/>
              <w:left w:val="nil"/>
              <w:bottom w:val="single" w:sz="4" w:space="0" w:color="auto"/>
              <w:right w:val="nil"/>
            </w:tcBorders>
            <w:hideMark/>
          </w:tcPr>
          <w:p w14:paraId="573FBDCF"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0.000   </w:t>
            </w:r>
          </w:p>
          <w:p w14:paraId="43619201"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(.002)</w:t>
            </w:r>
          </w:p>
        </w:tc>
        <w:tc>
          <w:tcPr>
            <w:tcW w:w="1800" w:type="dxa"/>
            <w:tcBorders>
              <w:top w:val="single" w:sz="4" w:space="0" w:color="auto"/>
              <w:left w:val="nil"/>
              <w:bottom w:val="single" w:sz="4" w:space="0" w:color="auto"/>
              <w:right w:val="nil"/>
            </w:tcBorders>
            <w:hideMark/>
          </w:tcPr>
          <w:p w14:paraId="112B081C"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0.001  </w:t>
            </w:r>
          </w:p>
          <w:p w14:paraId="3AE2C22F"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(0.001)</w:t>
            </w:r>
          </w:p>
        </w:tc>
      </w:tr>
      <w:tr w:rsidR="00141B2C" w:rsidRPr="004E52C2" w14:paraId="348A89CC" w14:textId="77777777" w:rsidTr="00D85854">
        <w:tc>
          <w:tcPr>
            <w:tcW w:w="3060" w:type="dxa"/>
            <w:tcBorders>
              <w:top w:val="single" w:sz="4" w:space="0" w:color="auto"/>
              <w:left w:val="nil"/>
              <w:bottom w:val="single" w:sz="4" w:space="0" w:color="auto"/>
              <w:right w:val="nil"/>
            </w:tcBorders>
            <w:hideMark/>
          </w:tcPr>
          <w:p w14:paraId="488048F0"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Level of education of Household head</w:t>
            </w:r>
          </w:p>
        </w:tc>
        <w:tc>
          <w:tcPr>
            <w:tcW w:w="1620" w:type="dxa"/>
            <w:tcBorders>
              <w:top w:val="single" w:sz="4" w:space="0" w:color="auto"/>
              <w:left w:val="nil"/>
              <w:bottom w:val="single" w:sz="4" w:space="0" w:color="auto"/>
              <w:right w:val="nil"/>
            </w:tcBorders>
            <w:hideMark/>
          </w:tcPr>
          <w:p w14:paraId="7C7B00D1"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-0.020   (0.022)</w:t>
            </w:r>
          </w:p>
        </w:tc>
        <w:tc>
          <w:tcPr>
            <w:tcW w:w="1800" w:type="dxa"/>
            <w:tcBorders>
              <w:top w:val="single" w:sz="4" w:space="0" w:color="auto"/>
              <w:left w:val="nil"/>
              <w:bottom w:val="single" w:sz="4" w:space="0" w:color="auto"/>
              <w:right w:val="nil"/>
            </w:tcBorders>
            <w:hideMark/>
          </w:tcPr>
          <w:p w14:paraId="15DB45C5"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0.0136 </w:t>
            </w:r>
          </w:p>
          <w:p w14:paraId="1810432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(0.026)</w:t>
            </w:r>
          </w:p>
        </w:tc>
        <w:tc>
          <w:tcPr>
            <w:tcW w:w="1800" w:type="dxa"/>
            <w:tcBorders>
              <w:top w:val="single" w:sz="4" w:space="0" w:color="auto"/>
              <w:left w:val="nil"/>
              <w:bottom w:val="single" w:sz="4" w:space="0" w:color="auto"/>
              <w:right w:val="nil"/>
            </w:tcBorders>
            <w:hideMark/>
          </w:tcPr>
          <w:p w14:paraId="42ECE591"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-0.011  </w:t>
            </w:r>
          </w:p>
          <w:p w14:paraId="152FC093"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(0.015)</w:t>
            </w:r>
          </w:p>
        </w:tc>
        <w:tc>
          <w:tcPr>
            <w:tcW w:w="1800" w:type="dxa"/>
            <w:tcBorders>
              <w:top w:val="single" w:sz="4" w:space="0" w:color="auto"/>
              <w:left w:val="nil"/>
              <w:bottom w:val="single" w:sz="4" w:space="0" w:color="auto"/>
              <w:right w:val="nil"/>
            </w:tcBorders>
            <w:hideMark/>
          </w:tcPr>
          <w:p w14:paraId="63FB7329"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0.004 </w:t>
            </w:r>
          </w:p>
          <w:p w14:paraId="407DC8BB"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(0.010)</w:t>
            </w:r>
          </w:p>
        </w:tc>
      </w:tr>
      <w:tr w:rsidR="00141B2C" w:rsidRPr="004E52C2" w14:paraId="1E90C158" w14:textId="77777777" w:rsidTr="00D85854">
        <w:tc>
          <w:tcPr>
            <w:tcW w:w="3060" w:type="dxa"/>
            <w:tcBorders>
              <w:top w:val="single" w:sz="4" w:space="0" w:color="auto"/>
              <w:left w:val="nil"/>
              <w:bottom w:val="single" w:sz="4" w:space="0" w:color="auto"/>
              <w:right w:val="nil"/>
            </w:tcBorders>
            <w:hideMark/>
          </w:tcPr>
          <w:p w14:paraId="41D5251C"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Marital status of Household head</w:t>
            </w:r>
          </w:p>
        </w:tc>
        <w:tc>
          <w:tcPr>
            <w:tcW w:w="1620" w:type="dxa"/>
            <w:tcBorders>
              <w:top w:val="single" w:sz="4" w:space="0" w:color="auto"/>
              <w:left w:val="nil"/>
              <w:bottom w:val="single" w:sz="4" w:space="0" w:color="auto"/>
              <w:right w:val="nil"/>
            </w:tcBorders>
            <w:hideMark/>
          </w:tcPr>
          <w:p w14:paraId="28FD806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-0.079   (0.049)</w:t>
            </w:r>
          </w:p>
        </w:tc>
        <w:tc>
          <w:tcPr>
            <w:tcW w:w="1800" w:type="dxa"/>
            <w:tcBorders>
              <w:top w:val="single" w:sz="4" w:space="0" w:color="auto"/>
              <w:left w:val="nil"/>
              <w:bottom w:val="single" w:sz="4" w:space="0" w:color="auto"/>
              <w:right w:val="nil"/>
            </w:tcBorders>
            <w:hideMark/>
          </w:tcPr>
          <w:p w14:paraId="203307F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0.018 </w:t>
            </w:r>
          </w:p>
          <w:p w14:paraId="60C4884F"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(0.065)</w:t>
            </w:r>
          </w:p>
        </w:tc>
        <w:tc>
          <w:tcPr>
            <w:tcW w:w="1800" w:type="dxa"/>
            <w:tcBorders>
              <w:top w:val="single" w:sz="4" w:space="0" w:color="auto"/>
              <w:left w:val="nil"/>
              <w:bottom w:val="single" w:sz="4" w:space="0" w:color="auto"/>
              <w:right w:val="nil"/>
            </w:tcBorders>
            <w:hideMark/>
          </w:tcPr>
          <w:p w14:paraId="6EAE1DC8"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0.030 </w:t>
            </w:r>
          </w:p>
          <w:p w14:paraId="28B96EC1"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(0.038)</w:t>
            </w:r>
          </w:p>
        </w:tc>
        <w:tc>
          <w:tcPr>
            <w:tcW w:w="1800" w:type="dxa"/>
            <w:tcBorders>
              <w:top w:val="single" w:sz="4" w:space="0" w:color="auto"/>
              <w:left w:val="nil"/>
              <w:bottom w:val="single" w:sz="4" w:space="0" w:color="auto"/>
              <w:right w:val="nil"/>
            </w:tcBorders>
            <w:hideMark/>
          </w:tcPr>
          <w:p w14:paraId="6CDAA79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-0.020   </w:t>
            </w:r>
          </w:p>
          <w:p w14:paraId="1B5B747E"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(0.024)</w:t>
            </w:r>
          </w:p>
        </w:tc>
      </w:tr>
      <w:tr w:rsidR="00141B2C" w:rsidRPr="004E52C2" w14:paraId="31CE37D7" w14:textId="77777777" w:rsidTr="00D85854">
        <w:tc>
          <w:tcPr>
            <w:tcW w:w="3060" w:type="dxa"/>
            <w:tcBorders>
              <w:top w:val="single" w:sz="4" w:space="0" w:color="auto"/>
              <w:left w:val="nil"/>
              <w:bottom w:val="single" w:sz="4" w:space="0" w:color="auto"/>
              <w:right w:val="nil"/>
            </w:tcBorders>
            <w:hideMark/>
          </w:tcPr>
          <w:p w14:paraId="32560FF5"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 xml:space="preserve">Household size </w:t>
            </w:r>
          </w:p>
        </w:tc>
        <w:tc>
          <w:tcPr>
            <w:tcW w:w="1620" w:type="dxa"/>
            <w:tcBorders>
              <w:top w:val="single" w:sz="4" w:space="0" w:color="auto"/>
              <w:left w:val="nil"/>
              <w:bottom w:val="single" w:sz="4" w:space="0" w:color="auto"/>
              <w:right w:val="nil"/>
            </w:tcBorders>
            <w:hideMark/>
          </w:tcPr>
          <w:p w14:paraId="2AAEEC51"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0.024*   (0.013)</w:t>
            </w:r>
          </w:p>
        </w:tc>
        <w:tc>
          <w:tcPr>
            <w:tcW w:w="1800" w:type="dxa"/>
            <w:tcBorders>
              <w:top w:val="single" w:sz="4" w:space="0" w:color="auto"/>
              <w:left w:val="nil"/>
              <w:bottom w:val="single" w:sz="4" w:space="0" w:color="auto"/>
              <w:right w:val="nil"/>
            </w:tcBorders>
            <w:hideMark/>
          </w:tcPr>
          <w:p w14:paraId="13ACAFC0"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0.012 </w:t>
            </w:r>
          </w:p>
          <w:p w14:paraId="62DF27CC"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(0.014)</w:t>
            </w:r>
          </w:p>
        </w:tc>
        <w:tc>
          <w:tcPr>
            <w:tcW w:w="1800" w:type="dxa"/>
            <w:tcBorders>
              <w:top w:val="single" w:sz="4" w:space="0" w:color="auto"/>
              <w:left w:val="nil"/>
              <w:bottom w:val="single" w:sz="4" w:space="0" w:color="auto"/>
              <w:right w:val="nil"/>
            </w:tcBorders>
            <w:hideMark/>
          </w:tcPr>
          <w:p w14:paraId="2606AF2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-0.012**  (0.005)</w:t>
            </w:r>
          </w:p>
        </w:tc>
        <w:tc>
          <w:tcPr>
            <w:tcW w:w="1800" w:type="dxa"/>
            <w:tcBorders>
              <w:top w:val="single" w:sz="4" w:space="0" w:color="auto"/>
              <w:left w:val="nil"/>
              <w:bottom w:val="single" w:sz="4" w:space="0" w:color="auto"/>
              <w:right w:val="nil"/>
            </w:tcBorders>
            <w:hideMark/>
          </w:tcPr>
          <w:p w14:paraId="697A302D"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-0.001  </w:t>
            </w:r>
          </w:p>
          <w:p w14:paraId="0F97135B"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(0.006)</w:t>
            </w:r>
          </w:p>
        </w:tc>
      </w:tr>
      <w:tr w:rsidR="00141B2C" w:rsidRPr="004E52C2" w14:paraId="1BBE0472" w14:textId="77777777" w:rsidTr="00D85854">
        <w:tc>
          <w:tcPr>
            <w:tcW w:w="3060" w:type="dxa"/>
            <w:tcBorders>
              <w:top w:val="single" w:sz="4" w:space="0" w:color="auto"/>
              <w:left w:val="nil"/>
              <w:bottom w:val="single" w:sz="4" w:space="0" w:color="auto"/>
              <w:right w:val="nil"/>
            </w:tcBorders>
            <w:hideMark/>
          </w:tcPr>
          <w:p w14:paraId="4F410C45"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 xml:space="preserve">Location of Household </w:t>
            </w:r>
          </w:p>
        </w:tc>
        <w:tc>
          <w:tcPr>
            <w:tcW w:w="1620" w:type="dxa"/>
            <w:tcBorders>
              <w:top w:val="single" w:sz="4" w:space="0" w:color="auto"/>
              <w:left w:val="nil"/>
              <w:bottom w:val="single" w:sz="4" w:space="0" w:color="auto"/>
              <w:right w:val="nil"/>
            </w:tcBorders>
            <w:hideMark/>
          </w:tcPr>
          <w:p w14:paraId="0D8092C1"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0.073 </w:t>
            </w:r>
          </w:p>
          <w:p w14:paraId="188AA7DE"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(0.049)</w:t>
            </w:r>
          </w:p>
        </w:tc>
        <w:tc>
          <w:tcPr>
            <w:tcW w:w="1800" w:type="dxa"/>
            <w:tcBorders>
              <w:top w:val="single" w:sz="4" w:space="0" w:color="auto"/>
              <w:left w:val="nil"/>
              <w:bottom w:val="single" w:sz="4" w:space="0" w:color="auto"/>
              <w:right w:val="nil"/>
            </w:tcBorders>
            <w:hideMark/>
          </w:tcPr>
          <w:p w14:paraId="1A56BA81"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-0.119*     (0.063)</w:t>
            </w:r>
          </w:p>
        </w:tc>
        <w:tc>
          <w:tcPr>
            <w:tcW w:w="1800" w:type="dxa"/>
            <w:tcBorders>
              <w:top w:val="single" w:sz="4" w:space="0" w:color="auto"/>
              <w:left w:val="nil"/>
              <w:bottom w:val="single" w:sz="4" w:space="0" w:color="auto"/>
              <w:right w:val="nil"/>
            </w:tcBorders>
            <w:hideMark/>
          </w:tcPr>
          <w:p w14:paraId="0C3DABF3"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-0.019 </w:t>
            </w:r>
          </w:p>
          <w:p w14:paraId="34FA4EE3"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(0.036)</w:t>
            </w:r>
          </w:p>
        </w:tc>
        <w:tc>
          <w:tcPr>
            <w:tcW w:w="1800" w:type="dxa"/>
            <w:tcBorders>
              <w:top w:val="single" w:sz="4" w:space="0" w:color="auto"/>
              <w:left w:val="nil"/>
              <w:bottom w:val="single" w:sz="4" w:space="0" w:color="auto"/>
              <w:right w:val="nil"/>
            </w:tcBorders>
            <w:hideMark/>
          </w:tcPr>
          <w:p w14:paraId="01B12A7E"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0.005</w:t>
            </w:r>
          </w:p>
          <w:p w14:paraId="04B7D6F4"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(0.026)</w:t>
            </w:r>
          </w:p>
        </w:tc>
      </w:tr>
      <w:tr w:rsidR="00141B2C" w:rsidRPr="004E52C2" w14:paraId="0EC27CD0" w14:textId="77777777" w:rsidTr="00D85854">
        <w:tc>
          <w:tcPr>
            <w:tcW w:w="3060" w:type="dxa"/>
            <w:tcBorders>
              <w:top w:val="single" w:sz="4" w:space="0" w:color="auto"/>
              <w:left w:val="nil"/>
              <w:bottom w:val="single" w:sz="4" w:space="0" w:color="auto"/>
              <w:right w:val="nil"/>
            </w:tcBorders>
            <w:hideMark/>
          </w:tcPr>
          <w:p w14:paraId="63BD3D8E"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Primary of Household head Occupation</w:t>
            </w:r>
          </w:p>
        </w:tc>
        <w:tc>
          <w:tcPr>
            <w:tcW w:w="1620" w:type="dxa"/>
            <w:tcBorders>
              <w:top w:val="single" w:sz="4" w:space="0" w:color="auto"/>
              <w:left w:val="nil"/>
              <w:bottom w:val="single" w:sz="4" w:space="0" w:color="auto"/>
              <w:right w:val="nil"/>
            </w:tcBorders>
            <w:hideMark/>
          </w:tcPr>
          <w:p w14:paraId="6DEF4B5C"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0.106**   (0.055)</w:t>
            </w:r>
          </w:p>
        </w:tc>
        <w:tc>
          <w:tcPr>
            <w:tcW w:w="1800" w:type="dxa"/>
            <w:tcBorders>
              <w:top w:val="single" w:sz="4" w:space="0" w:color="auto"/>
              <w:left w:val="nil"/>
              <w:bottom w:val="single" w:sz="4" w:space="0" w:color="auto"/>
              <w:right w:val="nil"/>
            </w:tcBorders>
            <w:hideMark/>
          </w:tcPr>
          <w:p w14:paraId="102AF79E"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0.040 </w:t>
            </w:r>
          </w:p>
          <w:p w14:paraId="5B6A312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(0.077)</w:t>
            </w:r>
          </w:p>
        </w:tc>
        <w:tc>
          <w:tcPr>
            <w:tcW w:w="1800" w:type="dxa"/>
            <w:tcBorders>
              <w:top w:val="single" w:sz="4" w:space="0" w:color="auto"/>
              <w:left w:val="nil"/>
              <w:bottom w:val="single" w:sz="4" w:space="0" w:color="auto"/>
              <w:right w:val="nil"/>
            </w:tcBorders>
            <w:hideMark/>
          </w:tcPr>
          <w:p w14:paraId="13EC8D5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-0.047 </w:t>
            </w:r>
          </w:p>
          <w:p w14:paraId="74F648B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(0.053)</w:t>
            </w:r>
          </w:p>
        </w:tc>
        <w:tc>
          <w:tcPr>
            <w:tcW w:w="1800" w:type="dxa"/>
            <w:tcBorders>
              <w:top w:val="single" w:sz="4" w:space="0" w:color="auto"/>
              <w:left w:val="nil"/>
              <w:bottom w:val="single" w:sz="4" w:space="0" w:color="auto"/>
              <w:right w:val="nil"/>
            </w:tcBorders>
            <w:hideMark/>
          </w:tcPr>
          <w:p w14:paraId="274FC090"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0.006 </w:t>
            </w:r>
          </w:p>
          <w:p w14:paraId="399B1D5E"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(0.007)</w:t>
            </w:r>
          </w:p>
        </w:tc>
      </w:tr>
      <w:tr w:rsidR="00141B2C" w:rsidRPr="004E52C2" w14:paraId="1BB1B0D5" w14:textId="77777777" w:rsidTr="00D85854">
        <w:tc>
          <w:tcPr>
            <w:tcW w:w="3060" w:type="dxa"/>
            <w:tcBorders>
              <w:top w:val="single" w:sz="4" w:space="0" w:color="auto"/>
              <w:left w:val="nil"/>
              <w:bottom w:val="single" w:sz="4" w:space="0" w:color="auto"/>
              <w:right w:val="nil"/>
            </w:tcBorders>
            <w:hideMark/>
          </w:tcPr>
          <w:p w14:paraId="563AECFC"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Monthly income of Household head</w:t>
            </w:r>
          </w:p>
        </w:tc>
        <w:tc>
          <w:tcPr>
            <w:tcW w:w="1620" w:type="dxa"/>
            <w:tcBorders>
              <w:top w:val="single" w:sz="4" w:space="0" w:color="auto"/>
              <w:left w:val="nil"/>
              <w:bottom w:val="single" w:sz="4" w:space="0" w:color="auto"/>
              <w:right w:val="nil"/>
            </w:tcBorders>
            <w:hideMark/>
          </w:tcPr>
          <w:p w14:paraId="2DA26CF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-2.47e-07***   (8.76e-08)</w:t>
            </w:r>
          </w:p>
        </w:tc>
        <w:tc>
          <w:tcPr>
            <w:tcW w:w="1800" w:type="dxa"/>
            <w:tcBorders>
              <w:top w:val="single" w:sz="4" w:space="0" w:color="auto"/>
              <w:left w:val="nil"/>
              <w:bottom w:val="single" w:sz="4" w:space="0" w:color="auto"/>
              <w:right w:val="nil"/>
            </w:tcBorders>
            <w:hideMark/>
          </w:tcPr>
          <w:p w14:paraId="4B3A3AE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1.19e-07   (1.39e-07)</w:t>
            </w:r>
          </w:p>
        </w:tc>
        <w:tc>
          <w:tcPr>
            <w:tcW w:w="1800" w:type="dxa"/>
            <w:tcBorders>
              <w:top w:val="single" w:sz="4" w:space="0" w:color="auto"/>
              <w:left w:val="nil"/>
              <w:bottom w:val="single" w:sz="4" w:space="0" w:color="auto"/>
              <w:right w:val="nil"/>
            </w:tcBorders>
            <w:hideMark/>
          </w:tcPr>
          <w:p w14:paraId="13F1C81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6.89e-08   (9.30e-08)</w:t>
            </w:r>
          </w:p>
        </w:tc>
        <w:tc>
          <w:tcPr>
            <w:tcW w:w="1800" w:type="dxa"/>
            <w:tcBorders>
              <w:top w:val="single" w:sz="4" w:space="0" w:color="auto"/>
              <w:left w:val="nil"/>
              <w:bottom w:val="single" w:sz="4" w:space="0" w:color="auto"/>
              <w:right w:val="nil"/>
            </w:tcBorders>
            <w:hideMark/>
          </w:tcPr>
          <w:p w14:paraId="3D951775"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1.17e-06***   (4.39e-07)</w:t>
            </w:r>
          </w:p>
        </w:tc>
      </w:tr>
      <w:tr w:rsidR="00141B2C" w:rsidRPr="004E52C2" w14:paraId="7E34AC0B" w14:textId="77777777" w:rsidTr="00D85854">
        <w:tc>
          <w:tcPr>
            <w:tcW w:w="3060" w:type="dxa"/>
            <w:tcBorders>
              <w:top w:val="single" w:sz="4" w:space="0" w:color="auto"/>
              <w:left w:val="nil"/>
              <w:bottom w:val="single" w:sz="4" w:space="0" w:color="auto"/>
              <w:right w:val="nil"/>
            </w:tcBorders>
            <w:hideMark/>
          </w:tcPr>
          <w:p w14:paraId="0AD9A03E"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No of Observations</w:t>
            </w:r>
          </w:p>
        </w:tc>
        <w:tc>
          <w:tcPr>
            <w:tcW w:w="1620" w:type="dxa"/>
            <w:tcBorders>
              <w:top w:val="single" w:sz="4" w:space="0" w:color="auto"/>
              <w:left w:val="nil"/>
              <w:bottom w:val="single" w:sz="4" w:space="0" w:color="auto"/>
              <w:right w:val="nil"/>
            </w:tcBorders>
            <w:hideMark/>
          </w:tcPr>
          <w:p w14:paraId="59E51B3A"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257</w:t>
            </w:r>
          </w:p>
        </w:tc>
        <w:tc>
          <w:tcPr>
            <w:tcW w:w="1800" w:type="dxa"/>
            <w:tcBorders>
              <w:top w:val="single" w:sz="4" w:space="0" w:color="auto"/>
              <w:left w:val="nil"/>
              <w:bottom w:val="single" w:sz="4" w:space="0" w:color="auto"/>
              <w:right w:val="nil"/>
            </w:tcBorders>
            <w:hideMark/>
          </w:tcPr>
          <w:p w14:paraId="45525C75"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257</w:t>
            </w:r>
          </w:p>
        </w:tc>
        <w:tc>
          <w:tcPr>
            <w:tcW w:w="1800" w:type="dxa"/>
            <w:tcBorders>
              <w:top w:val="single" w:sz="4" w:space="0" w:color="auto"/>
              <w:left w:val="nil"/>
              <w:bottom w:val="single" w:sz="4" w:space="0" w:color="auto"/>
              <w:right w:val="nil"/>
            </w:tcBorders>
            <w:hideMark/>
          </w:tcPr>
          <w:p w14:paraId="03B1CCEC"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257</w:t>
            </w:r>
          </w:p>
        </w:tc>
        <w:tc>
          <w:tcPr>
            <w:tcW w:w="1800" w:type="dxa"/>
            <w:tcBorders>
              <w:top w:val="single" w:sz="4" w:space="0" w:color="auto"/>
              <w:left w:val="nil"/>
              <w:bottom w:val="single" w:sz="4" w:space="0" w:color="auto"/>
              <w:right w:val="nil"/>
            </w:tcBorders>
            <w:hideMark/>
          </w:tcPr>
          <w:p w14:paraId="570F3A19"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257</w:t>
            </w:r>
          </w:p>
        </w:tc>
      </w:tr>
      <w:tr w:rsidR="00141B2C" w:rsidRPr="004E52C2" w14:paraId="634B92FA" w14:textId="77777777" w:rsidTr="00D85854">
        <w:tc>
          <w:tcPr>
            <w:tcW w:w="3060" w:type="dxa"/>
            <w:tcBorders>
              <w:top w:val="single" w:sz="4" w:space="0" w:color="auto"/>
              <w:left w:val="nil"/>
              <w:bottom w:val="single" w:sz="4" w:space="0" w:color="auto"/>
              <w:right w:val="nil"/>
            </w:tcBorders>
            <w:hideMark/>
          </w:tcPr>
          <w:p w14:paraId="45B90F77"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Pseudo R-squared</w:t>
            </w:r>
          </w:p>
        </w:tc>
        <w:tc>
          <w:tcPr>
            <w:tcW w:w="1620" w:type="dxa"/>
            <w:tcBorders>
              <w:top w:val="single" w:sz="4" w:space="0" w:color="auto"/>
              <w:left w:val="nil"/>
              <w:bottom w:val="single" w:sz="4" w:space="0" w:color="auto"/>
              <w:right w:val="nil"/>
            </w:tcBorders>
            <w:hideMark/>
          </w:tcPr>
          <w:p w14:paraId="6793309A"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0.1046</w:t>
            </w:r>
          </w:p>
        </w:tc>
        <w:tc>
          <w:tcPr>
            <w:tcW w:w="1800" w:type="dxa"/>
            <w:tcBorders>
              <w:top w:val="single" w:sz="4" w:space="0" w:color="auto"/>
              <w:left w:val="nil"/>
              <w:bottom w:val="single" w:sz="4" w:space="0" w:color="auto"/>
              <w:right w:val="nil"/>
            </w:tcBorders>
            <w:hideMark/>
          </w:tcPr>
          <w:p w14:paraId="14BC8520"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0.0313</w:t>
            </w:r>
          </w:p>
        </w:tc>
        <w:tc>
          <w:tcPr>
            <w:tcW w:w="1800" w:type="dxa"/>
            <w:tcBorders>
              <w:top w:val="single" w:sz="4" w:space="0" w:color="auto"/>
              <w:left w:val="nil"/>
              <w:bottom w:val="single" w:sz="4" w:space="0" w:color="auto"/>
              <w:right w:val="nil"/>
            </w:tcBorders>
            <w:hideMark/>
          </w:tcPr>
          <w:p w14:paraId="1F4BD5CC"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0.0569</w:t>
            </w:r>
          </w:p>
        </w:tc>
        <w:tc>
          <w:tcPr>
            <w:tcW w:w="1800" w:type="dxa"/>
            <w:tcBorders>
              <w:top w:val="single" w:sz="4" w:space="0" w:color="auto"/>
              <w:left w:val="nil"/>
              <w:bottom w:val="single" w:sz="4" w:space="0" w:color="auto"/>
              <w:right w:val="nil"/>
            </w:tcBorders>
            <w:hideMark/>
          </w:tcPr>
          <w:p w14:paraId="3B55BD4A"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0.3317</w:t>
            </w:r>
          </w:p>
        </w:tc>
      </w:tr>
      <w:tr w:rsidR="00141B2C" w:rsidRPr="004E52C2" w14:paraId="4EECCD69" w14:textId="77777777" w:rsidTr="00D85854">
        <w:tc>
          <w:tcPr>
            <w:tcW w:w="3060" w:type="dxa"/>
            <w:tcBorders>
              <w:top w:val="single" w:sz="4" w:space="0" w:color="auto"/>
              <w:left w:val="nil"/>
              <w:bottom w:val="single" w:sz="4" w:space="0" w:color="auto"/>
              <w:right w:val="nil"/>
            </w:tcBorders>
            <w:hideMark/>
          </w:tcPr>
          <w:p w14:paraId="65526B84"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 xml:space="preserve">Prob &gt; Chi-squared </w:t>
            </w:r>
          </w:p>
        </w:tc>
        <w:tc>
          <w:tcPr>
            <w:tcW w:w="1620" w:type="dxa"/>
            <w:tcBorders>
              <w:top w:val="single" w:sz="4" w:space="0" w:color="auto"/>
              <w:left w:val="nil"/>
              <w:bottom w:val="single" w:sz="4" w:space="0" w:color="auto"/>
              <w:right w:val="nil"/>
            </w:tcBorders>
            <w:hideMark/>
          </w:tcPr>
          <w:p w14:paraId="25F399F8"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0.0010</w:t>
            </w:r>
          </w:p>
        </w:tc>
        <w:tc>
          <w:tcPr>
            <w:tcW w:w="1800" w:type="dxa"/>
            <w:tcBorders>
              <w:top w:val="single" w:sz="4" w:space="0" w:color="auto"/>
              <w:left w:val="nil"/>
              <w:bottom w:val="single" w:sz="4" w:space="0" w:color="auto"/>
              <w:right w:val="nil"/>
            </w:tcBorders>
            <w:hideMark/>
          </w:tcPr>
          <w:p w14:paraId="0D6691F8"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0.2306</w:t>
            </w:r>
          </w:p>
        </w:tc>
        <w:tc>
          <w:tcPr>
            <w:tcW w:w="1800" w:type="dxa"/>
            <w:tcBorders>
              <w:top w:val="single" w:sz="4" w:space="0" w:color="auto"/>
              <w:left w:val="nil"/>
              <w:bottom w:val="single" w:sz="4" w:space="0" w:color="auto"/>
              <w:right w:val="nil"/>
            </w:tcBorders>
            <w:hideMark/>
          </w:tcPr>
          <w:p w14:paraId="32FA8686"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0.0434</w:t>
            </w:r>
          </w:p>
        </w:tc>
        <w:tc>
          <w:tcPr>
            <w:tcW w:w="1800" w:type="dxa"/>
            <w:tcBorders>
              <w:top w:val="single" w:sz="4" w:space="0" w:color="auto"/>
              <w:left w:val="nil"/>
              <w:bottom w:val="single" w:sz="4" w:space="0" w:color="auto"/>
              <w:right w:val="nil"/>
            </w:tcBorders>
            <w:hideMark/>
          </w:tcPr>
          <w:p w14:paraId="50079BB2"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0.0005</w:t>
            </w:r>
          </w:p>
        </w:tc>
      </w:tr>
      <w:tr w:rsidR="00141B2C" w:rsidRPr="004E52C2" w14:paraId="0B435B42" w14:textId="77777777" w:rsidTr="00D85854">
        <w:tc>
          <w:tcPr>
            <w:tcW w:w="3060" w:type="dxa"/>
            <w:tcBorders>
              <w:top w:val="single" w:sz="4" w:space="0" w:color="auto"/>
              <w:left w:val="nil"/>
              <w:bottom w:val="single" w:sz="4" w:space="0" w:color="auto"/>
              <w:right w:val="nil"/>
            </w:tcBorders>
            <w:hideMark/>
          </w:tcPr>
          <w:p w14:paraId="6D911580"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LR chi2(8)</w:t>
            </w:r>
          </w:p>
        </w:tc>
        <w:tc>
          <w:tcPr>
            <w:tcW w:w="1620" w:type="dxa"/>
            <w:tcBorders>
              <w:top w:val="single" w:sz="4" w:space="0" w:color="auto"/>
              <w:left w:val="nil"/>
              <w:bottom w:val="single" w:sz="4" w:space="0" w:color="auto"/>
              <w:right w:val="nil"/>
            </w:tcBorders>
            <w:hideMark/>
          </w:tcPr>
          <w:p w14:paraId="71F2BFF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26.19</w:t>
            </w:r>
          </w:p>
        </w:tc>
        <w:tc>
          <w:tcPr>
            <w:tcW w:w="1800" w:type="dxa"/>
            <w:tcBorders>
              <w:top w:val="single" w:sz="4" w:space="0" w:color="auto"/>
              <w:left w:val="nil"/>
              <w:bottom w:val="single" w:sz="4" w:space="0" w:color="auto"/>
              <w:right w:val="nil"/>
            </w:tcBorders>
            <w:hideMark/>
          </w:tcPr>
          <w:p w14:paraId="08BB594D"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10.52</w:t>
            </w:r>
          </w:p>
        </w:tc>
        <w:tc>
          <w:tcPr>
            <w:tcW w:w="1800" w:type="dxa"/>
            <w:tcBorders>
              <w:top w:val="single" w:sz="4" w:space="0" w:color="auto"/>
              <w:left w:val="nil"/>
              <w:bottom w:val="single" w:sz="4" w:space="0" w:color="auto"/>
              <w:right w:val="nil"/>
            </w:tcBorders>
            <w:hideMark/>
          </w:tcPr>
          <w:p w14:paraId="165D881C"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7.99</w:t>
            </w:r>
          </w:p>
        </w:tc>
        <w:tc>
          <w:tcPr>
            <w:tcW w:w="1800" w:type="dxa"/>
            <w:tcBorders>
              <w:top w:val="single" w:sz="4" w:space="0" w:color="auto"/>
              <w:left w:val="nil"/>
              <w:bottom w:val="single" w:sz="4" w:space="0" w:color="auto"/>
              <w:right w:val="nil"/>
            </w:tcBorders>
            <w:hideMark/>
          </w:tcPr>
          <w:p w14:paraId="1D3B694C"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28.04</w:t>
            </w:r>
          </w:p>
        </w:tc>
      </w:tr>
      <w:tr w:rsidR="00141B2C" w:rsidRPr="004E52C2" w14:paraId="275EE685" w14:textId="77777777" w:rsidTr="00D85854">
        <w:tc>
          <w:tcPr>
            <w:tcW w:w="3060" w:type="dxa"/>
            <w:tcBorders>
              <w:top w:val="single" w:sz="4" w:space="0" w:color="auto"/>
              <w:left w:val="nil"/>
              <w:bottom w:val="single" w:sz="4" w:space="0" w:color="auto"/>
              <w:right w:val="nil"/>
            </w:tcBorders>
            <w:hideMark/>
          </w:tcPr>
          <w:p w14:paraId="3210B3DE" w14:textId="77777777" w:rsidR="00141B2C" w:rsidRPr="004E52C2" w:rsidRDefault="00141B2C" w:rsidP="00141B2C">
            <w:pPr>
              <w:spacing w:after="160" w:line="259" w:lineRule="auto"/>
              <w:ind w:left="0" w:right="0" w:firstLine="0"/>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Log-likelihood</w:t>
            </w:r>
          </w:p>
        </w:tc>
        <w:tc>
          <w:tcPr>
            <w:tcW w:w="1620" w:type="dxa"/>
            <w:tcBorders>
              <w:top w:val="single" w:sz="4" w:space="0" w:color="auto"/>
              <w:left w:val="nil"/>
              <w:bottom w:val="single" w:sz="4" w:space="0" w:color="auto"/>
              <w:right w:val="nil"/>
            </w:tcBorders>
            <w:hideMark/>
          </w:tcPr>
          <w:p w14:paraId="45D10AAA"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-112.11038</w:t>
            </w:r>
          </w:p>
        </w:tc>
        <w:tc>
          <w:tcPr>
            <w:tcW w:w="1800" w:type="dxa"/>
            <w:tcBorders>
              <w:top w:val="single" w:sz="4" w:space="0" w:color="auto"/>
              <w:left w:val="nil"/>
              <w:bottom w:val="single" w:sz="4" w:space="0" w:color="auto"/>
              <w:right w:val="nil"/>
            </w:tcBorders>
            <w:hideMark/>
          </w:tcPr>
          <w:p w14:paraId="7F92EC61"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-162.94462</w:t>
            </w:r>
          </w:p>
        </w:tc>
        <w:tc>
          <w:tcPr>
            <w:tcW w:w="1800" w:type="dxa"/>
            <w:tcBorders>
              <w:top w:val="single" w:sz="4" w:space="0" w:color="auto"/>
              <w:left w:val="nil"/>
              <w:bottom w:val="single" w:sz="4" w:space="0" w:color="auto"/>
              <w:right w:val="nil"/>
            </w:tcBorders>
            <w:hideMark/>
          </w:tcPr>
          <w:p w14:paraId="42833029"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-66.271974</w:t>
            </w:r>
          </w:p>
        </w:tc>
        <w:tc>
          <w:tcPr>
            <w:tcW w:w="1800" w:type="dxa"/>
            <w:tcBorders>
              <w:top w:val="single" w:sz="4" w:space="0" w:color="auto"/>
              <w:left w:val="nil"/>
              <w:bottom w:val="single" w:sz="4" w:space="0" w:color="auto"/>
              <w:right w:val="nil"/>
            </w:tcBorders>
            <w:hideMark/>
          </w:tcPr>
          <w:p w14:paraId="3DDB7687" w14:textId="77777777" w:rsidR="00141B2C" w:rsidRPr="004E52C2" w:rsidRDefault="00141B2C" w:rsidP="00141B2C">
            <w:pPr>
              <w:spacing w:after="160" w:line="259" w:lineRule="auto"/>
              <w:ind w:left="0" w:right="0" w:firstLine="0"/>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-28.247523</w:t>
            </w:r>
          </w:p>
        </w:tc>
      </w:tr>
    </w:tbl>
    <w:p w14:paraId="7EBE4F1C" w14:textId="77777777" w:rsidR="00141B2C" w:rsidRPr="004E52C2" w:rsidRDefault="00141B2C" w:rsidP="00141B2C">
      <w:pPr>
        <w:rPr>
          <w:rFonts w:cstheme="minorHAnsi"/>
          <w:bCs/>
          <w:sz w:val="24"/>
          <w:szCs w:val="24"/>
          <w:lang w:val="en-US"/>
        </w:rPr>
      </w:pPr>
      <w:r w:rsidRPr="004E52C2">
        <w:rPr>
          <w:rFonts w:cstheme="minorHAnsi"/>
          <w:bCs/>
          <w:sz w:val="24"/>
          <w:szCs w:val="24"/>
          <w:lang w:val="en-US"/>
        </w:rPr>
        <w:t>Note: ***, ** and  *denote significance at the 0.01, 0.05 and 0.10 levels, respectively. Standard Error in parenthesis. Source: Field survey, 2023.</w:t>
      </w:r>
    </w:p>
    <w:p w14:paraId="7E31F82E" w14:textId="77777777" w:rsidR="00437210" w:rsidRPr="004E52C2" w:rsidRDefault="00437210" w:rsidP="00141B2C">
      <w:pPr>
        <w:rPr>
          <w:rFonts w:cstheme="minorHAnsi"/>
          <w:bCs/>
          <w:sz w:val="24"/>
          <w:szCs w:val="24"/>
          <w:lang w:val="en-US"/>
        </w:rPr>
      </w:pPr>
    </w:p>
    <w:p w14:paraId="3026B753" w14:textId="57582D76" w:rsidR="00141B2C" w:rsidRPr="004E52C2" w:rsidRDefault="00B5477B" w:rsidP="00B5477B">
      <w:pPr>
        <w:jc w:val="both"/>
        <w:rPr>
          <w:rFonts w:cstheme="minorHAnsi"/>
          <w:b/>
          <w:bCs/>
          <w:sz w:val="24"/>
          <w:szCs w:val="24"/>
          <w:lang w:val="en-US"/>
        </w:rPr>
      </w:pPr>
      <w:bookmarkStart w:id="36" w:name="_Toc140036410"/>
      <w:bookmarkStart w:id="37" w:name="_Toc140036451"/>
      <w:r w:rsidRPr="004E52C2">
        <w:rPr>
          <w:rFonts w:cstheme="minorHAnsi"/>
          <w:b/>
          <w:bCs/>
          <w:sz w:val="24"/>
          <w:szCs w:val="24"/>
          <w:lang w:val="en-US"/>
        </w:rPr>
        <w:t>4</w:t>
      </w:r>
      <w:r w:rsidR="00141B2C" w:rsidRPr="004E52C2">
        <w:rPr>
          <w:rFonts w:cstheme="minorHAnsi"/>
          <w:b/>
          <w:bCs/>
          <w:sz w:val="24"/>
          <w:szCs w:val="24"/>
          <w:lang w:val="en-US"/>
        </w:rPr>
        <w:t xml:space="preserve">.1. </w:t>
      </w:r>
      <w:bookmarkEnd w:id="36"/>
      <w:bookmarkEnd w:id="37"/>
      <w:r w:rsidR="00437210" w:rsidRPr="004E52C2">
        <w:rPr>
          <w:rFonts w:cstheme="minorHAnsi"/>
          <w:b/>
          <w:bCs/>
          <w:sz w:val="24"/>
          <w:szCs w:val="24"/>
          <w:lang w:val="en-US"/>
        </w:rPr>
        <w:t>Discussion</w:t>
      </w:r>
    </w:p>
    <w:p w14:paraId="5853A8D1" w14:textId="015C58E2" w:rsidR="00B5477B" w:rsidRPr="004E52C2" w:rsidRDefault="00141B2C" w:rsidP="00B5477B">
      <w:pPr>
        <w:jc w:val="both"/>
        <w:rPr>
          <w:rFonts w:cstheme="minorHAnsi"/>
          <w:bCs/>
          <w:sz w:val="24"/>
          <w:szCs w:val="24"/>
          <w:lang w:val="en-US"/>
        </w:rPr>
      </w:pPr>
      <w:bookmarkStart w:id="38" w:name="_Toc140036187"/>
      <w:r w:rsidRPr="004E52C2">
        <w:rPr>
          <w:rFonts w:cstheme="minorHAnsi"/>
          <w:bCs/>
          <w:sz w:val="24"/>
          <w:szCs w:val="24"/>
          <w:lang w:val="en-US"/>
        </w:rPr>
        <w:lastRenderedPageBreak/>
        <w:t>This research was carried out to study and estimate the factors influencing the dietary wellness sustainability of household food security status in Ibadan North Local Government Area in Oyo State. The study area is majorly in an urban area which comprises densely populated and sparsely populated areas. The result presented was based on Primary data collected from a random sample of 257 households selected from five residential areas in the study area, Agbowo, Bodija, Agbodi, Sango and Mokola.</w:t>
      </w:r>
      <w:bookmarkEnd w:id="38"/>
    </w:p>
    <w:p w14:paraId="7484BA13" w14:textId="66A8FAE9" w:rsidR="00B5477B" w:rsidRPr="004E52C2" w:rsidRDefault="00B5477B" w:rsidP="00B5477B">
      <w:pPr>
        <w:jc w:val="both"/>
        <w:rPr>
          <w:rFonts w:cstheme="minorHAnsi"/>
          <w:bCs/>
          <w:sz w:val="24"/>
          <w:szCs w:val="24"/>
        </w:rPr>
      </w:pPr>
      <w:commentRangeStart w:id="39"/>
      <w:r w:rsidRPr="004E52C2">
        <w:rPr>
          <w:rFonts w:cstheme="minorHAnsi"/>
          <w:bCs/>
          <w:sz w:val="24"/>
          <w:szCs w:val="24"/>
        </w:rPr>
        <w:t xml:space="preserve">The study revealed that male-headed households constituted the majority of households sampled and experienced relatively higher levels of food insecurity compared to female-headed households. </w:t>
      </w:r>
      <w:commentRangeEnd w:id="39"/>
      <w:r w:rsidR="00B86618" w:rsidRPr="004E52C2">
        <w:rPr>
          <w:rStyle w:val="CommentReference"/>
          <w:rFonts w:cstheme="minorHAnsi"/>
          <w:bCs/>
          <w:sz w:val="24"/>
          <w:szCs w:val="24"/>
        </w:rPr>
        <w:commentReference w:id="39"/>
      </w:r>
      <w:r w:rsidRPr="004E52C2">
        <w:rPr>
          <w:rFonts w:cstheme="minorHAnsi"/>
          <w:bCs/>
          <w:sz w:val="24"/>
          <w:szCs w:val="24"/>
        </w:rPr>
        <w:t>This finding may be associated with the larger financial and household responsibilities commonly borne by male household heads in urban Nigerian settings. Female-headed households may demonstrate better household food allocation and budgeting strategies despite limited resources. This finding agrees with the study by Ene-Obong et al. (2017), who reported that women often prioritize household nutrition and food management more effectively than men. However, the finding contradicts the work of Ashagidigbi et al. (2022), who observed higher food insecurity among female-headed households due to lower economic opportunities and reduced access to productive resources</w:t>
      </w:r>
    </w:p>
    <w:p w14:paraId="1C68C37C" w14:textId="135EB0FA" w:rsidR="00B5477B" w:rsidRPr="004E52C2" w:rsidRDefault="00B5477B" w:rsidP="00B5477B">
      <w:pPr>
        <w:jc w:val="both"/>
        <w:rPr>
          <w:rFonts w:cstheme="minorHAnsi"/>
          <w:bCs/>
          <w:sz w:val="24"/>
          <w:szCs w:val="24"/>
        </w:rPr>
      </w:pPr>
      <w:r w:rsidRPr="004E52C2">
        <w:rPr>
          <w:rFonts w:cstheme="minorHAnsi"/>
          <w:bCs/>
          <w:sz w:val="24"/>
          <w:szCs w:val="24"/>
        </w:rPr>
        <w:t>Age of household heads also influenced food security outcomes. Households headed by individuals above 60 years demonstrated both relatively high food security and high severe food insecurity. This mixed pattern may reflect inequalities among elderly populations, where some older adults benefit from accumulated wealth or family support, while others experience declining income and increased dependency. Similar findings were reported by Adetunji and Gumede, (2024), who noted that older household heads in urban Nigeria may experience economic vulnerability after retirement. In contrast, younger household heads showed lower severe hunger levels, possibly because they are more economically active and adaptable to changing economic conditions.</w:t>
      </w:r>
    </w:p>
    <w:p w14:paraId="2EB3529C" w14:textId="2C61A790" w:rsidR="00B5477B" w:rsidRPr="004E52C2" w:rsidRDefault="00B5477B" w:rsidP="00B5477B">
      <w:pPr>
        <w:jc w:val="both"/>
        <w:rPr>
          <w:rFonts w:cstheme="minorHAnsi"/>
          <w:bCs/>
          <w:sz w:val="24"/>
          <w:szCs w:val="24"/>
        </w:rPr>
      </w:pPr>
      <w:r w:rsidRPr="004E52C2">
        <w:rPr>
          <w:rFonts w:cstheme="minorHAnsi"/>
          <w:bCs/>
          <w:sz w:val="24"/>
          <w:szCs w:val="24"/>
        </w:rPr>
        <w:t>The educational level had a significant positive effect on food security status of households. Households with tertiary education were more food secure and had less severe hunger than households with few or no years of formal education. Education likely enhances employment opportunities, income generation, financial literacy, and nutritional awareness, all of which contribute positively to household food access and dietary quality.</w:t>
      </w:r>
    </w:p>
    <w:p w14:paraId="4DBC0037" w14:textId="2AB0703F" w:rsidR="00B5477B" w:rsidRPr="004E52C2" w:rsidRDefault="00B5477B" w:rsidP="00B5477B">
      <w:pPr>
        <w:jc w:val="both"/>
        <w:rPr>
          <w:rFonts w:cstheme="minorHAnsi"/>
          <w:bCs/>
          <w:sz w:val="24"/>
          <w:szCs w:val="24"/>
        </w:rPr>
      </w:pPr>
      <w:r w:rsidRPr="004E52C2">
        <w:rPr>
          <w:rFonts w:cstheme="minorHAnsi"/>
          <w:bCs/>
          <w:sz w:val="24"/>
          <w:szCs w:val="24"/>
        </w:rPr>
        <w:t>Household food security was also affected by marital status. Married households were the highest proportion of the respondents and were found to be experiencing different levels of food insecurity. Marriage can be a source of social and economic support but can also lead to higher food needs and family spending. However, marriage may also provide social and economic support systems that improve household resilience during periods of economic hardship.</w:t>
      </w:r>
    </w:p>
    <w:p w14:paraId="0FBD1AFF" w14:textId="69CC6C2A" w:rsidR="00B5477B" w:rsidRPr="004E52C2" w:rsidRDefault="00B5477B" w:rsidP="00B5477B">
      <w:pPr>
        <w:jc w:val="both"/>
        <w:rPr>
          <w:rFonts w:cstheme="minorHAnsi"/>
          <w:bCs/>
          <w:sz w:val="24"/>
          <w:szCs w:val="24"/>
        </w:rPr>
      </w:pPr>
      <w:r w:rsidRPr="004E52C2">
        <w:rPr>
          <w:rFonts w:cstheme="minorHAnsi"/>
          <w:bCs/>
          <w:sz w:val="24"/>
          <w:szCs w:val="24"/>
        </w:rPr>
        <w:t xml:space="preserve">There was a strong association between household size and food insecurity. Households with higher household size had moderate and severe food insecurity rates. This can be explained by the rise in pressure on the household income and food resources. The same was observed by </w:t>
      </w:r>
      <w:r w:rsidRPr="004E52C2">
        <w:rPr>
          <w:rFonts w:cstheme="minorHAnsi"/>
          <w:bCs/>
          <w:sz w:val="24"/>
          <w:szCs w:val="24"/>
        </w:rPr>
        <w:lastRenderedPageBreak/>
        <w:t>Drammeh et al. (2019) who reported that household food security was significantly lowered with an increase in the size of household as their dependency ratios increased and their food expenditures increased. Households with larger family sizes may find it difficult to ensure food diversity and food quality, particularly in times of food shortage.</w:t>
      </w:r>
    </w:p>
    <w:p w14:paraId="4D0643F7" w14:textId="77777777" w:rsidR="00B5477B" w:rsidRPr="004E52C2" w:rsidRDefault="00B5477B" w:rsidP="00B5477B">
      <w:pPr>
        <w:jc w:val="both"/>
        <w:rPr>
          <w:rFonts w:cstheme="minorHAnsi"/>
          <w:bCs/>
          <w:sz w:val="24"/>
          <w:szCs w:val="24"/>
        </w:rPr>
      </w:pPr>
      <w:r w:rsidRPr="004E52C2">
        <w:rPr>
          <w:rFonts w:cstheme="minorHAnsi"/>
          <w:bCs/>
          <w:sz w:val="24"/>
          <w:szCs w:val="24"/>
        </w:rPr>
        <w:t>The outcomes of food security were significantly influenced by residential location. Food security conditions in households in sparsely populated areas were worse than that in the densely populated urban areas. This may be related to reduced access to markets, transportation, healthcare services, and employment opportunities in less developed areas. Urban centers often provide greater economic opportunities and easier access to food distribution systems, thereby improving household food access.</w:t>
      </w:r>
    </w:p>
    <w:p w14:paraId="668DAB42" w14:textId="046A3001" w:rsidR="00B5477B" w:rsidRPr="004E52C2" w:rsidRDefault="00B5477B" w:rsidP="00B5477B">
      <w:pPr>
        <w:jc w:val="both"/>
        <w:rPr>
          <w:rFonts w:cstheme="minorHAnsi"/>
          <w:bCs/>
          <w:sz w:val="24"/>
          <w:szCs w:val="24"/>
        </w:rPr>
      </w:pPr>
      <w:r w:rsidRPr="004E52C2">
        <w:rPr>
          <w:rFonts w:cstheme="minorHAnsi"/>
          <w:bCs/>
          <w:sz w:val="24"/>
          <w:szCs w:val="24"/>
        </w:rPr>
        <w:t>Occupation and household income were strongly associated with food security status. Households whose heads earned higher monthly incomes were substantially more food secure. Income remains one of the most important determinants of household food access because it directly affects purchasing power and the ability to maintain adequate dietary intake. Similarly, households headed by individuals engaged in stable salaried employment demonstrated better food security outcomes compared to artisan and low-income occupational groups. The result is consistent with the findings which study by Roberts et al. (2019) found household income as one of the best determinants of food security among urban households in Nigeria.</w:t>
      </w:r>
    </w:p>
    <w:p w14:paraId="63EFDEE9" w14:textId="77777777" w:rsidR="00B5477B" w:rsidRPr="004E52C2" w:rsidRDefault="00B5477B" w:rsidP="00B5477B">
      <w:pPr>
        <w:jc w:val="both"/>
        <w:rPr>
          <w:rFonts w:cstheme="minorHAnsi"/>
          <w:b/>
          <w:sz w:val="24"/>
          <w:szCs w:val="24"/>
        </w:rPr>
      </w:pPr>
      <w:r w:rsidRPr="004E52C2">
        <w:rPr>
          <w:rFonts w:cstheme="minorHAnsi"/>
          <w:b/>
          <w:sz w:val="24"/>
          <w:szCs w:val="24"/>
        </w:rPr>
        <w:t>Household Food Security Status</w:t>
      </w:r>
    </w:p>
    <w:p w14:paraId="04478BFB" w14:textId="77777777" w:rsidR="00B5477B" w:rsidRPr="004E52C2" w:rsidRDefault="00B5477B" w:rsidP="00B5477B">
      <w:pPr>
        <w:jc w:val="both"/>
        <w:rPr>
          <w:rFonts w:cstheme="minorHAnsi"/>
          <w:bCs/>
          <w:sz w:val="24"/>
          <w:szCs w:val="24"/>
        </w:rPr>
      </w:pPr>
      <w:r w:rsidRPr="004E52C2">
        <w:rPr>
          <w:rFonts w:cstheme="minorHAnsi"/>
          <w:bCs/>
          <w:sz w:val="24"/>
          <w:szCs w:val="24"/>
        </w:rPr>
        <w:t>The study revealed that a considerable proportion of households experienced food insecurity, particularly food insecurity without hunger. This indicates that although many households have access to food, they are eating food intakes that are insufficient in quality, quantity or variety to achieve optimal health. Some households, moreover, were reported as having moderate and severe hunger, underscoring the nutritional vulnerability to some urban communities.</w:t>
      </w:r>
    </w:p>
    <w:p w14:paraId="47D1CEE9" w14:textId="45ACDCFB" w:rsidR="00B5477B" w:rsidRPr="004E52C2" w:rsidRDefault="00B5477B" w:rsidP="00B5477B">
      <w:pPr>
        <w:jc w:val="both"/>
        <w:rPr>
          <w:rFonts w:cstheme="minorHAnsi"/>
          <w:bCs/>
          <w:sz w:val="24"/>
          <w:szCs w:val="24"/>
        </w:rPr>
      </w:pPr>
      <w:r w:rsidRPr="004E52C2">
        <w:rPr>
          <w:rFonts w:cstheme="minorHAnsi"/>
          <w:bCs/>
          <w:sz w:val="24"/>
          <w:szCs w:val="24"/>
        </w:rPr>
        <w:t>The trend is similar with the report by the Food and Agriculture Organization (FAO, 2021), indicating that food insecurity is worsening in urban areas of developing regions as a result of inflation, unemployment and food price increases. With urban households in the south-western part of Nigeria, there was a high level of food insecurity despite being physically convenient in terms of food markets availability.</w:t>
      </w:r>
    </w:p>
    <w:p w14:paraId="022E622E" w14:textId="59E88A3A" w:rsidR="00B5477B" w:rsidRPr="004E52C2" w:rsidRDefault="00B5477B" w:rsidP="00B5477B">
      <w:pPr>
        <w:jc w:val="both"/>
        <w:rPr>
          <w:rFonts w:cstheme="minorHAnsi"/>
          <w:bCs/>
          <w:sz w:val="24"/>
          <w:szCs w:val="24"/>
        </w:rPr>
      </w:pPr>
      <w:r w:rsidRPr="004E52C2">
        <w:rPr>
          <w:rFonts w:cstheme="minorHAnsi"/>
          <w:bCs/>
          <w:sz w:val="24"/>
          <w:szCs w:val="24"/>
        </w:rPr>
        <w:t>The findings reflect the growing challenge of urban food insecurity in Nigeria, where rising food prices, unemployment, inflation, and economic instability continue to affect household welfare. Urban households are particularly vulnerable because they rely heavily on purchased food rather than subsistence food production. Consequently, fluctuations in food prices and income levels may significantly affect dietary quality and household nutrition.</w:t>
      </w:r>
    </w:p>
    <w:p w14:paraId="56FB995C" w14:textId="77777777" w:rsidR="00B5477B" w:rsidRPr="004E52C2" w:rsidRDefault="00B5477B" w:rsidP="00B5477B">
      <w:pPr>
        <w:jc w:val="both"/>
        <w:rPr>
          <w:rFonts w:cstheme="minorHAnsi"/>
          <w:b/>
          <w:sz w:val="24"/>
          <w:szCs w:val="24"/>
        </w:rPr>
      </w:pPr>
      <w:r w:rsidRPr="004E52C2">
        <w:rPr>
          <w:rFonts w:cstheme="minorHAnsi"/>
          <w:b/>
          <w:sz w:val="24"/>
          <w:szCs w:val="24"/>
        </w:rPr>
        <w:t>Determinants of Household Food Security</w:t>
      </w:r>
    </w:p>
    <w:p w14:paraId="0D373AA9" w14:textId="7D858FED" w:rsidR="00B5477B" w:rsidRPr="004E52C2" w:rsidRDefault="00B5477B" w:rsidP="00B5477B">
      <w:pPr>
        <w:jc w:val="both"/>
        <w:rPr>
          <w:rFonts w:cstheme="minorHAnsi"/>
          <w:bCs/>
          <w:sz w:val="24"/>
          <w:szCs w:val="24"/>
        </w:rPr>
      </w:pPr>
      <w:r w:rsidRPr="004E52C2">
        <w:rPr>
          <w:rFonts w:cstheme="minorHAnsi"/>
          <w:bCs/>
          <w:sz w:val="24"/>
          <w:szCs w:val="24"/>
        </w:rPr>
        <w:t xml:space="preserve">Based on multinomial logistic regression analysis, household food security was predicted by household income, educational level, marital status, occupation, household size and residential </w:t>
      </w:r>
      <w:r w:rsidRPr="004E52C2">
        <w:rPr>
          <w:rFonts w:cstheme="minorHAnsi"/>
          <w:bCs/>
          <w:sz w:val="24"/>
          <w:szCs w:val="24"/>
        </w:rPr>
        <w:lastRenderedPageBreak/>
        <w:t>location. Stability of food security was highest for income, highlighting the need for secure livelihoods and economic empowerment in order to improve food security. This result confirms the results of Aromolaran (2010), who discovered that income has a significant influence on the food consumption pattern and nutritional wellbeing of the households.</w:t>
      </w:r>
    </w:p>
    <w:p w14:paraId="5BDF1458" w14:textId="456D365E" w:rsidR="00B5477B" w:rsidRPr="004E52C2" w:rsidRDefault="00B5477B" w:rsidP="00B5477B">
      <w:pPr>
        <w:jc w:val="both"/>
        <w:rPr>
          <w:rFonts w:cstheme="minorHAnsi"/>
          <w:bCs/>
          <w:sz w:val="24"/>
          <w:szCs w:val="24"/>
        </w:rPr>
      </w:pPr>
      <w:r w:rsidRPr="004E52C2">
        <w:rPr>
          <w:rFonts w:cstheme="minorHAnsi"/>
          <w:bCs/>
          <w:sz w:val="24"/>
          <w:szCs w:val="24"/>
        </w:rPr>
        <w:t>Food security status was also highly associated with educational attainment. The more educated the household heads, the more likely they are to find work and to obtain nutrition knowledge. This result confirms residential location significantly influenced food security, suggesting that infrastructural development and access to social amenities remain important determinants of household welfare. Similarly, household size negatively affected food security, likely due to increased consumption demands and resource constraints.</w:t>
      </w:r>
    </w:p>
    <w:p w14:paraId="28F8B366" w14:textId="09CB8034" w:rsidR="00B5477B" w:rsidRPr="004E52C2" w:rsidRDefault="00B5477B" w:rsidP="00B5477B">
      <w:pPr>
        <w:jc w:val="both"/>
        <w:rPr>
          <w:rFonts w:cstheme="minorHAnsi"/>
          <w:b/>
          <w:sz w:val="24"/>
          <w:szCs w:val="24"/>
        </w:rPr>
      </w:pPr>
      <w:r w:rsidRPr="004E52C2">
        <w:rPr>
          <w:rFonts w:cstheme="minorHAnsi"/>
          <w:b/>
          <w:sz w:val="24"/>
          <w:szCs w:val="24"/>
        </w:rPr>
        <w:t>Wellness Sustainability and Dietary Patterns</w:t>
      </w:r>
    </w:p>
    <w:p w14:paraId="68071E34" w14:textId="77777777" w:rsidR="00B5477B" w:rsidRPr="004E52C2" w:rsidRDefault="00B5477B" w:rsidP="00B5477B">
      <w:pPr>
        <w:jc w:val="both"/>
        <w:rPr>
          <w:rFonts w:cstheme="minorHAnsi"/>
          <w:bCs/>
          <w:sz w:val="24"/>
          <w:szCs w:val="24"/>
        </w:rPr>
      </w:pPr>
      <w:commentRangeStart w:id="40"/>
      <w:r w:rsidRPr="004E52C2">
        <w:rPr>
          <w:rFonts w:cstheme="minorHAnsi"/>
          <w:bCs/>
          <w:sz w:val="24"/>
          <w:szCs w:val="24"/>
        </w:rPr>
        <w:t xml:space="preserve">The study also revealed that dietary diversity, food variety, animal protein intake, household occupation and household size were factors affecting the sustainability of wellness. More diverse </w:t>
      </w:r>
      <w:commentRangeEnd w:id="40"/>
      <w:r w:rsidR="00C54D99" w:rsidRPr="004E52C2">
        <w:rPr>
          <w:rStyle w:val="CommentReference"/>
          <w:rFonts w:cstheme="minorHAnsi"/>
          <w:bCs/>
          <w:sz w:val="24"/>
          <w:szCs w:val="24"/>
        </w:rPr>
        <w:commentReference w:id="40"/>
      </w:r>
      <w:r w:rsidRPr="004E52C2">
        <w:rPr>
          <w:rFonts w:cstheme="minorHAnsi"/>
          <w:bCs/>
          <w:sz w:val="24"/>
          <w:szCs w:val="24"/>
        </w:rPr>
        <w:t>diets were linked to greater sustainability benefits of wellness. Eating a diverse diet is an indicator of nutritional status and nutritional adequacy that is widely acknowledged.</w:t>
      </w:r>
    </w:p>
    <w:p w14:paraId="741E9C09" w14:textId="24E30AB4" w:rsidR="00B5477B" w:rsidRPr="004E52C2" w:rsidRDefault="00B5477B" w:rsidP="00B5477B">
      <w:pPr>
        <w:jc w:val="both"/>
        <w:rPr>
          <w:rFonts w:cstheme="minorHAnsi"/>
          <w:bCs/>
          <w:sz w:val="24"/>
          <w:szCs w:val="24"/>
        </w:rPr>
      </w:pPr>
      <w:r w:rsidRPr="004E52C2">
        <w:rPr>
          <w:rFonts w:cstheme="minorHAnsi"/>
          <w:bCs/>
          <w:sz w:val="24"/>
          <w:szCs w:val="24"/>
        </w:rPr>
        <w:t>The result is in accordance with that of Islam et al., (2023) who has noted that dietary diversity has a positive effect on micronutrient intake and a negative effect on the risk of malnutrition. Likewise, Kennedy et al. (2007) found that households that diversified their food consumption patterns were more likely to have better nutritional wellbeing and health outcomes.</w:t>
      </w:r>
    </w:p>
    <w:p w14:paraId="0C9BEB36" w14:textId="3829395B" w:rsidR="00B5477B" w:rsidRPr="004E52C2" w:rsidRDefault="00B5477B" w:rsidP="00B5477B">
      <w:pPr>
        <w:jc w:val="both"/>
        <w:rPr>
          <w:rFonts w:cstheme="minorHAnsi"/>
          <w:bCs/>
          <w:sz w:val="24"/>
          <w:szCs w:val="24"/>
        </w:rPr>
      </w:pPr>
      <w:r w:rsidRPr="004E52C2">
        <w:rPr>
          <w:rFonts w:cstheme="minorHAnsi"/>
          <w:bCs/>
          <w:sz w:val="24"/>
          <w:szCs w:val="24"/>
        </w:rPr>
        <w:t>The consumption of animal protein was also significantly linked to the sustainability of animal protein. Protein-containing food helps in growth, immunity, repair and physiological health. The significant association between animal protein consumption and wellness sustainability may reflect the nutritional importance of protein-rich foods in maintaining health and preventing malnutrition. Adequate protein intake contributes to body repair, immune function, and overall physiological wellbeing. Similarly, households consuming a wider variety of foods are more likely to meet essential micronutrient and macronutrient requirements necessary for long-term health. The findings regarding whole food plant-based dietary consumption suggest that healthier dietary patterns may contribute positively to sustainable wellness outcomes. However, larger household sizes may reduce dietary quality due to financial limitations and unequal food distribution within households.</w:t>
      </w:r>
    </w:p>
    <w:p w14:paraId="2FA4DAB8" w14:textId="77777777" w:rsidR="00B5477B" w:rsidRPr="004E52C2" w:rsidRDefault="00B5477B" w:rsidP="00B5477B">
      <w:pPr>
        <w:jc w:val="both"/>
        <w:rPr>
          <w:rFonts w:cstheme="minorHAnsi"/>
          <w:b/>
          <w:sz w:val="24"/>
          <w:szCs w:val="24"/>
        </w:rPr>
      </w:pPr>
      <w:r w:rsidRPr="004E52C2">
        <w:rPr>
          <w:rFonts w:cstheme="minorHAnsi"/>
          <w:b/>
          <w:sz w:val="24"/>
          <w:szCs w:val="24"/>
        </w:rPr>
        <w:t>Wellness Sustainability by Food Security Category</w:t>
      </w:r>
    </w:p>
    <w:p w14:paraId="5D5D8E7E" w14:textId="2B0D1329" w:rsidR="00B5477B" w:rsidRPr="004E52C2" w:rsidRDefault="00B5477B" w:rsidP="00B5477B">
      <w:pPr>
        <w:jc w:val="both"/>
        <w:rPr>
          <w:rFonts w:cstheme="minorHAnsi"/>
          <w:bCs/>
          <w:sz w:val="24"/>
          <w:szCs w:val="24"/>
        </w:rPr>
      </w:pPr>
      <w:r w:rsidRPr="004E52C2">
        <w:rPr>
          <w:rFonts w:cstheme="minorHAnsi"/>
          <w:bCs/>
          <w:sz w:val="24"/>
          <w:szCs w:val="24"/>
        </w:rPr>
        <w:t>Factors associated with the sustainability of wellness were different for the various food security categories. Age and area of residence were significant factors for the sustainability of wellness among food-secure households, suggesting that environment and demographic conditions still have an effect on food quality after a household is food secure.</w:t>
      </w:r>
    </w:p>
    <w:p w14:paraId="56CE624E" w14:textId="05A6D14C" w:rsidR="00083C83" w:rsidRPr="004E52C2" w:rsidRDefault="00B5477B" w:rsidP="00B5477B">
      <w:pPr>
        <w:jc w:val="both"/>
        <w:rPr>
          <w:rFonts w:cstheme="minorHAnsi"/>
          <w:bCs/>
          <w:sz w:val="24"/>
          <w:szCs w:val="24"/>
        </w:rPr>
      </w:pPr>
      <w:r w:rsidRPr="004E52C2">
        <w:rPr>
          <w:rFonts w:cstheme="minorHAnsi"/>
          <w:bCs/>
          <w:sz w:val="24"/>
          <w:szCs w:val="24"/>
        </w:rPr>
        <w:t xml:space="preserve">For households experiencing food insecurity without hunger, marital status and occupation influenced wellness sustainability. This suggests that socio-economic stability and employment </w:t>
      </w:r>
      <w:r w:rsidRPr="004E52C2">
        <w:rPr>
          <w:rFonts w:cstheme="minorHAnsi"/>
          <w:bCs/>
          <w:sz w:val="24"/>
          <w:szCs w:val="24"/>
        </w:rPr>
        <w:lastRenderedPageBreak/>
        <w:t>opportunities remain important determinants of nutritional wellbeing even when households maintain minimum food access. Household income and household size were more important factors in the sustainability of wellness among households with moderate or severe food insecurity. This discovery corroborates earlier findings which highlighted the close linkage between deterioration in food security and deterioration in food consumption and the coping capacity of households.</w:t>
      </w:r>
    </w:p>
    <w:p w14:paraId="003BB7D3" w14:textId="6F8F88CA" w:rsidR="00B5477B" w:rsidRPr="004E52C2" w:rsidRDefault="00B5477B" w:rsidP="00B5477B">
      <w:pPr>
        <w:keepNext/>
        <w:keepLines/>
        <w:spacing w:before="40" w:line="360" w:lineRule="auto"/>
        <w:ind w:right="720"/>
        <w:jc w:val="both"/>
        <w:outlineLvl w:val="0"/>
        <w:rPr>
          <w:rFonts w:eastAsia="Times New Roman" w:cstheme="minorHAnsi"/>
          <w:b/>
          <w:color w:val="000000" w:themeColor="text1"/>
          <w:sz w:val="24"/>
          <w:szCs w:val="24"/>
          <w:lang w:val="en-US"/>
        </w:rPr>
      </w:pPr>
      <w:bookmarkStart w:id="41" w:name="_Toc140036411"/>
      <w:bookmarkStart w:id="42" w:name="_Toc140036452"/>
      <w:r w:rsidRPr="004E52C2">
        <w:rPr>
          <w:rFonts w:eastAsia="Times New Roman" w:cstheme="minorHAnsi"/>
          <w:b/>
          <w:color w:val="000000" w:themeColor="text1"/>
          <w:sz w:val="24"/>
          <w:szCs w:val="24"/>
          <w:lang w:val="en-US"/>
        </w:rPr>
        <w:t xml:space="preserve">4.2 </w:t>
      </w:r>
      <w:commentRangeStart w:id="43"/>
      <w:r w:rsidRPr="004E52C2">
        <w:rPr>
          <w:rFonts w:eastAsia="Times New Roman" w:cstheme="minorHAnsi"/>
          <w:b/>
          <w:color w:val="000000" w:themeColor="text1"/>
          <w:sz w:val="24"/>
          <w:szCs w:val="24"/>
          <w:lang w:val="en-US"/>
        </w:rPr>
        <w:t>Conclusion</w:t>
      </w:r>
      <w:bookmarkEnd w:id="41"/>
      <w:bookmarkEnd w:id="42"/>
      <w:commentRangeEnd w:id="43"/>
      <w:r w:rsidR="00C54D99" w:rsidRPr="004E52C2">
        <w:rPr>
          <w:rStyle w:val="CommentReference"/>
          <w:rFonts w:eastAsia="Times New Roman" w:cstheme="minorHAnsi"/>
          <w:b/>
          <w:color w:val="000000" w:themeColor="text1"/>
          <w:sz w:val="24"/>
          <w:szCs w:val="24"/>
          <w:lang w:val="en-US"/>
        </w:rPr>
        <w:commentReference w:id="43"/>
      </w:r>
    </w:p>
    <w:p w14:paraId="0286269D" w14:textId="77777777" w:rsidR="00B5477B" w:rsidRPr="004E52C2" w:rsidRDefault="00B5477B" w:rsidP="00B5477B">
      <w:pPr>
        <w:spacing w:line="256" w:lineRule="auto"/>
        <w:jc w:val="both"/>
        <w:rPr>
          <w:rFonts w:eastAsia="Calibri" w:cstheme="minorHAnsi"/>
          <w:sz w:val="24"/>
          <w:szCs w:val="24"/>
        </w:rPr>
      </w:pPr>
      <w:commentRangeStart w:id="44"/>
      <w:r w:rsidRPr="004E52C2">
        <w:rPr>
          <w:rFonts w:eastAsia="Calibri" w:cstheme="minorHAnsi"/>
          <w:sz w:val="24"/>
          <w:szCs w:val="24"/>
        </w:rPr>
        <w:t>From the findings of this study, it was established that the marital status, location, primary occupation, and income of the household head influenced household food security status. Food insecurity without hunger was influenced by the primary occupation of the household head. At the same time, food insecurity with moderate hunger was influenced by household size and household location. All factors showed a positive relationship with their respective food security categories, except location and primary occupation in the food-secure category, which showed negative marginal effects. This implies that living in a sparsely populated area or engaging in farming-related occupations reduces the probability of being food secure.</w:t>
      </w:r>
    </w:p>
    <w:p w14:paraId="6F841938" w14:textId="77777777" w:rsidR="00B5477B" w:rsidRPr="004E52C2" w:rsidRDefault="00B5477B" w:rsidP="00B5477B">
      <w:pPr>
        <w:spacing w:line="256" w:lineRule="auto"/>
        <w:jc w:val="both"/>
        <w:rPr>
          <w:rFonts w:eastAsia="Calibri" w:cstheme="minorHAnsi"/>
          <w:sz w:val="24"/>
          <w:szCs w:val="24"/>
        </w:rPr>
      </w:pPr>
      <w:r w:rsidRPr="004E52C2">
        <w:rPr>
          <w:rFonts w:eastAsia="Calibri" w:cstheme="minorHAnsi"/>
          <w:sz w:val="24"/>
          <w:szCs w:val="24"/>
        </w:rPr>
        <w:t>It was also discovered that, at above 45% consumption of WFPBD, household size and the primary occupation of the household head influenced wellness sustainability. Both variables showed a negative relationship with wellness sustainability, implying that larger households and farming households were less likely to attain wellness sustainability.</w:t>
      </w:r>
    </w:p>
    <w:p w14:paraId="39C85E6D" w14:textId="77777777" w:rsidR="00B5477B" w:rsidRPr="004E52C2" w:rsidRDefault="00B5477B" w:rsidP="00B5477B">
      <w:pPr>
        <w:spacing w:line="256" w:lineRule="auto"/>
        <w:jc w:val="both"/>
        <w:rPr>
          <w:rFonts w:eastAsia="Calibri" w:cstheme="minorHAnsi"/>
          <w:sz w:val="24"/>
          <w:szCs w:val="24"/>
        </w:rPr>
      </w:pPr>
      <w:r w:rsidRPr="004E52C2">
        <w:rPr>
          <w:rFonts w:eastAsia="Calibri" w:cstheme="minorHAnsi"/>
          <w:sz w:val="24"/>
          <w:szCs w:val="24"/>
        </w:rPr>
        <w:t>Lastly, regarding the factors influencing households to attain wellness sustainability by food security status category, it was revealed that, among food-secure households, the age of the household head and household location significantly influenced wellness sustainability. Household location positively influenced wellness sustainability, while the age of the household head showed a negative relationship with wellness sustainability.</w:t>
      </w:r>
    </w:p>
    <w:p w14:paraId="56DB4759" w14:textId="77777777" w:rsidR="00B5477B" w:rsidRPr="004E52C2" w:rsidRDefault="00B5477B" w:rsidP="00B5477B">
      <w:pPr>
        <w:spacing w:line="256" w:lineRule="auto"/>
        <w:jc w:val="both"/>
        <w:rPr>
          <w:rFonts w:eastAsia="Calibri" w:cstheme="minorHAnsi"/>
          <w:sz w:val="24"/>
          <w:szCs w:val="24"/>
        </w:rPr>
      </w:pPr>
      <w:r w:rsidRPr="004E52C2">
        <w:rPr>
          <w:rFonts w:eastAsia="Calibri" w:cstheme="minorHAnsi"/>
          <w:sz w:val="24"/>
          <w:szCs w:val="24"/>
        </w:rPr>
        <w:t>For households experiencing food insecurity without hunger, marital status and the primary occupation of the household head significantly influenced wellness sustainability. Both variables showed negative relationships with wellness sustainability. For households experiencing food insecurity with moderate hunger, wellness sustainability was negatively influenced by the identified factor(s). Finally, among households experiencing food insecurity with severe hunger, the age and monthly income of the household head significantly influenced wellness sustainability. Both age and income showed negative relationships with wellness sustainability.</w:t>
      </w:r>
    </w:p>
    <w:p w14:paraId="354D13AC" w14:textId="77777777" w:rsidR="00B5477B" w:rsidRPr="004E52C2" w:rsidRDefault="00B5477B" w:rsidP="00B5477B">
      <w:pPr>
        <w:spacing w:line="256" w:lineRule="auto"/>
        <w:jc w:val="both"/>
        <w:rPr>
          <w:rFonts w:eastAsia="Calibri" w:cstheme="minorHAnsi"/>
          <w:sz w:val="24"/>
          <w:szCs w:val="24"/>
        </w:rPr>
      </w:pPr>
      <w:r w:rsidRPr="004E52C2">
        <w:rPr>
          <w:rFonts w:eastAsia="Calibri" w:cstheme="minorHAnsi"/>
          <w:sz w:val="24"/>
          <w:szCs w:val="24"/>
        </w:rPr>
        <w:t>Regarding the factors influencing households to be devoid of wellness sustainability by food security status category, it was revealed that, among food-secure households, household size, the primary occupation, and the monthly income of the household head significantly influenced wellness unsustainability. Household size and primary occupation positively influenced wellness unsustainability, while the monthly income of the household head negatively influenced wellness unsustainability.</w:t>
      </w:r>
    </w:p>
    <w:p w14:paraId="26F61EAC" w14:textId="77777777" w:rsidR="00B5477B" w:rsidRPr="004E52C2" w:rsidRDefault="00B5477B" w:rsidP="00B5477B">
      <w:pPr>
        <w:spacing w:line="256" w:lineRule="auto"/>
        <w:jc w:val="both"/>
        <w:rPr>
          <w:rFonts w:eastAsia="Calibri" w:cstheme="minorHAnsi"/>
          <w:sz w:val="24"/>
          <w:szCs w:val="24"/>
        </w:rPr>
      </w:pPr>
      <w:r w:rsidRPr="004E52C2">
        <w:rPr>
          <w:rFonts w:eastAsia="Calibri" w:cstheme="minorHAnsi"/>
          <w:sz w:val="24"/>
          <w:szCs w:val="24"/>
        </w:rPr>
        <w:lastRenderedPageBreak/>
        <w:t>For households experiencing food insecurity without hunger, only household location significantly influenced wellness unsustainability, and the relationship was negative. Among households experiencing food insecurity with moderate hunger, only household size negatively influenced wellness unsustainability. Finally, for households experiencing food insecurity with severe hunger, only the monthly income of the household head significantly influenced wellness unsustainability, also showing a negative relationship.</w:t>
      </w:r>
      <w:commentRangeEnd w:id="44"/>
      <w:r w:rsidR="00C54D99" w:rsidRPr="004E52C2">
        <w:rPr>
          <w:rStyle w:val="CommentReference"/>
          <w:rFonts w:eastAsia="Calibri" w:cstheme="minorHAnsi"/>
          <w:sz w:val="24"/>
          <w:szCs w:val="24"/>
        </w:rPr>
        <w:commentReference w:id="44"/>
      </w:r>
    </w:p>
    <w:p w14:paraId="6078D901" w14:textId="77777777" w:rsidR="00B5477B" w:rsidRPr="004E52C2" w:rsidRDefault="00B5477B" w:rsidP="00B5477B">
      <w:pPr>
        <w:spacing w:line="256" w:lineRule="auto"/>
        <w:jc w:val="both"/>
        <w:rPr>
          <w:rFonts w:eastAsia="Calibri" w:cstheme="minorHAnsi"/>
          <w:sz w:val="24"/>
          <w:szCs w:val="24"/>
        </w:rPr>
      </w:pPr>
    </w:p>
    <w:p w14:paraId="30A07C72" w14:textId="6A70050D" w:rsidR="00B5477B" w:rsidRPr="004E52C2" w:rsidRDefault="00B5477B" w:rsidP="00B5477B">
      <w:pPr>
        <w:spacing w:line="256" w:lineRule="auto"/>
        <w:jc w:val="both"/>
        <w:rPr>
          <w:rFonts w:eastAsia="Calibri" w:cstheme="minorHAnsi"/>
          <w:b/>
          <w:bCs/>
          <w:sz w:val="24"/>
          <w:szCs w:val="24"/>
          <w:lang w:val="en-US"/>
        </w:rPr>
      </w:pPr>
      <w:bookmarkStart w:id="45" w:name="_Toc140036403"/>
      <w:bookmarkStart w:id="46" w:name="_Toc140036444"/>
      <w:r w:rsidRPr="004E52C2">
        <w:rPr>
          <w:rFonts w:eastAsia="Calibri" w:cstheme="minorHAnsi"/>
          <w:b/>
          <w:bCs/>
          <w:sz w:val="24"/>
          <w:szCs w:val="24"/>
          <w:lang w:val="en-US"/>
        </w:rPr>
        <w:t>4.3 Limitations of the Study</w:t>
      </w:r>
      <w:bookmarkEnd w:id="45"/>
      <w:bookmarkEnd w:id="46"/>
    </w:p>
    <w:p w14:paraId="3E6E74D3" w14:textId="5E134A92" w:rsidR="00B5477B" w:rsidRPr="004E52C2" w:rsidRDefault="00B5477B" w:rsidP="00B5477B">
      <w:pPr>
        <w:spacing w:after="0" w:line="240" w:lineRule="auto"/>
        <w:rPr>
          <w:rFonts w:eastAsia="Times New Roman" w:cstheme="minorHAnsi"/>
          <w:sz w:val="24"/>
          <w:szCs w:val="24"/>
          <w:lang w:eastAsia="en-GB"/>
        </w:rPr>
      </w:pPr>
      <w:commentRangeStart w:id="47"/>
      <w:r w:rsidRPr="004E52C2">
        <w:rPr>
          <w:rFonts w:eastAsia="Times New Roman" w:cstheme="minorHAnsi"/>
          <w:sz w:val="24"/>
          <w:szCs w:val="24"/>
          <w:lang w:eastAsia="en-GB"/>
        </w:rPr>
        <w:t>One limitation of this study was its reliance on self-reported information obtained from respondents through questionnaires and interviews. Information relating to household food consumption, dietary patterns, income, and wellness practices may have been affected by recall bias or deliberate underreporting and overreporting by respondents, which could influence the accuracy of the findings. The study was conducted only within Ibadan North Local Government Area and may therefore not fully represent the food security and wellness sustainability conditions of other local government areas or rural communities in Oyo State and Nigeria at large. Differences in socio-economic conditions, cultural practices, and access to resources across regions may limit the generalizability of the findings. The cross-sectional design of the study also constituted a limitation because data were collected at a single point in time. As a result, the study could identify associations between socio-economic factors, food security, and wellness sustainability but could not establish direct causal relationships or account for seasonal variations in food availability and household consumption patterns.</w:t>
      </w:r>
      <w:commentRangeEnd w:id="47"/>
      <w:r w:rsidR="008B0659" w:rsidRPr="004E52C2">
        <w:rPr>
          <w:rStyle w:val="CommentReference"/>
          <w:rFonts w:eastAsia="Times New Roman" w:cstheme="minorHAnsi"/>
          <w:sz w:val="24"/>
          <w:szCs w:val="24"/>
          <w:lang w:eastAsia="en-GB"/>
        </w:rPr>
        <w:commentReference w:id="47"/>
      </w:r>
    </w:p>
    <w:p w14:paraId="72BEE38E" w14:textId="447C1D2B" w:rsidR="00B5477B" w:rsidRPr="004E52C2" w:rsidRDefault="00B5477B" w:rsidP="00B5477B">
      <w:pPr>
        <w:spacing w:line="256" w:lineRule="auto"/>
        <w:jc w:val="both"/>
        <w:rPr>
          <w:rFonts w:eastAsia="Times New Roman" w:cstheme="minorHAnsi"/>
          <w:b/>
          <w:color w:val="000000" w:themeColor="text1"/>
          <w:sz w:val="24"/>
          <w:szCs w:val="24"/>
          <w:lang w:val="en-US"/>
        </w:rPr>
      </w:pPr>
      <w:r w:rsidRPr="004E52C2">
        <w:rPr>
          <w:rFonts w:eastAsia="Times New Roman" w:cstheme="minorHAnsi"/>
          <w:b/>
          <w:color w:val="000000" w:themeColor="text1"/>
          <w:sz w:val="24"/>
          <w:szCs w:val="24"/>
          <w:lang w:val="en-US"/>
        </w:rPr>
        <w:t>4.4 Policy Recommendations</w:t>
      </w:r>
    </w:p>
    <w:p w14:paraId="350990CF" w14:textId="37FD892D" w:rsidR="00B5477B" w:rsidRPr="004E52C2" w:rsidRDefault="00B5477B" w:rsidP="00B5477B">
      <w:pPr>
        <w:pStyle w:val="ListParagraph"/>
        <w:numPr>
          <w:ilvl w:val="0"/>
          <w:numId w:val="6"/>
        </w:numPr>
        <w:jc w:val="both"/>
        <w:rPr>
          <w:rFonts w:cstheme="minorHAnsi"/>
          <w:sz w:val="24"/>
          <w:szCs w:val="24"/>
        </w:rPr>
      </w:pPr>
      <w:commentRangeStart w:id="48"/>
      <w:r w:rsidRPr="004E52C2">
        <w:rPr>
          <w:rFonts w:cstheme="minorHAnsi"/>
          <w:sz w:val="24"/>
          <w:szCs w:val="24"/>
        </w:rPr>
        <w:t>Agricultural Support and Development: Agricultural support programs are needed to improve agricultural productivity and income. Education and teaching on good farming practices, access to modern farming techniques and resources can make a difference in farm food security and welfare.</w:t>
      </w:r>
    </w:p>
    <w:p w14:paraId="4B052153" w14:textId="77777777" w:rsidR="00B5477B" w:rsidRPr="004E52C2" w:rsidRDefault="00B5477B" w:rsidP="00B5477B">
      <w:pPr>
        <w:pStyle w:val="ListParagraph"/>
        <w:numPr>
          <w:ilvl w:val="0"/>
          <w:numId w:val="6"/>
        </w:numPr>
        <w:jc w:val="both"/>
        <w:rPr>
          <w:rFonts w:cstheme="minorHAnsi"/>
          <w:sz w:val="24"/>
          <w:szCs w:val="24"/>
        </w:rPr>
      </w:pPr>
      <w:r w:rsidRPr="004E52C2">
        <w:rPr>
          <w:rFonts w:cstheme="minorHAnsi"/>
          <w:sz w:val="24"/>
          <w:szCs w:val="24"/>
        </w:rPr>
        <w:t>Targeted interventions should be designed for households in sparsely populated areas and Location Based Interventions should be considered due to the impact of location on food security and wellness sustainability. These interventions can be targeted to market access, infrastructure and social services, which are unique challenges faced by households located in these areas.</w:t>
      </w:r>
    </w:p>
    <w:p w14:paraId="1EDC5BF9" w14:textId="7593AC41" w:rsidR="00B5477B" w:rsidRPr="004E52C2" w:rsidRDefault="00B5477B" w:rsidP="00B5477B">
      <w:pPr>
        <w:pStyle w:val="ListParagraph"/>
        <w:numPr>
          <w:ilvl w:val="0"/>
          <w:numId w:val="6"/>
        </w:numPr>
        <w:jc w:val="both"/>
        <w:rPr>
          <w:rFonts w:cstheme="minorHAnsi"/>
          <w:sz w:val="24"/>
          <w:szCs w:val="24"/>
        </w:rPr>
      </w:pPr>
      <w:r w:rsidRPr="004E52C2">
        <w:rPr>
          <w:rFonts w:cstheme="minorHAnsi"/>
          <w:sz w:val="24"/>
          <w:szCs w:val="24"/>
        </w:rPr>
        <w:t>With the knowledge that the monthly income of a household has a negative effect on wellness sustainability, income generating activities and potential entrepreneurship will help to raise a household above low incomes to improve economic resources. This can range from skills training, micro finance schemes, and providing support to small enterprises.</w:t>
      </w:r>
    </w:p>
    <w:p w14:paraId="06C12BBD" w14:textId="0D259361" w:rsidR="00B5477B" w:rsidRPr="004E52C2" w:rsidRDefault="00B5477B" w:rsidP="00B5477B">
      <w:pPr>
        <w:pStyle w:val="ListParagraph"/>
        <w:numPr>
          <w:ilvl w:val="0"/>
          <w:numId w:val="6"/>
        </w:numPr>
        <w:jc w:val="both"/>
        <w:rPr>
          <w:rFonts w:cstheme="minorHAnsi"/>
          <w:sz w:val="24"/>
          <w:szCs w:val="24"/>
        </w:rPr>
      </w:pPr>
      <w:r w:rsidRPr="004E52C2">
        <w:rPr>
          <w:rFonts w:cstheme="minorHAnsi"/>
          <w:sz w:val="24"/>
          <w:szCs w:val="24"/>
        </w:rPr>
        <w:t>Nutritional education programs can be used to improve the knowledge of healthy dietary practices among these groups. Educating people about the health advantages of a diverse and balanced diet, such as eating whole food plant-based foods, could help to enhance food security and dietary wellness.</w:t>
      </w:r>
    </w:p>
    <w:p w14:paraId="2AEC893E" w14:textId="748FF97B" w:rsidR="00083C83" w:rsidRPr="004E52C2" w:rsidRDefault="00B5477B" w:rsidP="00B5477B">
      <w:pPr>
        <w:pStyle w:val="ListParagraph"/>
        <w:numPr>
          <w:ilvl w:val="0"/>
          <w:numId w:val="6"/>
        </w:numPr>
        <w:jc w:val="both"/>
        <w:rPr>
          <w:rFonts w:cstheme="minorHAnsi"/>
          <w:sz w:val="24"/>
          <w:szCs w:val="24"/>
        </w:rPr>
      </w:pPr>
      <w:r w:rsidRPr="004E52C2">
        <w:rPr>
          <w:rFonts w:cstheme="minorHAnsi"/>
          <w:sz w:val="24"/>
          <w:szCs w:val="24"/>
        </w:rPr>
        <w:lastRenderedPageBreak/>
        <w:t>Policy recommendations should be implemented in a manner that entails the involvement of community institutions, local government, and relevant stakeholders for sustainability and effectiveness. Further, ongoing monitoring and evaluation of these policies will be essential to evaluate the impact and any necessary alterations to ensure that these policies meet their intended goals of dietary wellness sustainability and improving food security.</w:t>
      </w:r>
      <w:commentRangeEnd w:id="48"/>
      <w:r w:rsidR="008B0659" w:rsidRPr="004E52C2">
        <w:rPr>
          <w:rStyle w:val="CommentReference"/>
          <w:rFonts w:cstheme="minorHAnsi"/>
          <w:sz w:val="24"/>
          <w:szCs w:val="24"/>
        </w:rPr>
        <w:commentReference w:id="48"/>
      </w:r>
    </w:p>
    <w:p w14:paraId="1392C55F" w14:textId="77777777" w:rsidR="008D4BF1" w:rsidRPr="004E52C2" w:rsidRDefault="008D4BF1" w:rsidP="008D4BF1">
      <w:pPr>
        <w:jc w:val="both"/>
        <w:rPr>
          <w:rFonts w:cstheme="minorHAnsi"/>
          <w:sz w:val="24"/>
          <w:szCs w:val="24"/>
        </w:rPr>
      </w:pPr>
    </w:p>
    <w:p w14:paraId="2698A289" w14:textId="0751FA9F" w:rsidR="008D4BF1" w:rsidRPr="004E52C2" w:rsidRDefault="008D4BF1" w:rsidP="008D4BF1">
      <w:pPr>
        <w:jc w:val="both"/>
        <w:rPr>
          <w:rFonts w:cstheme="minorHAnsi"/>
          <w:b/>
          <w:sz w:val="24"/>
          <w:szCs w:val="24"/>
          <w:lang w:val="en-US"/>
        </w:rPr>
      </w:pPr>
      <w:bookmarkStart w:id="49" w:name="_Toc140036413"/>
      <w:bookmarkStart w:id="50" w:name="_Toc140036454"/>
      <w:r w:rsidRPr="004E52C2">
        <w:rPr>
          <w:rFonts w:cstheme="minorHAnsi"/>
          <w:b/>
          <w:sz w:val="24"/>
          <w:szCs w:val="24"/>
          <w:lang w:val="en-US"/>
        </w:rPr>
        <w:t>References</w:t>
      </w:r>
      <w:bookmarkEnd w:id="49"/>
      <w:bookmarkEnd w:id="50"/>
    </w:p>
    <w:p w14:paraId="7AB0111A" w14:textId="77777777" w:rsidR="008D4BF1" w:rsidRPr="004E52C2" w:rsidRDefault="008D4BF1" w:rsidP="008D4BF1">
      <w:pPr>
        <w:ind w:left="270" w:hanging="270"/>
        <w:jc w:val="both"/>
        <w:rPr>
          <w:rFonts w:cstheme="minorHAnsi"/>
          <w:sz w:val="24"/>
          <w:szCs w:val="24"/>
        </w:rPr>
      </w:pPr>
      <w:r w:rsidRPr="004E52C2">
        <w:rPr>
          <w:rFonts w:cstheme="minorHAnsi"/>
          <w:sz w:val="24"/>
          <w:szCs w:val="24"/>
        </w:rPr>
        <w:t>Adetunji, A. J., &amp; Gumede, E. Z. (2024). The quality of life of retirees as affected by Socio-economic factors in Southwestern Nigeria: An Interpretative Phenomenology. </w:t>
      </w:r>
      <w:r w:rsidRPr="004E52C2">
        <w:rPr>
          <w:rFonts w:cstheme="minorHAnsi"/>
          <w:i/>
          <w:iCs/>
          <w:sz w:val="24"/>
          <w:szCs w:val="24"/>
        </w:rPr>
        <w:t>Health Open Research</w:t>
      </w:r>
      <w:r w:rsidRPr="004E52C2">
        <w:rPr>
          <w:rFonts w:cstheme="minorHAnsi"/>
          <w:sz w:val="24"/>
          <w:szCs w:val="24"/>
        </w:rPr>
        <w:t>, </w:t>
      </w:r>
      <w:r w:rsidRPr="004E52C2">
        <w:rPr>
          <w:rFonts w:cstheme="minorHAnsi"/>
          <w:i/>
          <w:iCs/>
          <w:sz w:val="24"/>
          <w:szCs w:val="24"/>
        </w:rPr>
        <w:t>6</w:t>
      </w:r>
      <w:r w:rsidRPr="004E52C2">
        <w:rPr>
          <w:rFonts w:cstheme="minorHAnsi"/>
          <w:sz w:val="24"/>
          <w:szCs w:val="24"/>
        </w:rPr>
        <w:t xml:space="preserve">, 20. </w:t>
      </w:r>
      <w:hyperlink r:id="rId13" w:tgtFrame="_blank" w:history="1">
        <w:r w:rsidRPr="004E52C2">
          <w:rPr>
            <w:rStyle w:val="Hyperlink"/>
            <w:rFonts w:cstheme="minorHAnsi"/>
            <w:sz w:val="24"/>
            <w:szCs w:val="24"/>
          </w:rPr>
          <w:t>https://doi.org/10.12688/healthopenres.13771.1</w:t>
        </w:r>
      </w:hyperlink>
    </w:p>
    <w:p w14:paraId="4F8D0682" w14:textId="77777777" w:rsidR="008D4BF1" w:rsidRPr="004E52C2" w:rsidRDefault="008D4BF1" w:rsidP="008D4BF1">
      <w:pPr>
        <w:ind w:left="270" w:hanging="270"/>
        <w:jc w:val="both"/>
        <w:rPr>
          <w:rFonts w:cstheme="minorHAnsi"/>
          <w:sz w:val="24"/>
          <w:szCs w:val="24"/>
        </w:rPr>
      </w:pPr>
      <w:r w:rsidRPr="004E52C2">
        <w:rPr>
          <w:rFonts w:cstheme="minorHAnsi"/>
          <w:sz w:val="24"/>
          <w:szCs w:val="24"/>
        </w:rPr>
        <w:t>Ann, U. D., &amp; Samuel, O. O. (2018). Post-harvest Storage Handling of Parkia biglobosa Benth. Sold in Ibada North Local Government Area, Oyo State, Nigeria. In </w:t>
      </w:r>
      <w:r w:rsidRPr="004E52C2">
        <w:rPr>
          <w:rFonts w:cstheme="minorHAnsi"/>
          <w:i/>
          <w:iCs/>
          <w:sz w:val="24"/>
          <w:szCs w:val="24"/>
        </w:rPr>
        <w:t>39th Annual Conference of Forestry Association of Nigeria Proceedings</w:t>
      </w:r>
      <w:r w:rsidRPr="004E52C2">
        <w:rPr>
          <w:rFonts w:cstheme="minorHAnsi"/>
          <w:sz w:val="24"/>
          <w:szCs w:val="24"/>
        </w:rPr>
        <w:t> (p. 917).</w:t>
      </w:r>
    </w:p>
    <w:p w14:paraId="703F9100" w14:textId="77777777" w:rsidR="008D4BF1" w:rsidRPr="004E52C2" w:rsidRDefault="008D4BF1" w:rsidP="008D4BF1">
      <w:pPr>
        <w:ind w:left="270" w:hanging="270"/>
        <w:jc w:val="both"/>
        <w:rPr>
          <w:rFonts w:cstheme="minorHAnsi"/>
          <w:sz w:val="24"/>
          <w:szCs w:val="24"/>
          <w:lang w:val="en-US"/>
        </w:rPr>
      </w:pPr>
      <w:r w:rsidRPr="00085CBD">
        <w:rPr>
          <w:rFonts w:cstheme="minorHAnsi"/>
          <w:sz w:val="24"/>
          <w:szCs w:val="24"/>
          <w:lang w:val="fi-FI"/>
        </w:rPr>
        <w:t xml:space="preserve">Appah, N., Adeosun, K., &amp; Omonona, B. (2021). </w:t>
      </w:r>
      <w:r w:rsidRPr="004E52C2">
        <w:rPr>
          <w:rFonts w:cstheme="minorHAnsi"/>
          <w:sz w:val="24"/>
          <w:szCs w:val="24"/>
          <w:lang w:val="en-US"/>
        </w:rPr>
        <w:t xml:space="preserve">Awareness and Willingness to Consume Whole Plant-based Food in Ibadan North Local Government Area of Oyo State, Nigeria. Journal of Agriculture and food Sciences, 1-4. doi:10.4314/jafs.v19i2.8 </w:t>
      </w:r>
    </w:p>
    <w:p w14:paraId="51AA9CCB" w14:textId="77777777" w:rsidR="008D4BF1" w:rsidRPr="004E52C2" w:rsidRDefault="008D4BF1" w:rsidP="008D4BF1">
      <w:pPr>
        <w:ind w:left="270" w:hanging="270"/>
        <w:jc w:val="both"/>
        <w:rPr>
          <w:rFonts w:cstheme="minorHAnsi"/>
          <w:sz w:val="24"/>
          <w:szCs w:val="24"/>
        </w:rPr>
      </w:pPr>
      <w:r w:rsidRPr="004E52C2">
        <w:rPr>
          <w:rFonts w:cstheme="minorHAnsi"/>
          <w:sz w:val="24"/>
          <w:szCs w:val="24"/>
        </w:rPr>
        <w:t xml:space="preserve">Aromolaran, A.B. (2010), Does increase in women's income relative to men's income increase food calorie intake in poor households? Evidence from Nigeria. Agricultural Economics, 41: 239-249. </w:t>
      </w:r>
      <w:hyperlink r:id="rId14" w:history="1">
        <w:r w:rsidRPr="004E52C2">
          <w:rPr>
            <w:rStyle w:val="Hyperlink"/>
            <w:rFonts w:cstheme="minorHAnsi"/>
            <w:sz w:val="24"/>
            <w:szCs w:val="24"/>
          </w:rPr>
          <w:t>https://doi.org/10.1111/j.1574-0862.2010.00442.x</w:t>
        </w:r>
      </w:hyperlink>
    </w:p>
    <w:p w14:paraId="194DF1E3" w14:textId="77777777" w:rsidR="008D4BF1" w:rsidRPr="00085CBD" w:rsidRDefault="008D4BF1" w:rsidP="008D4BF1">
      <w:pPr>
        <w:ind w:left="270" w:hanging="270"/>
        <w:jc w:val="both"/>
        <w:rPr>
          <w:rFonts w:cstheme="minorHAnsi"/>
          <w:sz w:val="24"/>
          <w:szCs w:val="24"/>
          <w:lang w:val="pt-BR"/>
        </w:rPr>
      </w:pPr>
      <w:r w:rsidRPr="004E52C2">
        <w:rPr>
          <w:rFonts w:cstheme="minorHAnsi"/>
          <w:sz w:val="24"/>
          <w:szCs w:val="24"/>
        </w:rPr>
        <w:t>Ashagidigbi, W. M., Orilua, O. O., Olagunju, K. A., &amp; Omotayo, A. O. (2022). Gender, empowerment and food security status of households in Nigeria. </w:t>
      </w:r>
      <w:r w:rsidRPr="00085CBD">
        <w:rPr>
          <w:rFonts w:cstheme="minorHAnsi"/>
          <w:i/>
          <w:iCs/>
          <w:sz w:val="24"/>
          <w:szCs w:val="24"/>
          <w:lang w:val="pt-BR"/>
        </w:rPr>
        <w:t>Agriculture</w:t>
      </w:r>
      <w:r w:rsidRPr="00085CBD">
        <w:rPr>
          <w:rFonts w:cstheme="minorHAnsi"/>
          <w:sz w:val="24"/>
          <w:szCs w:val="24"/>
          <w:lang w:val="pt-BR"/>
        </w:rPr>
        <w:t>, </w:t>
      </w:r>
      <w:r w:rsidRPr="00085CBD">
        <w:rPr>
          <w:rFonts w:cstheme="minorHAnsi"/>
          <w:i/>
          <w:iCs/>
          <w:sz w:val="24"/>
          <w:szCs w:val="24"/>
          <w:lang w:val="pt-BR"/>
        </w:rPr>
        <w:t>12</w:t>
      </w:r>
      <w:r w:rsidRPr="00085CBD">
        <w:rPr>
          <w:rFonts w:cstheme="minorHAnsi"/>
          <w:sz w:val="24"/>
          <w:szCs w:val="24"/>
          <w:lang w:val="pt-BR"/>
        </w:rPr>
        <w:t xml:space="preserve">(7), 956. </w:t>
      </w:r>
      <w:hyperlink r:id="rId15" w:history="1">
        <w:r w:rsidRPr="00085CBD">
          <w:rPr>
            <w:rStyle w:val="Hyperlink"/>
            <w:rFonts w:cstheme="minorHAnsi"/>
            <w:sz w:val="24"/>
            <w:szCs w:val="24"/>
            <w:lang w:val="pt-BR"/>
          </w:rPr>
          <w:t>https://doi.org/10.3390/agriculture12070956</w:t>
        </w:r>
      </w:hyperlink>
    </w:p>
    <w:p w14:paraId="5E4558A5" w14:textId="77777777" w:rsidR="008D4BF1" w:rsidRPr="004E52C2" w:rsidRDefault="008D4BF1" w:rsidP="008D4BF1">
      <w:pPr>
        <w:ind w:left="270" w:hanging="270"/>
        <w:jc w:val="both"/>
        <w:rPr>
          <w:rFonts w:cstheme="minorHAnsi"/>
          <w:sz w:val="24"/>
          <w:szCs w:val="24"/>
        </w:rPr>
      </w:pPr>
      <w:r w:rsidRPr="00085CBD">
        <w:rPr>
          <w:rFonts w:cstheme="minorHAnsi"/>
          <w:sz w:val="24"/>
          <w:szCs w:val="24"/>
          <w:lang w:val="pt-BR"/>
        </w:rPr>
        <w:t xml:space="preserve">Ayininuola, G. M., &amp; Muibi, M. A. (2008). </w:t>
      </w:r>
      <w:r w:rsidRPr="004E52C2">
        <w:rPr>
          <w:rFonts w:cstheme="minorHAnsi"/>
          <w:sz w:val="24"/>
          <w:szCs w:val="24"/>
        </w:rPr>
        <w:t>An engineering approach to solid waste collection system: Ibadan North as case study. </w:t>
      </w:r>
      <w:r w:rsidRPr="004E52C2">
        <w:rPr>
          <w:rFonts w:cstheme="minorHAnsi"/>
          <w:i/>
          <w:iCs/>
          <w:sz w:val="24"/>
          <w:szCs w:val="24"/>
        </w:rPr>
        <w:t>Waste management (New York, N.Y.)</w:t>
      </w:r>
      <w:r w:rsidRPr="004E52C2">
        <w:rPr>
          <w:rFonts w:cstheme="minorHAnsi"/>
          <w:sz w:val="24"/>
          <w:szCs w:val="24"/>
        </w:rPr>
        <w:t>, </w:t>
      </w:r>
      <w:r w:rsidRPr="004E52C2">
        <w:rPr>
          <w:rFonts w:cstheme="minorHAnsi"/>
          <w:i/>
          <w:iCs/>
          <w:sz w:val="24"/>
          <w:szCs w:val="24"/>
        </w:rPr>
        <w:t>28</w:t>
      </w:r>
      <w:r w:rsidRPr="004E52C2">
        <w:rPr>
          <w:rFonts w:cstheme="minorHAnsi"/>
          <w:sz w:val="24"/>
          <w:szCs w:val="24"/>
        </w:rPr>
        <w:t xml:space="preserve">(9), 1681–1687. </w:t>
      </w:r>
      <w:hyperlink r:id="rId16" w:history="1">
        <w:r w:rsidRPr="004E52C2">
          <w:rPr>
            <w:rStyle w:val="Hyperlink"/>
            <w:rFonts w:cstheme="minorHAnsi"/>
            <w:sz w:val="24"/>
            <w:szCs w:val="24"/>
          </w:rPr>
          <w:t>https://doi.org/10.1016/j.wasman.2007.06.004</w:t>
        </w:r>
      </w:hyperlink>
    </w:p>
    <w:p w14:paraId="2566A136" w14:textId="77777777" w:rsidR="008D4BF1" w:rsidRPr="004E52C2" w:rsidRDefault="008D4BF1" w:rsidP="008D4BF1">
      <w:pPr>
        <w:ind w:left="270" w:hanging="270"/>
        <w:jc w:val="both"/>
        <w:rPr>
          <w:rFonts w:cstheme="minorHAnsi"/>
          <w:sz w:val="24"/>
          <w:szCs w:val="24"/>
          <w:lang w:val="en-US"/>
        </w:rPr>
      </w:pPr>
      <w:commentRangeStart w:id="51"/>
      <w:r w:rsidRPr="004E52C2">
        <w:rPr>
          <w:rFonts w:cstheme="minorHAnsi"/>
          <w:sz w:val="24"/>
          <w:szCs w:val="24"/>
          <w:lang w:val="en-US"/>
        </w:rPr>
        <w:t>Bickel, G., Nord, M., Price, C., hamilton, W., &amp; Cook, J. (2000). Guide to Measuring Household Food Security (Vol. 6). Alexandria VA: USDA, United States Department of Agriculture; FNS, Food and Nutrition Service. https://naldc.nal.usda.gov/download/38369/PDF</w:t>
      </w:r>
    </w:p>
    <w:p w14:paraId="6D436457" w14:textId="77777777" w:rsidR="008D4BF1" w:rsidRPr="004E52C2" w:rsidRDefault="008D4BF1" w:rsidP="008D4BF1">
      <w:pPr>
        <w:ind w:left="270" w:hanging="270"/>
        <w:jc w:val="both"/>
        <w:rPr>
          <w:rFonts w:cstheme="minorHAnsi"/>
          <w:sz w:val="24"/>
          <w:szCs w:val="24"/>
          <w:lang w:val="en-US"/>
        </w:rPr>
      </w:pPr>
      <w:r w:rsidRPr="004E52C2">
        <w:rPr>
          <w:rFonts w:cstheme="minorHAnsi"/>
          <w:sz w:val="24"/>
          <w:szCs w:val="24"/>
          <w:lang w:val="en-US"/>
        </w:rPr>
        <w:t>Burlingame, B., &amp; Dernini, S. (2012). Sustainable diets and biodiver-sity. Directions and solutions for policy, research and action. Rome, Italy. Retrieved from www.fao.org/docrep/016/i3004e/i3004e.pd</w:t>
      </w:r>
      <w:commentRangeEnd w:id="51"/>
      <w:r w:rsidR="008B0659" w:rsidRPr="004E52C2">
        <w:rPr>
          <w:rStyle w:val="CommentReference"/>
          <w:rFonts w:cstheme="minorHAnsi"/>
          <w:sz w:val="24"/>
          <w:szCs w:val="24"/>
          <w:lang w:val="en-US"/>
        </w:rPr>
        <w:commentReference w:id="51"/>
      </w:r>
    </w:p>
    <w:p w14:paraId="4D6D41A2" w14:textId="77777777" w:rsidR="008D4BF1" w:rsidRPr="004E52C2" w:rsidRDefault="008D4BF1" w:rsidP="008D4BF1">
      <w:pPr>
        <w:ind w:left="270" w:hanging="270"/>
        <w:jc w:val="both"/>
        <w:rPr>
          <w:rFonts w:cstheme="minorHAnsi"/>
          <w:sz w:val="24"/>
          <w:szCs w:val="24"/>
          <w:lang w:val="en-US"/>
        </w:rPr>
      </w:pPr>
      <w:r w:rsidRPr="004E52C2">
        <w:rPr>
          <w:rFonts w:cstheme="minorHAnsi"/>
          <w:sz w:val="24"/>
          <w:szCs w:val="24"/>
          <w:lang w:val="en-US"/>
        </w:rPr>
        <w:t>Cena, H., &amp; Calder, P. C. (2020). Defining a Healthy Diet: Evidence for The Role of Contemporary Dietary Patterns in Health and Disease. Nutrients, 12, 2-7. doi:10.3390/nu12020334</w:t>
      </w:r>
    </w:p>
    <w:p w14:paraId="737BD092" w14:textId="77777777" w:rsidR="008D4BF1" w:rsidRPr="004E52C2" w:rsidRDefault="008D4BF1" w:rsidP="008D4BF1">
      <w:pPr>
        <w:ind w:left="270" w:hanging="270"/>
        <w:jc w:val="both"/>
        <w:rPr>
          <w:rFonts w:cstheme="minorHAnsi"/>
          <w:sz w:val="24"/>
          <w:szCs w:val="24"/>
        </w:rPr>
      </w:pPr>
      <w:r w:rsidRPr="004E52C2">
        <w:rPr>
          <w:rFonts w:cstheme="minorHAnsi"/>
          <w:sz w:val="24"/>
          <w:szCs w:val="24"/>
        </w:rPr>
        <w:lastRenderedPageBreak/>
        <w:t>Drammeh, W., Hamid, N. A., &amp; Rohana, A. J. (2019). Determinants of household food insecurity and its association with child malnutrition in sub-Saharan Africa: A review of the literature. </w:t>
      </w:r>
      <w:r w:rsidRPr="004E52C2">
        <w:rPr>
          <w:rFonts w:cstheme="minorHAnsi"/>
          <w:i/>
          <w:iCs/>
          <w:sz w:val="24"/>
          <w:szCs w:val="24"/>
        </w:rPr>
        <w:t>Current Research in Nutrition and Food Science</w:t>
      </w:r>
      <w:r w:rsidRPr="004E52C2">
        <w:rPr>
          <w:rFonts w:cstheme="minorHAnsi"/>
          <w:sz w:val="24"/>
          <w:szCs w:val="24"/>
        </w:rPr>
        <w:t>, </w:t>
      </w:r>
      <w:r w:rsidRPr="004E52C2">
        <w:rPr>
          <w:rFonts w:cstheme="minorHAnsi"/>
          <w:i/>
          <w:iCs/>
          <w:sz w:val="24"/>
          <w:szCs w:val="24"/>
        </w:rPr>
        <w:t>7</w:t>
      </w:r>
      <w:r w:rsidRPr="004E52C2">
        <w:rPr>
          <w:rFonts w:cstheme="minorHAnsi"/>
          <w:sz w:val="24"/>
          <w:szCs w:val="24"/>
        </w:rPr>
        <w:t>(3), 651–659. Doi: 10.12944/CRNFSJ.7.3.04</w:t>
      </w:r>
    </w:p>
    <w:p w14:paraId="6FFD6061" w14:textId="77777777" w:rsidR="008D4BF1" w:rsidRPr="004E52C2" w:rsidRDefault="008D4BF1" w:rsidP="008D4BF1">
      <w:pPr>
        <w:ind w:left="270" w:hanging="270"/>
        <w:jc w:val="both"/>
        <w:rPr>
          <w:rFonts w:cstheme="minorHAnsi"/>
          <w:sz w:val="24"/>
          <w:szCs w:val="24"/>
        </w:rPr>
      </w:pPr>
      <w:r w:rsidRPr="004E52C2">
        <w:rPr>
          <w:rFonts w:cstheme="minorHAnsi"/>
          <w:sz w:val="24"/>
          <w:szCs w:val="24"/>
        </w:rPr>
        <w:t>Ene-Obong, H. N., Onuoha, N. O., &amp; Eme, P. E. (2017). Gender roles, family relationships, and household food and nutrition security in Ohafia matrilineal society in Nigeria. </w:t>
      </w:r>
      <w:r w:rsidRPr="004E52C2">
        <w:rPr>
          <w:rFonts w:cstheme="minorHAnsi"/>
          <w:i/>
          <w:iCs/>
          <w:sz w:val="24"/>
          <w:szCs w:val="24"/>
        </w:rPr>
        <w:t>Maternal &amp; child nutrition</w:t>
      </w:r>
      <w:r w:rsidRPr="004E52C2">
        <w:rPr>
          <w:rFonts w:cstheme="minorHAnsi"/>
          <w:sz w:val="24"/>
          <w:szCs w:val="24"/>
        </w:rPr>
        <w:t>, </w:t>
      </w:r>
      <w:r w:rsidRPr="004E52C2">
        <w:rPr>
          <w:rFonts w:cstheme="minorHAnsi"/>
          <w:i/>
          <w:iCs/>
          <w:sz w:val="24"/>
          <w:szCs w:val="24"/>
        </w:rPr>
        <w:t>13 Suppl 3</w:t>
      </w:r>
      <w:r w:rsidRPr="004E52C2">
        <w:rPr>
          <w:rFonts w:cstheme="minorHAnsi"/>
          <w:sz w:val="24"/>
          <w:szCs w:val="24"/>
        </w:rPr>
        <w:t xml:space="preserve">(Suppl 3), e12506. </w:t>
      </w:r>
      <w:hyperlink r:id="rId17" w:history="1">
        <w:r w:rsidRPr="004E52C2">
          <w:rPr>
            <w:rStyle w:val="Hyperlink"/>
            <w:rFonts w:cstheme="minorHAnsi"/>
            <w:sz w:val="24"/>
            <w:szCs w:val="24"/>
          </w:rPr>
          <w:t>https://doi.org/10.1111/mcn.12506</w:t>
        </w:r>
      </w:hyperlink>
    </w:p>
    <w:p w14:paraId="66676671" w14:textId="77777777" w:rsidR="008D4BF1" w:rsidRPr="004E52C2" w:rsidRDefault="008D4BF1" w:rsidP="008D4BF1">
      <w:pPr>
        <w:ind w:left="270" w:hanging="270"/>
        <w:jc w:val="both"/>
        <w:rPr>
          <w:rFonts w:cstheme="minorHAnsi"/>
          <w:sz w:val="24"/>
          <w:szCs w:val="24"/>
          <w:lang w:val="en-US"/>
        </w:rPr>
      </w:pPr>
      <w:r w:rsidRPr="004E52C2">
        <w:rPr>
          <w:rFonts w:cstheme="minorHAnsi"/>
          <w:sz w:val="24"/>
          <w:szCs w:val="24"/>
        </w:rPr>
        <w:t>Enilolobo, O. S., Nnoli, T. I., Olowo, S. O., Aderemi, T. A., Adewole, A. O., Olapade, V. O., &amp; Esedeke, J. F. (2022). Determinants of food security in Nigeria. </w:t>
      </w:r>
      <w:r w:rsidRPr="004E52C2">
        <w:rPr>
          <w:rFonts w:cstheme="minorHAnsi"/>
          <w:i/>
          <w:iCs/>
          <w:sz w:val="24"/>
          <w:szCs w:val="24"/>
        </w:rPr>
        <w:t>Acta Universitatis Danubius. Œconomica</w:t>
      </w:r>
      <w:r w:rsidRPr="004E52C2">
        <w:rPr>
          <w:rFonts w:cstheme="minorHAnsi"/>
          <w:sz w:val="24"/>
          <w:szCs w:val="24"/>
        </w:rPr>
        <w:t>, </w:t>
      </w:r>
      <w:r w:rsidRPr="004E52C2">
        <w:rPr>
          <w:rFonts w:cstheme="minorHAnsi"/>
          <w:i/>
          <w:iCs/>
          <w:sz w:val="24"/>
          <w:szCs w:val="24"/>
        </w:rPr>
        <w:t>18</w:t>
      </w:r>
      <w:r w:rsidRPr="004E52C2">
        <w:rPr>
          <w:rFonts w:cstheme="minorHAnsi"/>
          <w:sz w:val="24"/>
          <w:szCs w:val="24"/>
        </w:rPr>
        <w:t xml:space="preserve">(3). </w:t>
      </w:r>
      <w:hyperlink r:id="rId18" w:history="1">
        <w:r w:rsidRPr="004E52C2">
          <w:rPr>
            <w:rStyle w:val="Hyperlink"/>
            <w:rFonts w:cstheme="minorHAnsi"/>
            <w:sz w:val="24"/>
            <w:szCs w:val="24"/>
          </w:rPr>
          <w:t>https://dj.univ-danubius.ro/index.php/AUDOE/article/view/1760</w:t>
        </w:r>
      </w:hyperlink>
    </w:p>
    <w:p w14:paraId="27D1EAF9" w14:textId="77777777" w:rsidR="008D4BF1" w:rsidRPr="004E52C2" w:rsidRDefault="008D4BF1" w:rsidP="008D4BF1">
      <w:pPr>
        <w:ind w:left="270" w:hanging="270"/>
        <w:jc w:val="both"/>
        <w:rPr>
          <w:rFonts w:cstheme="minorHAnsi"/>
          <w:sz w:val="24"/>
          <w:szCs w:val="24"/>
          <w:lang w:val="en-US"/>
        </w:rPr>
      </w:pPr>
      <w:r w:rsidRPr="004E52C2">
        <w:rPr>
          <w:rFonts w:cstheme="minorHAnsi"/>
          <w:sz w:val="24"/>
          <w:szCs w:val="24"/>
          <w:lang w:val="en-US"/>
        </w:rPr>
        <w:t>FAO, &amp; Bioversity International. (2010). Report of the international symposium on Biodiversity and Sustainable Diets. Retrieved from http://www.fao.org/ag/humannutrition/28506-0efe-4aed57af34e2dbb8dc578d465df8b.pdf</w:t>
      </w:r>
    </w:p>
    <w:p w14:paraId="3B3017D7" w14:textId="77777777" w:rsidR="008D4BF1" w:rsidRPr="00085CBD" w:rsidRDefault="008D4BF1" w:rsidP="008D4BF1">
      <w:pPr>
        <w:ind w:left="270" w:hanging="270"/>
        <w:jc w:val="both"/>
        <w:rPr>
          <w:rFonts w:cstheme="minorHAnsi"/>
          <w:sz w:val="24"/>
          <w:szCs w:val="24"/>
          <w:lang w:val="pt-BR"/>
        </w:rPr>
      </w:pPr>
      <w:r w:rsidRPr="004E52C2">
        <w:rPr>
          <w:rFonts w:cstheme="minorHAnsi"/>
          <w:sz w:val="24"/>
          <w:szCs w:val="24"/>
        </w:rPr>
        <w:t xml:space="preserve">Food and Agriculture Organization of the United Nations (FAO), International Fund for Agricultural Development (IFAD), United Nations Children’s Fund (UNICEF), World Food Programme (WFP), &amp; World Health Organization (WHO). (2025). </w:t>
      </w:r>
      <w:r w:rsidRPr="004E52C2">
        <w:rPr>
          <w:rFonts w:cstheme="minorHAnsi"/>
          <w:i/>
          <w:iCs/>
          <w:sz w:val="24"/>
          <w:szCs w:val="24"/>
        </w:rPr>
        <w:t>The state of food security and nutrition in the world 2025: Addressing high food price inflation for food security and nutrition</w:t>
      </w:r>
      <w:r w:rsidRPr="004E52C2">
        <w:rPr>
          <w:rFonts w:cstheme="minorHAnsi"/>
          <w:sz w:val="24"/>
          <w:szCs w:val="24"/>
        </w:rPr>
        <w:t xml:space="preserve">. </w:t>
      </w:r>
      <w:r w:rsidRPr="00085CBD">
        <w:rPr>
          <w:rFonts w:cstheme="minorHAnsi"/>
          <w:sz w:val="24"/>
          <w:szCs w:val="24"/>
          <w:lang w:val="pt-BR"/>
        </w:rPr>
        <w:t xml:space="preserve">FAO. </w:t>
      </w:r>
      <w:hyperlink r:id="rId19" w:anchor="gsc.tab=0" w:tgtFrame="_new" w:history="1">
        <w:r w:rsidRPr="00085CBD">
          <w:rPr>
            <w:rStyle w:val="Hyperlink"/>
            <w:rFonts w:cstheme="minorHAnsi"/>
            <w:sz w:val="24"/>
            <w:szCs w:val="24"/>
            <w:lang w:val="pt-BR"/>
          </w:rPr>
          <w:t>https://openknowledge.fao.org/server/api/core/bitstreams/de95e011-1af9-4b28-9a07-d8ce61f8aa6c/content/state-food-security-and-nutrition-2025/food-price-inflation-facts.html#gsc.tab=0</w:t>
        </w:r>
      </w:hyperlink>
    </w:p>
    <w:p w14:paraId="3F0F7496" w14:textId="77777777" w:rsidR="008D4BF1" w:rsidRPr="004E52C2" w:rsidRDefault="008D4BF1" w:rsidP="008D4BF1">
      <w:pPr>
        <w:ind w:left="270" w:hanging="270"/>
        <w:jc w:val="both"/>
        <w:rPr>
          <w:rFonts w:cstheme="minorHAnsi"/>
          <w:sz w:val="24"/>
          <w:szCs w:val="24"/>
          <w:lang w:val="en-US"/>
        </w:rPr>
      </w:pPr>
      <w:r w:rsidRPr="004E52C2">
        <w:rPr>
          <w:rFonts w:cstheme="minorHAnsi"/>
          <w:sz w:val="24"/>
          <w:szCs w:val="24"/>
        </w:rPr>
        <w:t>Graves, B. S., Hall, M. E., Dias-Karch, C., Haischer, M. H., &amp; Apter, C. (2021). Gender differences in perceived stress and coping among college students. </w:t>
      </w:r>
      <w:r w:rsidRPr="004E52C2">
        <w:rPr>
          <w:rFonts w:cstheme="minorHAnsi"/>
          <w:i/>
          <w:iCs/>
          <w:sz w:val="24"/>
          <w:szCs w:val="24"/>
        </w:rPr>
        <w:t>PloS one</w:t>
      </w:r>
      <w:r w:rsidRPr="004E52C2">
        <w:rPr>
          <w:rFonts w:cstheme="minorHAnsi"/>
          <w:sz w:val="24"/>
          <w:szCs w:val="24"/>
        </w:rPr>
        <w:t>, </w:t>
      </w:r>
      <w:r w:rsidRPr="004E52C2">
        <w:rPr>
          <w:rFonts w:cstheme="minorHAnsi"/>
          <w:i/>
          <w:iCs/>
          <w:sz w:val="24"/>
          <w:szCs w:val="24"/>
        </w:rPr>
        <w:t>16</w:t>
      </w:r>
      <w:r w:rsidRPr="004E52C2">
        <w:rPr>
          <w:rFonts w:cstheme="minorHAnsi"/>
          <w:sz w:val="24"/>
          <w:szCs w:val="24"/>
        </w:rPr>
        <w:t>(8), e0255634. https://doi.org/10.1371/journal.pone.0255634</w:t>
      </w:r>
    </w:p>
    <w:p w14:paraId="4EF88465" w14:textId="77777777" w:rsidR="008D4BF1" w:rsidRPr="004E52C2" w:rsidRDefault="008D4BF1" w:rsidP="008D4BF1">
      <w:pPr>
        <w:ind w:left="270" w:hanging="270"/>
        <w:jc w:val="both"/>
        <w:rPr>
          <w:rFonts w:cstheme="minorHAnsi"/>
          <w:sz w:val="24"/>
          <w:szCs w:val="24"/>
          <w:lang w:val="en-US"/>
        </w:rPr>
      </w:pPr>
      <w:r w:rsidRPr="004E52C2">
        <w:rPr>
          <w:rFonts w:cstheme="minorHAnsi"/>
          <w:sz w:val="24"/>
          <w:szCs w:val="24"/>
          <w:lang w:val="en-US"/>
        </w:rPr>
        <w:t>Hamid, E., Carolin, C., Carola, S., &amp; Lorenz, P. (2019). Food and nutrition security and sustainability transitions in food systems. Food &amp; Energy Security, 8, 154. Retrieved from https://doi.org/10.1002/fes3.154</w:t>
      </w:r>
    </w:p>
    <w:p w14:paraId="2EFBF1BB" w14:textId="77777777" w:rsidR="008D4BF1" w:rsidRPr="004E52C2" w:rsidRDefault="008D4BF1" w:rsidP="008D4BF1">
      <w:pPr>
        <w:ind w:left="270" w:hanging="270"/>
        <w:jc w:val="both"/>
        <w:rPr>
          <w:rFonts w:cstheme="minorHAnsi"/>
          <w:sz w:val="24"/>
          <w:szCs w:val="24"/>
          <w:lang w:val="en-US"/>
        </w:rPr>
      </w:pPr>
      <w:r w:rsidRPr="004E52C2">
        <w:rPr>
          <w:rFonts w:cstheme="minorHAnsi"/>
          <w:sz w:val="24"/>
          <w:szCs w:val="24"/>
        </w:rPr>
        <w:t>Hecht, A. A., Biehl, E., Barnett, D. J., &amp; Neff, R. A. (2019). Urban Food Supply Chain Resilience for Crises Threatening Food Security: A Qualitative Study. </w:t>
      </w:r>
      <w:r w:rsidRPr="004E52C2">
        <w:rPr>
          <w:rFonts w:cstheme="minorHAnsi"/>
          <w:i/>
          <w:iCs/>
          <w:sz w:val="24"/>
          <w:szCs w:val="24"/>
        </w:rPr>
        <w:t>Journal of the Academy of Nutrition and Dietetics</w:t>
      </w:r>
      <w:r w:rsidRPr="004E52C2">
        <w:rPr>
          <w:rFonts w:cstheme="minorHAnsi"/>
          <w:sz w:val="24"/>
          <w:szCs w:val="24"/>
        </w:rPr>
        <w:t>, </w:t>
      </w:r>
      <w:r w:rsidRPr="004E52C2">
        <w:rPr>
          <w:rFonts w:cstheme="minorHAnsi"/>
          <w:i/>
          <w:iCs/>
          <w:sz w:val="24"/>
          <w:szCs w:val="24"/>
        </w:rPr>
        <w:t>119</w:t>
      </w:r>
      <w:r w:rsidRPr="004E52C2">
        <w:rPr>
          <w:rFonts w:cstheme="minorHAnsi"/>
          <w:sz w:val="24"/>
          <w:szCs w:val="24"/>
        </w:rPr>
        <w:t>(2), 211–224. https://doi.org/10.1016/j.jand.2018.09.001</w:t>
      </w:r>
    </w:p>
    <w:p w14:paraId="12756103" w14:textId="77777777" w:rsidR="008D4BF1" w:rsidRPr="004E52C2" w:rsidRDefault="008D4BF1" w:rsidP="008D4BF1">
      <w:pPr>
        <w:ind w:left="270" w:hanging="270"/>
        <w:jc w:val="both"/>
        <w:rPr>
          <w:rFonts w:cstheme="minorHAnsi"/>
          <w:sz w:val="24"/>
          <w:szCs w:val="24"/>
          <w:lang w:val="en-US"/>
        </w:rPr>
      </w:pPr>
      <w:r w:rsidRPr="004E52C2">
        <w:rPr>
          <w:rFonts w:cstheme="minorHAnsi"/>
          <w:sz w:val="24"/>
          <w:szCs w:val="24"/>
          <w:lang w:val="en-US"/>
        </w:rPr>
        <w:t xml:space="preserve">Hubbard, M., &amp; Onumah, G. (2001). Improving urban food supply and distribution in developing countries: The role of city authorities. Habitat, 25(3), 431–446. </w:t>
      </w:r>
      <w:hyperlink r:id="rId20" w:history="1">
        <w:r w:rsidRPr="004E52C2">
          <w:rPr>
            <w:rStyle w:val="Hyperlink"/>
            <w:rFonts w:cstheme="minorHAnsi"/>
            <w:sz w:val="24"/>
            <w:szCs w:val="24"/>
            <w:lang w:val="en-US"/>
          </w:rPr>
          <w:t>https://doi.org/10.1016/S0197-3975(01)00019-</w:t>
        </w:r>
      </w:hyperlink>
    </w:p>
    <w:p w14:paraId="3C176DE8" w14:textId="77777777" w:rsidR="008D4BF1" w:rsidRPr="004E52C2" w:rsidRDefault="008D4BF1" w:rsidP="008D4BF1">
      <w:pPr>
        <w:ind w:left="270" w:hanging="270"/>
        <w:jc w:val="both"/>
        <w:rPr>
          <w:rFonts w:cstheme="minorHAnsi"/>
          <w:sz w:val="24"/>
          <w:szCs w:val="24"/>
        </w:rPr>
      </w:pPr>
      <w:r w:rsidRPr="004E52C2">
        <w:rPr>
          <w:rFonts w:cstheme="minorHAnsi"/>
          <w:sz w:val="24"/>
          <w:szCs w:val="24"/>
        </w:rPr>
        <w:t>Islam, M. H., Nayan, M. M., Jubayer, A., &amp; Amin, M. R. (2023). A review of the dietary diversity and micronutrient adequacy among the women of reproductive age in low- and middle-income countries. </w:t>
      </w:r>
      <w:r w:rsidRPr="004E52C2">
        <w:rPr>
          <w:rFonts w:cstheme="minorHAnsi"/>
          <w:i/>
          <w:iCs/>
          <w:sz w:val="24"/>
          <w:szCs w:val="24"/>
        </w:rPr>
        <w:t>Food science &amp; nutrition</w:t>
      </w:r>
      <w:r w:rsidRPr="004E52C2">
        <w:rPr>
          <w:rFonts w:cstheme="minorHAnsi"/>
          <w:sz w:val="24"/>
          <w:szCs w:val="24"/>
        </w:rPr>
        <w:t>, </w:t>
      </w:r>
      <w:r w:rsidRPr="004E52C2">
        <w:rPr>
          <w:rFonts w:cstheme="minorHAnsi"/>
          <w:i/>
          <w:iCs/>
          <w:sz w:val="24"/>
          <w:szCs w:val="24"/>
        </w:rPr>
        <w:t>12</w:t>
      </w:r>
      <w:r w:rsidRPr="004E52C2">
        <w:rPr>
          <w:rFonts w:cstheme="minorHAnsi"/>
          <w:sz w:val="24"/>
          <w:szCs w:val="24"/>
        </w:rPr>
        <w:t xml:space="preserve">(3), 1367–1379. </w:t>
      </w:r>
      <w:hyperlink r:id="rId21" w:history="1">
        <w:r w:rsidRPr="004E52C2">
          <w:rPr>
            <w:rStyle w:val="Hyperlink"/>
            <w:rFonts w:cstheme="minorHAnsi"/>
            <w:sz w:val="24"/>
            <w:szCs w:val="24"/>
          </w:rPr>
          <w:t>https://doi.org/10.1002/fsn3.3855</w:t>
        </w:r>
      </w:hyperlink>
    </w:p>
    <w:p w14:paraId="69E03180" w14:textId="77777777" w:rsidR="008D4BF1" w:rsidRPr="004E52C2" w:rsidRDefault="008D4BF1" w:rsidP="008D4BF1">
      <w:pPr>
        <w:ind w:left="270" w:hanging="270"/>
        <w:jc w:val="both"/>
        <w:rPr>
          <w:rFonts w:cstheme="minorHAnsi"/>
          <w:sz w:val="24"/>
          <w:szCs w:val="24"/>
          <w:lang w:val="en-US"/>
        </w:rPr>
      </w:pPr>
      <w:r w:rsidRPr="004E52C2">
        <w:rPr>
          <w:rFonts w:cstheme="minorHAnsi"/>
          <w:sz w:val="24"/>
          <w:szCs w:val="24"/>
        </w:rPr>
        <w:lastRenderedPageBreak/>
        <w:t>Kenney, E., Rampalli, K. K., Samin, S., Frongillo, E. A., Reyes, L. I., Bhandari, S., Boncyk, M., Nordhagen, S., Walls, H., Wertheim-Heck, S., Ickowitz, A., Cunningham, S. A., Ambikapathi, R., Ekesa, B., Matita, M., &amp; Blake, C. E. (2024). How Livelihood Change Affects Food Choice Behaviors in Low- and Middle-Income Countries: A Scoping Review. </w:t>
      </w:r>
      <w:r w:rsidRPr="004E52C2">
        <w:rPr>
          <w:rFonts w:cstheme="minorHAnsi"/>
          <w:i/>
          <w:iCs/>
          <w:sz w:val="24"/>
          <w:szCs w:val="24"/>
        </w:rPr>
        <w:t>Advances in nutrition (Bethesda, Md.)</w:t>
      </w:r>
      <w:r w:rsidRPr="004E52C2">
        <w:rPr>
          <w:rFonts w:cstheme="minorHAnsi"/>
          <w:sz w:val="24"/>
          <w:szCs w:val="24"/>
        </w:rPr>
        <w:t>, </w:t>
      </w:r>
      <w:r w:rsidRPr="004E52C2">
        <w:rPr>
          <w:rFonts w:cstheme="minorHAnsi"/>
          <w:i/>
          <w:iCs/>
          <w:sz w:val="24"/>
          <w:szCs w:val="24"/>
        </w:rPr>
        <w:t>15</w:t>
      </w:r>
      <w:r w:rsidRPr="004E52C2">
        <w:rPr>
          <w:rFonts w:cstheme="minorHAnsi"/>
          <w:sz w:val="24"/>
          <w:szCs w:val="24"/>
        </w:rPr>
        <w:t>(5), 100203. https://doi.org/10.1016/j.advnut.2024.100203</w:t>
      </w:r>
    </w:p>
    <w:p w14:paraId="58D7DBA2" w14:textId="77777777" w:rsidR="008D4BF1" w:rsidRPr="004E52C2" w:rsidRDefault="008D4BF1" w:rsidP="008D4BF1">
      <w:pPr>
        <w:ind w:left="270" w:hanging="270"/>
        <w:jc w:val="both"/>
        <w:rPr>
          <w:rFonts w:cstheme="minorHAnsi"/>
          <w:sz w:val="24"/>
          <w:szCs w:val="24"/>
        </w:rPr>
      </w:pPr>
      <w:r w:rsidRPr="004E52C2">
        <w:rPr>
          <w:rFonts w:cstheme="minorHAnsi"/>
          <w:sz w:val="24"/>
          <w:szCs w:val="24"/>
        </w:rPr>
        <w:t>Masa, R., &amp; Sharma, A. (2021). Invariance of the Household Food Insecurity Access Scale Across Different Groups of Adolescents and Young Adults. </w:t>
      </w:r>
      <w:r w:rsidRPr="004E52C2">
        <w:rPr>
          <w:rFonts w:cstheme="minorHAnsi"/>
          <w:i/>
          <w:iCs/>
          <w:sz w:val="24"/>
          <w:szCs w:val="24"/>
        </w:rPr>
        <w:t>Food and nutrition bulletin</w:t>
      </w:r>
      <w:r w:rsidRPr="004E52C2">
        <w:rPr>
          <w:rFonts w:cstheme="minorHAnsi"/>
          <w:sz w:val="24"/>
          <w:szCs w:val="24"/>
        </w:rPr>
        <w:t>, </w:t>
      </w:r>
      <w:r w:rsidRPr="004E52C2">
        <w:rPr>
          <w:rFonts w:cstheme="minorHAnsi"/>
          <w:i/>
          <w:iCs/>
          <w:sz w:val="24"/>
          <w:szCs w:val="24"/>
        </w:rPr>
        <w:t>42</w:t>
      </w:r>
      <w:r w:rsidRPr="004E52C2">
        <w:rPr>
          <w:rFonts w:cstheme="minorHAnsi"/>
          <w:sz w:val="24"/>
          <w:szCs w:val="24"/>
        </w:rPr>
        <w:t>(3), 437–450. https://doi.org/10.1177/03795721211019634</w:t>
      </w:r>
    </w:p>
    <w:p w14:paraId="6C11B169" w14:textId="77777777" w:rsidR="008D4BF1" w:rsidRPr="004E52C2" w:rsidRDefault="008D4BF1" w:rsidP="008D4BF1">
      <w:pPr>
        <w:ind w:left="270" w:hanging="270"/>
        <w:jc w:val="both"/>
        <w:rPr>
          <w:rFonts w:cstheme="minorHAnsi"/>
          <w:sz w:val="24"/>
          <w:szCs w:val="24"/>
        </w:rPr>
      </w:pPr>
      <w:r w:rsidRPr="004E52C2">
        <w:rPr>
          <w:rFonts w:cstheme="minorHAnsi"/>
          <w:sz w:val="24"/>
          <w:szCs w:val="24"/>
        </w:rPr>
        <w:t>National Population Commission. (2006). National Population Census of Nigeria. </w:t>
      </w:r>
      <w:r w:rsidRPr="004E52C2">
        <w:rPr>
          <w:rFonts w:cstheme="minorHAnsi"/>
          <w:i/>
          <w:iCs/>
          <w:sz w:val="24"/>
          <w:szCs w:val="24"/>
        </w:rPr>
        <w:t>Official Gazette of Federal of Republic Nigeria, Abuja, Nigeria</w:t>
      </w:r>
      <w:r w:rsidRPr="004E52C2">
        <w:rPr>
          <w:rFonts w:cstheme="minorHAnsi"/>
          <w:sz w:val="24"/>
          <w:szCs w:val="24"/>
        </w:rPr>
        <w:t>. http://www.arabianjbmr.com/JPDS_index.php</w:t>
      </w:r>
    </w:p>
    <w:p w14:paraId="7DD007FF" w14:textId="77777777" w:rsidR="008D4BF1" w:rsidRPr="004E52C2" w:rsidRDefault="008D4BF1" w:rsidP="008D4BF1">
      <w:pPr>
        <w:ind w:left="270" w:hanging="270"/>
        <w:jc w:val="both"/>
        <w:rPr>
          <w:rFonts w:cstheme="minorHAnsi"/>
          <w:sz w:val="24"/>
          <w:szCs w:val="24"/>
          <w:lang w:val="en-US"/>
        </w:rPr>
      </w:pPr>
      <w:r w:rsidRPr="00085CBD">
        <w:rPr>
          <w:rFonts w:cstheme="minorHAnsi"/>
          <w:sz w:val="24"/>
          <w:szCs w:val="24"/>
          <w:lang w:val="fi-FI"/>
        </w:rPr>
        <w:t xml:space="preserve">Nisbet, C., Lestrat, K. E., &amp; Vatanparast, H. (2022). </w:t>
      </w:r>
      <w:r w:rsidRPr="004E52C2">
        <w:rPr>
          <w:rFonts w:cstheme="minorHAnsi"/>
          <w:sz w:val="24"/>
          <w:szCs w:val="24"/>
        </w:rPr>
        <w:t>Food Security Interventions among Refugees around the Globe: A Scoping Review. </w:t>
      </w:r>
      <w:r w:rsidRPr="004E52C2">
        <w:rPr>
          <w:rFonts w:cstheme="minorHAnsi"/>
          <w:i/>
          <w:iCs/>
          <w:sz w:val="24"/>
          <w:szCs w:val="24"/>
        </w:rPr>
        <w:t>Nutrients</w:t>
      </w:r>
      <w:r w:rsidRPr="004E52C2">
        <w:rPr>
          <w:rFonts w:cstheme="minorHAnsi"/>
          <w:sz w:val="24"/>
          <w:szCs w:val="24"/>
        </w:rPr>
        <w:t>, </w:t>
      </w:r>
      <w:r w:rsidRPr="004E52C2">
        <w:rPr>
          <w:rFonts w:cstheme="minorHAnsi"/>
          <w:i/>
          <w:iCs/>
          <w:sz w:val="24"/>
          <w:szCs w:val="24"/>
        </w:rPr>
        <w:t>14</w:t>
      </w:r>
      <w:r w:rsidRPr="004E52C2">
        <w:rPr>
          <w:rFonts w:cstheme="minorHAnsi"/>
          <w:sz w:val="24"/>
          <w:szCs w:val="24"/>
        </w:rPr>
        <w:t>(3), 522. https://doi.org/10.3390/nu14030522</w:t>
      </w:r>
      <w:r w:rsidRPr="004E52C2">
        <w:rPr>
          <w:rFonts w:cstheme="minorHAnsi"/>
          <w:sz w:val="24"/>
          <w:szCs w:val="24"/>
          <w:lang w:val="en-US"/>
        </w:rPr>
        <w:t xml:space="preserve"> </w:t>
      </w:r>
    </w:p>
    <w:p w14:paraId="30CFAF68" w14:textId="77777777" w:rsidR="008D4BF1" w:rsidRPr="004E52C2" w:rsidRDefault="008D4BF1" w:rsidP="008D4BF1">
      <w:pPr>
        <w:ind w:left="270" w:hanging="270"/>
        <w:jc w:val="both"/>
        <w:rPr>
          <w:rFonts w:cstheme="minorHAnsi"/>
          <w:sz w:val="24"/>
          <w:szCs w:val="24"/>
          <w:lang w:val="en-US"/>
        </w:rPr>
      </w:pPr>
      <w:r w:rsidRPr="004E52C2">
        <w:rPr>
          <w:rFonts w:cstheme="minorHAnsi"/>
          <w:sz w:val="24"/>
          <w:szCs w:val="24"/>
        </w:rPr>
        <w:t>Okafor, C. A., Oziegbe, E. O., &amp; Foláyan, M. O. (2025). Dietary diversity and food groups associated with early childhood caries in a suburban community in Nigeria. </w:t>
      </w:r>
      <w:r w:rsidRPr="004E52C2">
        <w:rPr>
          <w:rFonts w:cstheme="minorHAnsi"/>
          <w:i/>
          <w:iCs/>
          <w:sz w:val="24"/>
          <w:szCs w:val="24"/>
        </w:rPr>
        <w:t>BMC oral health</w:t>
      </w:r>
      <w:r w:rsidRPr="004E52C2">
        <w:rPr>
          <w:rFonts w:cstheme="minorHAnsi"/>
          <w:sz w:val="24"/>
          <w:szCs w:val="24"/>
        </w:rPr>
        <w:t>, </w:t>
      </w:r>
      <w:r w:rsidRPr="004E52C2">
        <w:rPr>
          <w:rFonts w:cstheme="minorHAnsi"/>
          <w:i/>
          <w:iCs/>
          <w:sz w:val="24"/>
          <w:szCs w:val="24"/>
        </w:rPr>
        <w:t>26</w:t>
      </w:r>
      <w:r w:rsidRPr="004E52C2">
        <w:rPr>
          <w:rFonts w:cstheme="minorHAnsi"/>
          <w:sz w:val="24"/>
          <w:szCs w:val="24"/>
        </w:rPr>
        <w:t>(1), 150. https://doi.org/10.1186/s12903-025-06897-0</w:t>
      </w:r>
    </w:p>
    <w:p w14:paraId="2A8906AB" w14:textId="77777777" w:rsidR="008D4BF1" w:rsidRPr="004E52C2" w:rsidRDefault="008D4BF1" w:rsidP="008D4BF1">
      <w:pPr>
        <w:ind w:left="270" w:hanging="270"/>
        <w:jc w:val="both"/>
        <w:rPr>
          <w:rFonts w:cstheme="minorHAnsi"/>
          <w:sz w:val="24"/>
          <w:szCs w:val="24"/>
          <w:lang w:val="en-US"/>
        </w:rPr>
      </w:pPr>
      <w:r w:rsidRPr="004E52C2">
        <w:rPr>
          <w:rFonts w:cstheme="minorHAnsi"/>
          <w:sz w:val="24"/>
          <w:szCs w:val="24"/>
          <w:lang w:val="en-US"/>
        </w:rPr>
        <w:t>Omonona, B. T., &amp; Agoi, G. (2007). Analysis of Food Security Situations among Nigerian Urban Households: Evidence from Lagos State. Journal of Central European Agriculture, 1-3.</w:t>
      </w:r>
    </w:p>
    <w:p w14:paraId="65D19873" w14:textId="77777777" w:rsidR="008D4BF1" w:rsidRPr="00085CBD" w:rsidRDefault="008D4BF1" w:rsidP="008D4BF1">
      <w:pPr>
        <w:ind w:left="270" w:hanging="270"/>
        <w:jc w:val="both"/>
        <w:rPr>
          <w:rFonts w:cstheme="minorHAnsi"/>
          <w:sz w:val="24"/>
          <w:szCs w:val="24"/>
          <w:lang w:val="pt-BR"/>
        </w:rPr>
      </w:pPr>
      <w:r w:rsidRPr="004E52C2">
        <w:rPr>
          <w:rFonts w:cstheme="minorHAnsi"/>
          <w:sz w:val="24"/>
          <w:szCs w:val="24"/>
          <w:lang w:val="en-US"/>
        </w:rPr>
        <w:t xml:space="preserve">Rembialkowska, E. (2016). Organic Food: Effect on Nutrient Composition. </w:t>
      </w:r>
      <w:r w:rsidRPr="00085CBD">
        <w:rPr>
          <w:rFonts w:cstheme="minorHAnsi"/>
          <w:sz w:val="24"/>
          <w:szCs w:val="24"/>
          <w:lang w:val="pt-BR"/>
        </w:rPr>
        <w:t>171-177. doi:https://doi.org/10.1016/B978-0-12-384947-2.00505-5.</w:t>
      </w:r>
    </w:p>
    <w:p w14:paraId="34D254CF" w14:textId="77777777" w:rsidR="008D4BF1" w:rsidRPr="004E52C2" w:rsidRDefault="008D4BF1" w:rsidP="008D4BF1">
      <w:pPr>
        <w:ind w:left="270" w:hanging="270"/>
        <w:jc w:val="both"/>
        <w:rPr>
          <w:rFonts w:cstheme="minorHAnsi"/>
          <w:sz w:val="24"/>
          <w:szCs w:val="24"/>
        </w:rPr>
      </w:pPr>
      <w:r w:rsidRPr="00085CBD">
        <w:rPr>
          <w:rFonts w:cstheme="minorHAnsi"/>
          <w:sz w:val="24"/>
          <w:szCs w:val="24"/>
          <w:lang w:val="pt-BR"/>
        </w:rPr>
        <w:t xml:space="preserve">Roberts, A. A., Osadare, J. O., &amp; Inem, V. A. (2019). </w:t>
      </w:r>
      <w:r w:rsidRPr="004E52C2">
        <w:rPr>
          <w:rFonts w:cstheme="minorHAnsi"/>
          <w:sz w:val="24"/>
          <w:szCs w:val="24"/>
        </w:rPr>
        <w:t>Hunger in the midst of plenty: A survey of household food security among urban families in Lagos State, Nigeria. </w:t>
      </w:r>
      <w:r w:rsidRPr="004E52C2">
        <w:rPr>
          <w:rFonts w:cstheme="minorHAnsi"/>
          <w:i/>
          <w:iCs/>
          <w:sz w:val="24"/>
          <w:szCs w:val="24"/>
        </w:rPr>
        <w:t>Journal of public health in Africa</w:t>
      </w:r>
      <w:r w:rsidRPr="004E52C2">
        <w:rPr>
          <w:rFonts w:cstheme="minorHAnsi"/>
          <w:sz w:val="24"/>
          <w:szCs w:val="24"/>
        </w:rPr>
        <w:t>, </w:t>
      </w:r>
      <w:r w:rsidRPr="004E52C2">
        <w:rPr>
          <w:rFonts w:cstheme="minorHAnsi"/>
          <w:i/>
          <w:iCs/>
          <w:sz w:val="24"/>
          <w:szCs w:val="24"/>
        </w:rPr>
        <w:t>10</w:t>
      </w:r>
      <w:r w:rsidRPr="004E52C2">
        <w:rPr>
          <w:rFonts w:cstheme="minorHAnsi"/>
          <w:sz w:val="24"/>
          <w:szCs w:val="24"/>
        </w:rPr>
        <w:t>(1), 885. https://doi.org/10.4081/jphia.2019.885.</w:t>
      </w:r>
    </w:p>
    <w:p w14:paraId="040C6BA9" w14:textId="77777777" w:rsidR="008D4BF1" w:rsidRPr="004E52C2" w:rsidRDefault="008D4BF1" w:rsidP="008D4BF1">
      <w:pPr>
        <w:ind w:left="270" w:hanging="270"/>
        <w:jc w:val="both"/>
        <w:rPr>
          <w:rFonts w:cstheme="minorHAnsi"/>
          <w:sz w:val="24"/>
          <w:szCs w:val="24"/>
          <w:lang w:val="en-US"/>
        </w:rPr>
      </w:pPr>
      <w:r w:rsidRPr="004E52C2">
        <w:rPr>
          <w:rFonts w:cstheme="minorHAnsi"/>
          <w:sz w:val="24"/>
          <w:szCs w:val="24"/>
        </w:rPr>
        <w:t>Romanello, M., Napoli, C. D., Green, C., Kennard, H., Lampard, P., Scamman, D., Walawender, M., Ali, Z., Ameli, N., Ayeb-Karlsson, S., Beggs, P. J., Belesova, K., Berrang Ford, L., Bowen, K., Cai, W., Callaghan, M., Campbell-Lendrum, D., Chambers, J., Cross, T. J., van Daalen, K. R., … Costello, A. (2023). The 2023 report of the Lancet Countdown on health and climate change: the imperative for a health-centred response in a world facing irreversible harms. </w:t>
      </w:r>
      <w:r w:rsidRPr="004E52C2">
        <w:rPr>
          <w:rFonts w:cstheme="minorHAnsi"/>
          <w:i/>
          <w:iCs/>
          <w:sz w:val="24"/>
          <w:szCs w:val="24"/>
        </w:rPr>
        <w:t>Lancet (London, England)</w:t>
      </w:r>
      <w:r w:rsidRPr="004E52C2">
        <w:rPr>
          <w:rFonts w:cstheme="minorHAnsi"/>
          <w:sz w:val="24"/>
          <w:szCs w:val="24"/>
        </w:rPr>
        <w:t>, </w:t>
      </w:r>
      <w:r w:rsidRPr="004E52C2">
        <w:rPr>
          <w:rFonts w:cstheme="minorHAnsi"/>
          <w:i/>
          <w:iCs/>
          <w:sz w:val="24"/>
          <w:szCs w:val="24"/>
        </w:rPr>
        <w:t>402</w:t>
      </w:r>
      <w:r w:rsidRPr="004E52C2">
        <w:rPr>
          <w:rFonts w:cstheme="minorHAnsi"/>
          <w:sz w:val="24"/>
          <w:szCs w:val="24"/>
        </w:rPr>
        <w:t>(10419), 2346–2394. https://doi.org/10.1016/S0140-6736(23)01859-7</w:t>
      </w:r>
    </w:p>
    <w:p w14:paraId="6B8AD96E" w14:textId="77777777" w:rsidR="008D4BF1" w:rsidRPr="004E52C2" w:rsidRDefault="008D4BF1" w:rsidP="008D4BF1">
      <w:pPr>
        <w:ind w:left="270" w:hanging="270"/>
        <w:jc w:val="both"/>
        <w:rPr>
          <w:rFonts w:cstheme="minorHAnsi"/>
          <w:sz w:val="24"/>
          <w:szCs w:val="24"/>
          <w:lang w:val="en-US"/>
        </w:rPr>
      </w:pPr>
      <w:r w:rsidRPr="004E52C2">
        <w:rPr>
          <w:rFonts w:cstheme="minorHAnsi"/>
          <w:sz w:val="24"/>
          <w:szCs w:val="24"/>
          <w:lang w:val="en-US"/>
        </w:rPr>
        <w:t xml:space="preserve">Senee, A., Ishnoo, Y. B., &amp; Jeewon, R. (2022). An Analysis of the Contributors and Factors Influencing Dietary Patterns among the Elderly Population. Current Research in Food and Nutrition, 10(3). Retrieved from </w:t>
      </w:r>
      <w:hyperlink r:id="rId22" w:history="1">
        <w:r w:rsidRPr="004E52C2">
          <w:rPr>
            <w:rStyle w:val="Hyperlink"/>
            <w:rFonts w:cstheme="minorHAnsi"/>
            <w:sz w:val="24"/>
            <w:szCs w:val="24"/>
            <w:lang w:val="en-US"/>
          </w:rPr>
          <w:t>https://dx.doi.org/10.12944/CRNFSJ.10.3.7</w:t>
        </w:r>
      </w:hyperlink>
    </w:p>
    <w:p w14:paraId="48C44327" w14:textId="77777777" w:rsidR="008D4BF1" w:rsidRPr="004E52C2" w:rsidRDefault="008D4BF1" w:rsidP="008D4BF1">
      <w:pPr>
        <w:ind w:left="270" w:hanging="270"/>
        <w:jc w:val="both"/>
        <w:rPr>
          <w:rFonts w:cstheme="minorHAnsi"/>
          <w:sz w:val="24"/>
          <w:szCs w:val="24"/>
        </w:rPr>
      </w:pPr>
      <w:r w:rsidRPr="00085CBD">
        <w:rPr>
          <w:rFonts w:cstheme="minorHAnsi"/>
          <w:sz w:val="24"/>
          <w:szCs w:val="24"/>
          <w:lang w:val="fi-FI"/>
        </w:rPr>
        <w:t xml:space="preserve">Shembe, P. S., Ngobese, N. Z., Siwela, M., &amp; Kolanisi, U. (2023). </w:t>
      </w:r>
      <w:r w:rsidRPr="004E52C2">
        <w:rPr>
          <w:rFonts w:cstheme="minorHAnsi"/>
          <w:sz w:val="24"/>
          <w:szCs w:val="24"/>
        </w:rPr>
        <w:t>The potential repositioning of South African underutilised plants for food and nutrition security: A scoping review. </w:t>
      </w:r>
      <w:r w:rsidRPr="004E52C2">
        <w:rPr>
          <w:rFonts w:cstheme="minorHAnsi"/>
          <w:i/>
          <w:iCs/>
          <w:sz w:val="24"/>
          <w:szCs w:val="24"/>
        </w:rPr>
        <w:t>Heliyon</w:t>
      </w:r>
      <w:r w:rsidRPr="004E52C2">
        <w:rPr>
          <w:rFonts w:cstheme="minorHAnsi"/>
          <w:sz w:val="24"/>
          <w:szCs w:val="24"/>
        </w:rPr>
        <w:t>, </w:t>
      </w:r>
      <w:r w:rsidRPr="004E52C2">
        <w:rPr>
          <w:rFonts w:cstheme="minorHAnsi"/>
          <w:i/>
          <w:iCs/>
          <w:sz w:val="24"/>
          <w:szCs w:val="24"/>
        </w:rPr>
        <w:t>9</w:t>
      </w:r>
      <w:r w:rsidRPr="004E52C2">
        <w:rPr>
          <w:rFonts w:cstheme="minorHAnsi"/>
          <w:sz w:val="24"/>
          <w:szCs w:val="24"/>
        </w:rPr>
        <w:t xml:space="preserve">(6), e17232. </w:t>
      </w:r>
      <w:hyperlink r:id="rId23" w:history="1">
        <w:r w:rsidRPr="004E52C2">
          <w:rPr>
            <w:rStyle w:val="Hyperlink"/>
            <w:rFonts w:cstheme="minorHAnsi"/>
            <w:sz w:val="24"/>
            <w:szCs w:val="24"/>
          </w:rPr>
          <w:t>https://doi.org/10.1016/j.heliyon.2023.e17232</w:t>
        </w:r>
      </w:hyperlink>
    </w:p>
    <w:p w14:paraId="2C51021D" w14:textId="77777777" w:rsidR="008D4BF1" w:rsidRPr="008D4BF1" w:rsidRDefault="008D4BF1" w:rsidP="008D4BF1">
      <w:pPr>
        <w:ind w:left="270" w:hanging="270"/>
        <w:jc w:val="both"/>
        <w:rPr>
          <w:rFonts w:cstheme="minorHAnsi"/>
          <w:sz w:val="24"/>
          <w:szCs w:val="24"/>
          <w:lang w:val="en-US"/>
        </w:rPr>
      </w:pPr>
      <w:r w:rsidRPr="004E52C2">
        <w:rPr>
          <w:rFonts w:cstheme="minorHAnsi"/>
          <w:sz w:val="24"/>
          <w:szCs w:val="24"/>
        </w:rPr>
        <w:lastRenderedPageBreak/>
        <w:t>Tyczewska, A., Twardowski, T., &amp; Woźniak-Gientka, E. (2023). Agricultural biotechnology for sustainable food security. </w:t>
      </w:r>
      <w:r w:rsidRPr="004E52C2">
        <w:rPr>
          <w:rFonts w:cstheme="minorHAnsi"/>
          <w:i/>
          <w:iCs/>
          <w:sz w:val="24"/>
          <w:szCs w:val="24"/>
        </w:rPr>
        <w:t>Trends in biotechnology</w:t>
      </w:r>
      <w:r w:rsidRPr="004E52C2">
        <w:rPr>
          <w:rFonts w:cstheme="minorHAnsi"/>
          <w:sz w:val="24"/>
          <w:szCs w:val="24"/>
        </w:rPr>
        <w:t>, </w:t>
      </w:r>
      <w:r w:rsidRPr="004E52C2">
        <w:rPr>
          <w:rFonts w:cstheme="minorHAnsi"/>
          <w:i/>
          <w:iCs/>
          <w:sz w:val="24"/>
          <w:szCs w:val="24"/>
        </w:rPr>
        <w:t>41</w:t>
      </w:r>
      <w:r w:rsidRPr="004E52C2">
        <w:rPr>
          <w:rFonts w:cstheme="minorHAnsi"/>
          <w:sz w:val="24"/>
          <w:szCs w:val="24"/>
        </w:rPr>
        <w:t>(3), 331–341. https://doi.org/10.1016/j.tibtech.2022.12.013</w:t>
      </w:r>
    </w:p>
    <w:p w14:paraId="32172918" w14:textId="77777777" w:rsidR="008D4BF1" w:rsidRPr="008D4BF1" w:rsidRDefault="008D4BF1" w:rsidP="008D4BF1">
      <w:pPr>
        <w:jc w:val="both"/>
        <w:rPr>
          <w:rFonts w:cstheme="minorHAnsi"/>
          <w:sz w:val="24"/>
          <w:szCs w:val="24"/>
          <w:lang w:val="en-US"/>
        </w:rPr>
      </w:pPr>
    </w:p>
    <w:p w14:paraId="2A4DF9B1" w14:textId="77777777" w:rsidR="008D4BF1" w:rsidRPr="008D4BF1" w:rsidRDefault="008D4BF1" w:rsidP="008D4BF1">
      <w:pPr>
        <w:jc w:val="both"/>
        <w:rPr>
          <w:rFonts w:cstheme="minorHAnsi"/>
          <w:sz w:val="24"/>
          <w:szCs w:val="24"/>
        </w:rPr>
      </w:pPr>
    </w:p>
    <w:sectPr w:rsidR="008D4BF1" w:rsidRPr="008D4BF1">
      <w:headerReference w:type="even" r:id="rId24"/>
      <w:headerReference w:type="default" r:id="rId25"/>
      <w:footerReference w:type="even" r:id="rId26"/>
      <w:footerReference w:type="default" r:id="rId27"/>
      <w:headerReference w:type="first" r:id="rId28"/>
      <w:footerReference w:type="first" r:id="rId2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lenovo.ym10389z@outlook.com" w:date="2026-05-20T20:42:00Z" w:initials="l">
    <w:p w14:paraId="5A19BE79" w14:textId="77777777" w:rsidR="00085CBD" w:rsidRDefault="00085CBD" w:rsidP="00085CBD">
      <w:pPr>
        <w:pStyle w:val="CommentText"/>
      </w:pPr>
      <w:r>
        <w:rPr>
          <w:rStyle w:val="CommentReference"/>
        </w:rPr>
        <w:annotationRef/>
      </w:r>
      <w:r>
        <w:t xml:space="preserve">The abstract does not clearly explain the research gap or the importance of the study. The opening section is still too general. </w:t>
      </w:r>
    </w:p>
    <w:p w14:paraId="28AD11AF" w14:textId="77777777" w:rsidR="00085CBD" w:rsidRDefault="00085CBD" w:rsidP="00085CBD">
      <w:pPr>
        <w:pStyle w:val="CommentText"/>
      </w:pPr>
    </w:p>
    <w:p w14:paraId="128C255E" w14:textId="77777777" w:rsidR="00085CBD" w:rsidRDefault="00085CBD" w:rsidP="00085CBD">
      <w:pPr>
        <w:pStyle w:val="CommentText"/>
      </w:pPr>
      <w:r>
        <w:t>Structure abstrak:</w:t>
      </w:r>
    </w:p>
    <w:p w14:paraId="258242DE" w14:textId="77777777" w:rsidR="00085CBD" w:rsidRDefault="00085CBD" w:rsidP="00085CBD">
      <w:pPr>
        <w:pStyle w:val="CommentText"/>
      </w:pPr>
      <w:r>
        <w:t>Introduction</w:t>
      </w:r>
    </w:p>
    <w:p w14:paraId="114C0F93" w14:textId="77777777" w:rsidR="00085CBD" w:rsidRDefault="00085CBD" w:rsidP="00085CBD">
      <w:pPr>
        <w:pStyle w:val="CommentText"/>
      </w:pPr>
      <w:r>
        <w:t>Objective</w:t>
      </w:r>
    </w:p>
    <w:p w14:paraId="2DFE3479" w14:textId="77777777" w:rsidR="00085CBD" w:rsidRDefault="00085CBD" w:rsidP="00085CBD">
      <w:pPr>
        <w:pStyle w:val="CommentText"/>
      </w:pPr>
      <w:r>
        <w:t>Methods</w:t>
      </w:r>
    </w:p>
    <w:p w14:paraId="0C2FD708" w14:textId="77777777" w:rsidR="00085CBD" w:rsidRDefault="00085CBD" w:rsidP="00085CBD">
      <w:pPr>
        <w:pStyle w:val="CommentText"/>
      </w:pPr>
      <w:r>
        <w:t>Result</w:t>
      </w:r>
    </w:p>
    <w:p w14:paraId="225915EA" w14:textId="77777777" w:rsidR="00085CBD" w:rsidRDefault="00085CBD" w:rsidP="00085CBD">
      <w:pPr>
        <w:pStyle w:val="CommentText"/>
      </w:pPr>
      <w:r>
        <w:t>Conclusion</w:t>
      </w:r>
    </w:p>
    <w:p w14:paraId="4EAA7AD6" w14:textId="77777777" w:rsidR="00085CBD" w:rsidRDefault="00085CBD" w:rsidP="00085CBD">
      <w:pPr>
        <w:pStyle w:val="CommentText"/>
      </w:pPr>
      <w:r>
        <w:t>Keyword</w:t>
      </w:r>
    </w:p>
    <w:p w14:paraId="7D3752DC" w14:textId="77777777" w:rsidR="00085CBD" w:rsidRDefault="00085CBD" w:rsidP="00085CBD">
      <w:pPr>
        <w:pStyle w:val="CommentText"/>
      </w:pPr>
    </w:p>
    <w:p w14:paraId="4E72AA12" w14:textId="77777777" w:rsidR="00085CBD" w:rsidRDefault="00085CBD" w:rsidP="00085CBD">
      <w:pPr>
        <w:pStyle w:val="CommentText"/>
      </w:pPr>
      <w:r>
        <w:t>Include a brief explanation about:</w:t>
      </w:r>
    </w:p>
    <w:p w14:paraId="1FF360F6" w14:textId="77777777" w:rsidR="00085CBD" w:rsidRDefault="00085CBD" w:rsidP="00085CBD">
      <w:pPr>
        <w:pStyle w:val="CommentText"/>
        <w:numPr>
          <w:ilvl w:val="0"/>
          <w:numId w:val="9"/>
        </w:numPr>
      </w:pPr>
      <w:r>
        <w:t xml:space="preserve">the growing issue of food insecurity in Nigeria, </w:t>
      </w:r>
    </w:p>
    <w:p w14:paraId="59C7C857" w14:textId="77777777" w:rsidR="00085CBD" w:rsidRDefault="00085CBD" w:rsidP="00085CBD">
      <w:pPr>
        <w:pStyle w:val="CommentText"/>
        <w:numPr>
          <w:ilvl w:val="0"/>
          <w:numId w:val="9"/>
        </w:numPr>
      </w:pPr>
      <w:r>
        <w:t>limitations of previous studies, and the importance of wellness sustainability in households.</w:t>
      </w:r>
    </w:p>
  </w:comment>
  <w:comment w:id="3" w:author="lenovo.ym10389z@outlook.com" w:date="2026-05-20T20:50:00Z" w:initials="l">
    <w:p w14:paraId="3208087E" w14:textId="77777777" w:rsidR="00085CBD" w:rsidRDefault="00085CBD" w:rsidP="00085CBD">
      <w:pPr>
        <w:pStyle w:val="CommentText"/>
      </w:pPr>
      <w:r>
        <w:rPr>
          <w:rStyle w:val="CommentReference"/>
        </w:rPr>
        <w:annotationRef/>
      </w:r>
      <w:r>
        <w:t xml:space="preserve">The result includes too many percentages and household classifications, making it difficult to read. Focus only on the most important and significant findings. </w:t>
      </w:r>
    </w:p>
  </w:comment>
  <w:comment w:id="4" w:author="lenovo.ym10389z@outlook.com" w:date="2026-05-20T20:54:00Z" w:initials="l">
    <w:p w14:paraId="1B31DAD4" w14:textId="77777777" w:rsidR="00140918" w:rsidRDefault="00140918" w:rsidP="00140918">
      <w:pPr>
        <w:pStyle w:val="CommentText"/>
      </w:pPr>
      <w:r>
        <w:rPr>
          <w:rStyle w:val="CommentReference"/>
        </w:rPr>
        <w:annotationRef/>
      </w:r>
      <w:r>
        <w:t xml:space="preserve">Use keywords that directly reflect the study content. </w:t>
      </w:r>
    </w:p>
  </w:comment>
  <w:comment w:id="7" w:author="lenovo.ym10389z@outlook.com" w:date="2026-05-20T20:57:00Z" w:initials="l">
    <w:p w14:paraId="4D90D772" w14:textId="77777777" w:rsidR="00140918" w:rsidRDefault="00140918" w:rsidP="00140918">
      <w:pPr>
        <w:pStyle w:val="CommentText"/>
      </w:pPr>
      <w:r>
        <w:rPr>
          <w:rStyle w:val="CommentReference"/>
        </w:rPr>
        <w:annotationRef/>
      </w:r>
      <w:r>
        <w:t xml:space="preserve">The introduction begins with broad explanations about food and human survival, which feel too basic for an academic paper. </w:t>
      </w:r>
    </w:p>
    <w:p w14:paraId="48A60409" w14:textId="77777777" w:rsidR="00140918" w:rsidRDefault="00140918" w:rsidP="00140918">
      <w:pPr>
        <w:pStyle w:val="CommentText"/>
      </w:pPr>
      <w:r>
        <w:t>Start more directly with:</w:t>
      </w:r>
    </w:p>
    <w:p w14:paraId="23F5B306" w14:textId="77777777" w:rsidR="00140918" w:rsidRDefault="00140918" w:rsidP="00140918">
      <w:pPr>
        <w:pStyle w:val="CommentText"/>
        <w:numPr>
          <w:ilvl w:val="0"/>
          <w:numId w:val="10"/>
        </w:numPr>
      </w:pPr>
      <w:r>
        <w:t xml:space="preserve">food insecurity issues, </w:t>
      </w:r>
    </w:p>
    <w:p w14:paraId="23E1BA48" w14:textId="77777777" w:rsidR="00140918" w:rsidRDefault="00140918" w:rsidP="00140918">
      <w:pPr>
        <w:pStyle w:val="CommentText"/>
        <w:numPr>
          <w:ilvl w:val="0"/>
          <w:numId w:val="10"/>
        </w:numPr>
      </w:pPr>
      <w:r>
        <w:t xml:space="preserve">unhealthy dietary patterns, </w:t>
      </w:r>
    </w:p>
    <w:p w14:paraId="08E086E0" w14:textId="77777777" w:rsidR="00140918" w:rsidRDefault="00140918" w:rsidP="00140918">
      <w:pPr>
        <w:pStyle w:val="CommentText"/>
        <w:numPr>
          <w:ilvl w:val="0"/>
          <w:numId w:val="10"/>
        </w:numPr>
      </w:pPr>
      <w:r>
        <w:t>and their effects on household well-being in Nigeria.</w:t>
      </w:r>
    </w:p>
  </w:comment>
  <w:comment w:id="8" w:author="lenovo.ym10389z@outlook.com" w:date="2026-05-20T20:59:00Z" w:initials="l">
    <w:p w14:paraId="2CE25C31" w14:textId="77777777" w:rsidR="00140918" w:rsidRDefault="00140918" w:rsidP="00140918">
      <w:pPr>
        <w:pStyle w:val="CommentText"/>
      </w:pPr>
      <w:r>
        <w:rPr>
          <w:rStyle w:val="CommentReference"/>
        </w:rPr>
        <w:annotationRef/>
      </w:r>
      <w:r>
        <w:t>Arrange the discussion more logically, you must be:</w:t>
      </w:r>
    </w:p>
    <w:p w14:paraId="02F79EC5" w14:textId="77777777" w:rsidR="00140918" w:rsidRDefault="00140918" w:rsidP="00140918">
      <w:pPr>
        <w:pStyle w:val="CommentText"/>
        <w:numPr>
          <w:ilvl w:val="0"/>
          <w:numId w:val="11"/>
        </w:numPr>
      </w:pPr>
      <w:r>
        <w:t xml:space="preserve">Food insecurity problem </w:t>
      </w:r>
    </w:p>
    <w:p w14:paraId="70928C4F" w14:textId="77777777" w:rsidR="00140918" w:rsidRDefault="00140918" w:rsidP="00140918">
      <w:pPr>
        <w:pStyle w:val="CommentText"/>
        <w:numPr>
          <w:ilvl w:val="0"/>
          <w:numId w:val="11"/>
        </w:numPr>
      </w:pPr>
      <w:r>
        <w:t xml:space="preserve">Health consequences </w:t>
      </w:r>
    </w:p>
    <w:p w14:paraId="411D9B01" w14:textId="77777777" w:rsidR="00140918" w:rsidRDefault="00140918" w:rsidP="00140918">
      <w:pPr>
        <w:pStyle w:val="CommentText"/>
        <w:numPr>
          <w:ilvl w:val="0"/>
          <w:numId w:val="11"/>
        </w:numPr>
      </w:pPr>
      <w:r>
        <w:t xml:space="preserve">Dietary patterns </w:t>
      </w:r>
    </w:p>
    <w:p w14:paraId="27D039ED" w14:textId="77777777" w:rsidR="00140918" w:rsidRDefault="00140918" w:rsidP="00140918">
      <w:pPr>
        <w:pStyle w:val="CommentText"/>
        <w:numPr>
          <w:ilvl w:val="0"/>
          <w:numId w:val="11"/>
        </w:numPr>
      </w:pPr>
      <w:r>
        <w:t xml:space="preserve">Wellness sustainability </w:t>
      </w:r>
    </w:p>
    <w:p w14:paraId="7A4AF44A" w14:textId="77777777" w:rsidR="00140918" w:rsidRDefault="00140918" w:rsidP="00140918">
      <w:pPr>
        <w:pStyle w:val="CommentText"/>
        <w:numPr>
          <w:ilvl w:val="0"/>
          <w:numId w:val="11"/>
        </w:numPr>
      </w:pPr>
      <w:r>
        <w:t xml:space="preserve">Research gap </w:t>
      </w:r>
    </w:p>
    <w:p w14:paraId="11C01CC8" w14:textId="77777777" w:rsidR="00140918" w:rsidRDefault="00140918" w:rsidP="00140918">
      <w:pPr>
        <w:pStyle w:val="CommentText"/>
        <w:numPr>
          <w:ilvl w:val="0"/>
          <w:numId w:val="11"/>
        </w:numPr>
      </w:pPr>
      <w:r>
        <w:t>Study objectives</w:t>
      </w:r>
    </w:p>
  </w:comment>
  <w:comment w:id="9" w:author="lenovo.ym10389z@outlook.com" w:date="2026-05-20T21:13:00Z" w:initials="l">
    <w:p w14:paraId="484ED21E" w14:textId="77777777" w:rsidR="00610127" w:rsidRDefault="00610127" w:rsidP="00610127">
      <w:pPr>
        <w:pStyle w:val="CommentText"/>
      </w:pPr>
      <w:r>
        <w:rPr>
          <w:rStyle w:val="CommentReference"/>
        </w:rPr>
        <w:annotationRef/>
      </w:r>
      <w:r>
        <w:t xml:space="preserve">The introduction contains too many textbook-style definitions. </w:t>
      </w:r>
    </w:p>
    <w:p w14:paraId="6936025F" w14:textId="77777777" w:rsidR="00610127" w:rsidRDefault="00610127" w:rsidP="00610127">
      <w:pPr>
        <w:pStyle w:val="CommentText"/>
      </w:pPr>
      <w:r>
        <w:t xml:space="preserve">Use only the definitions that are directly relevant to the study focus. </w:t>
      </w:r>
    </w:p>
  </w:comment>
  <w:comment w:id="10" w:author="lenovo.ym10389z@outlook.com" w:date="2026-05-20T21:17:00Z" w:initials="l">
    <w:p w14:paraId="0C715EE4" w14:textId="77777777" w:rsidR="00BA7576" w:rsidRDefault="00BA7576" w:rsidP="00BA7576">
      <w:pPr>
        <w:pStyle w:val="CommentText"/>
      </w:pPr>
      <w:r>
        <w:rPr>
          <w:rStyle w:val="CommentReference"/>
        </w:rPr>
        <w:annotationRef/>
      </w:r>
      <w:r>
        <w:t xml:space="preserve">Some paragraphs contain excessive citations, which interrupts the reading flow. </w:t>
      </w:r>
    </w:p>
    <w:p w14:paraId="7452099F" w14:textId="77777777" w:rsidR="00BA7576" w:rsidRDefault="00BA7576" w:rsidP="00BA7576">
      <w:pPr>
        <w:pStyle w:val="CommentText"/>
      </w:pPr>
      <w:r>
        <w:t xml:space="preserve">Use references more selectively and prioritize the most relevant and impactful studies. </w:t>
      </w:r>
    </w:p>
    <w:p w14:paraId="33095EFF" w14:textId="77777777" w:rsidR="00BA7576" w:rsidRDefault="00BA7576" w:rsidP="00BA7576">
      <w:pPr>
        <w:pStyle w:val="CommentText"/>
      </w:pPr>
      <w:r>
        <w:t xml:space="preserve">Use references at least min 10 last years </w:t>
      </w:r>
    </w:p>
  </w:comment>
  <w:comment w:id="11" w:author="lenovo.ym10389z@outlook.com" w:date="2026-05-20T21:15:00Z" w:initials="l">
    <w:p w14:paraId="3BA5EA8A" w14:textId="77777777" w:rsidR="00BA7576" w:rsidRDefault="00BA7576" w:rsidP="00BA7576">
      <w:pPr>
        <w:pStyle w:val="CommentText"/>
      </w:pPr>
      <w:r>
        <w:rPr>
          <w:rStyle w:val="CommentReference"/>
        </w:rPr>
        <w:annotationRef/>
      </w:r>
      <w:r>
        <w:t xml:space="preserve">The Research Gap Is Not Strong Enough </w:t>
      </w:r>
    </w:p>
    <w:p w14:paraId="6723742A" w14:textId="77777777" w:rsidR="00BA7576" w:rsidRDefault="00BA7576" w:rsidP="00BA7576">
      <w:pPr>
        <w:pStyle w:val="CommentText"/>
      </w:pPr>
      <w:r>
        <w:t>Clearly state that:</w:t>
      </w:r>
    </w:p>
    <w:p w14:paraId="562C6CC3" w14:textId="77777777" w:rsidR="00BA7576" w:rsidRDefault="00BA7576" w:rsidP="00BA7576">
      <w:pPr>
        <w:pStyle w:val="CommentText"/>
        <w:numPr>
          <w:ilvl w:val="0"/>
          <w:numId w:val="12"/>
        </w:numPr>
      </w:pPr>
      <w:r>
        <w:t xml:space="preserve">previous studies mainly focused on food security, </w:t>
      </w:r>
    </w:p>
    <w:p w14:paraId="01555833" w14:textId="77777777" w:rsidR="00BA7576" w:rsidRDefault="00BA7576" w:rsidP="00BA7576">
      <w:pPr>
        <w:pStyle w:val="CommentText"/>
        <w:numPr>
          <w:ilvl w:val="0"/>
          <w:numId w:val="12"/>
        </w:numPr>
      </w:pPr>
      <w:r>
        <w:t xml:space="preserve">while limited attention has been given to wellness sustainability, </w:t>
      </w:r>
    </w:p>
    <w:p w14:paraId="13063160" w14:textId="77777777" w:rsidR="00BA7576" w:rsidRDefault="00BA7576" w:rsidP="00BA7576">
      <w:pPr>
        <w:pStyle w:val="CommentText"/>
        <w:numPr>
          <w:ilvl w:val="0"/>
          <w:numId w:val="12"/>
        </w:numPr>
      </w:pPr>
      <w:r>
        <w:t>especially in the Nigerian context.</w:t>
      </w:r>
    </w:p>
  </w:comment>
  <w:comment w:id="14" w:author="lenovo.ym10389z@outlook.com" w:date="2026-05-20T21:20:00Z" w:initials="l">
    <w:p w14:paraId="76827118" w14:textId="77777777" w:rsidR="00BA7576" w:rsidRDefault="00BA7576" w:rsidP="00BA7576">
      <w:pPr>
        <w:pStyle w:val="CommentText"/>
      </w:pPr>
      <w:r>
        <w:rPr>
          <w:rStyle w:val="CommentReference"/>
        </w:rPr>
        <w:annotationRef/>
      </w:r>
      <w:r>
        <w:t xml:space="preserve">This section contains excessive background information: </w:t>
      </w:r>
    </w:p>
    <w:p w14:paraId="05399DC2" w14:textId="77777777" w:rsidR="00BA7576" w:rsidRDefault="00BA7576" w:rsidP="00BA7576">
      <w:pPr>
        <w:pStyle w:val="CommentText"/>
        <w:numPr>
          <w:ilvl w:val="0"/>
          <w:numId w:val="13"/>
        </w:numPr>
      </w:pPr>
      <w:r>
        <w:t xml:space="preserve">postal code, </w:t>
      </w:r>
    </w:p>
    <w:p w14:paraId="0E65CEA8" w14:textId="77777777" w:rsidR="00BA7576" w:rsidRDefault="00BA7576" w:rsidP="00BA7576">
      <w:pPr>
        <w:pStyle w:val="CommentText"/>
        <w:numPr>
          <w:ilvl w:val="0"/>
          <w:numId w:val="13"/>
        </w:numPr>
      </w:pPr>
      <w:r>
        <w:t xml:space="preserve">university history, </w:t>
      </w:r>
    </w:p>
    <w:p w14:paraId="5C8D7ED3" w14:textId="77777777" w:rsidR="00BA7576" w:rsidRDefault="00BA7576" w:rsidP="00BA7576">
      <w:pPr>
        <w:pStyle w:val="CommentText"/>
        <w:numPr>
          <w:ilvl w:val="0"/>
          <w:numId w:val="13"/>
        </w:numPr>
      </w:pPr>
      <w:r>
        <w:t>and descriptive statements unrelated to the research.</w:t>
      </w:r>
    </w:p>
  </w:comment>
  <w:comment w:id="15" w:author="lenovo.ym10389z@outlook.com" w:date="2026-05-20T21:22:00Z" w:initials="l">
    <w:p w14:paraId="328B78B4" w14:textId="77777777" w:rsidR="00BA7576" w:rsidRDefault="00BA7576" w:rsidP="00BA7576">
      <w:pPr>
        <w:pStyle w:val="CommentText"/>
      </w:pPr>
      <w:r>
        <w:rPr>
          <w:rStyle w:val="CommentReference"/>
        </w:rPr>
        <w:annotationRef/>
      </w:r>
      <w:r>
        <w:t xml:space="preserve">The population figures appear inconsistent and repetitive. </w:t>
      </w:r>
    </w:p>
  </w:comment>
  <w:comment w:id="18" w:author="lenovo.ym10389z@outlook.com" w:date="2026-05-20T21:23:00Z" w:initials="l">
    <w:p w14:paraId="6495697A" w14:textId="77777777" w:rsidR="00BA7576" w:rsidRDefault="00BA7576" w:rsidP="00BA7576">
      <w:pPr>
        <w:pStyle w:val="CommentText"/>
      </w:pPr>
      <w:r>
        <w:rPr>
          <w:rStyle w:val="CommentReference"/>
        </w:rPr>
        <w:annotationRef/>
      </w:r>
      <w:r>
        <w:t>The methodology does not clearly explain:</w:t>
      </w:r>
    </w:p>
    <w:p w14:paraId="52FC5F10" w14:textId="77777777" w:rsidR="00BA7576" w:rsidRDefault="00BA7576" w:rsidP="00BA7576">
      <w:pPr>
        <w:pStyle w:val="CommentText"/>
        <w:numPr>
          <w:ilvl w:val="0"/>
          <w:numId w:val="14"/>
        </w:numPr>
      </w:pPr>
      <w:r>
        <w:t>Indicators</w:t>
      </w:r>
    </w:p>
    <w:p w14:paraId="36D7B850" w14:textId="77777777" w:rsidR="00BA7576" w:rsidRDefault="00BA7576" w:rsidP="00BA7576">
      <w:pPr>
        <w:pStyle w:val="CommentText"/>
        <w:numPr>
          <w:ilvl w:val="0"/>
          <w:numId w:val="14"/>
        </w:numPr>
      </w:pPr>
      <w:r>
        <w:t>scoring system</w:t>
      </w:r>
    </w:p>
    <w:p w14:paraId="0CC6A431" w14:textId="77777777" w:rsidR="00BA7576" w:rsidRDefault="00BA7576" w:rsidP="00BA7576">
      <w:pPr>
        <w:pStyle w:val="CommentText"/>
        <w:numPr>
          <w:ilvl w:val="0"/>
          <w:numId w:val="14"/>
        </w:numPr>
      </w:pPr>
      <w:r>
        <w:t>cut-off values</w:t>
      </w:r>
    </w:p>
    <w:p w14:paraId="78F9C07A" w14:textId="77777777" w:rsidR="00BA7576" w:rsidRDefault="00BA7576" w:rsidP="00BA7576">
      <w:pPr>
        <w:pStyle w:val="CommentText"/>
        <w:numPr>
          <w:ilvl w:val="0"/>
          <w:numId w:val="14"/>
        </w:numPr>
      </w:pPr>
      <w:r>
        <w:t>or classification criteria for wellness sustainability.</w:t>
      </w:r>
    </w:p>
  </w:comment>
  <w:comment w:id="21" w:author="lenovo.ym10389z@outlook.com" w:date="2026-05-20T21:24:00Z" w:initials="l">
    <w:p w14:paraId="69B12CEB" w14:textId="77777777" w:rsidR="00ED619E" w:rsidRDefault="00ED619E" w:rsidP="00ED619E">
      <w:pPr>
        <w:pStyle w:val="CommentText"/>
      </w:pPr>
      <w:r>
        <w:rPr>
          <w:rStyle w:val="CommentReference"/>
        </w:rPr>
        <w:annotationRef/>
      </w:r>
      <w:r>
        <w:t>The sampling process is not clearly structured.</w:t>
      </w:r>
    </w:p>
    <w:p w14:paraId="2E235D66" w14:textId="77777777" w:rsidR="00ED619E" w:rsidRDefault="00ED619E" w:rsidP="00ED619E">
      <w:pPr>
        <w:pStyle w:val="CommentText"/>
      </w:pPr>
      <w:r>
        <w:t>Readers may not understand: target population, randomization process, community selection rationale, and proportional allocation.</w:t>
      </w:r>
    </w:p>
  </w:comment>
  <w:comment w:id="22" w:author="lenovo.ym10389z@outlook.com" w:date="2026-05-20T21:26:00Z" w:initials="l">
    <w:p w14:paraId="520DC26F" w14:textId="77777777" w:rsidR="00ED619E" w:rsidRDefault="00ED619E" w:rsidP="00ED619E">
      <w:pPr>
        <w:pStyle w:val="CommentText"/>
      </w:pPr>
      <w:r>
        <w:rPr>
          <w:rStyle w:val="CommentReference"/>
        </w:rPr>
        <w:annotationRef/>
      </w:r>
      <w:r>
        <w:t>The sample size differs from the abstract (257 households). Consistency is required throughout the paper.</w:t>
      </w:r>
    </w:p>
  </w:comment>
  <w:comment w:id="25" w:author="lenovo.ym10389z@outlook.com" w:date="2026-05-20T21:26:00Z" w:initials="l">
    <w:p w14:paraId="59675A2D" w14:textId="77777777" w:rsidR="00ED619E" w:rsidRDefault="00ED619E" w:rsidP="00ED619E">
      <w:pPr>
        <w:pStyle w:val="CommentText"/>
      </w:pPr>
      <w:r>
        <w:rPr>
          <w:rStyle w:val="CommentReference"/>
        </w:rPr>
        <w:annotationRef/>
      </w:r>
      <w:r>
        <w:t xml:space="preserve">The section lacks theoretical explanation and supporting literature. </w:t>
      </w:r>
    </w:p>
    <w:p w14:paraId="72BC26AF" w14:textId="77777777" w:rsidR="00ED619E" w:rsidRDefault="00ED619E" w:rsidP="00ED619E">
      <w:pPr>
        <w:pStyle w:val="CommentText"/>
      </w:pPr>
      <w:r>
        <w:t>Add dedicated sections on: instrument validity and reliability, and research ethics.</w:t>
      </w:r>
    </w:p>
  </w:comment>
  <w:comment w:id="26" w:author="lenovo.ym10389z@outlook.com" w:date="2026-05-20T21:32:00Z" w:initials="l">
    <w:p w14:paraId="2969C2D1" w14:textId="77777777" w:rsidR="00B5204D" w:rsidRDefault="00B5204D" w:rsidP="00B5204D">
      <w:pPr>
        <w:pStyle w:val="CommentText"/>
      </w:pPr>
      <w:r>
        <w:rPr>
          <w:rStyle w:val="CommentReference"/>
        </w:rPr>
        <w:annotationRef/>
      </w:r>
      <w:r>
        <w:t>The introduction to the results section repeats information already explained in the methodology.</w:t>
      </w:r>
    </w:p>
  </w:comment>
  <w:comment w:id="27" w:author="lenovo.ym10389z@outlook.com" w:date="2026-05-20T21:37:00Z" w:initials="l">
    <w:p w14:paraId="0631C6B7" w14:textId="77777777" w:rsidR="00B86618" w:rsidRDefault="00B86618" w:rsidP="00B86618">
      <w:pPr>
        <w:pStyle w:val="CommentText"/>
      </w:pPr>
      <w:r>
        <w:rPr>
          <w:rStyle w:val="CommentReference"/>
        </w:rPr>
        <w:annotationRef/>
      </w:r>
      <w:r>
        <w:t>The explanation is inconsistent because older households are described as both: the most food secure, and the most severely food insecure.</w:t>
      </w:r>
    </w:p>
  </w:comment>
  <w:comment w:id="28" w:author="lenovo.ym10389z@outlook.com" w:date="2026-05-20T21:38:00Z" w:initials="l">
    <w:p w14:paraId="4233D134" w14:textId="77777777" w:rsidR="00B86618" w:rsidRDefault="00B86618" w:rsidP="00B86618">
      <w:pPr>
        <w:pStyle w:val="CommentText"/>
      </w:pPr>
      <w:r>
        <w:rPr>
          <w:rStyle w:val="CommentReference"/>
        </w:rPr>
        <w:annotationRef/>
      </w:r>
      <w:r>
        <w:t>In table 1 250 household.  Consist. Cross check all sample</w:t>
      </w:r>
    </w:p>
  </w:comment>
  <w:comment w:id="29" w:author="lenovo.ym10389z@outlook.com" w:date="2026-05-20T21:39:00Z" w:initials="l">
    <w:p w14:paraId="50A4B909" w14:textId="77777777" w:rsidR="00B86618" w:rsidRDefault="00B86618" w:rsidP="00B86618">
      <w:pPr>
        <w:pStyle w:val="CommentText"/>
      </w:pPr>
      <w:r>
        <w:rPr>
          <w:rStyle w:val="CommentReference"/>
        </w:rPr>
        <w:annotationRef/>
      </w:r>
      <w:r>
        <w:t xml:space="preserve">The text repeats information already visible in the table instead of interpreting the findings. </w:t>
      </w:r>
    </w:p>
  </w:comment>
  <w:comment w:id="39" w:author="lenovo.ym10389z@outlook.com" w:date="2026-05-20T21:43:00Z" w:initials="l">
    <w:p w14:paraId="002F8708" w14:textId="77777777" w:rsidR="00B86618" w:rsidRDefault="00B86618" w:rsidP="00B86618">
      <w:pPr>
        <w:pStyle w:val="CommentText"/>
      </w:pPr>
      <w:r>
        <w:rPr>
          <w:rStyle w:val="CommentReference"/>
        </w:rPr>
        <w:annotationRef/>
      </w:r>
      <w:r>
        <w:t xml:space="preserve">The discussion repeats descriptive findings instead of deeply interpreting them. </w:t>
      </w:r>
    </w:p>
  </w:comment>
  <w:comment w:id="40" w:author="lenovo.ym10389z@outlook.com" w:date="2026-05-20T21:48:00Z" w:initials="l">
    <w:p w14:paraId="28CFFB39" w14:textId="77777777" w:rsidR="00C54D99" w:rsidRDefault="00C54D99" w:rsidP="00C54D99">
      <w:pPr>
        <w:pStyle w:val="CommentText"/>
      </w:pPr>
      <w:r>
        <w:rPr>
          <w:rStyle w:val="CommentReference"/>
        </w:rPr>
        <w:annotationRef/>
      </w:r>
      <w:r>
        <w:t>The explanations should be supported with: theory, contextual discussion, or stronger literature comparison.</w:t>
      </w:r>
    </w:p>
  </w:comment>
  <w:comment w:id="43" w:author="lenovo.ym10389z@outlook.com" w:date="2026-05-20T21:49:00Z" w:initials="l">
    <w:p w14:paraId="66CAB9E8" w14:textId="77777777" w:rsidR="00C54D99" w:rsidRDefault="00C54D99" w:rsidP="00C54D99">
      <w:pPr>
        <w:pStyle w:val="CommentText"/>
      </w:pPr>
      <w:r>
        <w:rPr>
          <w:rStyle w:val="CommentReference"/>
        </w:rPr>
        <w:annotationRef/>
      </w:r>
      <w:r>
        <w:t xml:space="preserve">The Conclusion Is Too Long and Too Technical </w:t>
      </w:r>
    </w:p>
    <w:p w14:paraId="0A4AF79D" w14:textId="77777777" w:rsidR="00C54D99" w:rsidRDefault="00C54D99" w:rsidP="00C54D99">
      <w:pPr>
        <w:pStyle w:val="CommentText"/>
      </w:pPr>
      <w:r>
        <w:t xml:space="preserve">The Conclusion Does Not Emphasize the Broader Meaning </w:t>
      </w:r>
    </w:p>
    <w:p w14:paraId="7909FEF3" w14:textId="77777777" w:rsidR="00C54D99" w:rsidRDefault="00C54D99" w:rsidP="00C54D99">
      <w:pPr>
        <w:pStyle w:val="CommentText"/>
      </w:pPr>
      <w:r>
        <w:t>The conclusion does not strongly emphasize:</w:t>
      </w:r>
    </w:p>
    <w:p w14:paraId="005CA9AD" w14:textId="77777777" w:rsidR="00C54D99" w:rsidRDefault="00C54D99" w:rsidP="00C54D99">
      <w:pPr>
        <w:pStyle w:val="CommentText"/>
      </w:pPr>
      <w:r>
        <w:t>the uniqueness of linking food security with wellness sustainability and why this relationship matters.</w:t>
      </w:r>
    </w:p>
  </w:comment>
  <w:comment w:id="44" w:author="lenovo.ym10389z@outlook.com" w:date="2026-05-20T21:52:00Z" w:initials="l">
    <w:p w14:paraId="1855B5D7" w14:textId="77777777" w:rsidR="00C54D99" w:rsidRDefault="00C54D99" w:rsidP="00C54D99">
      <w:pPr>
        <w:pStyle w:val="CommentText"/>
      </w:pPr>
      <w:r>
        <w:rPr>
          <w:rStyle w:val="CommentReference"/>
        </w:rPr>
        <w:annotationRef/>
      </w:r>
      <w:r>
        <w:t>A stronger conclusion should:</w:t>
      </w:r>
    </w:p>
    <w:p w14:paraId="2B2DBECA" w14:textId="77777777" w:rsidR="00C54D99" w:rsidRDefault="00C54D99" w:rsidP="00C54D99">
      <w:pPr>
        <w:pStyle w:val="CommentText"/>
        <w:numPr>
          <w:ilvl w:val="0"/>
          <w:numId w:val="15"/>
        </w:numPr>
      </w:pPr>
      <w:r>
        <w:t xml:space="preserve">summarize the key findings, </w:t>
      </w:r>
    </w:p>
    <w:p w14:paraId="14FD2261" w14:textId="77777777" w:rsidR="00C54D99" w:rsidRDefault="00C54D99" w:rsidP="00C54D99">
      <w:pPr>
        <w:pStyle w:val="CommentText"/>
        <w:numPr>
          <w:ilvl w:val="0"/>
          <w:numId w:val="15"/>
        </w:numPr>
      </w:pPr>
      <w:r>
        <w:t xml:space="preserve">highlight the significance of wellness sustainability, </w:t>
      </w:r>
    </w:p>
    <w:p w14:paraId="4E1C924B" w14:textId="77777777" w:rsidR="00C54D99" w:rsidRDefault="00C54D99" w:rsidP="00C54D99">
      <w:pPr>
        <w:pStyle w:val="CommentText"/>
        <w:numPr>
          <w:ilvl w:val="0"/>
          <w:numId w:val="15"/>
        </w:numPr>
      </w:pPr>
      <w:r>
        <w:t xml:space="preserve">emphasize policy implications, </w:t>
      </w:r>
    </w:p>
    <w:p w14:paraId="19B5D8B6" w14:textId="77777777" w:rsidR="00C54D99" w:rsidRDefault="00C54D99" w:rsidP="00C54D99">
      <w:pPr>
        <w:pStyle w:val="CommentText"/>
        <w:numPr>
          <w:ilvl w:val="0"/>
          <w:numId w:val="15"/>
        </w:numPr>
      </w:pPr>
      <w:r>
        <w:t>and provide a clear final message about the importance of food quality alongside food access.</w:t>
      </w:r>
    </w:p>
  </w:comment>
  <w:comment w:id="47" w:author="lenovo.ym10389z@outlook.com" w:date="2026-05-20T21:55:00Z" w:initials="l">
    <w:p w14:paraId="46456A0B" w14:textId="77777777" w:rsidR="008B0659" w:rsidRDefault="008B0659" w:rsidP="008B0659">
      <w:pPr>
        <w:pStyle w:val="CommentText"/>
      </w:pPr>
      <w:r>
        <w:rPr>
          <w:rStyle w:val="CommentReference"/>
        </w:rPr>
        <w:annotationRef/>
      </w:r>
      <w:r>
        <w:t xml:space="preserve">he limitations section is still too general and should be made more critical and specific. The study needs to explain more clearly how the use of self-reported data may affect the accuracy of information on food consumption, income, and wellness practices. The limitations related to the measurement of wellness sustainability should also be clarified since the study mainly focuses on dietary patterns and does not fully capture broader wellness dimensions. In addition, several sentences are too long and should be simplified for better clarity. The limitations of the cross-sectional design and the use of only one study area should also be emphasized regarding the limited generalizability of the findings. </w:t>
      </w:r>
    </w:p>
  </w:comment>
  <w:comment w:id="48" w:author="lenovo.ym10389z@outlook.com" w:date="2026-05-20T21:55:00Z" w:initials="l">
    <w:p w14:paraId="16CB80F4" w14:textId="77777777" w:rsidR="008B0659" w:rsidRDefault="008B0659" w:rsidP="008B0659">
      <w:pPr>
        <w:pStyle w:val="CommentText"/>
      </w:pPr>
      <w:r>
        <w:rPr>
          <w:rStyle w:val="CommentReference"/>
        </w:rPr>
        <w:annotationRef/>
      </w:r>
      <w:r>
        <w:t xml:space="preserve">The policy recommendations remain too broad and are not sufficiently linked to the study findings. The recommendations should focus more directly on the major findings regarding the effects of location, income, household size, and occupation on food security and wellness sustainability. Some explanations about the relationship between income and wellness sustainability are also inconsistent and need clarification. Furthermore, the recommendations should be more specific by identifying target groups, responsible stakeholders, and practical implementation strategies. Adding recommendations for future research would also strengthen the study. </w:t>
      </w:r>
    </w:p>
  </w:comment>
  <w:comment w:id="51" w:author="lenovo.ym10389z@outlook.com" w:date="2026-05-20T21:56:00Z" w:initials="l">
    <w:p w14:paraId="100E69E0" w14:textId="77777777" w:rsidR="008B0659" w:rsidRDefault="008B0659" w:rsidP="008B0659">
      <w:pPr>
        <w:pStyle w:val="CommentText"/>
      </w:pPr>
      <w:r>
        <w:rPr>
          <w:rStyle w:val="CommentReference"/>
        </w:rPr>
        <w:annotationRef/>
      </w:r>
      <w:r>
        <w:t xml:space="preserve">The reference at least 10 years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9C7C857" w15:done="0"/>
  <w15:commentEx w15:paraId="3208087E" w15:done="0"/>
  <w15:commentEx w15:paraId="1B31DAD4" w15:done="0"/>
  <w15:commentEx w15:paraId="08E086E0" w15:done="0"/>
  <w15:commentEx w15:paraId="11C01CC8" w15:done="0"/>
  <w15:commentEx w15:paraId="6936025F" w15:done="0"/>
  <w15:commentEx w15:paraId="33095EFF" w15:done="0"/>
  <w15:commentEx w15:paraId="13063160" w15:done="0"/>
  <w15:commentEx w15:paraId="5C8D7ED3" w15:done="0"/>
  <w15:commentEx w15:paraId="328B78B4" w15:done="0"/>
  <w15:commentEx w15:paraId="78F9C07A" w15:done="0"/>
  <w15:commentEx w15:paraId="2E235D66" w15:done="0"/>
  <w15:commentEx w15:paraId="520DC26F" w15:done="0"/>
  <w15:commentEx w15:paraId="72BC26AF" w15:done="0"/>
  <w15:commentEx w15:paraId="2969C2D1" w15:done="0"/>
  <w15:commentEx w15:paraId="0631C6B7" w15:done="0"/>
  <w15:commentEx w15:paraId="4233D134" w15:done="0"/>
  <w15:commentEx w15:paraId="50A4B909" w15:done="0"/>
  <w15:commentEx w15:paraId="002F8708" w15:done="0"/>
  <w15:commentEx w15:paraId="28CFFB39" w15:done="0"/>
  <w15:commentEx w15:paraId="005CA9AD" w15:done="0"/>
  <w15:commentEx w15:paraId="19B5D8B6" w15:done="0"/>
  <w15:commentEx w15:paraId="46456A0B" w15:done="0"/>
  <w15:commentEx w15:paraId="16CB80F4" w15:done="0"/>
  <w15:commentEx w15:paraId="100E69E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7DB5479" w16cex:dateUtc="2026-05-20T12:42:00Z"/>
  <w16cex:commentExtensible w16cex:durableId="702ADB74" w16cex:dateUtc="2026-05-20T12:50:00Z"/>
  <w16cex:commentExtensible w16cex:durableId="72911EE1" w16cex:dateUtc="2026-05-20T12:54:00Z"/>
  <w16cex:commentExtensible w16cex:durableId="08953CA5" w16cex:dateUtc="2026-05-20T12:57:00Z"/>
  <w16cex:commentExtensible w16cex:durableId="3EADF8A6" w16cex:dateUtc="2026-05-20T12:59:00Z"/>
  <w16cex:commentExtensible w16cex:durableId="19CC01F0" w16cex:dateUtc="2026-05-20T13:13:00Z"/>
  <w16cex:commentExtensible w16cex:durableId="12ECAF3E" w16cex:dateUtc="2026-05-20T13:17:00Z"/>
  <w16cex:commentExtensible w16cex:durableId="4F5832EE" w16cex:dateUtc="2026-05-20T13:15:00Z"/>
  <w16cex:commentExtensible w16cex:durableId="00C750A8" w16cex:dateUtc="2026-05-20T13:20:00Z"/>
  <w16cex:commentExtensible w16cex:durableId="39364278" w16cex:dateUtc="2026-05-20T13:22:00Z"/>
  <w16cex:commentExtensible w16cex:durableId="41E8678F" w16cex:dateUtc="2026-05-20T13:23:00Z"/>
  <w16cex:commentExtensible w16cex:durableId="4AB0080A" w16cex:dateUtc="2026-05-20T13:24:00Z"/>
  <w16cex:commentExtensible w16cex:durableId="60AAC589" w16cex:dateUtc="2026-05-20T13:26:00Z"/>
  <w16cex:commentExtensible w16cex:durableId="0CC5FC6D" w16cex:dateUtc="2026-05-20T13:26:00Z"/>
  <w16cex:commentExtensible w16cex:durableId="0D81C4E8" w16cex:dateUtc="2026-05-20T13:32:00Z"/>
  <w16cex:commentExtensible w16cex:durableId="59C076AA" w16cex:dateUtc="2026-05-20T13:37:00Z"/>
  <w16cex:commentExtensible w16cex:durableId="412D31ED" w16cex:dateUtc="2026-05-20T13:38:00Z"/>
  <w16cex:commentExtensible w16cex:durableId="6E335E79" w16cex:dateUtc="2026-05-20T13:39:00Z"/>
  <w16cex:commentExtensible w16cex:durableId="51C1CB2E" w16cex:dateUtc="2026-05-20T13:43:00Z"/>
  <w16cex:commentExtensible w16cex:durableId="0C50797C" w16cex:dateUtc="2026-05-20T13:48:00Z"/>
  <w16cex:commentExtensible w16cex:durableId="7C789E68" w16cex:dateUtc="2026-05-20T13:49:00Z"/>
  <w16cex:commentExtensible w16cex:durableId="4BE18666" w16cex:dateUtc="2026-05-20T13:52:00Z"/>
  <w16cex:commentExtensible w16cex:durableId="6394343F" w16cex:dateUtc="2026-05-20T13:55:00Z"/>
  <w16cex:commentExtensible w16cex:durableId="60420ECD" w16cex:dateUtc="2026-05-20T13:55:00Z"/>
  <w16cex:commentExtensible w16cex:durableId="557AD160" w16cex:dateUtc="2026-05-20T13: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9C7C857" w16cid:durableId="77DB5479"/>
  <w16cid:commentId w16cid:paraId="3208087E" w16cid:durableId="702ADB74"/>
  <w16cid:commentId w16cid:paraId="1B31DAD4" w16cid:durableId="72911EE1"/>
  <w16cid:commentId w16cid:paraId="08E086E0" w16cid:durableId="08953CA5"/>
  <w16cid:commentId w16cid:paraId="11C01CC8" w16cid:durableId="3EADF8A6"/>
  <w16cid:commentId w16cid:paraId="6936025F" w16cid:durableId="19CC01F0"/>
  <w16cid:commentId w16cid:paraId="33095EFF" w16cid:durableId="12ECAF3E"/>
  <w16cid:commentId w16cid:paraId="13063160" w16cid:durableId="4F5832EE"/>
  <w16cid:commentId w16cid:paraId="5C8D7ED3" w16cid:durableId="00C750A8"/>
  <w16cid:commentId w16cid:paraId="328B78B4" w16cid:durableId="39364278"/>
  <w16cid:commentId w16cid:paraId="78F9C07A" w16cid:durableId="41E8678F"/>
  <w16cid:commentId w16cid:paraId="2E235D66" w16cid:durableId="4AB0080A"/>
  <w16cid:commentId w16cid:paraId="520DC26F" w16cid:durableId="60AAC589"/>
  <w16cid:commentId w16cid:paraId="72BC26AF" w16cid:durableId="0CC5FC6D"/>
  <w16cid:commentId w16cid:paraId="2969C2D1" w16cid:durableId="0D81C4E8"/>
  <w16cid:commentId w16cid:paraId="0631C6B7" w16cid:durableId="59C076AA"/>
  <w16cid:commentId w16cid:paraId="4233D134" w16cid:durableId="412D31ED"/>
  <w16cid:commentId w16cid:paraId="50A4B909" w16cid:durableId="6E335E79"/>
  <w16cid:commentId w16cid:paraId="002F8708" w16cid:durableId="51C1CB2E"/>
  <w16cid:commentId w16cid:paraId="28CFFB39" w16cid:durableId="0C50797C"/>
  <w16cid:commentId w16cid:paraId="005CA9AD" w16cid:durableId="7C789E68"/>
  <w16cid:commentId w16cid:paraId="19B5D8B6" w16cid:durableId="4BE18666"/>
  <w16cid:commentId w16cid:paraId="46456A0B" w16cid:durableId="6394343F"/>
  <w16cid:commentId w16cid:paraId="16CB80F4" w16cid:durableId="60420ECD"/>
  <w16cid:commentId w16cid:paraId="100E69E0" w16cid:durableId="557AD16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1FA60" w14:textId="77777777" w:rsidR="00450170" w:rsidRDefault="00450170" w:rsidP="00F25F33">
      <w:pPr>
        <w:spacing w:after="0" w:line="240" w:lineRule="auto"/>
      </w:pPr>
      <w:r>
        <w:separator/>
      </w:r>
    </w:p>
  </w:endnote>
  <w:endnote w:type="continuationSeparator" w:id="0">
    <w:p w14:paraId="101E6F0E" w14:textId="77777777" w:rsidR="00450170" w:rsidRDefault="00450170" w:rsidP="00F25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EF015" w14:textId="77777777" w:rsidR="00F25F33" w:rsidRDefault="00F25F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0F926" w14:textId="77777777" w:rsidR="00F25F33" w:rsidRDefault="00F25F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566F4" w14:textId="77777777" w:rsidR="00F25F33" w:rsidRDefault="00F25F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9F423" w14:textId="77777777" w:rsidR="00450170" w:rsidRDefault="00450170" w:rsidP="00F25F33">
      <w:pPr>
        <w:spacing w:after="0" w:line="240" w:lineRule="auto"/>
      </w:pPr>
      <w:r>
        <w:separator/>
      </w:r>
    </w:p>
  </w:footnote>
  <w:footnote w:type="continuationSeparator" w:id="0">
    <w:p w14:paraId="0B2E7806" w14:textId="77777777" w:rsidR="00450170" w:rsidRDefault="00450170" w:rsidP="00F25F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873D1" w14:textId="75047C16" w:rsidR="00F25F33" w:rsidRDefault="00000000">
    <w:pPr>
      <w:pStyle w:val="Header"/>
    </w:pPr>
    <w:r>
      <w:rPr>
        <w:noProof/>
      </w:rPr>
      <w:pict w14:anchorId="52006A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39579" o:spid="_x0000_s1026" type="#_x0000_t136" style="position:absolute;left:0;text-align:left;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9CB0B" w14:textId="533C7216" w:rsidR="00F25F33" w:rsidRDefault="00000000">
    <w:pPr>
      <w:pStyle w:val="Header"/>
    </w:pPr>
    <w:r>
      <w:rPr>
        <w:noProof/>
      </w:rPr>
      <w:pict w14:anchorId="385941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39580" o:spid="_x0000_s1027" type="#_x0000_t136" style="position:absolute;left:0;text-align:left;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2418" w14:textId="3C18E896" w:rsidR="00F25F33" w:rsidRDefault="00000000">
    <w:pPr>
      <w:pStyle w:val="Header"/>
    </w:pPr>
    <w:r>
      <w:rPr>
        <w:noProof/>
      </w:rPr>
      <w:pict w14:anchorId="59B2D1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39578" o:spid="_x0000_s1025" type="#_x0000_t136" style="position:absolute;left:0;text-align:left;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4777F"/>
    <w:multiLevelType w:val="hybridMultilevel"/>
    <w:tmpl w:val="2B5CAC78"/>
    <w:lvl w:ilvl="0" w:tplc="0409000F">
      <w:start w:val="1"/>
      <w:numFmt w:val="decimal"/>
      <w:lvlText w:val="%1."/>
      <w:lvlJc w:val="left"/>
      <w:pPr>
        <w:ind w:left="7470" w:hanging="360"/>
      </w:pPr>
    </w:lvl>
    <w:lvl w:ilvl="1" w:tplc="04090019">
      <w:start w:val="1"/>
      <w:numFmt w:val="lowerLetter"/>
      <w:lvlText w:val="%2."/>
      <w:lvlJc w:val="left"/>
      <w:pPr>
        <w:ind w:left="8190" w:hanging="360"/>
      </w:pPr>
    </w:lvl>
    <w:lvl w:ilvl="2" w:tplc="0409001B">
      <w:start w:val="1"/>
      <w:numFmt w:val="lowerRoman"/>
      <w:lvlText w:val="%3."/>
      <w:lvlJc w:val="right"/>
      <w:pPr>
        <w:ind w:left="8910" w:hanging="180"/>
      </w:pPr>
    </w:lvl>
    <w:lvl w:ilvl="3" w:tplc="0409000F">
      <w:start w:val="1"/>
      <w:numFmt w:val="decimal"/>
      <w:lvlText w:val="%4."/>
      <w:lvlJc w:val="left"/>
      <w:pPr>
        <w:ind w:left="9630" w:hanging="360"/>
      </w:pPr>
    </w:lvl>
    <w:lvl w:ilvl="4" w:tplc="04090019">
      <w:start w:val="1"/>
      <w:numFmt w:val="lowerLetter"/>
      <w:lvlText w:val="%5."/>
      <w:lvlJc w:val="left"/>
      <w:pPr>
        <w:ind w:left="10350" w:hanging="360"/>
      </w:pPr>
    </w:lvl>
    <w:lvl w:ilvl="5" w:tplc="0409001B">
      <w:start w:val="1"/>
      <w:numFmt w:val="lowerRoman"/>
      <w:lvlText w:val="%6."/>
      <w:lvlJc w:val="right"/>
      <w:pPr>
        <w:ind w:left="11070" w:hanging="180"/>
      </w:pPr>
    </w:lvl>
    <w:lvl w:ilvl="6" w:tplc="0409000F">
      <w:start w:val="1"/>
      <w:numFmt w:val="decimal"/>
      <w:lvlText w:val="%7."/>
      <w:lvlJc w:val="left"/>
      <w:pPr>
        <w:ind w:left="11790" w:hanging="360"/>
      </w:pPr>
    </w:lvl>
    <w:lvl w:ilvl="7" w:tplc="04090019">
      <w:start w:val="1"/>
      <w:numFmt w:val="lowerLetter"/>
      <w:lvlText w:val="%8."/>
      <w:lvlJc w:val="left"/>
      <w:pPr>
        <w:ind w:left="12510" w:hanging="360"/>
      </w:pPr>
    </w:lvl>
    <w:lvl w:ilvl="8" w:tplc="0409001B">
      <w:start w:val="1"/>
      <w:numFmt w:val="lowerRoman"/>
      <w:lvlText w:val="%9."/>
      <w:lvlJc w:val="right"/>
      <w:pPr>
        <w:ind w:left="13230" w:hanging="180"/>
      </w:pPr>
    </w:lvl>
  </w:abstractNum>
  <w:abstractNum w:abstractNumId="1" w15:restartNumberingAfterBreak="0">
    <w:nsid w:val="0C9605D4"/>
    <w:multiLevelType w:val="hybridMultilevel"/>
    <w:tmpl w:val="83D043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4175881"/>
    <w:multiLevelType w:val="hybridMultilevel"/>
    <w:tmpl w:val="22766E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196A69"/>
    <w:multiLevelType w:val="hybridMultilevel"/>
    <w:tmpl w:val="03A42B1E"/>
    <w:lvl w:ilvl="0" w:tplc="A76209D0">
      <w:start w:val="1"/>
      <w:numFmt w:val="decimal"/>
      <w:lvlText w:val="%1."/>
      <w:lvlJc w:val="left"/>
      <w:pPr>
        <w:ind w:left="720" w:hanging="360"/>
      </w:pPr>
    </w:lvl>
    <w:lvl w:ilvl="1" w:tplc="DAD83E36">
      <w:start w:val="1"/>
      <w:numFmt w:val="decimal"/>
      <w:lvlText w:val="%2."/>
      <w:lvlJc w:val="left"/>
      <w:pPr>
        <w:ind w:left="720" w:hanging="360"/>
      </w:pPr>
    </w:lvl>
    <w:lvl w:ilvl="2" w:tplc="29ECC7FA">
      <w:start w:val="1"/>
      <w:numFmt w:val="decimal"/>
      <w:lvlText w:val="%3."/>
      <w:lvlJc w:val="left"/>
      <w:pPr>
        <w:ind w:left="720" w:hanging="360"/>
      </w:pPr>
    </w:lvl>
    <w:lvl w:ilvl="3" w:tplc="40D0EF90">
      <w:start w:val="1"/>
      <w:numFmt w:val="decimal"/>
      <w:lvlText w:val="%4."/>
      <w:lvlJc w:val="left"/>
      <w:pPr>
        <w:ind w:left="720" w:hanging="360"/>
      </w:pPr>
    </w:lvl>
    <w:lvl w:ilvl="4" w:tplc="295ACCC4">
      <w:start w:val="1"/>
      <w:numFmt w:val="decimal"/>
      <w:lvlText w:val="%5."/>
      <w:lvlJc w:val="left"/>
      <w:pPr>
        <w:ind w:left="720" w:hanging="360"/>
      </w:pPr>
    </w:lvl>
    <w:lvl w:ilvl="5" w:tplc="2F620E10">
      <w:start w:val="1"/>
      <w:numFmt w:val="decimal"/>
      <w:lvlText w:val="%6."/>
      <w:lvlJc w:val="left"/>
      <w:pPr>
        <w:ind w:left="720" w:hanging="360"/>
      </w:pPr>
    </w:lvl>
    <w:lvl w:ilvl="6" w:tplc="D03408B0">
      <w:start w:val="1"/>
      <w:numFmt w:val="decimal"/>
      <w:lvlText w:val="%7."/>
      <w:lvlJc w:val="left"/>
      <w:pPr>
        <w:ind w:left="720" w:hanging="360"/>
      </w:pPr>
    </w:lvl>
    <w:lvl w:ilvl="7" w:tplc="99C23EA0">
      <w:start w:val="1"/>
      <w:numFmt w:val="decimal"/>
      <w:lvlText w:val="%8."/>
      <w:lvlJc w:val="left"/>
      <w:pPr>
        <w:ind w:left="720" w:hanging="360"/>
      </w:pPr>
    </w:lvl>
    <w:lvl w:ilvl="8" w:tplc="DA883B38">
      <w:start w:val="1"/>
      <w:numFmt w:val="decimal"/>
      <w:lvlText w:val="%9."/>
      <w:lvlJc w:val="left"/>
      <w:pPr>
        <w:ind w:left="720" w:hanging="360"/>
      </w:pPr>
    </w:lvl>
  </w:abstractNum>
  <w:abstractNum w:abstractNumId="4" w15:restartNumberingAfterBreak="0">
    <w:nsid w:val="33C830E8"/>
    <w:multiLevelType w:val="hybridMultilevel"/>
    <w:tmpl w:val="CC489952"/>
    <w:lvl w:ilvl="0" w:tplc="4B92B7EE">
      <w:start w:val="1"/>
      <w:numFmt w:val="decimal"/>
      <w:lvlText w:val="%1)"/>
      <w:lvlJc w:val="left"/>
      <w:pPr>
        <w:ind w:left="720" w:hanging="360"/>
      </w:pPr>
    </w:lvl>
    <w:lvl w:ilvl="1" w:tplc="A246E2F8">
      <w:start w:val="1"/>
      <w:numFmt w:val="decimal"/>
      <w:lvlText w:val="%2)"/>
      <w:lvlJc w:val="left"/>
      <w:pPr>
        <w:ind w:left="720" w:hanging="360"/>
      </w:pPr>
    </w:lvl>
    <w:lvl w:ilvl="2" w:tplc="D6CE2CAC">
      <w:start w:val="1"/>
      <w:numFmt w:val="decimal"/>
      <w:lvlText w:val="%3)"/>
      <w:lvlJc w:val="left"/>
      <w:pPr>
        <w:ind w:left="720" w:hanging="360"/>
      </w:pPr>
    </w:lvl>
    <w:lvl w:ilvl="3" w:tplc="3D52F842">
      <w:start w:val="1"/>
      <w:numFmt w:val="decimal"/>
      <w:lvlText w:val="%4)"/>
      <w:lvlJc w:val="left"/>
      <w:pPr>
        <w:ind w:left="720" w:hanging="360"/>
      </w:pPr>
    </w:lvl>
    <w:lvl w:ilvl="4" w:tplc="B9E87F9E">
      <w:start w:val="1"/>
      <w:numFmt w:val="decimal"/>
      <w:lvlText w:val="%5)"/>
      <w:lvlJc w:val="left"/>
      <w:pPr>
        <w:ind w:left="720" w:hanging="360"/>
      </w:pPr>
    </w:lvl>
    <w:lvl w:ilvl="5" w:tplc="38A46F64">
      <w:start w:val="1"/>
      <w:numFmt w:val="decimal"/>
      <w:lvlText w:val="%6)"/>
      <w:lvlJc w:val="left"/>
      <w:pPr>
        <w:ind w:left="720" w:hanging="360"/>
      </w:pPr>
    </w:lvl>
    <w:lvl w:ilvl="6" w:tplc="AFC0FCF6">
      <w:start w:val="1"/>
      <w:numFmt w:val="decimal"/>
      <w:lvlText w:val="%7)"/>
      <w:lvlJc w:val="left"/>
      <w:pPr>
        <w:ind w:left="720" w:hanging="360"/>
      </w:pPr>
    </w:lvl>
    <w:lvl w:ilvl="7" w:tplc="02C21206">
      <w:start w:val="1"/>
      <w:numFmt w:val="decimal"/>
      <w:lvlText w:val="%8)"/>
      <w:lvlJc w:val="left"/>
      <w:pPr>
        <w:ind w:left="720" w:hanging="360"/>
      </w:pPr>
    </w:lvl>
    <w:lvl w:ilvl="8" w:tplc="B6E2A12C">
      <w:start w:val="1"/>
      <w:numFmt w:val="decimal"/>
      <w:lvlText w:val="%9)"/>
      <w:lvlJc w:val="left"/>
      <w:pPr>
        <w:ind w:left="720" w:hanging="360"/>
      </w:pPr>
    </w:lvl>
  </w:abstractNum>
  <w:abstractNum w:abstractNumId="5" w15:restartNumberingAfterBreak="0">
    <w:nsid w:val="36E64F71"/>
    <w:multiLevelType w:val="multilevel"/>
    <w:tmpl w:val="DCE24D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826CA4"/>
    <w:multiLevelType w:val="hybridMultilevel"/>
    <w:tmpl w:val="381043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C570600"/>
    <w:multiLevelType w:val="hybridMultilevel"/>
    <w:tmpl w:val="D898C6EA"/>
    <w:lvl w:ilvl="0" w:tplc="8B26B438">
      <w:start w:val="1"/>
      <w:numFmt w:val="decimal"/>
      <w:lvlText w:val="%1."/>
      <w:lvlJc w:val="left"/>
      <w:pPr>
        <w:ind w:left="1080" w:hanging="360"/>
      </w:pPr>
    </w:lvl>
    <w:lvl w:ilvl="1" w:tplc="4A2E29A6">
      <w:start w:val="1"/>
      <w:numFmt w:val="decimal"/>
      <w:lvlText w:val="%2."/>
      <w:lvlJc w:val="left"/>
      <w:pPr>
        <w:ind w:left="1080" w:hanging="360"/>
      </w:pPr>
    </w:lvl>
    <w:lvl w:ilvl="2" w:tplc="4C62DC26">
      <w:start w:val="1"/>
      <w:numFmt w:val="decimal"/>
      <w:lvlText w:val="%3."/>
      <w:lvlJc w:val="left"/>
      <w:pPr>
        <w:ind w:left="1080" w:hanging="360"/>
      </w:pPr>
    </w:lvl>
    <w:lvl w:ilvl="3" w:tplc="5178CA12">
      <w:start w:val="1"/>
      <w:numFmt w:val="decimal"/>
      <w:lvlText w:val="%4."/>
      <w:lvlJc w:val="left"/>
      <w:pPr>
        <w:ind w:left="1080" w:hanging="360"/>
      </w:pPr>
    </w:lvl>
    <w:lvl w:ilvl="4" w:tplc="A5FAF0F0">
      <w:start w:val="1"/>
      <w:numFmt w:val="decimal"/>
      <w:lvlText w:val="%5."/>
      <w:lvlJc w:val="left"/>
      <w:pPr>
        <w:ind w:left="1080" w:hanging="360"/>
      </w:pPr>
    </w:lvl>
    <w:lvl w:ilvl="5" w:tplc="AAB213A4">
      <w:start w:val="1"/>
      <w:numFmt w:val="decimal"/>
      <w:lvlText w:val="%6."/>
      <w:lvlJc w:val="left"/>
      <w:pPr>
        <w:ind w:left="1080" w:hanging="360"/>
      </w:pPr>
    </w:lvl>
    <w:lvl w:ilvl="6" w:tplc="DD5E1DF4">
      <w:start w:val="1"/>
      <w:numFmt w:val="decimal"/>
      <w:lvlText w:val="%7."/>
      <w:lvlJc w:val="left"/>
      <w:pPr>
        <w:ind w:left="1080" w:hanging="360"/>
      </w:pPr>
    </w:lvl>
    <w:lvl w:ilvl="7" w:tplc="9A1C91D2">
      <w:start w:val="1"/>
      <w:numFmt w:val="decimal"/>
      <w:lvlText w:val="%8."/>
      <w:lvlJc w:val="left"/>
      <w:pPr>
        <w:ind w:left="1080" w:hanging="360"/>
      </w:pPr>
    </w:lvl>
    <w:lvl w:ilvl="8" w:tplc="C4044180">
      <w:start w:val="1"/>
      <w:numFmt w:val="decimal"/>
      <w:lvlText w:val="%9."/>
      <w:lvlJc w:val="left"/>
      <w:pPr>
        <w:ind w:left="1080" w:hanging="360"/>
      </w:pPr>
    </w:lvl>
  </w:abstractNum>
  <w:abstractNum w:abstractNumId="8" w15:restartNumberingAfterBreak="0">
    <w:nsid w:val="45F05C0A"/>
    <w:multiLevelType w:val="multilevel"/>
    <w:tmpl w:val="63425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A1A384D"/>
    <w:multiLevelType w:val="hybridMultilevel"/>
    <w:tmpl w:val="24E607CE"/>
    <w:lvl w:ilvl="0" w:tplc="AF5033DE">
      <w:start w:val="1"/>
      <w:numFmt w:val="decimal"/>
      <w:lvlText w:val="%1)"/>
      <w:lvlJc w:val="left"/>
      <w:pPr>
        <w:ind w:left="720" w:hanging="360"/>
      </w:pPr>
    </w:lvl>
    <w:lvl w:ilvl="1" w:tplc="1F6233D4">
      <w:start w:val="1"/>
      <w:numFmt w:val="decimal"/>
      <w:lvlText w:val="%2)"/>
      <w:lvlJc w:val="left"/>
      <w:pPr>
        <w:ind w:left="720" w:hanging="360"/>
      </w:pPr>
    </w:lvl>
    <w:lvl w:ilvl="2" w:tplc="A1BE9C0E">
      <w:start w:val="1"/>
      <w:numFmt w:val="decimal"/>
      <w:lvlText w:val="%3)"/>
      <w:lvlJc w:val="left"/>
      <w:pPr>
        <w:ind w:left="720" w:hanging="360"/>
      </w:pPr>
    </w:lvl>
    <w:lvl w:ilvl="3" w:tplc="35F0C13C">
      <w:start w:val="1"/>
      <w:numFmt w:val="decimal"/>
      <w:lvlText w:val="%4)"/>
      <w:lvlJc w:val="left"/>
      <w:pPr>
        <w:ind w:left="720" w:hanging="360"/>
      </w:pPr>
    </w:lvl>
    <w:lvl w:ilvl="4" w:tplc="C4E62D4E">
      <w:start w:val="1"/>
      <w:numFmt w:val="decimal"/>
      <w:lvlText w:val="%5)"/>
      <w:lvlJc w:val="left"/>
      <w:pPr>
        <w:ind w:left="720" w:hanging="360"/>
      </w:pPr>
    </w:lvl>
    <w:lvl w:ilvl="5" w:tplc="58F4000A">
      <w:start w:val="1"/>
      <w:numFmt w:val="decimal"/>
      <w:lvlText w:val="%6)"/>
      <w:lvlJc w:val="left"/>
      <w:pPr>
        <w:ind w:left="720" w:hanging="360"/>
      </w:pPr>
    </w:lvl>
    <w:lvl w:ilvl="6" w:tplc="F294D422">
      <w:start w:val="1"/>
      <w:numFmt w:val="decimal"/>
      <w:lvlText w:val="%7)"/>
      <w:lvlJc w:val="left"/>
      <w:pPr>
        <w:ind w:left="720" w:hanging="360"/>
      </w:pPr>
    </w:lvl>
    <w:lvl w:ilvl="7" w:tplc="A24E1042">
      <w:start w:val="1"/>
      <w:numFmt w:val="decimal"/>
      <w:lvlText w:val="%8)"/>
      <w:lvlJc w:val="left"/>
      <w:pPr>
        <w:ind w:left="720" w:hanging="360"/>
      </w:pPr>
    </w:lvl>
    <w:lvl w:ilvl="8" w:tplc="0A3AD774">
      <w:start w:val="1"/>
      <w:numFmt w:val="decimal"/>
      <w:lvlText w:val="%9)"/>
      <w:lvlJc w:val="left"/>
      <w:pPr>
        <w:ind w:left="720" w:hanging="360"/>
      </w:pPr>
    </w:lvl>
  </w:abstractNum>
  <w:abstractNum w:abstractNumId="10" w15:restartNumberingAfterBreak="0">
    <w:nsid w:val="6AED64BF"/>
    <w:multiLevelType w:val="hybridMultilevel"/>
    <w:tmpl w:val="8EB2B85C"/>
    <w:lvl w:ilvl="0" w:tplc="303E21BC">
      <w:start w:val="1"/>
      <w:numFmt w:val="decimal"/>
      <w:lvlText w:val="%1)"/>
      <w:lvlJc w:val="left"/>
      <w:pPr>
        <w:ind w:left="1440" w:hanging="360"/>
      </w:pPr>
    </w:lvl>
    <w:lvl w:ilvl="1" w:tplc="A1024548">
      <w:start w:val="1"/>
      <w:numFmt w:val="decimal"/>
      <w:lvlText w:val="%2)"/>
      <w:lvlJc w:val="left"/>
      <w:pPr>
        <w:ind w:left="1440" w:hanging="360"/>
      </w:pPr>
    </w:lvl>
    <w:lvl w:ilvl="2" w:tplc="427E3AAE">
      <w:start w:val="1"/>
      <w:numFmt w:val="decimal"/>
      <w:lvlText w:val="%3)"/>
      <w:lvlJc w:val="left"/>
      <w:pPr>
        <w:ind w:left="1440" w:hanging="360"/>
      </w:pPr>
    </w:lvl>
    <w:lvl w:ilvl="3" w:tplc="92BA8898">
      <w:start w:val="1"/>
      <w:numFmt w:val="decimal"/>
      <w:lvlText w:val="%4)"/>
      <w:lvlJc w:val="left"/>
      <w:pPr>
        <w:ind w:left="1440" w:hanging="360"/>
      </w:pPr>
    </w:lvl>
    <w:lvl w:ilvl="4" w:tplc="A038F77C">
      <w:start w:val="1"/>
      <w:numFmt w:val="decimal"/>
      <w:lvlText w:val="%5)"/>
      <w:lvlJc w:val="left"/>
      <w:pPr>
        <w:ind w:left="1440" w:hanging="360"/>
      </w:pPr>
    </w:lvl>
    <w:lvl w:ilvl="5" w:tplc="096850D6">
      <w:start w:val="1"/>
      <w:numFmt w:val="decimal"/>
      <w:lvlText w:val="%6)"/>
      <w:lvlJc w:val="left"/>
      <w:pPr>
        <w:ind w:left="1440" w:hanging="360"/>
      </w:pPr>
    </w:lvl>
    <w:lvl w:ilvl="6" w:tplc="B5FAE0CE">
      <w:start w:val="1"/>
      <w:numFmt w:val="decimal"/>
      <w:lvlText w:val="%7)"/>
      <w:lvlJc w:val="left"/>
      <w:pPr>
        <w:ind w:left="1440" w:hanging="360"/>
      </w:pPr>
    </w:lvl>
    <w:lvl w:ilvl="7" w:tplc="CC128292">
      <w:start w:val="1"/>
      <w:numFmt w:val="decimal"/>
      <w:lvlText w:val="%8)"/>
      <w:lvlJc w:val="left"/>
      <w:pPr>
        <w:ind w:left="1440" w:hanging="360"/>
      </w:pPr>
    </w:lvl>
    <w:lvl w:ilvl="8" w:tplc="A7C4812C">
      <w:start w:val="1"/>
      <w:numFmt w:val="decimal"/>
      <w:lvlText w:val="%9)"/>
      <w:lvlJc w:val="left"/>
      <w:pPr>
        <w:ind w:left="1440" w:hanging="360"/>
      </w:pPr>
    </w:lvl>
  </w:abstractNum>
  <w:abstractNum w:abstractNumId="11" w15:restartNumberingAfterBreak="0">
    <w:nsid w:val="794064D5"/>
    <w:multiLevelType w:val="hybridMultilevel"/>
    <w:tmpl w:val="0CFA2F7C"/>
    <w:lvl w:ilvl="0" w:tplc="04101948">
      <w:start w:val="1"/>
      <w:numFmt w:val="decimal"/>
      <w:lvlText w:val="%1)"/>
      <w:lvlJc w:val="left"/>
      <w:pPr>
        <w:ind w:left="720" w:hanging="360"/>
      </w:pPr>
    </w:lvl>
    <w:lvl w:ilvl="1" w:tplc="2086125E">
      <w:start w:val="1"/>
      <w:numFmt w:val="decimal"/>
      <w:lvlText w:val="%2)"/>
      <w:lvlJc w:val="left"/>
      <w:pPr>
        <w:ind w:left="720" w:hanging="360"/>
      </w:pPr>
    </w:lvl>
    <w:lvl w:ilvl="2" w:tplc="0A2EE0A2">
      <w:start w:val="1"/>
      <w:numFmt w:val="decimal"/>
      <w:lvlText w:val="%3)"/>
      <w:lvlJc w:val="left"/>
      <w:pPr>
        <w:ind w:left="720" w:hanging="360"/>
      </w:pPr>
    </w:lvl>
    <w:lvl w:ilvl="3" w:tplc="5DBA28B4">
      <w:start w:val="1"/>
      <w:numFmt w:val="decimal"/>
      <w:lvlText w:val="%4)"/>
      <w:lvlJc w:val="left"/>
      <w:pPr>
        <w:ind w:left="720" w:hanging="360"/>
      </w:pPr>
    </w:lvl>
    <w:lvl w:ilvl="4" w:tplc="C5445956">
      <w:start w:val="1"/>
      <w:numFmt w:val="decimal"/>
      <w:lvlText w:val="%5)"/>
      <w:lvlJc w:val="left"/>
      <w:pPr>
        <w:ind w:left="720" w:hanging="360"/>
      </w:pPr>
    </w:lvl>
    <w:lvl w:ilvl="5" w:tplc="9D72C5E0">
      <w:start w:val="1"/>
      <w:numFmt w:val="decimal"/>
      <w:lvlText w:val="%6)"/>
      <w:lvlJc w:val="left"/>
      <w:pPr>
        <w:ind w:left="720" w:hanging="360"/>
      </w:pPr>
    </w:lvl>
    <w:lvl w:ilvl="6" w:tplc="9E70A5C2">
      <w:start w:val="1"/>
      <w:numFmt w:val="decimal"/>
      <w:lvlText w:val="%7)"/>
      <w:lvlJc w:val="left"/>
      <w:pPr>
        <w:ind w:left="720" w:hanging="360"/>
      </w:pPr>
    </w:lvl>
    <w:lvl w:ilvl="7" w:tplc="ABBE3AE0">
      <w:start w:val="1"/>
      <w:numFmt w:val="decimal"/>
      <w:lvlText w:val="%8)"/>
      <w:lvlJc w:val="left"/>
      <w:pPr>
        <w:ind w:left="720" w:hanging="360"/>
      </w:pPr>
    </w:lvl>
    <w:lvl w:ilvl="8" w:tplc="055A9896">
      <w:start w:val="1"/>
      <w:numFmt w:val="decimal"/>
      <w:lvlText w:val="%9)"/>
      <w:lvlJc w:val="left"/>
      <w:pPr>
        <w:ind w:left="720" w:hanging="360"/>
      </w:pPr>
    </w:lvl>
  </w:abstractNum>
  <w:abstractNum w:abstractNumId="12" w15:restartNumberingAfterBreak="0">
    <w:nsid w:val="7BE00909"/>
    <w:multiLevelType w:val="hybridMultilevel"/>
    <w:tmpl w:val="8F8ED986"/>
    <w:lvl w:ilvl="0" w:tplc="87066370">
      <w:start w:val="1"/>
      <w:numFmt w:val="decimal"/>
      <w:lvlText w:val="%1)"/>
      <w:lvlJc w:val="left"/>
      <w:pPr>
        <w:ind w:left="720" w:hanging="360"/>
      </w:pPr>
    </w:lvl>
    <w:lvl w:ilvl="1" w:tplc="411A05A0">
      <w:start w:val="1"/>
      <w:numFmt w:val="decimal"/>
      <w:lvlText w:val="%2)"/>
      <w:lvlJc w:val="left"/>
      <w:pPr>
        <w:ind w:left="720" w:hanging="360"/>
      </w:pPr>
    </w:lvl>
    <w:lvl w:ilvl="2" w:tplc="0D6E9E58">
      <w:start w:val="1"/>
      <w:numFmt w:val="decimal"/>
      <w:lvlText w:val="%3)"/>
      <w:lvlJc w:val="left"/>
      <w:pPr>
        <w:ind w:left="720" w:hanging="360"/>
      </w:pPr>
    </w:lvl>
    <w:lvl w:ilvl="3" w:tplc="1EE452EC">
      <w:start w:val="1"/>
      <w:numFmt w:val="decimal"/>
      <w:lvlText w:val="%4)"/>
      <w:lvlJc w:val="left"/>
      <w:pPr>
        <w:ind w:left="720" w:hanging="360"/>
      </w:pPr>
    </w:lvl>
    <w:lvl w:ilvl="4" w:tplc="94169B9A">
      <w:start w:val="1"/>
      <w:numFmt w:val="decimal"/>
      <w:lvlText w:val="%5)"/>
      <w:lvlJc w:val="left"/>
      <w:pPr>
        <w:ind w:left="720" w:hanging="360"/>
      </w:pPr>
    </w:lvl>
    <w:lvl w:ilvl="5" w:tplc="C934704C">
      <w:start w:val="1"/>
      <w:numFmt w:val="decimal"/>
      <w:lvlText w:val="%6)"/>
      <w:lvlJc w:val="left"/>
      <w:pPr>
        <w:ind w:left="720" w:hanging="360"/>
      </w:pPr>
    </w:lvl>
    <w:lvl w:ilvl="6" w:tplc="A4B688D8">
      <w:start w:val="1"/>
      <w:numFmt w:val="decimal"/>
      <w:lvlText w:val="%7)"/>
      <w:lvlJc w:val="left"/>
      <w:pPr>
        <w:ind w:left="720" w:hanging="360"/>
      </w:pPr>
    </w:lvl>
    <w:lvl w:ilvl="7" w:tplc="5CEAD5D8">
      <w:start w:val="1"/>
      <w:numFmt w:val="decimal"/>
      <w:lvlText w:val="%8)"/>
      <w:lvlJc w:val="left"/>
      <w:pPr>
        <w:ind w:left="720" w:hanging="360"/>
      </w:pPr>
    </w:lvl>
    <w:lvl w:ilvl="8" w:tplc="5DB08EA2">
      <w:start w:val="1"/>
      <w:numFmt w:val="decimal"/>
      <w:lvlText w:val="%9)"/>
      <w:lvlJc w:val="left"/>
      <w:pPr>
        <w:ind w:left="720" w:hanging="360"/>
      </w:pPr>
    </w:lvl>
  </w:abstractNum>
  <w:num w:numId="1" w16cid:durableId="10177759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1343830">
    <w:abstractNumId w:val="1"/>
  </w:num>
  <w:num w:numId="3" w16cid:durableId="2932893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6071066">
    <w:abstractNumId w:val="6"/>
  </w:num>
  <w:num w:numId="5" w16cid:durableId="21115796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9639701">
    <w:abstractNumId w:val="2"/>
  </w:num>
  <w:num w:numId="7" w16cid:durableId="1933708736">
    <w:abstractNumId w:val="8"/>
  </w:num>
  <w:num w:numId="8" w16cid:durableId="917789331">
    <w:abstractNumId w:val="5"/>
  </w:num>
  <w:num w:numId="9" w16cid:durableId="709648322">
    <w:abstractNumId w:val="3"/>
  </w:num>
  <w:num w:numId="10" w16cid:durableId="498934235">
    <w:abstractNumId w:val="11"/>
  </w:num>
  <w:num w:numId="11" w16cid:durableId="216013077">
    <w:abstractNumId w:val="10"/>
  </w:num>
  <w:num w:numId="12" w16cid:durableId="1093938389">
    <w:abstractNumId w:val="12"/>
  </w:num>
  <w:num w:numId="13" w16cid:durableId="779228948">
    <w:abstractNumId w:val="7"/>
  </w:num>
  <w:num w:numId="14" w16cid:durableId="1624966393">
    <w:abstractNumId w:val="4"/>
  </w:num>
  <w:num w:numId="15" w16cid:durableId="84037212">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novo.ym10389z@outlook.com">
    <w15:presenceInfo w15:providerId="Windows Live" w15:userId="41a8a50f2523ce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BC4"/>
    <w:rsid w:val="00003BF9"/>
    <w:rsid w:val="000578A7"/>
    <w:rsid w:val="00083C83"/>
    <w:rsid w:val="00085CBD"/>
    <w:rsid w:val="00140918"/>
    <w:rsid w:val="00141B2C"/>
    <w:rsid w:val="00230BC4"/>
    <w:rsid w:val="002579E5"/>
    <w:rsid w:val="002A708E"/>
    <w:rsid w:val="002C1684"/>
    <w:rsid w:val="002C3F74"/>
    <w:rsid w:val="00437210"/>
    <w:rsid w:val="00450170"/>
    <w:rsid w:val="004A265A"/>
    <w:rsid w:val="004E52C2"/>
    <w:rsid w:val="004E5DC4"/>
    <w:rsid w:val="004F1EB4"/>
    <w:rsid w:val="0056040E"/>
    <w:rsid w:val="00587C82"/>
    <w:rsid w:val="00610127"/>
    <w:rsid w:val="00753FA3"/>
    <w:rsid w:val="0084144C"/>
    <w:rsid w:val="00882721"/>
    <w:rsid w:val="008B0659"/>
    <w:rsid w:val="008B4A78"/>
    <w:rsid w:val="008D4BF1"/>
    <w:rsid w:val="00936226"/>
    <w:rsid w:val="00A41F2F"/>
    <w:rsid w:val="00A86FD1"/>
    <w:rsid w:val="00AC2005"/>
    <w:rsid w:val="00AD70D4"/>
    <w:rsid w:val="00B5204D"/>
    <w:rsid w:val="00B5477B"/>
    <w:rsid w:val="00B86618"/>
    <w:rsid w:val="00BA7576"/>
    <w:rsid w:val="00BE4DBF"/>
    <w:rsid w:val="00C54D99"/>
    <w:rsid w:val="00C679EE"/>
    <w:rsid w:val="00D80BE3"/>
    <w:rsid w:val="00D85854"/>
    <w:rsid w:val="00D92B88"/>
    <w:rsid w:val="00ED619E"/>
    <w:rsid w:val="00F17103"/>
    <w:rsid w:val="00F25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505E1"/>
  <w15:chartTrackingRefBased/>
  <w15:docId w15:val="{2F2FACA5-7E08-48F8-9CD9-77F5D456B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30BC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230BC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30BC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30BC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230BC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230B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0B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0B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0B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BC4"/>
    <w:rPr>
      <w:rFonts w:asciiTheme="majorHAnsi" w:eastAsiaTheme="majorEastAsia" w:hAnsiTheme="majorHAnsi" w:cstheme="majorBidi"/>
      <w:color w:val="2E74B5" w:themeColor="accent1" w:themeShade="BF"/>
      <w:sz w:val="40"/>
      <w:szCs w:val="40"/>
      <w:lang w:val="en-GB"/>
    </w:rPr>
  </w:style>
  <w:style w:type="character" w:customStyle="1" w:styleId="Heading2Char">
    <w:name w:val="Heading 2 Char"/>
    <w:basedOn w:val="DefaultParagraphFont"/>
    <w:link w:val="Heading2"/>
    <w:uiPriority w:val="9"/>
    <w:rsid w:val="00230BC4"/>
    <w:rPr>
      <w:rFonts w:asciiTheme="majorHAnsi" w:eastAsiaTheme="majorEastAsia" w:hAnsiTheme="majorHAnsi" w:cstheme="majorBidi"/>
      <w:color w:val="2E74B5" w:themeColor="accent1" w:themeShade="BF"/>
      <w:sz w:val="32"/>
      <w:szCs w:val="32"/>
      <w:lang w:val="en-GB"/>
    </w:rPr>
  </w:style>
  <w:style w:type="character" w:customStyle="1" w:styleId="Heading3Char">
    <w:name w:val="Heading 3 Char"/>
    <w:basedOn w:val="DefaultParagraphFont"/>
    <w:link w:val="Heading3"/>
    <w:uiPriority w:val="9"/>
    <w:semiHidden/>
    <w:rsid w:val="00230BC4"/>
    <w:rPr>
      <w:rFonts w:eastAsiaTheme="majorEastAsia" w:cstheme="majorBidi"/>
      <w:color w:val="2E74B5" w:themeColor="accent1" w:themeShade="BF"/>
      <w:sz w:val="28"/>
      <w:szCs w:val="28"/>
      <w:lang w:val="en-GB"/>
    </w:rPr>
  </w:style>
  <w:style w:type="character" w:customStyle="1" w:styleId="Heading4Char">
    <w:name w:val="Heading 4 Char"/>
    <w:basedOn w:val="DefaultParagraphFont"/>
    <w:link w:val="Heading4"/>
    <w:uiPriority w:val="9"/>
    <w:semiHidden/>
    <w:rsid w:val="00230BC4"/>
    <w:rPr>
      <w:rFonts w:eastAsiaTheme="majorEastAsia" w:cstheme="majorBidi"/>
      <w:i/>
      <w:iCs/>
      <w:color w:val="2E74B5" w:themeColor="accent1" w:themeShade="BF"/>
      <w:lang w:val="en-GB"/>
    </w:rPr>
  </w:style>
  <w:style w:type="character" w:customStyle="1" w:styleId="Heading5Char">
    <w:name w:val="Heading 5 Char"/>
    <w:basedOn w:val="DefaultParagraphFont"/>
    <w:link w:val="Heading5"/>
    <w:uiPriority w:val="9"/>
    <w:semiHidden/>
    <w:rsid w:val="00230BC4"/>
    <w:rPr>
      <w:rFonts w:eastAsiaTheme="majorEastAsia" w:cstheme="majorBidi"/>
      <w:color w:val="2E74B5" w:themeColor="accent1" w:themeShade="BF"/>
      <w:lang w:val="en-GB"/>
    </w:rPr>
  </w:style>
  <w:style w:type="character" w:customStyle="1" w:styleId="Heading6Char">
    <w:name w:val="Heading 6 Char"/>
    <w:basedOn w:val="DefaultParagraphFont"/>
    <w:link w:val="Heading6"/>
    <w:uiPriority w:val="9"/>
    <w:semiHidden/>
    <w:rsid w:val="00230BC4"/>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230BC4"/>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230BC4"/>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230BC4"/>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230B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0BC4"/>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230B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0BC4"/>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230BC4"/>
    <w:pPr>
      <w:spacing w:before="160"/>
      <w:jc w:val="center"/>
    </w:pPr>
    <w:rPr>
      <w:i/>
      <w:iCs/>
      <w:color w:val="404040" w:themeColor="text1" w:themeTint="BF"/>
    </w:rPr>
  </w:style>
  <w:style w:type="character" w:customStyle="1" w:styleId="QuoteChar">
    <w:name w:val="Quote Char"/>
    <w:basedOn w:val="DefaultParagraphFont"/>
    <w:link w:val="Quote"/>
    <w:uiPriority w:val="29"/>
    <w:rsid w:val="00230BC4"/>
    <w:rPr>
      <w:i/>
      <w:iCs/>
      <w:color w:val="404040" w:themeColor="text1" w:themeTint="BF"/>
      <w:lang w:val="en-GB"/>
    </w:rPr>
  </w:style>
  <w:style w:type="paragraph" w:styleId="ListParagraph">
    <w:name w:val="List Paragraph"/>
    <w:basedOn w:val="Normal"/>
    <w:uiPriority w:val="34"/>
    <w:qFormat/>
    <w:rsid w:val="00230BC4"/>
    <w:pPr>
      <w:ind w:left="720"/>
      <w:contextualSpacing/>
    </w:pPr>
  </w:style>
  <w:style w:type="character" w:styleId="IntenseEmphasis">
    <w:name w:val="Intense Emphasis"/>
    <w:basedOn w:val="DefaultParagraphFont"/>
    <w:uiPriority w:val="21"/>
    <w:qFormat/>
    <w:rsid w:val="00230BC4"/>
    <w:rPr>
      <w:i/>
      <w:iCs/>
      <w:color w:val="2E74B5" w:themeColor="accent1" w:themeShade="BF"/>
    </w:rPr>
  </w:style>
  <w:style w:type="paragraph" w:styleId="IntenseQuote">
    <w:name w:val="Intense Quote"/>
    <w:basedOn w:val="Normal"/>
    <w:next w:val="Normal"/>
    <w:link w:val="IntenseQuoteChar"/>
    <w:uiPriority w:val="30"/>
    <w:qFormat/>
    <w:rsid w:val="00230BC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30BC4"/>
    <w:rPr>
      <w:i/>
      <w:iCs/>
      <w:color w:val="2E74B5" w:themeColor="accent1" w:themeShade="BF"/>
      <w:lang w:val="en-GB"/>
    </w:rPr>
  </w:style>
  <w:style w:type="character" w:styleId="IntenseReference">
    <w:name w:val="Intense Reference"/>
    <w:basedOn w:val="DefaultParagraphFont"/>
    <w:uiPriority w:val="32"/>
    <w:qFormat/>
    <w:rsid w:val="00230BC4"/>
    <w:rPr>
      <w:b/>
      <w:bCs/>
      <w:smallCaps/>
      <w:color w:val="2E74B5" w:themeColor="accent1" w:themeShade="BF"/>
      <w:spacing w:val="5"/>
    </w:rPr>
  </w:style>
  <w:style w:type="table" w:styleId="PlainTable2">
    <w:name w:val="Plain Table 2"/>
    <w:basedOn w:val="TableNormal"/>
    <w:uiPriority w:val="42"/>
    <w:rsid w:val="00141B2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141B2C"/>
    <w:rPr>
      <w:color w:val="0563C1" w:themeColor="hyperlink"/>
      <w:u w:val="single"/>
    </w:rPr>
  </w:style>
  <w:style w:type="character" w:styleId="FollowedHyperlink">
    <w:name w:val="FollowedHyperlink"/>
    <w:basedOn w:val="DefaultParagraphFont"/>
    <w:uiPriority w:val="99"/>
    <w:semiHidden/>
    <w:unhideWhenUsed/>
    <w:rsid w:val="00141B2C"/>
    <w:rPr>
      <w:color w:val="954F72" w:themeColor="followedHyperlink"/>
      <w:u w:val="single"/>
    </w:rPr>
  </w:style>
  <w:style w:type="paragraph" w:customStyle="1" w:styleId="msonormal0">
    <w:name w:val="msonormal"/>
    <w:basedOn w:val="Normal"/>
    <w:uiPriority w:val="99"/>
    <w:rsid w:val="00141B2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141B2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OC1">
    <w:name w:val="toc 1"/>
    <w:basedOn w:val="Normal"/>
    <w:next w:val="Normal"/>
    <w:autoRedefine/>
    <w:uiPriority w:val="39"/>
    <w:semiHidden/>
    <w:unhideWhenUsed/>
    <w:rsid w:val="00141B2C"/>
    <w:pPr>
      <w:tabs>
        <w:tab w:val="right" w:pos="9350"/>
      </w:tabs>
      <w:spacing w:after="100" w:line="360" w:lineRule="auto"/>
    </w:pPr>
    <w:rPr>
      <w:rFonts w:ascii="Times New Roman" w:eastAsiaTheme="minorEastAsia" w:hAnsi="Times New Roman" w:cs="Times New Roman"/>
      <w:noProof/>
      <w:color w:val="000000" w:themeColor="text1"/>
      <w:sz w:val="24"/>
      <w:lang w:val="en-US"/>
    </w:rPr>
  </w:style>
  <w:style w:type="paragraph" w:styleId="TOC2">
    <w:name w:val="toc 2"/>
    <w:basedOn w:val="Normal"/>
    <w:next w:val="Normal"/>
    <w:autoRedefine/>
    <w:uiPriority w:val="39"/>
    <w:semiHidden/>
    <w:unhideWhenUsed/>
    <w:rsid w:val="00141B2C"/>
    <w:pPr>
      <w:spacing w:after="100" w:line="254" w:lineRule="auto"/>
      <w:ind w:left="220"/>
    </w:pPr>
    <w:rPr>
      <w:rFonts w:eastAsiaTheme="minorEastAsia" w:cs="Times New Roman"/>
      <w:lang w:val="en-US"/>
    </w:rPr>
  </w:style>
  <w:style w:type="paragraph" w:styleId="TOC3">
    <w:name w:val="toc 3"/>
    <w:basedOn w:val="Normal"/>
    <w:next w:val="Normal"/>
    <w:autoRedefine/>
    <w:uiPriority w:val="39"/>
    <w:semiHidden/>
    <w:unhideWhenUsed/>
    <w:rsid w:val="00141B2C"/>
    <w:pPr>
      <w:spacing w:after="100" w:line="256" w:lineRule="auto"/>
      <w:ind w:left="440"/>
    </w:pPr>
    <w:rPr>
      <w:rFonts w:eastAsiaTheme="minorEastAsia" w:cs="Times New Roman"/>
      <w:lang w:val="en-US"/>
    </w:rPr>
  </w:style>
  <w:style w:type="paragraph" w:styleId="FootnoteText">
    <w:name w:val="footnote text"/>
    <w:basedOn w:val="Normal"/>
    <w:link w:val="FootnoteTextChar"/>
    <w:uiPriority w:val="99"/>
    <w:semiHidden/>
    <w:unhideWhenUsed/>
    <w:rsid w:val="00141B2C"/>
    <w:pPr>
      <w:spacing w:after="0" w:line="240" w:lineRule="auto"/>
      <w:ind w:left="720" w:right="720" w:hanging="720"/>
    </w:pPr>
    <w:rPr>
      <w:sz w:val="20"/>
      <w:szCs w:val="20"/>
      <w:lang w:val="en-US"/>
    </w:rPr>
  </w:style>
  <w:style w:type="character" w:customStyle="1" w:styleId="FootnoteTextChar">
    <w:name w:val="Footnote Text Char"/>
    <w:basedOn w:val="DefaultParagraphFont"/>
    <w:link w:val="FootnoteText"/>
    <w:uiPriority w:val="99"/>
    <w:semiHidden/>
    <w:rsid w:val="00141B2C"/>
    <w:rPr>
      <w:sz w:val="20"/>
      <w:szCs w:val="20"/>
    </w:rPr>
  </w:style>
  <w:style w:type="paragraph" w:styleId="CommentText">
    <w:name w:val="annotation text"/>
    <w:basedOn w:val="Normal"/>
    <w:link w:val="CommentTextChar"/>
    <w:uiPriority w:val="99"/>
    <w:unhideWhenUsed/>
    <w:rsid w:val="00141B2C"/>
    <w:pPr>
      <w:spacing w:line="240" w:lineRule="auto"/>
    </w:pPr>
    <w:rPr>
      <w:sz w:val="20"/>
      <w:szCs w:val="20"/>
      <w:lang w:val="en-US"/>
    </w:rPr>
  </w:style>
  <w:style w:type="character" w:customStyle="1" w:styleId="CommentTextChar">
    <w:name w:val="Comment Text Char"/>
    <w:basedOn w:val="DefaultParagraphFont"/>
    <w:link w:val="CommentText"/>
    <w:uiPriority w:val="99"/>
    <w:rsid w:val="00141B2C"/>
    <w:rPr>
      <w:sz w:val="20"/>
      <w:szCs w:val="20"/>
    </w:rPr>
  </w:style>
  <w:style w:type="paragraph" w:styleId="Header">
    <w:name w:val="header"/>
    <w:basedOn w:val="Normal"/>
    <w:link w:val="HeaderChar"/>
    <w:uiPriority w:val="99"/>
    <w:unhideWhenUsed/>
    <w:rsid w:val="00141B2C"/>
    <w:pPr>
      <w:tabs>
        <w:tab w:val="center" w:pos="4680"/>
        <w:tab w:val="right" w:pos="9360"/>
      </w:tabs>
      <w:spacing w:after="0" w:line="240" w:lineRule="auto"/>
      <w:ind w:left="720" w:right="720" w:hanging="720"/>
    </w:pPr>
    <w:rPr>
      <w:lang w:val="en-US"/>
    </w:rPr>
  </w:style>
  <w:style w:type="character" w:customStyle="1" w:styleId="HeaderChar">
    <w:name w:val="Header Char"/>
    <w:basedOn w:val="DefaultParagraphFont"/>
    <w:link w:val="Header"/>
    <w:uiPriority w:val="99"/>
    <w:rsid w:val="00141B2C"/>
  </w:style>
  <w:style w:type="paragraph" w:styleId="Footer">
    <w:name w:val="footer"/>
    <w:basedOn w:val="Normal"/>
    <w:link w:val="FooterChar"/>
    <w:uiPriority w:val="99"/>
    <w:unhideWhenUsed/>
    <w:rsid w:val="00141B2C"/>
    <w:pPr>
      <w:tabs>
        <w:tab w:val="center" w:pos="4680"/>
        <w:tab w:val="right" w:pos="9360"/>
      </w:tabs>
      <w:spacing w:after="0" w:line="240" w:lineRule="auto"/>
      <w:ind w:left="720" w:right="720" w:hanging="720"/>
    </w:pPr>
    <w:rPr>
      <w:lang w:val="en-US"/>
    </w:rPr>
  </w:style>
  <w:style w:type="character" w:customStyle="1" w:styleId="FooterChar">
    <w:name w:val="Footer Char"/>
    <w:basedOn w:val="DefaultParagraphFont"/>
    <w:link w:val="Footer"/>
    <w:uiPriority w:val="99"/>
    <w:rsid w:val="00141B2C"/>
  </w:style>
  <w:style w:type="paragraph" w:styleId="TableofFigures">
    <w:name w:val="table of figures"/>
    <w:basedOn w:val="Normal"/>
    <w:next w:val="Normal"/>
    <w:uiPriority w:val="99"/>
    <w:semiHidden/>
    <w:unhideWhenUsed/>
    <w:rsid w:val="00141B2C"/>
    <w:pPr>
      <w:spacing w:after="0" w:line="360" w:lineRule="auto"/>
      <w:ind w:right="720" w:hanging="720"/>
    </w:pPr>
    <w:rPr>
      <w:lang w:val="en-US"/>
    </w:rPr>
  </w:style>
  <w:style w:type="paragraph" w:styleId="CommentSubject">
    <w:name w:val="annotation subject"/>
    <w:basedOn w:val="CommentText"/>
    <w:next w:val="CommentText"/>
    <w:link w:val="CommentSubjectChar"/>
    <w:uiPriority w:val="99"/>
    <w:semiHidden/>
    <w:unhideWhenUsed/>
    <w:rsid w:val="00141B2C"/>
    <w:pPr>
      <w:ind w:left="720" w:right="720" w:hanging="720"/>
    </w:pPr>
    <w:rPr>
      <w:b/>
      <w:bCs/>
    </w:rPr>
  </w:style>
  <w:style w:type="character" w:customStyle="1" w:styleId="CommentSubjectChar">
    <w:name w:val="Comment Subject Char"/>
    <w:basedOn w:val="CommentTextChar"/>
    <w:link w:val="CommentSubject"/>
    <w:uiPriority w:val="99"/>
    <w:semiHidden/>
    <w:rsid w:val="00141B2C"/>
    <w:rPr>
      <w:b/>
      <w:bCs/>
      <w:sz w:val="20"/>
      <w:szCs w:val="20"/>
    </w:rPr>
  </w:style>
  <w:style w:type="paragraph" w:styleId="BalloonText">
    <w:name w:val="Balloon Text"/>
    <w:basedOn w:val="Normal"/>
    <w:link w:val="BalloonTextChar"/>
    <w:uiPriority w:val="99"/>
    <w:semiHidden/>
    <w:unhideWhenUsed/>
    <w:rsid w:val="00141B2C"/>
    <w:pPr>
      <w:spacing w:after="0" w:line="240" w:lineRule="auto"/>
      <w:ind w:left="720" w:right="720" w:hanging="720"/>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141B2C"/>
    <w:rPr>
      <w:rFonts w:ascii="Segoe UI" w:hAnsi="Segoe UI" w:cs="Segoe UI"/>
      <w:sz w:val="18"/>
      <w:szCs w:val="18"/>
    </w:rPr>
  </w:style>
  <w:style w:type="paragraph" w:styleId="Bibliography">
    <w:name w:val="Bibliography"/>
    <w:basedOn w:val="Normal"/>
    <w:next w:val="Normal"/>
    <w:uiPriority w:val="37"/>
    <w:semiHidden/>
    <w:unhideWhenUsed/>
    <w:rsid w:val="00141B2C"/>
    <w:pPr>
      <w:spacing w:line="360" w:lineRule="auto"/>
      <w:ind w:left="720" w:right="720" w:hanging="720"/>
    </w:pPr>
    <w:rPr>
      <w:lang w:val="en-US"/>
    </w:rPr>
  </w:style>
  <w:style w:type="paragraph" w:styleId="TOCHeading">
    <w:name w:val="TOC Heading"/>
    <w:basedOn w:val="Heading1"/>
    <w:next w:val="Normal"/>
    <w:uiPriority w:val="39"/>
    <w:semiHidden/>
    <w:unhideWhenUsed/>
    <w:qFormat/>
    <w:rsid w:val="00141B2C"/>
    <w:pPr>
      <w:spacing w:before="40" w:after="160" w:line="254" w:lineRule="auto"/>
      <w:outlineLvl w:val="9"/>
    </w:pPr>
    <w:rPr>
      <w:rFonts w:ascii="Times New Roman" w:hAnsi="Times New Roman" w:cs="Times New Roman"/>
      <w:b/>
      <w:color w:val="000000" w:themeColor="text1"/>
      <w:sz w:val="24"/>
      <w:szCs w:val="24"/>
      <w:lang w:val="en-US"/>
    </w:rPr>
  </w:style>
  <w:style w:type="paragraph" w:customStyle="1" w:styleId="TableParagraph">
    <w:name w:val="Table Paragraph"/>
    <w:basedOn w:val="Normal"/>
    <w:uiPriority w:val="1"/>
    <w:qFormat/>
    <w:rsid w:val="00141B2C"/>
    <w:pPr>
      <w:widowControl w:val="0"/>
      <w:autoSpaceDE w:val="0"/>
      <w:autoSpaceDN w:val="0"/>
      <w:spacing w:before="73" w:after="0" w:line="240" w:lineRule="auto"/>
      <w:ind w:left="51"/>
    </w:pPr>
    <w:rPr>
      <w:rFonts w:ascii="Arial" w:eastAsia="Arial" w:hAnsi="Arial" w:cs="Arial"/>
      <w:lang w:val="en-US"/>
    </w:rPr>
  </w:style>
  <w:style w:type="paragraph" w:customStyle="1" w:styleId="DecimalAligned">
    <w:name w:val="Decimal Aligned"/>
    <w:basedOn w:val="Normal"/>
    <w:uiPriority w:val="40"/>
    <w:qFormat/>
    <w:rsid w:val="00141B2C"/>
    <w:pPr>
      <w:tabs>
        <w:tab w:val="decimal" w:pos="360"/>
      </w:tabs>
      <w:spacing w:after="200" w:line="276" w:lineRule="auto"/>
    </w:pPr>
    <w:rPr>
      <w:rFonts w:eastAsiaTheme="minorEastAsia" w:cs="Times New Roman"/>
      <w:lang w:val="en-US"/>
    </w:rPr>
  </w:style>
  <w:style w:type="character" w:styleId="FootnoteReference">
    <w:name w:val="footnote reference"/>
    <w:basedOn w:val="DefaultParagraphFont"/>
    <w:uiPriority w:val="99"/>
    <w:semiHidden/>
    <w:unhideWhenUsed/>
    <w:rsid w:val="00141B2C"/>
    <w:rPr>
      <w:vertAlign w:val="superscript"/>
    </w:rPr>
  </w:style>
  <w:style w:type="character" w:styleId="CommentReference">
    <w:name w:val="annotation reference"/>
    <w:basedOn w:val="DefaultParagraphFont"/>
    <w:uiPriority w:val="99"/>
    <w:semiHidden/>
    <w:unhideWhenUsed/>
    <w:rsid w:val="00141B2C"/>
    <w:rPr>
      <w:sz w:val="16"/>
      <w:szCs w:val="16"/>
    </w:rPr>
  </w:style>
  <w:style w:type="character" w:styleId="PlaceholderText">
    <w:name w:val="Placeholder Text"/>
    <w:basedOn w:val="DefaultParagraphFont"/>
    <w:uiPriority w:val="99"/>
    <w:semiHidden/>
    <w:rsid w:val="00141B2C"/>
    <w:rPr>
      <w:color w:val="808080"/>
    </w:rPr>
  </w:style>
  <w:style w:type="character" w:styleId="SubtleEmphasis">
    <w:name w:val="Subtle Emphasis"/>
    <w:basedOn w:val="DefaultParagraphFont"/>
    <w:uiPriority w:val="19"/>
    <w:qFormat/>
    <w:rsid w:val="00141B2C"/>
    <w:rPr>
      <w:i/>
      <w:iCs/>
    </w:rPr>
  </w:style>
  <w:style w:type="table" w:styleId="TableGrid">
    <w:name w:val="Table Grid"/>
    <w:basedOn w:val="TableNormal"/>
    <w:uiPriority w:val="39"/>
    <w:rsid w:val="00141B2C"/>
    <w:pPr>
      <w:spacing w:after="0" w:line="240" w:lineRule="auto"/>
      <w:ind w:left="720" w:right="720" w:hanging="72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semiHidden/>
    <w:unhideWhenUsed/>
    <w:rsid w:val="00141B2C"/>
    <w:pPr>
      <w:spacing w:after="0" w:line="240" w:lineRule="auto"/>
    </w:pPr>
    <w:rPr>
      <w:rFonts w:eastAsiaTheme="minorEastAsia"/>
      <w:color w:val="2E74B5" w:themeColor="accent1" w:themeShade="BF"/>
    </w:rPr>
    <w:tblPr>
      <w:tblStyleRowBandSize w:val="1"/>
      <w:tblStyleColBandSize w:val="1"/>
      <w:tblInd w:w="0" w:type="nil"/>
      <w:tblBorders>
        <w:top w:val="single" w:sz="8" w:space="0" w:color="5B9BD5" w:themeColor="accent1"/>
        <w:bottom w:val="single" w:sz="8" w:space="0" w:color="5B9BD5" w:themeColor="accent1"/>
      </w:tblBorders>
    </w:tblPr>
    <w:tblStylePr w:type="fir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PlainTable3">
    <w:name w:val="Plain Table 3"/>
    <w:basedOn w:val="TableNormal"/>
    <w:uiPriority w:val="43"/>
    <w:rsid w:val="00141B2C"/>
    <w:pPr>
      <w:spacing w:after="0" w:line="240" w:lineRule="auto"/>
    </w:pPr>
    <w:tblPr>
      <w:tblStyleRowBandSize w:val="1"/>
      <w:tblStyleColBandSize w:val="1"/>
      <w:tblInd w:w="0" w:type="nil"/>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141B2C"/>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7Colorful">
    <w:name w:val="List Table 7 Colorful"/>
    <w:basedOn w:val="TableNormal"/>
    <w:uiPriority w:val="52"/>
    <w:rsid w:val="00141B2C"/>
    <w:pPr>
      <w:spacing w:after="0" w:line="240" w:lineRule="auto"/>
      <w:ind w:left="720" w:right="720" w:hanging="720"/>
    </w:pPr>
    <w:rPr>
      <w:color w:val="000000" w:themeColor="text1"/>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
    <w:name w:val="Table Grid1"/>
    <w:basedOn w:val="TableNormal"/>
    <w:uiPriority w:val="39"/>
    <w:rsid w:val="00141B2C"/>
    <w:pPr>
      <w:spacing w:after="0" w:line="240" w:lineRule="auto"/>
      <w:ind w:left="720" w:right="720" w:hanging="720"/>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141B2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141B2C"/>
    <w:pPr>
      <w:spacing w:after="0" w:line="240" w:lineRule="auto"/>
    </w:pPr>
    <w:rPr>
      <w:rFonts w:ascii="Calibri" w:eastAsia="Calibri" w:hAnsi="Calibri" w:cs="SimSu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uiPriority w:val="59"/>
    <w:rsid w:val="00141B2C"/>
    <w:pPr>
      <w:spacing w:after="0" w:line="240" w:lineRule="auto"/>
    </w:pPr>
    <w:rPr>
      <w:rFonts w:ascii="Calibri" w:eastAsia="Calibri" w:hAnsi="Calibri" w:cs="SimSu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141B2C"/>
    <w:pPr>
      <w:spacing w:after="0" w:line="240" w:lineRule="auto"/>
    </w:pPr>
    <w:rPr>
      <w:rFonts w:ascii="Calibri" w:eastAsia="Calibri" w:hAnsi="Calibri" w:cs="SimSu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
    <w:name w:val="Table Grid24"/>
    <w:basedOn w:val="TableNormal"/>
    <w:uiPriority w:val="59"/>
    <w:rsid w:val="00141B2C"/>
    <w:pPr>
      <w:spacing w:after="0" w:line="240" w:lineRule="auto"/>
    </w:pPr>
    <w:rPr>
      <w:rFonts w:ascii="Calibri" w:eastAsia="Calibri" w:hAnsi="Calibri" w:cs="SimSu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5">
    <w:name w:val="Table Grid25"/>
    <w:basedOn w:val="TableNormal"/>
    <w:uiPriority w:val="59"/>
    <w:rsid w:val="00141B2C"/>
    <w:pPr>
      <w:spacing w:after="0" w:line="240" w:lineRule="auto"/>
    </w:pPr>
    <w:rPr>
      <w:rFonts w:ascii="Calibri" w:eastAsia="Calibri" w:hAnsi="Calibri" w:cs="SimSu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8D4B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01703">
      <w:bodyDiv w:val="1"/>
      <w:marLeft w:val="0"/>
      <w:marRight w:val="0"/>
      <w:marTop w:val="0"/>
      <w:marBottom w:val="0"/>
      <w:divBdr>
        <w:top w:val="none" w:sz="0" w:space="0" w:color="auto"/>
        <w:left w:val="none" w:sz="0" w:space="0" w:color="auto"/>
        <w:bottom w:val="none" w:sz="0" w:space="0" w:color="auto"/>
        <w:right w:val="none" w:sz="0" w:space="0" w:color="auto"/>
      </w:divBdr>
    </w:div>
    <w:div w:id="82189161">
      <w:bodyDiv w:val="1"/>
      <w:marLeft w:val="0"/>
      <w:marRight w:val="0"/>
      <w:marTop w:val="0"/>
      <w:marBottom w:val="0"/>
      <w:divBdr>
        <w:top w:val="none" w:sz="0" w:space="0" w:color="auto"/>
        <w:left w:val="none" w:sz="0" w:space="0" w:color="auto"/>
        <w:bottom w:val="none" w:sz="0" w:space="0" w:color="auto"/>
        <w:right w:val="none" w:sz="0" w:space="0" w:color="auto"/>
      </w:divBdr>
    </w:div>
    <w:div w:id="193227282">
      <w:bodyDiv w:val="1"/>
      <w:marLeft w:val="0"/>
      <w:marRight w:val="0"/>
      <w:marTop w:val="0"/>
      <w:marBottom w:val="0"/>
      <w:divBdr>
        <w:top w:val="none" w:sz="0" w:space="0" w:color="auto"/>
        <w:left w:val="none" w:sz="0" w:space="0" w:color="auto"/>
        <w:bottom w:val="none" w:sz="0" w:space="0" w:color="auto"/>
        <w:right w:val="none" w:sz="0" w:space="0" w:color="auto"/>
      </w:divBdr>
    </w:div>
    <w:div w:id="269170051">
      <w:bodyDiv w:val="1"/>
      <w:marLeft w:val="0"/>
      <w:marRight w:val="0"/>
      <w:marTop w:val="0"/>
      <w:marBottom w:val="0"/>
      <w:divBdr>
        <w:top w:val="none" w:sz="0" w:space="0" w:color="auto"/>
        <w:left w:val="none" w:sz="0" w:space="0" w:color="auto"/>
        <w:bottom w:val="none" w:sz="0" w:space="0" w:color="auto"/>
        <w:right w:val="none" w:sz="0" w:space="0" w:color="auto"/>
      </w:divBdr>
    </w:div>
    <w:div w:id="278227513">
      <w:bodyDiv w:val="1"/>
      <w:marLeft w:val="0"/>
      <w:marRight w:val="0"/>
      <w:marTop w:val="0"/>
      <w:marBottom w:val="0"/>
      <w:divBdr>
        <w:top w:val="none" w:sz="0" w:space="0" w:color="auto"/>
        <w:left w:val="none" w:sz="0" w:space="0" w:color="auto"/>
        <w:bottom w:val="none" w:sz="0" w:space="0" w:color="auto"/>
        <w:right w:val="none" w:sz="0" w:space="0" w:color="auto"/>
      </w:divBdr>
    </w:div>
    <w:div w:id="289897011">
      <w:bodyDiv w:val="1"/>
      <w:marLeft w:val="0"/>
      <w:marRight w:val="0"/>
      <w:marTop w:val="0"/>
      <w:marBottom w:val="0"/>
      <w:divBdr>
        <w:top w:val="none" w:sz="0" w:space="0" w:color="auto"/>
        <w:left w:val="none" w:sz="0" w:space="0" w:color="auto"/>
        <w:bottom w:val="none" w:sz="0" w:space="0" w:color="auto"/>
        <w:right w:val="none" w:sz="0" w:space="0" w:color="auto"/>
      </w:divBdr>
      <w:divsChild>
        <w:div w:id="167213228">
          <w:marLeft w:val="0"/>
          <w:marRight w:val="0"/>
          <w:marTop w:val="0"/>
          <w:marBottom w:val="0"/>
          <w:divBdr>
            <w:top w:val="none" w:sz="0" w:space="0" w:color="auto"/>
            <w:left w:val="none" w:sz="0" w:space="0" w:color="auto"/>
            <w:bottom w:val="none" w:sz="0" w:space="0" w:color="auto"/>
            <w:right w:val="none" w:sz="0" w:space="0" w:color="auto"/>
          </w:divBdr>
          <w:divsChild>
            <w:div w:id="1858301973">
              <w:marLeft w:val="0"/>
              <w:marRight w:val="0"/>
              <w:marTop w:val="0"/>
              <w:marBottom w:val="0"/>
              <w:divBdr>
                <w:top w:val="none" w:sz="0" w:space="0" w:color="auto"/>
                <w:left w:val="none" w:sz="0" w:space="0" w:color="auto"/>
                <w:bottom w:val="none" w:sz="0" w:space="0" w:color="auto"/>
                <w:right w:val="none" w:sz="0" w:space="0" w:color="auto"/>
              </w:divBdr>
              <w:divsChild>
                <w:div w:id="446243969">
                  <w:marLeft w:val="0"/>
                  <w:marRight w:val="0"/>
                  <w:marTop w:val="0"/>
                  <w:marBottom w:val="0"/>
                  <w:divBdr>
                    <w:top w:val="none" w:sz="0" w:space="0" w:color="auto"/>
                    <w:left w:val="none" w:sz="0" w:space="0" w:color="auto"/>
                    <w:bottom w:val="none" w:sz="0" w:space="0" w:color="auto"/>
                    <w:right w:val="none" w:sz="0" w:space="0" w:color="auto"/>
                  </w:divBdr>
                  <w:divsChild>
                    <w:div w:id="2023702470">
                      <w:marLeft w:val="0"/>
                      <w:marRight w:val="0"/>
                      <w:marTop w:val="0"/>
                      <w:marBottom w:val="0"/>
                      <w:divBdr>
                        <w:top w:val="none" w:sz="0" w:space="0" w:color="auto"/>
                        <w:left w:val="none" w:sz="0" w:space="0" w:color="auto"/>
                        <w:bottom w:val="none" w:sz="0" w:space="0" w:color="auto"/>
                        <w:right w:val="none" w:sz="0" w:space="0" w:color="auto"/>
                      </w:divBdr>
                      <w:divsChild>
                        <w:div w:id="639194368">
                          <w:marLeft w:val="0"/>
                          <w:marRight w:val="0"/>
                          <w:marTop w:val="0"/>
                          <w:marBottom w:val="0"/>
                          <w:divBdr>
                            <w:top w:val="single" w:sz="6" w:space="15" w:color="auto"/>
                            <w:left w:val="single" w:sz="2" w:space="15" w:color="auto"/>
                            <w:bottom w:val="single" w:sz="2" w:space="15" w:color="auto"/>
                            <w:right w:val="single" w:sz="2" w:space="15" w:color="auto"/>
                          </w:divBdr>
                          <w:divsChild>
                            <w:div w:id="1325671737">
                              <w:marLeft w:val="0"/>
                              <w:marRight w:val="0"/>
                              <w:marTop w:val="0"/>
                              <w:marBottom w:val="360"/>
                              <w:divBdr>
                                <w:top w:val="none" w:sz="0" w:space="0" w:color="auto"/>
                                <w:left w:val="none" w:sz="0" w:space="0" w:color="auto"/>
                                <w:bottom w:val="none" w:sz="0" w:space="0" w:color="auto"/>
                                <w:right w:val="none" w:sz="0" w:space="0" w:color="auto"/>
                              </w:divBdr>
                            </w:div>
                            <w:div w:id="2052025953">
                              <w:marLeft w:val="0"/>
                              <w:marRight w:val="0"/>
                              <w:marTop w:val="0"/>
                              <w:marBottom w:val="0"/>
                              <w:divBdr>
                                <w:top w:val="none" w:sz="0" w:space="0" w:color="auto"/>
                                <w:left w:val="none" w:sz="0" w:space="0" w:color="auto"/>
                                <w:bottom w:val="none" w:sz="0" w:space="0" w:color="auto"/>
                                <w:right w:val="none" w:sz="0" w:space="0" w:color="auto"/>
                              </w:divBdr>
                              <w:divsChild>
                                <w:div w:id="30535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343022">
          <w:marLeft w:val="0"/>
          <w:marRight w:val="0"/>
          <w:marTop w:val="0"/>
          <w:marBottom w:val="0"/>
          <w:divBdr>
            <w:top w:val="none" w:sz="0" w:space="0" w:color="auto"/>
            <w:left w:val="none" w:sz="0" w:space="0" w:color="auto"/>
            <w:bottom w:val="none" w:sz="0" w:space="0" w:color="auto"/>
            <w:right w:val="none" w:sz="0" w:space="0" w:color="auto"/>
          </w:divBdr>
          <w:divsChild>
            <w:div w:id="1801459419">
              <w:marLeft w:val="0"/>
              <w:marRight w:val="0"/>
              <w:marTop w:val="0"/>
              <w:marBottom w:val="0"/>
              <w:divBdr>
                <w:top w:val="none" w:sz="0" w:space="0" w:color="auto"/>
                <w:left w:val="none" w:sz="0" w:space="0" w:color="auto"/>
                <w:bottom w:val="none" w:sz="0" w:space="0" w:color="auto"/>
                <w:right w:val="none" w:sz="0" w:space="0" w:color="auto"/>
              </w:divBdr>
              <w:divsChild>
                <w:div w:id="1948930230">
                  <w:marLeft w:val="0"/>
                  <w:marRight w:val="0"/>
                  <w:marTop w:val="0"/>
                  <w:marBottom w:val="0"/>
                  <w:divBdr>
                    <w:top w:val="none" w:sz="0" w:space="0" w:color="auto"/>
                    <w:left w:val="none" w:sz="0" w:space="0" w:color="auto"/>
                    <w:bottom w:val="none" w:sz="0" w:space="0" w:color="auto"/>
                    <w:right w:val="none" w:sz="0" w:space="0" w:color="auto"/>
                  </w:divBdr>
                  <w:divsChild>
                    <w:div w:id="1061564813">
                      <w:marLeft w:val="0"/>
                      <w:marRight w:val="0"/>
                      <w:marTop w:val="0"/>
                      <w:marBottom w:val="0"/>
                      <w:divBdr>
                        <w:top w:val="none" w:sz="0" w:space="0" w:color="auto"/>
                        <w:left w:val="none" w:sz="0" w:space="0" w:color="auto"/>
                        <w:bottom w:val="none" w:sz="0" w:space="0" w:color="auto"/>
                        <w:right w:val="none" w:sz="0" w:space="0" w:color="auto"/>
                      </w:divBdr>
                      <w:divsChild>
                        <w:div w:id="813446379">
                          <w:marLeft w:val="0"/>
                          <w:marRight w:val="0"/>
                          <w:marTop w:val="0"/>
                          <w:marBottom w:val="0"/>
                          <w:divBdr>
                            <w:top w:val="none" w:sz="0" w:space="0" w:color="auto"/>
                            <w:left w:val="none" w:sz="0" w:space="0" w:color="auto"/>
                            <w:bottom w:val="none" w:sz="0" w:space="0" w:color="auto"/>
                            <w:right w:val="none" w:sz="0" w:space="0" w:color="auto"/>
                          </w:divBdr>
                          <w:divsChild>
                            <w:div w:id="1604144695">
                              <w:marLeft w:val="0"/>
                              <w:marRight w:val="0"/>
                              <w:marTop w:val="0"/>
                              <w:marBottom w:val="0"/>
                              <w:divBdr>
                                <w:top w:val="none" w:sz="0" w:space="0" w:color="auto"/>
                                <w:left w:val="none" w:sz="0" w:space="0" w:color="auto"/>
                                <w:bottom w:val="none" w:sz="0" w:space="0" w:color="auto"/>
                                <w:right w:val="none" w:sz="0" w:space="0" w:color="auto"/>
                              </w:divBdr>
                              <w:divsChild>
                                <w:div w:id="1748847310">
                                  <w:marLeft w:val="0"/>
                                  <w:marRight w:val="0"/>
                                  <w:marTop w:val="0"/>
                                  <w:marBottom w:val="0"/>
                                  <w:divBdr>
                                    <w:top w:val="none" w:sz="0" w:space="0" w:color="auto"/>
                                    <w:left w:val="none" w:sz="0" w:space="0" w:color="auto"/>
                                    <w:bottom w:val="none" w:sz="0" w:space="0" w:color="auto"/>
                                    <w:right w:val="none" w:sz="0" w:space="0" w:color="auto"/>
                                  </w:divBdr>
                                  <w:divsChild>
                                    <w:div w:id="145634316">
                                      <w:marLeft w:val="0"/>
                                      <w:marRight w:val="0"/>
                                      <w:marTop w:val="0"/>
                                      <w:marBottom w:val="0"/>
                                      <w:divBdr>
                                        <w:top w:val="none" w:sz="0" w:space="0" w:color="auto"/>
                                        <w:left w:val="none" w:sz="0" w:space="0" w:color="auto"/>
                                        <w:bottom w:val="none" w:sz="0" w:space="0" w:color="auto"/>
                                        <w:right w:val="none" w:sz="0" w:space="0" w:color="auto"/>
                                      </w:divBdr>
                                      <w:divsChild>
                                        <w:div w:id="183911245">
                                          <w:marLeft w:val="0"/>
                                          <w:marRight w:val="0"/>
                                          <w:marTop w:val="0"/>
                                          <w:marBottom w:val="0"/>
                                          <w:divBdr>
                                            <w:top w:val="none" w:sz="0" w:space="0" w:color="auto"/>
                                            <w:left w:val="none" w:sz="0" w:space="0" w:color="auto"/>
                                            <w:bottom w:val="none" w:sz="0" w:space="0" w:color="auto"/>
                                            <w:right w:val="none" w:sz="0" w:space="0" w:color="auto"/>
                                          </w:divBdr>
                                          <w:divsChild>
                                            <w:div w:id="1025525548">
                                              <w:marLeft w:val="0"/>
                                              <w:marRight w:val="0"/>
                                              <w:marTop w:val="0"/>
                                              <w:marBottom w:val="0"/>
                                              <w:divBdr>
                                                <w:top w:val="none" w:sz="0" w:space="0" w:color="auto"/>
                                                <w:left w:val="none" w:sz="0" w:space="0" w:color="auto"/>
                                                <w:bottom w:val="none" w:sz="0" w:space="0" w:color="auto"/>
                                                <w:right w:val="none" w:sz="0" w:space="0" w:color="auto"/>
                                              </w:divBdr>
                                              <w:divsChild>
                                                <w:div w:id="136387597">
                                                  <w:marLeft w:val="0"/>
                                                  <w:marRight w:val="0"/>
                                                  <w:marTop w:val="0"/>
                                                  <w:marBottom w:val="0"/>
                                                  <w:divBdr>
                                                    <w:top w:val="none" w:sz="0" w:space="0" w:color="auto"/>
                                                    <w:left w:val="none" w:sz="0" w:space="0" w:color="auto"/>
                                                    <w:bottom w:val="none" w:sz="0" w:space="0" w:color="auto"/>
                                                    <w:right w:val="none" w:sz="0" w:space="0" w:color="auto"/>
                                                  </w:divBdr>
                                                  <w:divsChild>
                                                    <w:div w:id="902331844">
                                                      <w:marLeft w:val="0"/>
                                                      <w:marRight w:val="0"/>
                                                      <w:marTop w:val="0"/>
                                                      <w:marBottom w:val="0"/>
                                                      <w:divBdr>
                                                        <w:top w:val="none" w:sz="0" w:space="0" w:color="auto"/>
                                                        <w:left w:val="none" w:sz="0" w:space="0" w:color="auto"/>
                                                        <w:bottom w:val="none" w:sz="0" w:space="0" w:color="auto"/>
                                                        <w:right w:val="none" w:sz="0" w:space="0" w:color="auto"/>
                                                      </w:divBdr>
                                                      <w:divsChild>
                                                        <w:div w:id="1709724239">
                                                          <w:marLeft w:val="0"/>
                                                          <w:marRight w:val="0"/>
                                                          <w:marTop w:val="0"/>
                                                          <w:marBottom w:val="0"/>
                                                          <w:divBdr>
                                                            <w:top w:val="none" w:sz="0" w:space="0" w:color="auto"/>
                                                            <w:left w:val="none" w:sz="0" w:space="0" w:color="auto"/>
                                                            <w:bottom w:val="none" w:sz="0" w:space="0" w:color="auto"/>
                                                            <w:right w:val="none" w:sz="0" w:space="0" w:color="auto"/>
                                                          </w:divBdr>
                                                          <w:divsChild>
                                                            <w:div w:id="1623534194">
                                                              <w:marLeft w:val="0"/>
                                                              <w:marRight w:val="0"/>
                                                              <w:marTop w:val="0"/>
                                                              <w:marBottom w:val="0"/>
                                                              <w:divBdr>
                                                                <w:top w:val="none" w:sz="0" w:space="0" w:color="auto"/>
                                                                <w:left w:val="none" w:sz="0" w:space="0" w:color="auto"/>
                                                                <w:bottom w:val="none" w:sz="0" w:space="0" w:color="auto"/>
                                                                <w:right w:val="none" w:sz="0" w:space="0" w:color="auto"/>
                                                              </w:divBdr>
                                                              <w:divsChild>
                                                                <w:div w:id="545487546">
                                                                  <w:marLeft w:val="0"/>
                                                                  <w:marRight w:val="0"/>
                                                                  <w:marTop w:val="0"/>
                                                                  <w:marBottom w:val="0"/>
                                                                  <w:divBdr>
                                                                    <w:top w:val="none" w:sz="0" w:space="0" w:color="auto"/>
                                                                    <w:left w:val="none" w:sz="0" w:space="0" w:color="auto"/>
                                                                    <w:bottom w:val="none" w:sz="0" w:space="0" w:color="auto"/>
                                                                    <w:right w:val="none" w:sz="0" w:space="0" w:color="auto"/>
                                                                  </w:divBdr>
                                                                  <w:divsChild>
                                                                    <w:div w:id="1209761531">
                                                                      <w:marLeft w:val="0"/>
                                                                      <w:marRight w:val="0"/>
                                                                      <w:marTop w:val="0"/>
                                                                      <w:marBottom w:val="0"/>
                                                                      <w:divBdr>
                                                                        <w:top w:val="none" w:sz="0" w:space="0" w:color="auto"/>
                                                                        <w:left w:val="none" w:sz="0" w:space="0" w:color="auto"/>
                                                                        <w:bottom w:val="none" w:sz="0" w:space="0" w:color="auto"/>
                                                                        <w:right w:val="none" w:sz="0" w:space="0" w:color="auto"/>
                                                                      </w:divBdr>
                                                                      <w:divsChild>
                                                                        <w:div w:id="1260673993">
                                                                          <w:marLeft w:val="0"/>
                                                                          <w:marRight w:val="0"/>
                                                                          <w:marTop w:val="0"/>
                                                                          <w:marBottom w:val="0"/>
                                                                          <w:divBdr>
                                                                            <w:top w:val="none" w:sz="0" w:space="0" w:color="auto"/>
                                                                            <w:left w:val="none" w:sz="0" w:space="0" w:color="auto"/>
                                                                            <w:bottom w:val="none" w:sz="0" w:space="0" w:color="auto"/>
                                                                            <w:right w:val="none" w:sz="0" w:space="0" w:color="auto"/>
                                                                          </w:divBdr>
                                                                          <w:divsChild>
                                                                            <w:div w:id="359088978">
                                                                              <w:marLeft w:val="0"/>
                                                                              <w:marRight w:val="0"/>
                                                                              <w:marTop w:val="0"/>
                                                                              <w:marBottom w:val="0"/>
                                                                              <w:divBdr>
                                                                                <w:top w:val="none" w:sz="0" w:space="0" w:color="auto"/>
                                                                                <w:left w:val="none" w:sz="0" w:space="0" w:color="auto"/>
                                                                                <w:bottom w:val="none" w:sz="0" w:space="0" w:color="auto"/>
                                                                                <w:right w:val="none" w:sz="0" w:space="0" w:color="auto"/>
                                                                              </w:divBdr>
                                                                              <w:divsChild>
                                                                                <w:div w:id="8816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4003784">
                                      <w:marLeft w:val="0"/>
                                      <w:marRight w:val="0"/>
                                      <w:marTop w:val="0"/>
                                      <w:marBottom w:val="0"/>
                                      <w:divBdr>
                                        <w:top w:val="none" w:sz="0" w:space="0" w:color="auto"/>
                                        <w:left w:val="none" w:sz="0" w:space="0" w:color="auto"/>
                                        <w:bottom w:val="none" w:sz="0" w:space="0" w:color="auto"/>
                                        <w:right w:val="none" w:sz="0" w:space="0" w:color="auto"/>
                                      </w:divBdr>
                                      <w:divsChild>
                                        <w:div w:id="710493367">
                                          <w:marLeft w:val="0"/>
                                          <w:marRight w:val="0"/>
                                          <w:marTop w:val="0"/>
                                          <w:marBottom w:val="0"/>
                                          <w:divBdr>
                                            <w:top w:val="none" w:sz="0" w:space="0" w:color="auto"/>
                                            <w:left w:val="none" w:sz="0" w:space="0" w:color="auto"/>
                                            <w:bottom w:val="none" w:sz="0" w:space="0" w:color="auto"/>
                                            <w:right w:val="none" w:sz="0" w:space="0" w:color="auto"/>
                                          </w:divBdr>
                                          <w:divsChild>
                                            <w:div w:id="1577395681">
                                              <w:marLeft w:val="0"/>
                                              <w:marRight w:val="0"/>
                                              <w:marTop w:val="0"/>
                                              <w:marBottom w:val="0"/>
                                              <w:divBdr>
                                                <w:top w:val="none" w:sz="0" w:space="0" w:color="auto"/>
                                                <w:left w:val="none" w:sz="0" w:space="0" w:color="auto"/>
                                                <w:bottom w:val="none" w:sz="0" w:space="0" w:color="auto"/>
                                                <w:right w:val="none" w:sz="0" w:space="0" w:color="auto"/>
                                              </w:divBdr>
                                              <w:divsChild>
                                                <w:div w:id="1127579356">
                                                  <w:marLeft w:val="0"/>
                                                  <w:marRight w:val="0"/>
                                                  <w:marTop w:val="0"/>
                                                  <w:marBottom w:val="0"/>
                                                  <w:divBdr>
                                                    <w:top w:val="none" w:sz="0" w:space="0" w:color="auto"/>
                                                    <w:left w:val="none" w:sz="0" w:space="0" w:color="auto"/>
                                                    <w:bottom w:val="none" w:sz="0" w:space="0" w:color="auto"/>
                                                    <w:right w:val="none" w:sz="0" w:space="0" w:color="auto"/>
                                                  </w:divBdr>
                                                  <w:divsChild>
                                                    <w:div w:id="228348068">
                                                      <w:marLeft w:val="0"/>
                                                      <w:marRight w:val="0"/>
                                                      <w:marTop w:val="0"/>
                                                      <w:marBottom w:val="0"/>
                                                      <w:divBdr>
                                                        <w:top w:val="none" w:sz="0" w:space="0" w:color="auto"/>
                                                        <w:left w:val="none" w:sz="0" w:space="0" w:color="auto"/>
                                                        <w:bottom w:val="none" w:sz="0" w:space="0" w:color="auto"/>
                                                        <w:right w:val="none" w:sz="0" w:space="0" w:color="auto"/>
                                                      </w:divBdr>
                                                      <w:divsChild>
                                                        <w:div w:id="2024435967">
                                                          <w:marLeft w:val="0"/>
                                                          <w:marRight w:val="0"/>
                                                          <w:marTop w:val="0"/>
                                                          <w:marBottom w:val="0"/>
                                                          <w:divBdr>
                                                            <w:top w:val="none" w:sz="0" w:space="0" w:color="auto"/>
                                                            <w:left w:val="none" w:sz="0" w:space="0" w:color="auto"/>
                                                            <w:bottom w:val="none" w:sz="0" w:space="0" w:color="auto"/>
                                                            <w:right w:val="none" w:sz="0" w:space="0" w:color="auto"/>
                                                          </w:divBdr>
                                                          <w:divsChild>
                                                            <w:div w:id="2096441069">
                                                              <w:marLeft w:val="0"/>
                                                              <w:marRight w:val="0"/>
                                                              <w:marTop w:val="0"/>
                                                              <w:marBottom w:val="0"/>
                                                              <w:divBdr>
                                                                <w:top w:val="none" w:sz="0" w:space="0" w:color="auto"/>
                                                                <w:left w:val="none" w:sz="0" w:space="0" w:color="auto"/>
                                                                <w:bottom w:val="none" w:sz="0" w:space="0" w:color="auto"/>
                                                                <w:right w:val="none" w:sz="0" w:space="0" w:color="auto"/>
                                                              </w:divBdr>
                                                              <w:divsChild>
                                                                <w:div w:id="236592313">
                                                                  <w:marLeft w:val="0"/>
                                                                  <w:marRight w:val="0"/>
                                                                  <w:marTop w:val="0"/>
                                                                  <w:marBottom w:val="0"/>
                                                                  <w:divBdr>
                                                                    <w:top w:val="none" w:sz="0" w:space="0" w:color="auto"/>
                                                                    <w:left w:val="none" w:sz="0" w:space="0" w:color="auto"/>
                                                                    <w:bottom w:val="none" w:sz="0" w:space="0" w:color="auto"/>
                                                                    <w:right w:val="none" w:sz="0" w:space="0" w:color="auto"/>
                                                                  </w:divBdr>
                                                                  <w:divsChild>
                                                                    <w:div w:id="1443692700">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6315481">
                                      <w:marLeft w:val="0"/>
                                      <w:marRight w:val="0"/>
                                      <w:marTop w:val="0"/>
                                      <w:marBottom w:val="0"/>
                                      <w:divBdr>
                                        <w:top w:val="none" w:sz="0" w:space="0" w:color="auto"/>
                                        <w:left w:val="none" w:sz="0" w:space="0" w:color="auto"/>
                                        <w:bottom w:val="none" w:sz="0" w:space="0" w:color="auto"/>
                                        <w:right w:val="none" w:sz="0" w:space="0" w:color="auto"/>
                                      </w:divBdr>
                                      <w:divsChild>
                                        <w:div w:id="1998344462">
                                          <w:marLeft w:val="0"/>
                                          <w:marRight w:val="0"/>
                                          <w:marTop w:val="0"/>
                                          <w:marBottom w:val="0"/>
                                          <w:divBdr>
                                            <w:top w:val="none" w:sz="0" w:space="0" w:color="auto"/>
                                            <w:left w:val="none" w:sz="0" w:space="0" w:color="auto"/>
                                            <w:bottom w:val="none" w:sz="0" w:space="0" w:color="auto"/>
                                            <w:right w:val="none" w:sz="0" w:space="0" w:color="auto"/>
                                          </w:divBdr>
                                          <w:divsChild>
                                            <w:div w:id="2107457724">
                                              <w:marLeft w:val="0"/>
                                              <w:marRight w:val="0"/>
                                              <w:marTop w:val="0"/>
                                              <w:marBottom w:val="0"/>
                                              <w:divBdr>
                                                <w:top w:val="none" w:sz="0" w:space="0" w:color="auto"/>
                                                <w:left w:val="none" w:sz="0" w:space="0" w:color="auto"/>
                                                <w:bottom w:val="none" w:sz="0" w:space="0" w:color="auto"/>
                                                <w:right w:val="none" w:sz="0" w:space="0" w:color="auto"/>
                                              </w:divBdr>
                                              <w:divsChild>
                                                <w:div w:id="1949773363">
                                                  <w:marLeft w:val="0"/>
                                                  <w:marRight w:val="0"/>
                                                  <w:marTop w:val="0"/>
                                                  <w:marBottom w:val="0"/>
                                                  <w:divBdr>
                                                    <w:top w:val="none" w:sz="0" w:space="0" w:color="auto"/>
                                                    <w:left w:val="none" w:sz="0" w:space="0" w:color="auto"/>
                                                    <w:bottom w:val="none" w:sz="0" w:space="0" w:color="auto"/>
                                                    <w:right w:val="none" w:sz="0" w:space="0" w:color="auto"/>
                                                  </w:divBdr>
                                                  <w:divsChild>
                                                    <w:div w:id="1386880222">
                                                      <w:marLeft w:val="0"/>
                                                      <w:marRight w:val="0"/>
                                                      <w:marTop w:val="0"/>
                                                      <w:marBottom w:val="0"/>
                                                      <w:divBdr>
                                                        <w:top w:val="none" w:sz="0" w:space="0" w:color="auto"/>
                                                        <w:left w:val="none" w:sz="0" w:space="0" w:color="auto"/>
                                                        <w:bottom w:val="none" w:sz="0" w:space="0" w:color="auto"/>
                                                        <w:right w:val="none" w:sz="0" w:space="0" w:color="auto"/>
                                                      </w:divBdr>
                                                      <w:divsChild>
                                                        <w:div w:id="283734129">
                                                          <w:marLeft w:val="0"/>
                                                          <w:marRight w:val="0"/>
                                                          <w:marTop w:val="0"/>
                                                          <w:marBottom w:val="0"/>
                                                          <w:divBdr>
                                                            <w:top w:val="none" w:sz="0" w:space="0" w:color="auto"/>
                                                            <w:left w:val="none" w:sz="0" w:space="0" w:color="auto"/>
                                                            <w:bottom w:val="none" w:sz="0" w:space="0" w:color="auto"/>
                                                            <w:right w:val="none" w:sz="0" w:space="0" w:color="auto"/>
                                                          </w:divBdr>
                                                          <w:divsChild>
                                                            <w:div w:id="1724022273">
                                                              <w:marLeft w:val="0"/>
                                                              <w:marRight w:val="0"/>
                                                              <w:marTop w:val="0"/>
                                                              <w:marBottom w:val="0"/>
                                                              <w:divBdr>
                                                                <w:top w:val="none" w:sz="0" w:space="0" w:color="auto"/>
                                                                <w:left w:val="none" w:sz="0" w:space="0" w:color="auto"/>
                                                                <w:bottom w:val="none" w:sz="0" w:space="0" w:color="auto"/>
                                                                <w:right w:val="none" w:sz="0" w:space="0" w:color="auto"/>
                                                              </w:divBdr>
                                                              <w:divsChild>
                                                                <w:div w:id="1212576368">
                                                                  <w:marLeft w:val="0"/>
                                                                  <w:marRight w:val="0"/>
                                                                  <w:marTop w:val="0"/>
                                                                  <w:marBottom w:val="0"/>
                                                                  <w:divBdr>
                                                                    <w:top w:val="none" w:sz="0" w:space="0" w:color="auto"/>
                                                                    <w:left w:val="none" w:sz="0" w:space="0" w:color="auto"/>
                                                                    <w:bottom w:val="none" w:sz="0" w:space="0" w:color="auto"/>
                                                                    <w:right w:val="none" w:sz="0" w:space="0" w:color="auto"/>
                                                                  </w:divBdr>
                                                                  <w:divsChild>
                                                                    <w:div w:id="329866665">
                                                                      <w:marLeft w:val="0"/>
                                                                      <w:marRight w:val="0"/>
                                                                      <w:marTop w:val="0"/>
                                                                      <w:marBottom w:val="0"/>
                                                                      <w:divBdr>
                                                                        <w:top w:val="none" w:sz="0" w:space="0" w:color="auto"/>
                                                                        <w:left w:val="none" w:sz="0" w:space="0" w:color="auto"/>
                                                                        <w:bottom w:val="none" w:sz="0" w:space="0" w:color="auto"/>
                                                                        <w:right w:val="none" w:sz="0" w:space="0" w:color="auto"/>
                                                                      </w:divBdr>
                                                                      <w:divsChild>
                                                                        <w:div w:id="1818689970">
                                                                          <w:marLeft w:val="0"/>
                                                                          <w:marRight w:val="0"/>
                                                                          <w:marTop w:val="0"/>
                                                                          <w:marBottom w:val="0"/>
                                                                          <w:divBdr>
                                                                            <w:top w:val="none" w:sz="0" w:space="0" w:color="auto"/>
                                                                            <w:left w:val="none" w:sz="0" w:space="0" w:color="auto"/>
                                                                            <w:bottom w:val="none" w:sz="0" w:space="0" w:color="auto"/>
                                                                            <w:right w:val="none" w:sz="0" w:space="0" w:color="auto"/>
                                                                          </w:divBdr>
                                                                          <w:divsChild>
                                                                            <w:div w:id="881014597">
                                                                              <w:marLeft w:val="0"/>
                                                                              <w:marRight w:val="0"/>
                                                                              <w:marTop w:val="0"/>
                                                                              <w:marBottom w:val="0"/>
                                                                              <w:divBdr>
                                                                                <w:top w:val="none" w:sz="0" w:space="0" w:color="auto"/>
                                                                                <w:left w:val="none" w:sz="0" w:space="0" w:color="auto"/>
                                                                                <w:bottom w:val="none" w:sz="0" w:space="0" w:color="auto"/>
                                                                                <w:right w:val="none" w:sz="0" w:space="0" w:color="auto"/>
                                                                              </w:divBdr>
                                                                              <w:divsChild>
                                                                                <w:div w:id="146184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5325682">
                                      <w:marLeft w:val="0"/>
                                      <w:marRight w:val="0"/>
                                      <w:marTop w:val="0"/>
                                      <w:marBottom w:val="0"/>
                                      <w:divBdr>
                                        <w:top w:val="none" w:sz="0" w:space="0" w:color="auto"/>
                                        <w:left w:val="none" w:sz="0" w:space="0" w:color="auto"/>
                                        <w:bottom w:val="none" w:sz="0" w:space="0" w:color="auto"/>
                                        <w:right w:val="none" w:sz="0" w:space="0" w:color="auto"/>
                                      </w:divBdr>
                                      <w:divsChild>
                                        <w:div w:id="1655524469">
                                          <w:marLeft w:val="0"/>
                                          <w:marRight w:val="0"/>
                                          <w:marTop w:val="0"/>
                                          <w:marBottom w:val="0"/>
                                          <w:divBdr>
                                            <w:top w:val="none" w:sz="0" w:space="0" w:color="auto"/>
                                            <w:left w:val="none" w:sz="0" w:space="0" w:color="auto"/>
                                            <w:bottom w:val="none" w:sz="0" w:space="0" w:color="auto"/>
                                            <w:right w:val="none" w:sz="0" w:space="0" w:color="auto"/>
                                          </w:divBdr>
                                          <w:divsChild>
                                            <w:div w:id="1322006367">
                                              <w:marLeft w:val="0"/>
                                              <w:marRight w:val="0"/>
                                              <w:marTop w:val="0"/>
                                              <w:marBottom w:val="0"/>
                                              <w:divBdr>
                                                <w:top w:val="none" w:sz="0" w:space="0" w:color="auto"/>
                                                <w:left w:val="none" w:sz="0" w:space="0" w:color="auto"/>
                                                <w:bottom w:val="none" w:sz="0" w:space="0" w:color="auto"/>
                                                <w:right w:val="none" w:sz="0" w:space="0" w:color="auto"/>
                                              </w:divBdr>
                                              <w:divsChild>
                                                <w:div w:id="2095010554">
                                                  <w:marLeft w:val="0"/>
                                                  <w:marRight w:val="0"/>
                                                  <w:marTop w:val="0"/>
                                                  <w:marBottom w:val="0"/>
                                                  <w:divBdr>
                                                    <w:top w:val="none" w:sz="0" w:space="0" w:color="auto"/>
                                                    <w:left w:val="none" w:sz="0" w:space="0" w:color="auto"/>
                                                    <w:bottom w:val="none" w:sz="0" w:space="0" w:color="auto"/>
                                                    <w:right w:val="none" w:sz="0" w:space="0" w:color="auto"/>
                                                  </w:divBdr>
                                                  <w:divsChild>
                                                    <w:div w:id="735930375">
                                                      <w:marLeft w:val="0"/>
                                                      <w:marRight w:val="0"/>
                                                      <w:marTop w:val="0"/>
                                                      <w:marBottom w:val="0"/>
                                                      <w:divBdr>
                                                        <w:top w:val="none" w:sz="0" w:space="0" w:color="auto"/>
                                                        <w:left w:val="none" w:sz="0" w:space="0" w:color="auto"/>
                                                        <w:bottom w:val="none" w:sz="0" w:space="0" w:color="auto"/>
                                                        <w:right w:val="none" w:sz="0" w:space="0" w:color="auto"/>
                                                      </w:divBdr>
                                                      <w:divsChild>
                                                        <w:div w:id="2002152967">
                                                          <w:marLeft w:val="0"/>
                                                          <w:marRight w:val="0"/>
                                                          <w:marTop w:val="0"/>
                                                          <w:marBottom w:val="0"/>
                                                          <w:divBdr>
                                                            <w:top w:val="none" w:sz="0" w:space="0" w:color="auto"/>
                                                            <w:left w:val="none" w:sz="0" w:space="0" w:color="auto"/>
                                                            <w:bottom w:val="none" w:sz="0" w:space="0" w:color="auto"/>
                                                            <w:right w:val="none" w:sz="0" w:space="0" w:color="auto"/>
                                                          </w:divBdr>
                                                          <w:divsChild>
                                                            <w:div w:id="1202395">
                                                              <w:marLeft w:val="0"/>
                                                              <w:marRight w:val="0"/>
                                                              <w:marTop w:val="0"/>
                                                              <w:marBottom w:val="0"/>
                                                              <w:divBdr>
                                                                <w:top w:val="none" w:sz="0" w:space="0" w:color="auto"/>
                                                                <w:left w:val="none" w:sz="0" w:space="0" w:color="auto"/>
                                                                <w:bottom w:val="none" w:sz="0" w:space="0" w:color="auto"/>
                                                                <w:right w:val="none" w:sz="0" w:space="0" w:color="auto"/>
                                                              </w:divBdr>
                                                              <w:divsChild>
                                                                <w:div w:id="70964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346888">
                                      <w:marLeft w:val="0"/>
                                      <w:marRight w:val="0"/>
                                      <w:marTop w:val="0"/>
                                      <w:marBottom w:val="0"/>
                                      <w:divBdr>
                                        <w:top w:val="none" w:sz="0" w:space="0" w:color="auto"/>
                                        <w:left w:val="none" w:sz="0" w:space="0" w:color="auto"/>
                                        <w:bottom w:val="none" w:sz="0" w:space="0" w:color="auto"/>
                                        <w:right w:val="none" w:sz="0" w:space="0" w:color="auto"/>
                                      </w:divBdr>
                                      <w:divsChild>
                                        <w:div w:id="1192576592">
                                          <w:marLeft w:val="0"/>
                                          <w:marRight w:val="0"/>
                                          <w:marTop w:val="0"/>
                                          <w:marBottom w:val="0"/>
                                          <w:divBdr>
                                            <w:top w:val="none" w:sz="0" w:space="0" w:color="auto"/>
                                            <w:left w:val="none" w:sz="0" w:space="0" w:color="auto"/>
                                            <w:bottom w:val="none" w:sz="0" w:space="0" w:color="auto"/>
                                            <w:right w:val="none" w:sz="0" w:space="0" w:color="auto"/>
                                          </w:divBdr>
                                          <w:divsChild>
                                            <w:div w:id="289284303">
                                              <w:marLeft w:val="0"/>
                                              <w:marRight w:val="0"/>
                                              <w:marTop w:val="0"/>
                                              <w:marBottom w:val="0"/>
                                              <w:divBdr>
                                                <w:top w:val="none" w:sz="0" w:space="0" w:color="auto"/>
                                                <w:left w:val="none" w:sz="0" w:space="0" w:color="auto"/>
                                                <w:bottom w:val="none" w:sz="0" w:space="0" w:color="auto"/>
                                                <w:right w:val="none" w:sz="0" w:space="0" w:color="auto"/>
                                              </w:divBdr>
                                              <w:divsChild>
                                                <w:div w:id="423764231">
                                                  <w:marLeft w:val="0"/>
                                                  <w:marRight w:val="0"/>
                                                  <w:marTop w:val="0"/>
                                                  <w:marBottom w:val="0"/>
                                                  <w:divBdr>
                                                    <w:top w:val="none" w:sz="0" w:space="0" w:color="auto"/>
                                                    <w:left w:val="none" w:sz="0" w:space="0" w:color="auto"/>
                                                    <w:bottom w:val="none" w:sz="0" w:space="0" w:color="auto"/>
                                                    <w:right w:val="none" w:sz="0" w:space="0" w:color="auto"/>
                                                  </w:divBdr>
                                                  <w:divsChild>
                                                    <w:div w:id="242885525">
                                                      <w:marLeft w:val="0"/>
                                                      <w:marRight w:val="0"/>
                                                      <w:marTop w:val="0"/>
                                                      <w:marBottom w:val="0"/>
                                                      <w:divBdr>
                                                        <w:top w:val="none" w:sz="0" w:space="0" w:color="auto"/>
                                                        <w:left w:val="none" w:sz="0" w:space="0" w:color="auto"/>
                                                        <w:bottom w:val="none" w:sz="0" w:space="0" w:color="auto"/>
                                                        <w:right w:val="none" w:sz="0" w:space="0" w:color="auto"/>
                                                      </w:divBdr>
                                                      <w:divsChild>
                                                        <w:div w:id="826047817">
                                                          <w:marLeft w:val="0"/>
                                                          <w:marRight w:val="0"/>
                                                          <w:marTop w:val="0"/>
                                                          <w:marBottom w:val="0"/>
                                                          <w:divBdr>
                                                            <w:top w:val="none" w:sz="0" w:space="0" w:color="auto"/>
                                                            <w:left w:val="none" w:sz="0" w:space="0" w:color="auto"/>
                                                            <w:bottom w:val="none" w:sz="0" w:space="0" w:color="auto"/>
                                                            <w:right w:val="none" w:sz="0" w:space="0" w:color="auto"/>
                                                          </w:divBdr>
                                                          <w:divsChild>
                                                            <w:div w:id="1822313125">
                                                              <w:marLeft w:val="0"/>
                                                              <w:marRight w:val="0"/>
                                                              <w:marTop w:val="0"/>
                                                              <w:marBottom w:val="0"/>
                                                              <w:divBdr>
                                                                <w:top w:val="none" w:sz="0" w:space="0" w:color="auto"/>
                                                                <w:left w:val="none" w:sz="0" w:space="0" w:color="auto"/>
                                                                <w:bottom w:val="none" w:sz="0" w:space="0" w:color="auto"/>
                                                                <w:right w:val="none" w:sz="0" w:space="0" w:color="auto"/>
                                                              </w:divBdr>
                                                              <w:divsChild>
                                                                <w:div w:id="358554432">
                                                                  <w:marLeft w:val="0"/>
                                                                  <w:marRight w:val="0"/>
                                                                  <w:marTop w:val="0"/>
                                                                  <w:marBottom w:val="0"/>
                                                                  <w:divBdr>
                                                                    <w:top w:val="none" w:sz="0" w:space="0" w:color="auto"/>
                                                                    <w:left w:val="none" w:sz="0" w:space="0" w:color="auto"/>
                                                                    <w:bottom w:val="none" w:sz="0" w:space="0" w:color="auto"/>
                                                                    <w:right w:val="none" w:sz="0" w:space="0" w:color="auto"/>
                                                                  </w:divBdr>
                                                                  <w:divsChild>
                                                                    <w:div w:id="99615982">
                                                                      <w:marLeft w:val="0"/>
                                                                      <w:marRight w:val="0"/>
                                                                      <w:marTop w:val="0"/>
                                                                      <w:marBottom w:val="0"/>
                                                                      <w:divBdr>
                                                                        <w:top w:val="none" w:sz="0" w:space="0" w:color="auto"/>
                                                                        <w:left w:val="none" w:sz="0" w:space="0" w:color="auto"/>
                                                                        <w:bottom w:val="none" w:sz="0" w:space="0" w:color="auto"/>
                                                                        <w:right w:val="none" w:sz="0" w:space="0" w:color="auto"/>
                                                                      </w:divBdr>
                                                                      <w:divsChild>
                                                                        <w:div w:id="742610106">
                                                                          <w:marLeft w:val="0"/>
                                                                          <w:marRight w:val="0"/>
                                                                          <w:marTop w:val="0"/>
                                                                          <w:marBottom w:val="0"/>
                                                                          <w:divBdr>
                                                                            <w:top w:val="none" w:sz="0" w:space="0" w:color="auto"/>
                                                                            <w:left w:val="none" w:sz="0" w:space="0" w:color="auto"/>
                                                                            <w:bottom w:val="none" w:sz="0" w:space="0" w:color="auto"/>
                                                                            <w:right w:val="none" w:sz="0" w:space="0" w:color="auto"/>
                                                                          </w:divBdr>
                                                                          <w:divsChild>
                                                                            <w:div w:id="832452193">
                                                                              <w:marLeft w:val="0"/>
                                                                              <w:marRight w:val="0"/>
                                                                              <w:marTop w:val="0"/>
                                                                              <w:marBottom w:val="0"/>
                                                                              <w:divBdr>
                                                                                <w:top w:val="none" w:sz="0" w:space="0" w:color="auto"/>
                                                                                <w:left w:val="none" w:sz="0" w:space="0" w:color="auto"/>
                                                                                <w:bottom w:val="none" w:sz="0" w:space="0" w:color="auto"/>
                                                                                <w:right w:val="none" w:sz="0" w:space="0" w:color="auto"/>
                                                                              </w:divBdr>
                                                                              <w:divsChild>
                                                                                <w:div w:id="90407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51135226">
                                      <w:marLeft w:val="0"/>
                                      <w:marRight w:val="0"/>
                                      <w:marTop w:val="0"/>
                                      <w:marBottom w:val="0"/>
                                      <w:divBdr>
                                        <w:top w:val="none" w:sz="0" w:space="0" w:color="auto"/>
                                        <w:left w:val="none" w:sz="0" w:space="0" w:color="auto"/>
                                        <w:bottom w:val="none" w:sz="0" w:space="0" w:color="auto"/>
                                        <w:right w:val="none" w:sz="0" w:space="0" w:color="auto"/>
                                      </w:divBdr>
                                      <w:divsChild>
                                        <w:div w:id="1286892925">
                                          <w:marLeft w:val="0"/>
                                          <w:marRight w:val="0"/>
                                          <w:marTop w:val="0"/>
                                          <w:marBottom w:val="0"/>
                                          <w:divBdr>
                                            <w:top w:val="none" w:sz="0" w:space="0" w:color="auto"/>
                                            <w:left w:val="none" w:sz="0" w:space="0" w:color="auto"/>
                                            <w:bottom w:val="none" w:sz="0" w:space="0" w:color="auto"/>
                                            <w:right w:val="none" w:sz="0" w:space="0" w:color="auto"/>
                                          </w:divBdr>
                                          <w:divsChild>
                                            <w:div w:id="866136403">
                                              <w:marLeft w:val="0"/>
                                              <w:marRight w:val="0"/>
                                              <w:marTop w:val="0"/>
                                              <w:marBottom w:val="0"/>
                                              <w:divBdr>
                                                <w:top w:val="none" w:sz="0" w:space="0" w:color="auto"/>
                                                <w:left w:val="none" w:sz="0" w:space="0" w:color="auto"/>
                                                <w:bottom w:val="none" w:sz="0" w:space="0" w:color="auto"/>
                                                <w:right w:val="none" w:sz="0" w:space="0" w:color="auto"/>
                                              </w:divBdr>
                                              <w:divsChild>
                                                <w:div w:id="2013953181">
                                                  <w:marLeft w:val="0"/>
                                                  <w:marRight w:val="0"/>
                                                  <w:marTop w:val="0"/>
                                                  <w:marBottom w:val="0"/>
                                                  <w:divBdr>
                                                    <w:top w:val="none" w:sz="0" w:space="0" w:color="auto"/>
                                                    <w:left w:val="none" w:sz="0" w:space="0" w:color="auto"/>
                                                    <w:bottom w:val="none" w:sz="0" w:space="0" w:color="auto"/>
                                                    <w:right w:val="none" w:sz="0" w:space="0" w:color="auto"/>
                                                  </w:divBdr>
                                                  <w:divsChild>
                                                    <w:div w:id="1423450097">
                                                      <w:marLeft w:val="0"/>
                                                      <w:marRight w:val="0"/>
                                                      <w:marTop w:val="0"/>
                                                      <w:marBottom w:val="0"/>
                                                      <w:divBdr>
                                                        <w:top w:val="none" w:sz="0" w:space="0" w:color="auto"/>
                                                        <w:left w:val="none" w:sz="0" w:space="0" w:color="auto"/>
                                                        <w:bottom w:val="none" w:sz="0" w:space="0" w:color="auto"/>
                                                        <w:right w:val="none" w:sz="0" w:space="0" w:color="auto"/>
                                                      </w:divBdr>
                                                      <w:divsChild>
                                                        <w:div w:id="397559682">
                                                          <w:marLeft w:val="0"/>
                                                          <w:marRight w:val="0"/>
                                                          <w:marTop w:val="0"/>
                                                          <w:marBottom w:val="0"/>
                                                          <w:divBdr>
                                                            <w:top w:val="none" w:sz="0" w:space="0" w:color="auto"/>
                                                            <w:left w:val="none" w:sz="0" w:space="0" w:color="auto"/>
                                                            <w:bottom w:val="none" w:sz="0" w:space="0" w:color="auto"/>
                                                            <w:right w:val="none" w:sz="0" w:space="0" w:color="auto"/>
                                                          </w:divBdr>
                                                          <w:divsChild>
                                                            <w:div w:id="415982903">
                                                              <w:marLeft w:val="0"/>
                                                              <w:marRight w:val="0"/>
                                                              <w:marTop w:val="0"/>
                                                              <w:marBottom w:val="0"/>
                                                              <w:divBdr>
                                                                <w:top w:val="none" w:sz="0" w:space="0" w:color="auto"/>
                                                                <w:left w:val="none" w:sz="0" w:space="0" w:color="auto"/>
                                                                <w:bottom w:val="none" w:sz="0" w:space="0" w:color="auto"/>
                                                                <w:right w:val="none" w:sz="0" w:space="0" w:color="auto"/>
                                                              </w:divBdr>
                                                              <w:divsChild>
                                                                <w:div w:id="18428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33213866">
      <w:bodyDiv w:val="1"/>
      <w:marLeft w:val="0"/>
      <w:marRight w:val="0"/>
      <w:marTop w:val="0"/>
      <w:marBottom w:val="0"/>
      <w:divBdr>
        <w:top w:val="none" w:sz="0" w:space="0" w:color="auto"/>
        <w:left w:val="none" w:sz="0" w:space="0" w:color="auto"/>
        <w:bottom w:val="none" w:sz="0" w:space="0" w:color="auto"/>
        <w:right w:val="none" w:sz="0" w:space="0" w:color="auto"/>
      </w:divBdr>
    </w:div>
    <w:div w:id="478495708">
      <w:bodyDiv w:val="1"/>
      <w:marLeft w:val="0"/>
      <w:marRight w:val="0"/>
      <w:marTop w:val="0"/>
      <w:marBottom w:val="0"/>
      <w:divBdr>
        <w:top w:val="none" w:sz="0" w:space="0" w:color="auto"/>
        <w:left w:val="none" w:sz="0" w:space="0" w:color="auto"/>
        <w:bottom w:val="none" w:sz="0" w:space="0" w:color="auto"/>
        <w:right w:val="none" w:sz="0" w:space="0" w:color="auto"/>
      </w:divBdr>
    </w:div>
    <w:div w:id="485632602">
      <w:bodyDiv w:val="1"/>
      <w:marLeft w:val="0"/>
      <w:marRight w:val="0"/>
      <w:marTop w:val="0"/>
      <w:marBottom w:val="0"/>
      <w:divBdr>
        <w:top w:val="none" w:sz="0" w:space="0" w:color="auto"/>
        <w:left w:val="none" w:sz="0" w:space="0" w:color="auto"/>
        <w:bottom w:val="none" w:sz="0" w:space="0" w:color="auto"/>
        <w:right w:val="none" w:sz="0" w:space="0" w:color="auto"/>
      </w:divBdr>
    </w:div>
    <w:div w:id="501434885">
      <w:bodyDiv w:val="1"/>
      <w:marLeft w:val="0"/>
      <w:marRight w:val="0"/>
      <w:marTop w:val="0"/>
      <w:marBottom w:val="0"/>
      <w:divBdr>
        <w:top w:val="none" w:sz="0" w:space="0" w:color="auto"/>
        <w:left w:val="none" w:sz="0" w:space="0" w:color="auto"/>
        <w:bottom w:val="none" w:sz="0" w:space="0" w:color="auto"/>
        <w:right w:val="none" w:sz="0" w:space="0" w:color="auto"/>
      </w:divBdr>
    </w:div>
    <w:div w:id="568922541">
      <w:bodyDiv w:val="1"/>
      <w:marLeft w:val="0"/>
      <w:marRight w:val="0"/>
      <w:marTop w:val="0"/>
      <w:marBottom w:val="0"/>
      <w:divBdr>
        <w:top w:val="none" w:sz="0" w:space="0" w:color="auto"/>
        <w:left w:val="none" w:sz="0" w:space="0" w:color="auto"/>
        <w:bottom w:val="none" w:sz="0" w:space="0" w:color="auto"/>
        <w:right w:val="none" w:sz="0" w:space="0" w:color="auto"/>
      </w:divBdr>
    </w:div>
    <w:div w:id="586307189">
      <w:bodyDiv w:val="1"/>
      <w:marLeft w:val="0"/>
      <w:marRight w:val="0"/>
      <w:marTop w:val="0"/>
      <w:marBottom w:val="0"/>
      <w:divBdr>
        <w:top w:val="none" w:sz="0" w:space="0" w:color="auto"/>
        <w:left w:val="none" w:sz="0" w:space="0" w:color="auto"/>
        <w:bottom w:val="none" w:sz="0" w:space="0" w:color="auto"/>
        <w:right w:val="none" w:sz="0" w:space="0" w:color="auto"/>
      </w:divBdr>
    </w:div>
    <w:div w:id="638609630">
      <w:bodyDiv w:val="1"/>
      <w:marLeft w:val="0"/>
      <w:marRight w:val="0"/>
      <w:marTop w:val="0"/>
      <w:marBottom w:val="0"/>
      <w:divBdr>
        <w:top w:val="none" w:sz="0" w:space="0" w:color="auto"/>
        <w:left w:val="none" w:sz="0" w:space="0" w:color="auto"/>
        <w:bottom w:val="none" w:sz="0" w:space="0" w:color="auto"/>
        <w:right w:val="none" w:sz="0" w:space="0" w:color="auto"/>
      </w:divBdr>
      <w:divsChild>
        <w:div w:id="1869174617">
          <w:marLeft w:val="0"/>
          <w:marRight w:val="0"/>
          <w:marTop w:val="0"/>
          <w:marBottom w:val="0"/>
          <w:divBdr>
            <w:top w:val="none" w:sz="0" w:space="0" w:color="auto"/>
            <w:left w:val="none" w:sz="0" w:space="0" w:color="auto"/>
            <w:bottom w:val="none" w:sz="0" w:space="0" w:color="auto"/>
            <w:right w:val="none" w:sz="0" w:space="0" w:color="auto"/>
          </w:divBdr>
          <w:divsChild>
            <w:div w:id="673529236">
              <w:marLeft w:val="0"/>
              <w:marRight w:val="0"/>
              <w:marTop w:val="0"/>
              <w:marBottom w:val="0"/>
              <w:divBdr>
                <w:top w:val="none" w:sz="0" w:space="0" w:color="auto"/>
                <w:left w:val="none" w:sz="0" w:space="0" w:color="auto"/>
                <w:bottom w:val="none" w:sz="0" w:space="0" w:color="auto"/>
                <w:right w:val="none" w:sz="0" w:space="0" w:color="auto"/>
              </w:divBdr>
              <w:divsChild>
                <w:div w:id="731270631">
                  <w:marLeft w:val="0"/>
                  <w:marRight w:val="0"/>
                  <w:marTop w:val="0"/>
                  <w:marBottom w:val="0"/>
                  <w:divBdr>
                    <w:top w:val="none" w:sz="0" w:space="0" w:color="auto"/>
                    <w:left w:val="none" w:sz="0" w:space="0" w:color="auto"/>
                    <w:bottom w:val="none" w:sz="0" w:space="0" w:color="auto"/>
                    <w:right w:val="none" w:sz="0" w:space="0" w:color="auto"/>
                  </w:divBdr>
                  <w:divsChild>
                    <w:div w:id="899906473">
                      <w:marLeft w:val="0"/>
                      <w:marRight w:val="0"/>
                      <w:marTop w:val="0"/>
                      <w:marBottom w:val="0"/>
                      <w:divBdr>
                        <w:top w:val="none" w:sz="0" w:space="0" w:color="auto"/>
                        <w:left w:val="none" w:sz="0" w:space="0" w:color="auto"/>
                        <w:bottom w:val="none" w:sz="0" w:space="0" w:color="auto"/>
                        <w:right w:val="none" w:sz="0" w:space="0" w:color="auto"/>
                      </w:divBdr>
                      <w:divsChild>
                        <w:div w:id="1786463215">
                          <w:marLeft w:val="0"/>
                          <w:marRight w:val="0"/>
                          <w:marTop w:val="0"/>
                          <w:marBottom w:val="0"/>
                          <w:divBdr>
                            <w:top w:val="none" w:sz="0" w:space="0" w:color="auto"/>
                            <w:left w:val="none" w:sz="0" w:space="0" w:color="auto"/>
                            <w:bottom w:val="none" w:sz="0" w:space="0" w:color="auto"/>
                            <w:right w:val="none" w:sz="0" w:space="0" w:color="auto"/>
                          </w:divBdr>
                          <w:divsChild>
                            <w:div w:id="887914111">
                              <w:marLeft w:val="0"/>
                              <w:marRight w:val="0"/>
                              <w:marTop w:val="0"/>
                              <w:marBottom w:val="0"/>
                              <w:divBdr>
                                <w:top w:val="none" w:sz="0" w:space="0" w:color="auto"/>
                                <w:left w:val="none" w:sz="0" w:space="0" w:color="auto"/>
                                <w:bottom w:val="none" w:sz="0" w:space="0" w:color="auto"/>
                                <w:right w:val="none" w:sz="0" w:space="0" w:color="auto"/>
                              </w:divBdr>
                              <w:divsChild>
                                <w:div w:id="1293175774">
                                  <w:marLeft w:val="0"/>
                                  <w:marRight w:val="0"/>
                                  <w:marTop w:val="0"/>
                                  <w:marBottom w:val="0"/>
                                  <w:divBdr>
                                    <w:top w:val="none" w:sz="0" w:space="0" w:color="auto"/>
                                    <w:left w:val="none" w:sz="0" w:space="0" w:color="auto"/>
                                    <w:bottom w:val="none" w:sz="0" w:space="0" w:color="auto"/>
                                    <w:right w:val="none" w:sz="0" w:space="0" w:color="auto"/>
                                  </w:divBdr>
                                  <w:divsChild>
                                    <w:div w:id="804809861">
                                      <w:marLeft w:val="0"/>
                                      <w:marRight w:val="0"/>
                                      <w:marTop w:val="0"/>
                                      <w:marBottom w:val="0"/>
                                      <w:divBdr>
                                        <w:top w:val="none" w:sz="0" w:space="0" w:color="auto"/>
                                        <w:left w:val="none" w:sz="0" w:space="0" w:color="auto"/>
                                        <w:bottom w:val="none" w:sz="0" w:space="0" w:color="auto"/>
                                        <w:right w:val="none" w:sz="0" w:space="0" w:color="auto"/>
                                      </w:divBdr>
                                      <w:divsChild>
                                        <w:div w:id="82150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9018714">
      <w:bodyDiv w:val="1"/>
      <w:marLeft w:val="0"/>
      <w:marRight w:val="0"/>
      <w:marTop w:val="0"/>
      <w:marBottom w:val="0"/>
      <w:divBdr>
        <w:top w:val="none" w:sz="0" w:space="0" w:color="auto"/>
        <w:left w:val="none" w:sz="0" w:space="0" w:color="auto"/>
        <w:bottom w:val="none" w:sz="0" w:space="0" w:color="auto"/>
        <w:right w:val="none" w:sz="0" w:space="0" w:color="auto"/>
      </w:divBdr>
    </w:div>
    <w:div w:id="776632517">
      <w:bodyDiv w:val="1"/>
      <w:marLeft w:val="0"/>
      <w:marRight w:val="0"/>
      <w:marTop w:val="0"/>
      <w:marBottom w:val="0"/>
      <w:divBdr>
        <w:top w:val="none" w:sz="0" w:space="0" w:color="auto"/>
        <w:left w:val="none" w:sz="0" w:space="0" w:color="auto"/>
        <w:bottom w:val="none" w:sz="0" w:space="0" w:color="auto"/>
        <w:right w:val="none" w:sz="0" w:space="0" w:color="auto"/>
      </w:divBdr>
    </w:div>
    <w:div w:id="819538024">
      <w:bodyDiv w:val="1"/>
      <w:marLeft w:val="0"/>
      <w:marRight w:val="0"/>
      <w:marTop w:val="0"/>
      <w:marBottom w:val="0"/>
      <w:divBdr>
        <w:top w:val="none" w:sz="0" w:space="0" w:color="auto"/>
        <w:left w:val="none" w:sz="0" w:space="0" w:color="auto"/>
        <w:bottom w:val="none" w:sz="0" w:space="0" w:color="auto"/>
        <w:right w:val="none" w:sz="0" w:space="0" w:color="auto"/>
      </w:divBdr>
      <w:divsChild>
        <w:div w:id="447359003">
          <w:marLeft w:val="0"/>
          <w:marRight w:val="0"/>
          <w:marTop w:val="0"/>
          <w:marBottom w:val="0"/>
          <w:divBdr>
            <w:top w:val="none" w:sz="0" w:space="0" w:color="auto"/>
            <w:left w:val="none" w:sz="0" w:space="0" w:color="auto"/>
            <w:bottom w:val="none" w:sz="0" w:space="0" w:color="auto"/>
            <w:right w:val="none" w:sz="0" w:space="0" w:color="auto"/>
          </w:divBdr>
          <w:divsChild>
            <w:div w:id="1345478463">
              <w:marLeft w:val="0"/>
              <w:marRight w:val="0"/>
              <w:marTop w:val="0"/>
              <w:marBottom w:val="0"/>
              <w:divBdr>
                <w:top w:val="none" w:sz="0" w:space="0" w:color="auto"/>
                <w:left w:val="none" w:sz="0" w:space="0" w:color="auto"/>
                <w:bottom w:val="none" w:sz="0" w:space="0" w:color="auto"/>
                <w:right w:val="none" w:sz="0" w:space="0" w:color="auto"/>
              </w:divBdr>
              <w:divsChild>
                <w:div w:id="1522091602">
                  <w:marLeft w:val="0"/>
                  <w:marRight w:val="0"/>
                  <w:marTop w:val="0"/>
                  <w:marBottom w:val="0"/>
                  <w:divBdr>
                    <w:top w:val="none" w:sz="0" w:space="0" w:color="auto"/>
                    <w:left w:val="none" w:sz="0" w:space="0" w:color="auto"/>
                    <w:bottom w:val="none" w:sz="0" w:space="0" w:color="auto"/>
                    <w:right w:val="none" w:sz="0" w:space="0" w:color="auto"/>
                  </w:divBdr>
                  <w:divsChild>
                    <w:div w:id="1308238906">
                      <w:marLeft w:val="0"/>
                      <w:marRight w:val="0"/>
                      <w:marTop w:val="0"/>
                      <w:marBottom w:val="0"/>
                      <w:divBdr>
                        <w:top w:val="none" w:sz="0" w:space="0" w:color="auto"/>
                        <w:left w:val="none" w:sz="0" w:space="0" w:color="auto"/>
                        <w:bottom w:val="none" w:sz="0" w:space="0" w:color="auto"/>
                        <w:right w:val="none" w:sz="0" w:space="0" w:color="auto"/>
                      </w:divBdr>
                      <w:divsChild>
                        <w:div w:id="1068965955">
                          <w:marLeft w:val="0"/>
                          <w:marRight w:val="0"/>
                          <w:marTop w:val="0"/>
                          <w:marBottom w:val="0"/>
                          <w:divBdr>
                            <w:top w:val="none" w:sz="0" w:space="0" w:color="auto"/>
                            <w:left w:val="none" w:sz="0" w:space="0" w:color="auto"/>
                            <w:bottom w:val="none" w:sz="0" w:space="0" w:color="auto"/>
                            <w:right w:val="none" w:sz="0" w:space="0" w:color="auto"/>
                          </w:divBdr>
                          <w:divsChild>
                            <w:div w:id="1319455994">
                              <w:marLeft w:val="0"/>
                              <w:marRight w:val="0"/>
                              <w:marTop w:val="0"/>
                              <w:marBottom w:val="0"/>
                              <w:divBdr>
                                <w:top w:val="none" w:sz="0" w:space="0" w:color="auto"/>
                                <w:left w:val="none" w:sz="0" w:space="0" w:color="auto"/>
                                <w:bottom w:val="none" w:sz="0" w:space="0" w:color="auto"/>
                                <w:right w:val="none" w:sz="0" w:space="0" w:color="auto"/>
                              </w:divBdr>
                              <w:divsChild>
                                <w:div w:id="318926791">
                                  <w:marLeft w:val="0"/>
                                  <w:marRight w:val="0"/>
                                  <w:marTop w:val="0"/>
                                  <w:marBottom w:val="0"/>
                                  <w:divBdr>
                                    <w:top w:val="none" w:sz="0" w:space="0" w:color="auto"/>
                                    <w:left w:val="none" w:sz="0" w:space="0" w:color="auto"/>
                                    <w:bottom w:val="none" w:sz="0" w:space="0" w:color="auto"/>
                                    <w:right w:val="none" w:sz="0" w:space="0" w:color="auto"/>
                                  </w:divBdr>
                                  <w:divsChild>
                                    <w:div w:id="1888639767">
                                      <w:marLeft w:val="0"/>
                                      <w:marRight w:val="0"/>
                                      <w:marTop w:val="0"/>
                                      <w:marBottom w:val="0"/>
                                      <w:divBdr>
                                        <w:top w:val="none" w:sz="0" w:space="0" w:color="auto"/>
                                        <w:left w:val="none" w:sz="0" w:space="0" w:color="auto"/>
                                        <w:bottom w:val="none" w:sz="0" w:space="0" w:color="auto"/>
                                        <w:right w:val="none" w:sz="0" w:space="0" w:color="auto"/>
                                      </w:divBdr>
                                      <w:divsChild>
                                        <w:div w:id="52995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3785460">
      <w:bodyDiv w:val="1"/>
      <w:marLeft w:val="0"/>
      <w:marRight w:val="0"/>
      <w:marTop w:val="0"/>
      <w:marBottom w:val="0"/>
      <w:divBdr>
        <w:top w:val="none" w:sz="0" w:space="0" w:color="auto"/>
        <w:left w:val="none" w:sz="0" w:space="0" w:color="auto"/>
        <w:bottom w:val="none" w:sz="0" w:space="0" w:color="auto"/>
        <w:right w:val="none" w:sz="0" w:space="0" w:color="auto"/>
      </w:divBdr>
    </w:div>
    <w:div w:id="947350216">
      <w:bodyDiv w:val="1"/>
      <w:marLeft w:val="0"/>
      <w:marRight w:val="0"/>
      <w:marTop w:val="0"/>
      <w:marBottom w:val="0"/>
      <w:divBdr>
        <w:top w:val="none" w:sz="0" w:space="0" w:color="auto"/>
        <w:left w:val="none" w:sz="0" w:space="0" w:color="auto"/>
        <w:bottom w:val="none" w:sz="0" w:space="0" w:color="auto"/>
        <w:right w:val="none" w:sz="0" w:space="0" w:color="auto"/>
      </w:divBdr>
    </w:div>
    <w:div w:id="967979706">
      <w:bodyDiv w:val="1"/>
      <w:marLeft w:val="0"/>
      <w:marRight w:val="0"/>
      <w:marTop w:val="0"/>
      <w:marBottom w:val="0"/>
      <w:divBdr>
        <w:top w:val="none" w:sz="0" w:space="0" w:color="auto"/>
        <w:left w:val="none" w:sz="0" w:space="0" w:color="auto"/>
        <w:bottom w:val="none" w:sz="0" w:space="0" w:color="auto"/>
        <w:right w:val="none" w:sz="0" w:space="0" w:color="auto"/>
      </w:divBdr>
    </w:div>
    <w:div w:id="1042900941">
      <w:bodyDiv w:val="1"/>
      <w:marLeft w:val="0"/>
      <w:marRight w:val="0"/>
      <w:marTop w:val="0"/>
      <w:marBottom w:val="0"/>
      <w:divBdr>
        <w:top w:val="none" w:sz="0" w:space="0" w:color="auto"/>
        <w:left w:val="none" w:sz="0" w:space="0" w:color="auto"/>
        <w:bottom w:val="none" w:sz="0" w:space="0" w:color="auto"/>
        <w:right w:val="none" w:sz="0" w:space="0" w:color="auto"/>
      </w:divBdr>
    </w:div>
    <w:div w:id="1054349390">
      <w:bodyDiv w:val="1"/>
      <w:marLeft w:val="0"/>
      <w:marRight w:val="0"/>
      <w:marTop w:val="0"/>
      <w:marBottom w:val="0"/>
      <w:divBdr>
        <w:top w:val="none" w:sz="0" w:space="0" w:color="auto"/>
        <w:left w:val="none" w:sz="0" w:space="0" w:color="auto"/>
        <w:bottom w:val="none" w:sz="0" w:space="0" w:color="auto"/>
        <w:right w:val="none" w:sz="0" w:space="0" w:color="auto"/>
      </w:divBdr>
    </w:div>
    <w:div w:id="1100028123">
      <w:bodyDiv w:val="1"/>
      <w:marLeft w:val="0"/>
      <w:marRight w:val="0"/>
      <w:marTop w:val="0"/>
      <w:marBottom w:val="0"/>
      <w:divBdr>
        <w:top w:val="none" w:sz="0" w:space="0" w:color="auto"/>
        <w:left w:val="none" w:sz="0" w:space="0" w:color="auto"/>
        <w:bottom w:val="none" w:sz="0" w:space="0" w:color="auto"/>
        <w:right w:val="none" w:sz="0" w:space="0" w:color="auto"/>
      </w:divBdr>
    </w:div>
    <w:div w:id="1108819553">
      <w:bodyDiv w:val="1"/>
      <w:marLeft w:val="0"/>
      <w:marRight w:val="0"/>
      <w:marTop w:val="0"/>
      <w:marBottom w:val="0"/>
      <w:divBdr>
        <w:top w:val="none" w:sz="0" w:space="0" w:color="auto"/>
        <w:left w:val="none" w:sz="0" w:space="0" w:color="auto"/>
        <w:bottom w:val="none" w:sz="0" w:space="0" w:color="auto"/>
        <w:right w:val="none" w:sz="0" w:space="0" w:color="auto"/>
      </w:divBdr>
    </w:div>
    <w:div w:id="1177844815">
      <w:bodyDiv w:val="1"/>
      <w:marLeft w:val="0"/>
      <w:marRight w:val="0"/>
      <w:marTop w:val="0"/>
      <w:marBottom w:val="0"/>
      <w:divBdr>
        <w:top w:val="none" w:sz="0" w:space="0" w:color="auto"/>
        <w:left w:val="none" w:sz="0" w:space="0" w:color="auto"/>
        <w:bottom w:val="none" w:sz="0" w:space="0" w:color="auto"/>
        <w:right w:val="none" w:sz="0" w:space="0" w:color="auto"/>
      </w:divBdr>
    </w:div>
    <w:div w:id="1204097812">
      <w:bodyDiv w:val="1"/>
      <w:marLeft w:val="0"/>
      <w:marRight w:val="0"/>
      <w:marTop w:val="0"/>
      <w:marBottom w:val="0"/>
      <w:divBdr>
        <w:top w:val="none" w:sz="0" w:space="0" w:color="auto"/>
        <w:left w:val="none" w:sz="0" w:space="0" w:color="auto"/>
        <w:bottom w:val="none" w:sz="0" w:space="0" w:color="auto"/>
        <w:right w:val="none" w:sz="0" w:space="0" w:color="auto"/>
      </w:divBdr>
    </w:div>
    <w:div w:id="1528594325">
      <w:bodyDiv w:val="1"/>
      <w:marLeft w:val="0"/>
      <w:marRight w:val="0"/>
      <w:marTop w:val="0"/>
      <w:marBottom w:val="0"/>
      <w:divBdr>
        <w:top w:val="none" w:sz="0" w:space="0" w:color="auto"/>
        <w:left w:val="none" w:sz="0" w:space="0" w:color="auto"/>
        <w:bottom w:val="none" w:sz="0" w:space="0" w:color="auto"/>
        <w:right w:val="none" w:sz="0" w:space="0" w:color="auto"/>
      </w:divBdr>
    </w:div>
    <w:div w:id="1607686971">
      <w:bodyDiv w:val="1"/>
      <w:marLeft w:val="0"/>
      <w:marRight w:val="0"/>
      <w:marTop w:val="0"/>
      <w:marBottom w:val="0"/>
      <w:divBdr>
        <w:top w:val="none" w:sz="0" w:space="0" w:color="auto"/>
        <w:left w:val="none" w:sz="0" w:space="0" w:color="auto"/>
        <w:bottom w:val="none" w:sz="0" w:space="0" w:color="auto"/>
        <w:right w:val="none" w:sz="0" w:space="0" w:color="auto"/>
      </w:divBdr>
    </w:div>
    <w:div w:id="1663657198">
      <w:bodyDiv w:val="1"/>
      <w:marLeft w:val="0"/>
      <w:marRight w:val="0"/>
      <w:marTop w:val="0"/>
      <w:marBottom w:val="0"/>
      <w:divBdr>
        <w:top w:val="none" w:sz="0" w:space="0" w:color="auto"/>
        <w:left w:val="none" w:sz="0" w:space="0" w:color="auto"/>
        <w:bottom w:val="none" w:sz="0" w:space="0" w:color="auto"/>
        <w:right w:val="none" w:sz="0" w:space="0" w:color="auto"/>
      </w:divBdr>
      <w:divsChild>
        <w:div w:id="1518889118">
          <w:marLeft w:val="0"/>
          <w:marRight w:val="0"/>
          <w:marTop w:val="0"/>
          <w:marBottom w:val="0"/>
          <w:divBdr>
            <w:top w:val="none" w:sz="0" w:space="0" w:color="auto"/>
            <w:left w:val="none" w:sz="0" w:space="0" w:color="auto"/>
            <w:bottom w:val="none" w:sz="0" w:space="0" w:color="auto"/>
            <w:right w:val="none" w:sz="0" w:space="0" w:color="auto"/>
          </w:divBdr>
          <w:divsChild>
            <w:div w:id="989554601">
              <w:marLeft w:val="0"/>
              <w:marRight w:val="0"/>
              <w:marTop w:val="0"/>
              <w:marBottom w:val="0"/>
              <w:divBdr>
                <w:top w:val="none" w:sz="0" w:space="0" w:color="auto"/>
                <w:left w:val="none" w:sz="0" w:space="0" w:color="auto"/>
                <w:bottom w:val="none" w:sz="0" w:space="0" w:color="auto"/>
                <w:right w:val="none" w:sz="0" w:space="0" w:color="auto"/>
              </w:divBdr>
              <w:divsChild>
                <w:div w:id="1389499104">
                  <w:marLeft w:val="0"/>
                  <w:marRight w:val="0"/>
                  <w:marTop w:val="0"/>
                  <w:marBottom w:val="0"/>
                  <w:divBdr>
                    <w:top w:val="none" w:sz="0" w:space="0" w:color="auto"/>
                    <w:left w:val="none" w:sz="0" w:space="0" w:color="auto"/>
                    <w:bottom w:val="none" w:sz="0" w:space="0" w:color="auto"/>
                    <w:right w:val="none" w:sz="0" w:space="0" w:color="auto"/>
                  </w:divBdr>
                  <w:divsChild>
                    <w:div w:id="920917883">
                      <w:marLeft w:val="0"/>
                      <w:marRight w:val="0"/>
                      <w:marTop w:val="0"/>
                      <w:marBottom w:val="0"/>
                      <w:divBdr>
                        <w:top w:val="none" w:sz="0" w:space="0" w:color="auto"/>
                        <w:left w:val="none" w:sz="0" w:space="0" w:color="auto"/>
                        <w:bottom w:val="none" w:sz="0" w:space="0" w:color="auto"/>
                        <w:right w:val="none" w:sz="0" w:space="0" w:color="auto"/>
                      </w:divBdr>
                      <w:divsChild>
                        <w:div w:id="1432429669">
                          <w:marLeft w:val="0"/>
                          <w:marRight w:val="0"/>
                          <w:marTop w:val="0"/>
                          <w:marBottom w:val="0"/>
                          <w:divBdr>
                            <w:top w:val="single" w:sz="6" w:space="15" w:color="auto"/>
                            <w:left w:val="single" w:sz="2" w:space="15" w:color="auto"/>
                            <w:bottom w:val="single" w:sz="2" w:space="15" w:color="auto"/>
                            <w:right w:val="single" w:sz="2" w:space="15" w:color="auto"/>
                          </w:divBdr>
                          <w:divsChild>
                            <w:div w:id="1319190735">
                              <w:marLeft w:val="0"/>
                              <w:marRight w:val="0"/>
                              <w:marTop w:val="0"/>
                              <w:marBottom w:val="360"/>
                              <w:divBdr>
                                <w:top w:val="none" w:sz="0" w:space="0" w:color="auto"/>
                                <w:left w:val="none" w:sz="0" w:space="0" w:color="auto"/>
                                <w:bottom w:val="none" w:sz="0" w:space="0" w:color="auto"/>
                                <w:right w:val="none" w:sz="0" w:space="0" w:color="auto"/>
                              </w:divBdr>
                            </w:div>
                            <w:div w:id="803737493">
                              <w:marLeft w:val="0"/>
                              <w:marRight w:val="0"/>
                              <w:marTop w:val="0"/>
                              <w:marBottom w:val="0"/>
                              <w:divBdr>
                                <w:top w:val="none" w:sz="0" w:space="0" w:color="auto"/>
                                <w:left w:val="none" w:sz="0" w:space="0" w:color="auto"/>
                                <w:bottom w:val="none" w:sz="0" w:space="0" w:color="auto"/>
                                <w:right w:val="none" w:sz="0" w:space="0" w:color="auto"/>
                              </w:divBdr>
                              <w:divsChild>
                                <w:div w:id="169588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712438">
          <w:marLeft w:val="0"/>
          <w:marRight w:val="0"/>
          <w:marTop w:val="0"/>
          <w:marBottom w:val="0"/>
          <w:divBdr>
            <w:top w:val="none" w:sz="0" w:space="0" w:color="auto"/>
            <w:left w:val="none" w:sz="0" w:space="0" w:color="auto"/>
            <w:bottom w:val="none" w:sz="0" w:space="0" w:color="auto"/>
            <w:right w:val="none" w:sz="0" w:space="0" w:color="auto"/>
          </w:divBdr>
          <w:divsChild>
            <w:div w:id="815801270">
              <w:marLeft w:val="0"/>
              <w:marRight w:val="0"/>
              <w:marTop w:val="0"/>
              <w:marBottom w:val="0"/>
              <w:divBdr>
                <w:top w:val="none" w:sz="0" w:space="0" w:color="auto"/>
                <w:left w:val="none" w:sz="0" w:space="0" w:color="auto"/>
                <w:bottom w:val="none" w:sz="0" w:space="0" w:color="auto"/>
                <w:right w:val="none" w:sz="0" w:space="0" w:color="auto"/>
              </w:divBdr>
              <w:divsChild>
                <w:div w:id="781267005">
                  <w:marLeft w:val="0"/>
                  <w:marRight w:val="0"/>
                  <w:marTop w:val="0"/>
                  <w:marBottom w:val="0"/>
                  <w:divBdr>
                    <w:top w:val="none" w:sz="0" w:space="0" w:color="auto"/>
                    <w:left w:val="none" w:sz="0" w:space="0" w:color="auto"/>
                    <w:bottom w:val="none" w:sz="0" w:space="0" w:color="auto"/>
                    <w:right w:val="none" w:sz="0" w:space="0" w:color="auto"/>
                  </w:divBdr>
                  <w:divsChild>
                    <w:div w:id="2004621732">
                      <w:marLeft w:val="0"/>
                      <w:marRight w:val="0"/>
                      <w:marTop w:val="0"/>
                      <w:marBottom w:val="0"/>
                      <w:divBdr>
                        <w:top w:val="none" w:sz="0" w:space="0" w:color="auto"/>
                        <w:left w:val="none" w:sz="0" w:space="0" w:color="auto"/>
                        <w:bottom w:val="none" w:sz="0" w:space="0" w:color="auto"/>
                        <w:right w:val="none" w:sz="0" w:space="0" w:color="auto"/>
                      </w:divBdr>
                      <w:divsChild>
                        <w:div w:id="1919243510">
                          <w:marLeft w:val="0"/>
                          <w:marRight w:val="0"/>
                          <w:marTop w:val="0"/>
                          <w:marBottom w:val="0"/>
                          <w:divBdr>
                            <w:top w:val="none" w:sz="0" w:space="0" w:color="auto"/>
                            <w:left w:val="none" w:sz="0" w:space="0" w:color="auto"/>
                            <w:bottom w:val="none" w:sz="0" w:space="0" w:color="auto"/>
                            <w:right w:val="none" w:sz="0" w:space="0" w:color="auto"/>
                          </w:divBdr>
                          <w:divsChild>
                            <w:div w:id="1730838410">
                              <w:marLeft w:val="0"/>
                              <w:marRight w:val="0"/>
                              <w:marTop w:val="0"/>
                              <w:marBottom w:val="0"/>
                              <w:divBdr>
                                <w:top w:val="none" w:sz="0" w:space="0" w:color="auto"/>
                                <w:left w:val="none" w:sz="0" w:space="0" w:color="auto"/>
                                <w:bottom w:val="none" w:sz="0" w:space="0" w:color="auto"/>
                                <w:right w:val="none" w:sz="0" w:space="0" w:color="auto"/>
                              </w:divBdr>
                              <w:divsChild>
                                <w:div w:id="1676767803">
                                  <w:marLeft w:val="0"/>
                                  <w:marRight w:val="0"/>
                                  <w:marTop w:val="0"/>
                                  <w:marBottom w:val="0"/>
                                  <w:divBdr>
                                    <w:top w:val="none" w:sz="0" w:space="0" w:color="auto"/>
                                    <w:left w:val="none" w:sz="0" w:space="0" w:color="auto"/>
                                    <w:bottom w:val="none" w:sz="0" w:space="0" w:color="auto"/>
                                    <w:right w:val="none" w:sz="0" w:space="0" w:color="auto"/>
                                  </w:divBdr>
                                  <w:divsChild>
                                    <w:div w:id="1136096338">
                                      <w:marLeft w:val="0"/>
                                      <w:marRight w:val="0"/>
                                      <w:marTop w:val="0"/>
                                      <w:marBottom w:val="0"/>
                                      <w:divBdr>
                                        <w:top w:val="none" w:sz="0" w:space="0" w:color="auto"/>
                                        <w:left w:val="none" w:sz="0" w:space="0" w:color="auto"/>
                                        <w:bottom w:val="none" w:sz="0" w:space="0" w:color="auto"/>
                                        <w:right w:val="none" w:sz="0" w:space="0" w:color="auto"/>
                                      </w:divBdr>
                                      <w:divsChild>
                                        <w:div w:id="659575021">
                                          <w:marLeft w:val="0"/>
                                          <w:marRight w:val="0"/>
                                          <w:marTop w:val="0"/>
                                          <w:marBottom w:val="0"/>
                                          <w:divBdr>
                                            <w:top w:val="none" w:sz="0" w:space="0" w:color="auto"/>
                                            <w:left w:val="none" w:sz="0" w:space="0" w:color="auto"/>
                                            <w:bottom w:val="none" w:sz="0" w:space="0" w:color="auto"/>
                                            <w:right w:val="none" w:sz="0" w:space="0" w:color="auto"/>
                                          </w:divBdr>
                                          <w:divsChild>
                                            <w:div w:id="106782601">
                                              <w:marLeft w:val="0"/>
                                              <w:marRight w:val="0"/>
                                              <w:marTop w:val="0"/>
                                              <w:marBottom w:val="0"/>
                                              <w:divBdr>
                                                <w:top w:val="none" w:sz="0" w:space="0" w:color="auto"/>
                                                <w:left w:val="none" w:sz="0" w:space="0" w:color="auto"/>
                                                <w:bottom w:val="none" w:sz="0" w:space="0" w:color="auto"/>
                                                <w:right w:val="none" w:sz="0" w:space="0" w:color="auto"/>
                                              </w:divBdr>
                                              <w:divsChild>
                                                <w:div w:id="1497306697">
                                                  <w:marLeft w:val="0"/>
                                                  <w:marRight w:val="0"/>
                                                  <w:marTop w:val="0"/>
                                                  <w:marBottom w:val="0"/>
                                                  <w:divBdr>
                                                    <w:top w:val="none" w:sz="0" w:space="0" w:color="auto"/>
                                                    <w:left w:val="none" w:sz="0" w:space="0" w:color="auto"/>
                                                    <w:bottom w:val="none" w:sz="0" w:space="0" w:color="auto"/>
                                                    <w:right w:val="none" w:sz="0" w:space="0" w:color="auto"/>
                                                  </w:divBdr>
                                                  <w:divsChild>
                                                    <w:div w:id="285081992">
                                                      <w:marLeft w:val="0"/>
                                                      <w:marRight w:val="0"/>
                                                      <w:marTop w:val="0"/>
                                                      <w:marBottom w:val="0"/>
                                                      <w:divBdr>
                                                        <w:top w:val="none" w:sz="0" w:space="0" w:color="auto"/>
                                                        <w:left w:val="none" w:sz="0" w:space="0" w:color="auto"/>
                                                        <w:bottom w:val="none" w:sz="0" w:space="0" w:color="auto"/>
                                                        <w:right w:val="none" w:sz="0" w:space="0" w:color="auto"/>
                                                      </w:divBdr>
                                                      <w:divsChild>
                                                        <w:div w:id="1600865962">
                                                          <w:marLeft w:val="0"/>
                                                          <w:marRight w:val="0"/>
                                                          <w:marTop w:val="0"/>
                                                          <w:marBottom w:val="0"/>
                                                          <w:divBdr>
                                                            <w:top w:val="none" w:sz="0" w:space="0" w:color="auto"/>
                                                            <w:left w:val="none" w:sz="0" w:space="0" w:color="auto"/>
                                                            <w:bottom w:val="none" w:sz="0" w:space="0" w:color="auto"/>
                                                            <w:right w:val="none" w:sz="0" w:space="0" w:color="auto"/>
                                                          </w:divBdr>
                                                          <w:divsChild>
                                                            <w:div w:id="732896040">
                                                              <w:marLeft w:val="0"/>
                                                              <w:marRight w:val="0"/>
                                                              <w:marTop w:val="0"/>
                                                              <w:marBottom w:val="0"/>
                                                              <w:divBdr>
                                                                <w:top w:val="none" w:sz="0" w:space="0" w:color="auto"/>
                                                                <w:left w:val="none" w:sz="0" w:space="0" w:color="auto"/>
                                                                <w:bottom w:val="none" w:sz="0" w:space="0" w:color="auto"/>
                                                                <w:right w:val="none" w:sz="0" w:space="0" w:color="auto"/>
                                                              </w:divBdr>
                                                              <w:divsChild>
                                                                <w:div w:id="1745297451">
                                                                  <w:marLeft w:val="0"/>
                                                                  <w:marRight w:val="0"/>
                                                                  <w:marTop w:val="0"/>
                                                                  <w:marBottom w:val="0"/>
                                                                  <w:divBdr>
                                                                    <w:top w:val="none" w:sz="0" w:space="0" w:color="auto"/>
                                                                    <w:left w:val="none" w:sz="0" w:space="0" w:color="auto"/>
                                                                    <w:bottom w:val="none" w:sz="0" w:space="0" w:color="auto"/>
                                                                    <w:right w:val="none" w:sz="0" w:space="0" w:color="auto"/>
                                                                  </w:divBdr>
                                                                  <w:divsChild>
                                                                    <w:div w:id="1315375147">
                                                                      <w:marLeft w:val="0"/>
                                                                      <w:marRight w:val="0"/>
                                                                      <w:marTop w:val="0"/>
                                                                      <w:marBottom w:val="0"/>
                                                                      <w:divBdr>
                                                                        <w:top w:val="none" w:sz="0" w:space="0" w:color="auto"/>
                                                                        <w:left w:val="none" w:sz="0" w:space="0" w:color="auto"/>
                                                                        <w:bottom w:val="none" w:sz="0" w:space="0" w:color="auto"/>
                                                                        <w:right w:val="none" w:sz="0" w:space="0" w:color="auto"/>
                                                                      </w:divBdr>
                                                                      <w:divsChild>
                                                                        <w:div w:id="1140197575">
                                                                          <w:marLeft w:val="0"/>
                                                                          <w:marRight w:val="0"/>
                                                                          <w:marTop w:val="0"/>
                                                                          <w:marBottom w:val="0"/>
                                                                          <w:divBdr>
                                                                            <w:top w:val="none" w:sz="0" w:space="0" w:color="auto"/>
                                                                            <w:left w:val="none" w:sz="0" w:space="0" w:color="auto"/>
                                                                            <w:bottom w:val="none" w:sz="0" w:space="0" w:color="auto"/>
                                                                            <w:right w:val="none" w:sz="0" w:space="0" w:color="auto"/>
                                                                          </w:divBdr>
                                                                          <w:divsChild>
                                                                            <w:div w:id="1834443514">
                                                                              <w:marLeft w:val="0"/>
                                                                              <w:marRight w:val="0"/>
                                                                              <w:marTop w:val="0"/>
                                                                              <w:marBottom w:val="0"/>
                                                                              <w:divBdr>
                                                                                <w:top w:val="none" w:sz="0" w:space="0" w:color="auto"/>
                                                                                <w:left w:val="none" w:sz="0" w:space="0" w:color="auto"/>
                                                                                <w:bottom w:val="none" w:sz="0" w:space="0" w:color="auto"/>
                                                                                <w:right w:val="none" w:sz="0" w:space="0" w:color="auto"/>
                                                                              </w:divBdr>
                                                                              <w:divsChild>
                                                                                <w:div w:id="385030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80575732">
                                      <w:marLeft w:val="0"/>
                                      <w:marRight w:val="0"/>
                                      <w:marTop w:val="0"/>
                                      <w:marBottom w:val="0"/>
                                      <w:divBdr>
                                        <w:top w:val="none" w:sz="0" w:space="0" w:color="auto"/>
                                        <w:left w:val="none" w:sz="0" w:space="0" w:color="auto"/>
                                        <w:bottom w:val="none" w:sz="0" w:space="0" w:color="auto"/>
                                        <w:right w:val="none" w:sz="0" w:space="0" w:color="auto"/>
                                      </w:divBdr>
                                      <w:divsChild>
                                        <w:div w:id="1616595503">
                                          <w:marLeft w:val="0"/>
                                          <w:marRight w:val="0"/>
                                          <w:marTop w:val="0"/>
                                          <w:marBottom w:val="0"/>
                                          <w:divBdr>
                                            <w:top w:val="none" w:sz="0" w:space="0" w:color="auto"/>
                                            <w:left w:val="none" w:sz="0" w:space="0" w:color="auto"/>
                                            <w:bottom w:val="none" w:sz="0" w:space="0" w:color="auto"/>
                                            <w:right w:val="none" w:sz="0" w:space="0" w:color="auto"/>
                                          </w:divBdr>
                                          <w:divsChild>
                                            <w:div w:id="985859532">
                                              <w:marLeft w:val="0"/>
                                              <w:marRight w:val="0"/>
                                              <w:marTop w:val="0"/>
                                              <w:marBottom w:val="0"/>
                                              <w:divBdr>
                                                <w:top w:val="none" w:sz="0" w:space="0" w:color="auto"/>
                                                <w:left w:val="none" w:sz="0" w:space="0" w:color="auto"/>
                                                <w:bottom w:val="none" w:sz="0" w:space="0" w:color="auto"/>
                                                <w:right w:val="none" w:sz="0" w:space="0" w:color="auto"/>
                                              </w:divBdr>
                                              <w:divsChild>
                                                <w:div w:id="533005857">
                                                  <w:marLeft w:val="0"/>
                                                  <w:marRight w:val="0"/>
                                                  <w:marTop w:val="0"/>
                                                  <w:marBottom w:val="0"/>
                                                  <w:divBdr>
                                                    <w:top w:val="none" w:sz="0" w:space="0" w:color="auto"/>
                                                    <w:left w:val="none" w:sz="0" w:space="0" w:color="auto"/>
                                                    <w:bottom w:val="none" w:sz="0" w:space="0" w:color="auto"/>
                                                    <w:right w:val="none" w:sz="0" w:space="0" w:color="auto"/>
                                                  </w:divBdr>
                                                  <w:divsChild>
                                                    <w:div w:id="1040588149">
                                                      <w:marLeft w:val="0"/>
                                                      <w:marRight w:val="0"/>
                                                      <w:marTop w:val="0"/>
                                                      <w:marBottom w:val="0"/>
                                                      <w:divBdr>
                                                        <w:top w:val="none" w:sz="0" w:space="0" w:color="auto"/>
                                                        <w:left w:val="none" w:sz="0" w:space="0" w:color="auto"/>
                                                        <w:bottom w:val="none" w:sz="0" w:space="0" w:color="auto"/>
                                                        <w:right w:val="none" w:sz="0" w:space="0" w:color="auto"/>
                                                      </w:divBdr>
                                                      <w:divsChild>
                                                        <w:div w:id="1795826368">
                                                          <w:marLeft w:val="0"/>
                                                          <w:marRight w:val="0"/>
                                                          <w:marTop w:val="0"/>
                                                          <w:marBottom w:val="0"/>
                                                          <w:divBdr>
                                                            <w:top w:val="none" w:sz="0" w:space="0" w:color="auto"/>
                                                            <w:left w:val="none" w:sz="0" w:space="0" w:color="auto"/>
                                                            <w:bottom w:val="none" w:sz="0" w:space="0" w:color="auto"/>
                                                            <w:right w:val="none" w:sz="0" w:space="0" w:color="auto"/>
                                                          </w:divBdr>
                                                          <w:divsChild>
                                                            <w:div w:id="1574317295">
                                                              <w:marLeft w:val="0"/>
                                                              <w:marRight w:val="0"/>
                                                              <w:marTop w:val="0"/>
                                                              <w:marBottom w:val="0"/>
                                                              <w:divBdr>
                                                                <w:top w:val="none" w:sz="0" w:space="0" w:color="auto"/>
                                                                <w:left w:val="none" w:sz="0" w:space="0" w:color="auto"/>
                                                                <w:bottom w:val="none" w:sz="0" w:space="0" w:color="auto"/>
                                                                <w:right w:val="none" w:sz="0" w:space="0" w:color="auto"/>
                                                              </w:divBdr>
                                                              <w:divsChild>
                                                                <w:div w:id="1241404544">
                                                                  <w:marLeft w:val="0"/>
                                                                  <w:marRight w:val="0"/>
                                                                  <w:marTop w:val="0"/>
                                                                  <w:marBottom w:val="0"/>
                                                                  <w:divBdr>
                                                                    <w:top w:val="none" w:sz="0" w:space="0" w:color="auto"/>
                                                                    <w:left w:val="none" w:sz="0" w:space="0" w:color="auto"/>
                                                                    <w:bottom w:val="none" w:sz="0" w:space="0" w:color="auto"/>
                                                                    <w:right w:val="none" w:sz="0" w:space="0" w:color="auto"/>
                                                                  </w:divBdr>
                                                                  <w:divsChild>
                                                                    <w:div w:id="859851149">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3597017">
                                      <w:marLeft w:val="0"/>
                                      <w:marRight w:val="0"/>
                                      <w:marTop w:val="0"/>
                                      <w:marBottom w:val="0"/>
                                      <w:divBdr>
                                        <w:top w:val="none" w:sz="0" w:space="0" w:color="auto"/>
                                        <w:left w:val="none" w:sz="0" w:space="0" w:color="auto"/>
                                        <w:bottom w:val="none" w:sz="0" w:space="0" w:color="auto"/>
                                        <w:right w:val="none" w:sz="0" w:space="0" w:color="auto"/>
                                      </w:divBdr>
                                      <w:divsChild>
                                        <w:div w:id="341202432">
                                          <w:marLeft w:val="0"/>
                                          <w:marRight w:val="0"/>
                                          <w:marTop w:val="0"/>
                                          <w:marBottom w:val="0"/>
                                          <w:divBdr>
                                            <w:top w:val="none" w:sz="0" w:space="0" w:color="auto"/>
                                            <w:left w:val="none" w:sz="0" w:space="0" w:color="auto"/>
                                            <w:bottom w:val="none" w:sz="0" w:space="0" w:color="auto"/>
                                            <w:right w:val="none" w:sz="0" w:space="0" w:color="auto"/>
                                          </w:divBdr>
                                          <w:divsChild>
                                            <w:div w:id="1076787039">
                                              <w:marLeft w:val="0"/>
                                              <w:marRight w:val="0"/>
                                              <w:marTop w:val="0"/>
                                              <w:marBottom w:val="0"/>
                                              <w:divBdr>
                                                <w:top w:val="none" w:sz="0" w:space="0" w:color="auto"/>
                                                <w:left w:val="none" w:sz="0" w:space="0" w:color="auto"/>
                                                <w:bottom w:val="none" w:sz="0" w:space="0" w:color="auto"/>
                                                <w:right w:val="none" w:sz="0" w:space="0" w:color="auto"/>
                                              </w:divBdr>
                                              <w:divsChild>
                                                <w:div w:id="569465974">
                                                  <w:marLeft w:val="0"/>
                                                  <w:marRight w:val="0"/>
                                                  <w:marTop w:val="0"/>
                                                  <w:marBottom w:val="0"/>
                                                  <w:divBdr>
                                                    <w:top w:val="none" w:sz="0" w:space="0" w:color="auto"/>
                                                    <w:left w:val="none" w:sz="0" w:space="0" w:color="auto"/>
                                                    <w:bottom w:val="none" w:sz="0" w:space="0" w:color="auto"/>
                                                    <w:right w:val="none" w:sz="0" w:space="0" w:color="auto"/>
                                                  </w:divBdr>
                                                  <w:divsChild>
                                                    <w:div w:id="541941430">
                                                      <w:marLeft w:val="0"/>
                                                      <w:marRight w:val="0"/>
                                                      <w:marTop w:val="0"/>
                                                      <w:marBottom w:val="0"/>
                                                      <w:divBdr>
                                                        <w:top w:val="none" w:sz="0" w:space="0" w:color="auto"/>
                                                        <w:left w:val="none" w:sz="0" w:space="0" w:color="auto"/>
                                                        <w:bottom w:val="none" w:sz="0" w:space="0" w:color="auto"/>
                                                        <w:right w:val="none" w:sz="0" w:space="0" w:color="auto"/>
                                                      </w:divBdr>
                                                      <w:divsChild>
                                                        <w:div w:id="1297224926">
                                                          <w:marLeft w:val="0"/>
                                                          <w:marRight w:val="0"/>
                                                          <w:marTop w:val="0"/>
                                                          <w:marBottom w:val="0"/>
                                                          <w:divBdr>
                                                            <w:top w:val="none" w:sz="0" w:space="0" w:color="auto"/>
                                                            <w:left w:val="none" w:sz="0" w:space="0" w:color="auto"/>
                                                            <w:bottom w:val="none" w:sz="0" w:space="0" w:color="auto"/>
                                                            <w:right w:val="none" w:sz="0" w:space="0" w:color="auto"/>
                                                          </w:divBdr>
                                                          <w:divsChild>
                                                            <w:div w:id="2050257016">
                                                              <w:marLeft w:val="0"/>
                                                              <w:marRight w:val="0"/>
                                                              <w:marTop w:val="0"/>
                                                              <w:marBottom w:val="0"/>
                                                              <w:divBdr>
                                                                <w:top w:val="none" w:sz="0" w:space="0" w:color="auto"/>
                                                                <w:left w:val="none" w:sz="0" w:space="0" w:color="auto"/>
                                                                <w:bottom w:val="none" w:sz="0" w:space="0" w:color="auto"/>
                                                                <w:right w:val="none" w:sz="0" w:space="0" w:color="auto"/>
                                                              </w:divBdr>
                                                              <w:divsChild>
                                                                <w:div w:id="1454247209">
                                                                  <w:marLeft w:val="0"/>
                                                                  <w:marRight w:val="0"/>
                                                                  <w:marTop w:val="0"/>
                                                                  <w:marBottom w:val="0"/>
                                                                  <w:divBdr>
                                                                    <w:top w:val="none" w:sz="0" w:space="0" w:color="auto"/>
                                                                    <w:left w:val="none" w:sz="0" w:space="0" w:color="auto"/>
                                                                    <w:bottom w:val="none" w:sz="0" w:space="0" w:color="auto"/>
                                                                    <w:right w:val="none" w:sz="0" w:space="0" w:color="auto"/>
                                                                  </w:divBdr>
                                                                  <w:divsChild>
                                                                    <w:div w:id="332220393">
                                                                      <w:marLeft w:val="0"/>
                                                                      <w:marRight w:val="0"/>
                                                                      <w:marTop w:val="0"/>
                                                                      <w:marBottom w:val="0"/>
                                                                      <w:divBdr>
                                                                        <w:top w:val="none" w:sz="0" w:space="0" w:color="auto"/>
                                                                        <w:left w:val="none" w:sz="0" w:space="0" w:color="auto"/>
                                                                        <w:bottom w:val="none" w:sz="0" w:space="0" w:color="auto"/>
                                                                        <w:right w:val="none" w:sz="0" w:space="0" w:color="auto"/>
                                                                      </w:divBdr>
                                                                      <w:divsChild>
                                                                        <w:div w:id="578906994">
                                                                          <w:marLeft w:val="0"/>
                                                                          <w:marRight w:val="0"/>
                                                                          <w:marTop w:val="0"/>
                                                                          <w:marBottom w:val="0"/>
                                                                          <w:divBdr>
                                                                            <w:top w:val="none" w:sz="0" w:space="0" w:color="auto"/>
                                                                            <w:left w:val="none" w:sz="0" w:space="0" w:color="auto"/>
                                                                            <w:bottom w:val="none" w:sz="0" w:space="0" w:color="auto"/>
                                                                            <w:right w:val="none" w:sz="0" w:space="0" w:color="auto"/>
                                                                          </w:divBdr>
                                                                          <w:divsChild>
                                                                            <w:div w:id="1751199047">
                                                                              <w:marLeft w:val="0"/>
                                                                              <w:marRight w:val="0"/>
                                                                              <w:marTop w:val="0"/>
                                                                              <w:marBottom w:val="0"/>
                                                                              <w:divBdr>
                                                                                <w:top w:val="none" w:sz="0" w:space="0" w:color="auto"/>
                                                                                <w:left w:val="none" w:sz="0" w:space="0" w:color="auto"/>
                                                                                <w:bottom w:val="none" w:sz="0" w:space="0" w:color="auto"/>
                                                                                <w:right w:val="none" w:sz="0" w:space="0" w:color="auto"/>
                                                                              </w:divBdr>
                                                                              <w:divsChild>
                                                                                <w:div w:id="50941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53786129">
                                      <w:marLeft w:val="0"/>
                                      <w:marRight w:val="0"/>
                                      <w:marTop w:val="0"/>
                                      <w:marBottom w:val="0"/>
                                      <w:divBdr>
                                        <w:top w:val="none" w:sz="0" w:space="0" w:color="auto"/>
                                        <w:left w:val="none" w:sz="0" w:space="0" w:color="auto"/>
                                        <w:bottom w:val="none" w:sz="0" w:space="0" w:color="auto"/>
                                        <w:right w:val="none" w:sz="0" w:space="0" w:color="auto"/>
                                      </w:divBdr>
                                      <w:divsChild>
                                        <w:div w:id="1659503693">
                                          <w:marLeft w:val="0"/>
                                          <w:marRight w:val="0"/>
                                          <w:marTop w:val="0"/>
                                          <w:marBottom w:val="0"/>
                                          <w:divBdr>
                                            <w:top w:val="none" w:sz="0" w:space="0" w:color="auto"/>
                                            <w:left w:val="none" w:sz="0" w:space="0" w:color="auto"/>
                                            <w:bottom w:val="none" w:sz="0" w:space="0" w:color="auto"/>
                                            <w:right w:val="none" w:sz="0" w:space="0" w:color="auto"/>
                                          </w:divBdr>
                                          <w:divsChild>
                                            <w:div w:id="1087311462">
                                              <w:marLeft w:val="0"/>
                                              <w:marRight w:val="0"/>
                                              <w:marTop w:val="0"/>
                                              <w:marBottom w:val="0"/>
                                              <w:divBdr>
                                                <w:top w:val="none" w:sz="0" w:space="0" w:color="auto"/>
                                                <w:left w:val="none" w:sz="0" w:space="0" w:color="auto"/>
                                                <w:bottom w:val="none" w:sz="0" w:space="0" w:color="auto"/>
                                                <w:right w:val="none" w:sz="0" w:space="0" w:color="auto"/>
                                              </w:divBdr>
                                              <w:divsChild>
                                                <w:div w:id="1954897041">
                                                  <w:marLeft w:val="0"/>
                                                  <w:marRight w:val="0"/>
                                                  <w:marTop w:val="0"/>
                                                  <w:marBottom w:val="0"/>
                                                  <w:divBdr>
                                                    <w:top w:val="none" w:sz="0" w:space="0" w:color="auto"/>
                                                    <w:left w:val="none" w:sz="0" w:space="0" w:color="auto"/>
                                                    <w:bottom w:val="none" w:sz="0" w:space="0" w:color="auto"/>
                                                    <w:right w:val="none" w:sz="0" w:space="0" w:color="auto"/>
                                                  </w:divBdr>
                                                  <w:divsChild>
                                                    <w:div w:id="794521968">
                                                      <w:marLeft w:val="0"/>
                                                      <w:marRight w:val="0"/>
                                                      <w:marTop w:val="0"/>
                                                      <w:marBottom w:val="0"/>
                                                      <w:divBdr>
                                                        <w:top w:val="none" w:sz="0" w:space="0" w:color="auto"/>
                                                        <w:left w:val="none" w:sz="0" w:space="0" w:color="auto"/>
                                                        <w:bottom w:val="none" w:sz="0" w:space="0" w:color="auto"/>
                                                        <w:right w:val="none" w:sz="0" w:space="0" w:color="auto"/>
                                                      </w:divBdr>
                                                      <w:divsChild>
                                                        <w:div w:id="1807553205">
                                                          <w:marLeft w:val="0"/>
                                                          <w:marRight w:val="0"/>
                                                          <w:marTop w:val="0"/>
                                                          <w:marBottom w:val="0"/>
                                                          <w:divBdr>
                                                            <w:top w:val="none" w:sz="0" w:space="0" w:color="auto"/>
                                                            <w:left w:val="none" w:sz="0" w:space="0" w:color="auto"/>
                                                            <w:bottom w:val="none" w:sz="0" w:space="0" w:color="auto"/>
                                                            <w:right w:val="none" w:sz="0" w:space="0" w:color="auto"/>
                                                          </w:divBdr>
                                                          <w:divsChild>
                                                            <w:div w:id="1326402228">
                                                              <w:marLeft w:val="0"/>
                                                              <w:marRight w:val="0"/>
                                                              <w:marTop w:val="0"/>
                                                              <w:marBottom w:val="0"/>
                                                              <w:divBdr>
                                                                <w:top w:val="none" w:sz="0" w:space="0" w:color="auto"/>
                                                                <w:left w:val="none" w:sz="0" w:space="0" w:color="auto"/>
                                                                <w:bottom w:val="none" w:sz="0" w:space="0" w:color="auto"/>
                                                                <w:right w:val="none" w:sz="0" w:space="0" w:color="auto"/>
                                                              </w:divBdr>
                                                              <w:divsChild>
                                                                <w:div w:id="188528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6684353">
                                      <w:marLeft w:val="0"/>
                                      <w:marRight w:val="0"/>
                                      <w:marTop w:val="0"/>
                                      <w:marBottom w:val="0"/>
                                      <w:divBdr>
                                        <w:top w:val="none" w:sz="0" w:space="0" w:color="auto"/>
                                        <w:left w:val="none" w:sz="0" w:space="0" w:color="auto"/>
                                        <w:bottom w:val="none" w:sz="0" w:space="0" w:color="auto"/>
                                        <w:right w:val="none" w:sz="0" w:space="0" w:color="auto"/>
                                      </w:divBdr>
                                      <w:divsChild>
                                        <w:div w:id="2121758840">
                                          <w:marLeft w:val="0"/>
                                          <w:marRight w:val="0"/>
                                          <w:marTop w:val="0"/>
                                          <w:marBottom w:val="0"/>
                                          <w:divBdr>
                                            <w:top w:val="none" w:sz="0" w:space="0" w:color="auto"/>
                                            <w:left w:val="none" w:sz="0" w:space="0" w:color="auto"/>
                                            <w:bottom w:val="none" w:sz="0" w:space="0" w:color="auto"/>
                                            <w:right w:val="none" w:sz="0" w:space="0" w:color="auto"/>
                                          </w:divBdr>
                                          <w:divsChild>
                                            <w:div w:id="1388341148">
                                              <w:marLeft w:val="0"/>
                                              <w:marRight w:val="0"/>
                                              <w:marTop w:val="0"/>
                                              <w:marBottom w:val="0"/>
                                              <w:divBdr>
                                                <w:top w:val="none" w:sz="0" w:space="0" w:color="auto"/>
                                                <w:left w:val="none" w:sz="0" w:space="0" w:color="auto"/>
                                                <w:bottom w:val="none" w:sz="0" w:space="0" w:color="auto"/>
                                                <w:right w:val="none" w:sz="0" w:space="0" w:color="auto"/>
                                              </w:divBdr>
                                              <w:divsChild>
                                                <w:div w:id="1662808471">
                                                  <w:marLeft w:val="0"/>
                                                  <w:marRight w:val="0"/>
                                                  <w:marTop w:val="0"/>
                                                  <w:marBottom w:val="0"/>
                                                  <w:divBdr>
                                                    <w:top w:val="none" w:sz="0" w:space="0" w:color="auto"/>
                                                    <w:left w:val="none" w:sz="0" w:space="0" w:color="auto"/>
                                                    <w:bottom w:val="none" w:sz="0" w:space="0" w:color="auto"/>
                                                    <w:right w:val="none" w:sz="0" w:space="0" w:color="auto"/>
                                                  </w:divBdr>
                                                  <w:divsChild>
                                                    <w:div w:id="1384599336">
                                                      <w:marLeft w:val="0"/>
                                                      <w:marRight w:val="0"/>
                                                      <w:marTop w:val="0"/>
                                                      <w:marBottom w:val="0"/>
                                                      <w:divBdr>
                                                        <w:top w:val="none" w:sz="0" w:space="0" w:color="auto"/>
                                                        <w:left w:val="none" w:sz="0" w:space="0" w:color="auto"/>
                                                        <w:bottom w:val="none" w:sz="0" w:space="0" w:color="auto"/>
                                                        <w:right w:val="none" w:sz="0" w:space="0" w:color="auto"/>
                                                      </w:divBdr>
                                                      <w:divsChild>
                                                        <w:div w:id="475338325">
                                                          <w:marLeft w:val="0"/>
                                                          <w:marRight w:val="0"/>
                                                          <w:marTop w:val="0"/>
                                                          <w:marBottom w:val="0"/>
                                                          <w:divBdr>
                                                            <w:top w:val="none" w:sz="0" w:space="0" w:color="auto"/>
                                                            <w:left w:val="none" w:sz="0" w:space="0" w:color="auto"/>
                                                            <w:bottom w:val="none" w:sz="0" w:space="0" w:color="auto"/>
                                                            <w:right w:val="none" w:sz="0" w:space="0" w:color="auto"/>
                                                          </w:divBdr>
                                                          <w:divsChild>
                                                            <w:div w:id="967660674">
                                                              <w:marLeft w:val="0"/>
                                                              <w:marRight w:val="0"/>
                                                              <w:marTop w:val="0"/>
                                                              <w:marBottom w:val="0"/>
                                                              <w:divBdr>
                                                                <w:top w:val="none" w:sz="0" w:space="0" w:color="auto"/>
                                                                <w:left w:val="none" w:sz="0" w:space="0" w:color="auto"/>
                                                                <w:bottom w:val="none" w:sz="0" w:space="0" w:color="auto"/>
                                                                <w:right w:val="none" w:sz="0" w:space="0" w:color="auto"/>
                                                              </w:divBdr>
                                                              <w:divsChild>
                                                                <w:div w:id="133910211">
                                                                  <w:marLeft w:val="0"/>
                                                                  <w:marRight w:val="0"/>
                                                                  <w:marTop w:val="0"/>
                                                                  <w:marBottom w:val="0"/>
                                                                  <w:divBdr>
                                                                    <w:top w:val="none" w:sz="0" w:space="0" w:color="auto"/>
                                                                    <w:left w:val="none" w:sz="0" w:space="0" w:color="auto"/>
                                                                    <w:bottom w:val="none" w:sz="0" w:space="0" w:color="auto"/>
                                                                    <w:right w:val="none" w:sz="0" w:space="0" w:color="auto"/>
                                                                  </w:divBdr>
                                                                  <w:divsChild>
                                                                    <w:div w:id="2016877406">
                                                                      <w:marLeft w:val="0"/>
                                                                      <w:marRight w:val="0"/>
                                                                      <w:marTop w:val="0"/>
                                                                      <w:marBottom w:val="0"/>
                                                                      <w:divBdr>
                                                                        <w:top w:val="none" w:sz="0" w:space="0" w:color="auto"/>
                                                                        <w:left w:val="none" w:sz="0" w:space="0" w:color="auto"/>
                                                                        <w:bottom w:val="none" w:sz="0" w:space="0" w:color="auto"/>
                                                                        <w:right w:val="none" w:sz="0" w:space="0" w:color="auto"/>
                                                                      </w:divBdr>
                                                                      <w:divsChild>
                                                                        <w:div w:id="157505131">
                                                                          <w:marLeft w:val="0"/>
                                                                          <w:marRight w:val="0"/>
                                                                          <w:marTop w:val="0"/>
                                                                          <w:marBottom w:val="0"/>
                                                                          <w:divBdr>
                                                                            <w:top w:val="none" w:sz="0" w:space="0" w:color="auto"/>
                                                                            <w:left w:val="none" w:sz="0" w:space="0" w:color="auto"/>
                                                                            <w:bottom w:val="none" w:sz="0" w:space="0" w:color="auto"/>
                                                                            <w:right w:val="none" w:sz="0" w:space="0" w:color="auto"/>
                                                                          </w:divBdr>
                                                                          <w:divsChild>
                                                                            <w:div w:id="1455442359">
                                                                              <w:marLeft w:val="0"/>
                                                                              <w:marRight w:val="0"/>
                                                                              <w:marTop w:val="0"/>
                                                                              <w:marBottom w:val="0"/>
                                                                              <w:divBdr>
                                                                                <w:top w:val="none" w:sz="0" w:space="0" w:color="auto"/>
                                                                                <w:left w:val="none" w:sz="0" w:space="0" w:color="auto"/>
                                                                                <w:bottom w:val="none" w:sz="0" w:space="0" w:color="auto"/>
                                                                                <w:right w:val="none" w:sz="0" w:space="0" w:color="auto"/>
                                                                              </w:divBdr>
                                                                              <w:divsChild>
                                                                                <w:div w:id="121276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7856721">
                                      <w:marLeft w:val="0"/>
                                      <w:marRight w:val="0"/>
                                      <w:marTop w:val="0"/>
                                      <w:marBottom w:val="0"/>
                                      <w:divBdr>
                                        <w:top w:val="none" w:sz="0" w:space="0" w:color="auto"/>
                                        <w:left w:val="none" w:sz="0" w:space="0" w:color="auto"/>
                                        <w:bottom w:val="none" w:sz="0" w:space="0" w:color="auto"/>
                                        <w:right w:val="none" w:sz="0" w:space="0" w:color="auto"/>
                                      </w:divBdr>
                                      <w:divsChild>
                                        <w:div w:id="1861510320">
                                          <w:marLeft w:val="0"/>
                                          <w:marRight w:val="0"/>
                                          <w:marTop w:val="0"/>
                                          <w:marBottom w:val="0"/>
                                          <w:divBdr>
                                            <w:top w:val="none" w:sz="0" w:space="0" w:color="auto"/>
                                            <w:left w:val="none" w:sz="0" w:space="0" w:color="auto"/>
                                            <w:bottom w:val="none" w:sz="0" w:space="0" w:color="auto"/>
                                            <w:right w:val="none" w:sz="0" w:space="0" w:color="auto"/>
                                          </w:divBdr>
                                          <w:divsChild>
                                            <w:div w:id="1805662338">
                                              <w:marLeft w:val="0"/>
                                              <w:marRight w:val="0"/>
                                              <w:marTop w:val="0"/>
                                              <w:marBottom w:val="0"/>
                                              <w:divBdr>
                                                <w:top w:val="none" w:sz="0" w:space="0" w:color="auto"/>
                                                <w:left w:val="none" w:sz="0" w:space="0" w:color="auto"/>
                                                <w:bottom w:val="none" w:sz="0" w:space="0" w:color="auto"/>
                                                <w:right w:val="none" w:sz="0" w:space="0" w:color="auto"/>
                                              </w:divBdr>
                                              <w:divsChild>
                                                <w:div w:id="1540627481">
                                                  <w:marLeft w:val="0"/>
                                                  <w:marRight w:val="0"/>
                                                  <w:marTop w:val="0"/>
                                                  <w:marBottom w:val="0"/>
                                                  <w:divBdr>
                                                    <w:top w:val="none" w:sz="0" w:space="0" w:color="auto"/>
                                                    <w:left w:val="none" w:sz="0" w:space="0" w:color="auto"/>
                                                    <w:bottom w:val="none" w:sz="0" w:space="0" w:color="auto"/>
                                                    <w:right w:val="none" w:sz="0" w:space="0" w:color="auto"/>
                                                  </w:divBdr>
                                                  <w:divsChild>
                                                    <w:div w:id="1739208530">
                                                      <w:marLeft w:val="0"/>
                                                      <w:marRight w:val="0"/>
                                                      <w:marTop w:val="0"/>
                                                      <w:marBottom w:val="0"/>
                                                      <w:divBdr>
                                                        <w:top w:val="none" w:sz="0" w:space="0" w:color="auto"/>
                                                        <w:left w:val="none" w:sz="0" w:space="0" w:color="auto"/>
                                                        <w:bottom w:val="none" w:sz="0" w:space="0" w:color="auto"/>
                                                        <w:right w:val="none" w:sz="0" w:space="0" w:color="auto"/>
                                                      </w:divBdr>
                                                      <w:divsChild>
                                                        <w:div w:id="592737791">
                                                          <w:marLeft w:val="0"/>
                                                          <w:marRight w:val="0"/>
                                                          <w:marTop w:val="0"/>
                                                          <w:marBottom w:val="0"/>
                                                          <w:divBdr>
                                                            <w:top w:val="none" w:sz="0" w:space="0" w:color="auto"/>
                                                            <w:left w:val="none" w:sz="0" w:space="0" w:color="auto"/>
                                                            <w:bottom w:val="none" w:sz="0" w:space="0" w:color="auto"/>
                                                            <w:right w:val="none" w:sz="0" w:space="0" w:color="auto"/>
                                                          </w:divBdr>
                                                          <w:divsChild>
                                                            <w:div w:id="872886233">
                                                              <w:marLeft w:val="0"/>
                                                              <w:marRight w:val="0"/>
                                                              <w:marTop w:val="0"/>
                                                              <w:marBottom w:val="0"/>
                                                              <w:divBdr>
                                                                <w:top w:val="none" w:sz="0" w:space="0" w:color="auto"/>
                                                                <w:left w:val="none" w:sz="0" w:space="0" w:color="auto"/>
                                                                <w:bottom w:val="none" w:sz="0" w:space="0" w:color="auto"/>
                                                                <w:right w:val="none" w:sz="0" w:space="0" w:color="auto"/>
                                                              </w:divBdr>
                                                              <w:divsChild>
                                                                <w:div w:id="155558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05252775">
      <w:bodyDiv w:val="1"/>
      <w:marLeft w:val="0"/>
      <w:marRight w:val="0"/>
      <w:marTop w:val="0"/>
      <w:marBottom w:val="0"/>
      <w:divBdr>
        <w:top w:val="none" w:sz="0" w:space="0" w:color="auto"/>
        <w:left w:val="none" w:sz="0" w:space="0" w:color="auto"/>
        <w:bottom w:val="none" w:sz="0" w:space="0" w:color="auto"/>
        <w:right w:val="none" w:sz="0" w:space="0" w:color="auto"/>
      </w:divBdr>
    </w:div>
    <w:div w:id="1796174522">
      <w:bodyDiv w:val="1"/>
      <w:marLeft w:val="0"/>
      <w:marRight w:val="0"/>
      <w:marTop w:val="0"/>
      <w:marBottom w:val="0"/>
      <w:divBdr>
        <w:top w:val="none" w:sz="0" w:space="0" w:color="auto"/>
        <w:left w:val="none" w:sz="0" w:space="0" w:color="auto"/>
        <w:bottom w:val="none" w:sz="0" w:space="0" w:color="auto"/>
        <w:right w:val="none" w:sz="0" w:space="0" w:color="auto"/>
      </w:divBdr>
    </w:div>
    <w:div w:id="1829981245">
      <w:bodyDiv w:val="1"/>
      <w:marLeft w:val="0"/>
      <w:marRight w:val="0"/>
      <w:marTop w:val="0"/>
      <w:marBottom w:val="0"/>
      <w:divBdr>
        <w:top w:val="none" w:sz="0" w:space="0" w:color="auto"/>
        <w:left w:val="none" w:sz="0" w:space="0" w:color="auto"/>
        <w:bottom w:val="none" w:sz="0" w:space="0" w:color="auto"/>
        <w:right w:val="none" w:sz="0" w:space="0" w:color="auto"/>
      </w:divBdr>
    </w:div>
    <w:div w:id="1853912803">
      <w:bodyDiv w:val="1"/>
      <w:marLeft w:val="0"/>
      <w:marRight w:val="0"/>
      <w:marTop w:val="0"/>
      <w:marBottom w:val="0"/>
      <w:divBdr>
        <w:top w:val="none" w:sz="0" w:space="0" w:color="auto"/>
        <w:left w:val="none" w:sz="0" w:space="0" w:color="auto"/>
        <w:bottom w:val="none" w:sz="0" w:space="0" w:color="auto"/>
        <w:right w:val="none" w:sz="0" w:space="0" w:color="auto"/>
      </w:divBdr>
    </w:div>
    <w:div w:id="1891917238">
      <w:bodyDiv w:val="1"/>
      <w:marLeft w:val="0"/>
      <w:marRight w:val="0"/>
      <w:marTop w:val="0"/>
      <w:marBottom w:val="0"/>
      <w:divBdr>
        <w:top w:val="none" w:sz="0" w:space="0" w:color="auto"/>
        <w:left w:val="none" w:sz="0" w:space="0" w:color="auto"/>
        <w:bottom w:val="none" w:sz="0" w:space="0" w:color="auto"/>
        <w:right w:val="none" w:sz="0" w:space="0" w:color="auto"/>
      </w:divBdr>
    </w:div>
    <w:div w:id="1903952666">
      <w:bodyDiv w:val="1"/>
      <w:marLeft w:val="0"/>
      <w:marRight w:val="0"/>
      <w:marTop w:val="0"/>
      <w:marBottom w:val="0"/>
      <w:divBdr>
        <w:top w:val="none" w:sz="0" w:space="0" w:color="auto"/>
        <w:left w:val="none" w:sz="0" w:space="0" w:color="auto"/>
        <w:bottom w:val="none" w:sz="0" w:space="0" w:color="auto"/>
        <w:right w:val="none" w:sz="0" w:space="0" w:color="auto"/>
      </w:divBdr>
    </w:div>
    <w:div w:id="1911033583">
      <w:bodyDiv w:val="1"/>
      <w:marLeft w:val="0"/>
      <w:marRight w:val="0"/>
      <w:marTop w:val="0"/>
      <w:marBottom w:val="0"/>
      <w:divBdr>
        <w:top w:val="none" w:sz="0" w:space="0" w:color="auto"/>
        <w:left w:val="none" w:sz="0" w:space="0" w:color="auto"/>
        <w:bottom w:val="none" w:sz="0" w:space="0" w:color="auto"/>
        <w:right w:val="none" w:sz="0" w:space="0" w:color="auto"/>
      </w:divBdr>
    </w:div>
    <w:div w:id="1968855811">
      <w:bodyDiv w:val="1"/>
      <w:marLeft w:val="0"/>
      <w:marRight w:val="0"/>
      <w:marTop w:val="0"/>
      <w:marBottom w:val="0"/>
      <w:divBdr>
        <w:top w:val="none" w:sz="0" w:space="0" w:color="auto"/>
        <w:left w:val="none" w:sz="0" w:space="0" w:color="auto"/>
        <w:bottom w:val="none" w:sz="0" w:space="0" w:color="auto"/>
        <w:right w:val="none" w:sz="0" w:space="0" w:color="auto"/>
      </w:divBdr>
      <w:divsChild>
        <w:div w:id="1425615856">
          <w:marLeft w:val="0"/>
          <w:marRight w:val="0"/>
          <w:marTop w:val="0"/>
          <w:marBottom w:val="0"/>
          <w:divBdr>
            <w:top w:val="none" w:sz="0" w:space="0" w:color="auto"/>
            <w:left w:val="none" w:sz="0" w:space="0" w:color="auto"/>
            <w:bottom w:val="none" w:sz="0" w:space="0" w:color="auto"/>
            <w:right w:val="none" w:sz="0" w:space="0" w:color="auto"/>
          </w:divBdr>
          <w:divsChild>
            <w:div w:id="1558395543">
              <w:marLeft w:val="0"/>
              <w:marRight w:val="0"/>
              <w:marTop w:val="0"/>
              <w:marBottom w:val="0"/>
              <w:divBdr>
                <w:top w:val="none" w:sz="0" w:space="0" w:color="auto"/>
                <w:left w:val="none" w:sz="0" w:space="0" w:color="auto"/>
                <w:bottom w:val="none" w:sz="0" w:space="0" w:color="auto"/>
                <w:right w:val="none" w:sz="0" w:space="0" w:color="auto"/>
              </w:divBdr>
              <w:divsChild>
                <w:div w:id="609432849">
                  <w:marLeft w:val="0"/>
                  <w:marRight w:val="0"/>
                  <w:marTop w:val="0"/>
                  <w:marBottom w:val="0"/>
                  <w:divBdr>
                    <w:top w:val="none" w:sz="0" w:space="0" w:color="auto"/>
                    <w:left w:val="none" w:sz="0" w:space="0" w:color="auto"/>
                    <w:bottom w:val="none" w:sz="0" w:space="0" w:color="auto"/>
                    <w:right w:val="none" w:sz="0" w:space="0" w:color="auto"/>
                  </w:divBdr>
                  <w:divsChild>
                    <w:div w:id="56054464">
                      <w:marLeft w:val="0"/>
                      <w:marRight w:val="0"/>
                      <w:marTop w:val="0"/>
                      <w:marBottom w:val="0"/>
                      <w:divBdr>
                        <w:top w:val="none" w:sz="0" w:space="0" w:color="auto"/>
                        <w:left w:val="none" w:sz="0" w:space="0" w:color="auto"/>
                        <w:bottom w:val="none" w:sz="0" w:space="0" w:color="auto"/>
                        <w:right w:val="none" w:sz="0" w:space="0" w:color="auto"/>
                      </w:divBdr>
                      <w:divsChild>
                        <w:div w:id="356351168">
                          <w:marLeft w:val="0"/>
                          <w:marRight w:val="0"/>
                          <w:marTop w:val="0"/>
                          <w:marBottom w:val="0"/>
                          <w:divBdr>
                            <w:top w:val="single" w:sz="6" w:space="15" w:color="auto"/>
                            <w:left w:val="single" w:sz="2" w:space="15" w:color="auto"/>
                            <w:bottom w:val="single" w:sz="2" w:space="15" w:color="auto"/>
                            <w:right w:val="single" w:sz="2" w:space="15" w:color="auto"/>
                          </w:divBdr>
                          <w:divsChild>
                            <w:div w:id="86270381">
                              <w:marLeft w:val="0"/>
                              <w:marRight w:val="0"/>
                              <w:marTop w:val="0"/>
                              <w:marBottom w:val="360"/>
                              <w:divBdr>
                                <w:top w:val="none" w:sz="0" w:space="0" w:color="auto"/>
                                <w:left w:val="none" w:sz="0" w:space="0" w:color="auto"/>
                                <w:bottom w:val="none" w:sz="0" w:space="0" w:color="auto"/>
                                <w:right w:val="none" w:sz="0" w:space="0" w:color="auto"/>
                              </w:divBdr>
                            </w:div>
                            <w:div w:id="704528803">
                              <w:marLeft w:val="0"/>
                              <w:marRight w:val="0"/>
                              <w:marTop w:val="0"/>
                              <w:marBottom w:val="0"/>
                              <w:divBdr>
                                <w:top w:val="none" w:sz="0" w:space="0" w:color="auto"/>
                                <w:left w:val="none" w:sz="0" w:space="0" w:color="auto"/>
                                <w:bottom w:val="none" w:sz="0" w:space="0" w:color="auto"/>
                                <w:right w:val="none" w:sz="0" w:space="0" w:color="auto"/>
                              </w:divBdr>
                              <w:divsChild>
                                <w:div w:id="160884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7430699">
          <w:marLeft w:val="0"/>
          <w:marRight w:val="0"/>
          <w:marTop w:val="0"/>
          <w:marBottom w:val="0"/>
          <w:divBdr>
            <w:top w:val="none" w:sz="0" w:space="0" w:color="auto"/>
            <w:left w:val="none" w:sz="0" w:space="0" w:color="auto"/>
            <w:bottom w:val="none" w:sz="0" w:space="0" w:color="auto"/>
            <w:right w:val="none" w:sz="0" w:space="0" w:color="auto"/>
          </w:divBdr>
          <w:divsChild>
            <w:div w:id="556549787">
              <w:marLeft w:val="0"/>
              <w:marRight w:val="0"/>
              <w:marTop w:val="0"/>
              <w:marBottom w:val="0"/>
              <w:divBdr>
                <w:top w:val="none" w:sz="0" w:space="0" w:color="auto"/>
                <w:left w:val="none" w:sz="0" w:space="0" w:color="auto"/>
                <w:bottom w:val="none" w:sz="0" w:space="0" w:color="auto"/>
                <w:right w:val="none" w:sz="0" w:space="0" w:color="auto"/>
              </w:divBdr>
              <w:divsChild>
                <w:div w:id="1827163025">
                  <w:marLeft w:val="0"/>
                  <w:marRight w:val="0"/>
                  <w:marTop w:val="0"/>
                  <w:marBottom w:val="0"/>
                  <w:divBdr>
                    <w:top w:val="none" w:sz="0" w:space="0" w:color="auto"/>
                    <w:left w:val="none" w:sz="0" w:space="0" w:color="auto"/>
                    <w:bottom w:val="none" w:sz="0" w:space="0" w:color="auto"/>
                    <w:right w:val="none" w:sz="0" w:space="0" w:color="auto"/>
                  </w:divBdr>
                  <w:divsChild>
                    <w:div w:id="1382558255">
                      <w:marLeft w:val="0"/>
                      <w:marRight w:val="0"/>
                      <w:marTop w:val="0"/>
                      <w:marBottom w:val="0"/>
                      <w:divBdr>
                        <w:top w:val="none" w:sz="0" w:space="0" w:color="auto"/>
                        <w:left w:val="none" w:sz="0" w:space="0" w:color="auto"/>
                        <w:bottom w:val="none" w:sz="0" w:space="0" w:color="auto"/>
                        <w:right w:val="none" w:sz="0" w:space="0" w:color="auto"/>
                      </w:divBdr>
                      <w:divsChild>
                        <w:div w:id="2133282887">
                          <w:marLeft w:val="0"/>
                          <w:marRight w:val="0"/>
                          <w:marTop w:val="0"/>
                          <w:marBottom w:val="0"/>
                          <w:divBdr>
                            <w:top w:val="none" w:sz="0" w:space="0" w:color="auto"/>
                            <w:left w:val="none" w:sz="0" w:space="0" w:color="auto"/>
                            <w:bottom w:val="none" w:sz="0" w:space="0" w:color="auto"/>
                            <w:right w:val="none" w:sz="0" w:space="0" w:color="auto"/>
                          </w:divBdr>
                          <w:divsChild>
                            <w:div w:id="1340277630">
                              <w:marLeft w:val="0"/>
                              <w:marRight w:val="0"/>
                              <w:marTop w:val="0"/>
                              <w:marBottom w:val="0"/>
                              <w:divBdr>
                                <w:top w:val="none" w:sz="0" w:space="0" w:color="auto"/>
                                <w:left w:val="none" w:sz="0" w:space="0" w:color="auto"/>
                                <w:bottom w:val="none" w:sz="0" w:space="0" w:color="auto"/>
                                <w:right w:val="none" w:sz="0" w:space="0" w:color="auto"/>
                              </w:divBdr>
                              <w:divsChild>
                                <w:div w:id="1434351576">
                                  <w:marLeft w:val="0"/>
                                  <w:marRight w:val="0"/>
                                  <w:marTop w:val="0"/>
                                  <w:marBottom w:val="0"/>
                                  <w:divBdr>
                                    <w:top w:val="none" w:sz="0" w:space="0" w:color="auto"/>
                                    <w:left w:val="none" w:sz="0" w:space="0" w:color="auto"/>
                                    <w:bottom w:val="none" w:sz="0" w:space="0" w:color="auto"/>
                                    <w:right w:val="none" w:sz="0" w:space="0" w:color="auto"/>
                                  </w:divBdr>
                                  <w:divsChild>
                                    <w:div w:id="1268543845">
                                      <w:marLeft w:val="0"/>
                                      <w:marRight w:val="0"/>
                                      <w:marTop w:val="0"/>
                                      <w:marBottom w:val="0"/>
                                      <w:divBdr>
                                        <w:top w:val="none" w:sz="0" w:space="0" w:color="auto"/>
                                        <w:left w:val="none" w:sz="0" w:space="0" w:color="auto"/>
                                        <w:bottom w:val="none" w:sz="0" w:space="0" w:color="auto"/>
                                        <w:right w:val="none" w:sz="0" w:space="0" w:color="auto"/>
                                      </w:divBdr>
                                      <w:divsChild>
                                        <w:div w:id="1632512902">
                                          <w:marLeft w:val="0"/>
                                          <w:marRight w:val="0"/>
                                          <w:marTop w:val="0"/>
                                          <w:marBottom w:val="0"/>
                                          <w:divBdr>
                                            <w:top w:val="none" w:sz="0" w:space="0" w:color="auto"/>
                                            <w:left w:val="none" w:sz="0" w:space="0" w:color="auto"/>
                                            <w:bottom w:val="none" w:sz="0" w:space="0" w:color="auto"/>
                                            <w:right w:val="none" w:sz="0" w:space="0" w:color="auto"/>
                                          </w:divBdr>
                                          <w:divsChild>
                                            <w:div w:id="1333678642">
                                              <w:marLeft w:val="0"/>
                                              <w:marRight w:val="0"/>
                                              <w:marTop w:val="0"/>
                                              <w:marBottom w:val="0"/>
                                              <w:divBdr>
                                                <w:top w:val="none" w:sz="0" w:space="0" w:color="auto"/>
                                                <w:left w:val="none" w:sz="0" w:space="0" w:color="auto"/>
                                                <w:bottom w:val="none" w:sz="0" w:space="0" w:color="auto"/>
                                                <w:right w:val="none" w:sz="0" w:space="0" w:color="auto"/>
                                              </w:divBdr>
                                              <w:divsChild>
                                                <w:div w:id="552811179">
                                                  <w:marLeft w:val="0"/>
                                                  <w:marRight w:val="0"/>
                                                  <w:marTop w:val="0"/>
                                                  <w:marBottom w:val="0"/>
                                                  <w:divBdr>
                                                    <w:top w:val="none" w:sz="0" w:space="0" w:color="auto"/>
                                                    <w:left w:val="none" w:sz="0" w:space="0" w:color="auto"/>
                                                    <w:bottom w:val="none" w:sz="0" w:space="0" w:color="auto"/>
                                                    <w:right w:val="none" w:sz="0" w:space="0" w:color="auto"/>
                                                  </w:divBdr>
                                                  <w:divsChild>
                                                    <w:div w:id="1316757657">
                                                      <w:marLeft w:val="0"/>
                                                      <w:marRight w:val="0"/>
                                                      <w:marTop w:val="0"/>
                                                      <w:marBottom w:val="0"/>
                                                      <w:divBdr>
                                                        <w:top w:val="none" w:sz="0" w:space="0" w:color="auto"/>
                                                        <w:left w:val="none" w:sz="0" w:space="0" w:color="auto"/>
                                                        <w:bottom w:val="none" w:sz="0" w:space="0" w:color="auto"/>
                                                        <w:right w:val="none" w:sz="0" w:space="0" w:color="auto"/>
                                                      </w:divBdr>
                                                      <w:divsChild>
                                                        <w:div w:id="1357000749">
                                                          <w:marLeft w:val="0"/>
                                                          <w:marRight w:val="0"/>
                                                          <w:marTop w:val="0"/>
                                                          <w:marBottom w:val="0"/>
                                                          <w:divBdr>
                                                            <w:top w:val="none" w:sz="0" w:space="0" w:color="auto"/>
                                                            <w:left w:val="none" w:sz="0" w:space="0" w:color="auto"/>
                                                            <w:bottom w:val="none" w:sz="0" w:space="0" w:color="auto"/>
                                                            <w:right w:val="none" w:sz="0" w:space="0" w:color="auto"/>
                                                          </w:divBdr>
                                                          <w:divsChild>
                                                            <w:div w:id="1262908199">
                                                              <w:marLeft w:val="0"/>
                                                              <w:marRight w:val="0"/>
                                                              <w:marTop w:val="0"/>
                                                              <w:marBottom w:val="0"/>
                                                              <w:divBdr>
                                                                <w:top w:val="none" w:sz="0" w:space="0" w:color="auto"/>
                                                                <w:left w:val="none" w:sz="0" w:space="0" w:color="auto"/>
                                                                <w:bottom w:val="none" w:sz="0" w:space="0" w:color="auto"/>
                                                                <w:right w:val="none" w:sz="0" w:space="0" w:color="auto"/>
                                                              </w:divBdr>
                                                              <w:divsChild>
                                                                <w:div w:id="1726953594">
                                                                  <w:marLeft w:val="0"/>
                                                                  <w:marRight w:val="0"/>
                                                                  <w:marTop w:val="0"/>
                                                                  <w:marBottom w:val="0"/>
                                                                  <w:divBdr>
                                                                    <w:top w:val="none" w:sz="0" w:space="0" w:color="auto"/>
                                                                    <w:left w:val="none" w:sz="0" w:space="0" w:color="auto"/>
                                                                    <w:bottom w:val="none" w:sz="0" w:space="0" w:color="auto"/>
                                                                    <w:right w:val="none" w:sz="0" w:space="0" w:color="auto"/>
                                                                  </w:divBdr>
                                                                  <w:divsChild>
                                                                    <w:div w:id="386344648">
                                                                      <w:marLeft w:val="0"/>
                                                                      <w:marRight w:val="0"/>
                                                                      <w:marTop w:val="0"/>
                                                                      <w:marBottom w:val="0"/>
                                                                      <w:divBdr>
                                                                        <w:top w:val="none" w:sz="0" w:space="0" w:color="auto"/>
                                                                        <w:left w:val="none" w:sz="0" w:space="0" w:color="auto"/>
                                                                        <w:bottom w:val="none" w:sz="0" w:space="0" w:color="auto"/>
                                                                        <w:right w:val="none" w:sz="0" w:space="0" w:color="auto"/>
                                                                      </w:divBdr>
                                                                      <w:divsChild>
                                                                        <w:div w:id="21247714">
                                                                          <w:marLeft w:val="0"/>
                                                                          <w:marRight w:val="0"/>
                                                                          <w:marTop w:val="0"/>
                                                                          <w:marBottom w:val="0"/>
                                                                          <w:divBdr>
                                                                            <w:top w:val="none" w:sz="0" w:space="0" w:color="auto"/>
                                                                            <w:left w:val="none" w:sz="0" w:space="0" w:color="auto"/>
                                                                            <w:bottom w:val="none" w:sz="0" w:space="0" w:color="auto"/>
                                                                            <w:right w:val="none" w:sz="0" w:space="0" w:color="auto"/>
                                                                          </w:divBdr>
                                                                          <w:divsChild>
                                                                            <w:div w:id="567691766">
                                                                              <w:marLeft w:val="0"/>
                                                                              <w:marRight w:val="0"/>
                                                                              <w:marTop w:val="0"/>
                                                                              <w:marBottom w:val="0"/>
                                                                              <w:divBdr>
                                                                                <w:top w:val="none" w:sz="0" w:space="0" w:color="auto"/>
                                                                                <w:left w:val="none" w:sz="0" w:space="0" w:color="auto"/>
                                                                                <w:bottom w:val="none" w:sz="0" w:space="0" w:color="auto"/>
                                                                                <w:right w:val="none" w:sz="0" w:space="0" w:color="auto"/>
                                                                              </w:divBdr>
                                                                              <w:divsChild>
                                                                                <w:div w:id="46801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7517395">
                                      <w:marLeft w:val="0"/>
                                      <w:marRight w:val="0"/>
                                      <w:marTop w:val="0"/>
                                      <w:marBottom w:val="0"/>
                                      <w:divBdr>
                                        <w:top w:val="none" w:sz="0" w:space="0" w:color="auto"/>
                                        <w:left w:val="none" w:sz="0" w:space="0" w:color="auto"/>
                                        <w:bottom w:val="none" w:sz="0" w:space="0" w:color="auto"/>
                                        <w:right w:val="none" w:sz="0" w:space="0" w:color="auto"/>
                                      </w:divBdr>
                                      <w:divsChild>
                                        <w:div w:id="1852983628">
                                          <w:marLeft w:val="0"/>
                                          <w:marRight w:val="0"/>
                                          <w:marTop w:val="0"/>
                                          <w:marBottom w:val="0"/>
                                          <w:divBdr>
                                            <w:top w:val="none" w:sz="0" w:space="0" w:color="auto"/>
                                            <w:left w:val="none" w:sz="0" w:space="0" w:color="auto"/>
                                            <w:bottom w:val="none" w:sz="0" w:space="0" w:color="auto"/>
                                            <w:right w:val="none" w:sz="0" w:space="0" w:color="auto"/>
                                          </w:divBdr>
                                          <w:divsChild>
                                            <w:div w:id="1583369681">
                                              <w:marLeft w:val="0"/>
                                              <w:marRight w:val="0"/>
                                              <w:marTop w:val="0"/>
                                              <w:marBottom w:val="0"/>
                                              <w:divBdr>
                                                <w:top w:val="none" w:sz="0" w:space="0" w:color="auto"/>
                                                <w:left w:val="none" w:sz="0" w:space="0" w:color="auto"/>
                                                <w:bottom w:val="none" w:sz="0" w:space="0" w:color="auto"/>
                                                <w:right w:val="none" w:sz="0" w:space="0" w:color="auto"/>
                                              </w:divBdr>
                                              <w:divsChild>
                                                <w:div w:id="1709523498">
                                                  <w:marLeft w:val="0"/>
                                                  <w:marRight w:val="0"/>
                                                  <w:marTop w:val="0"/>
                                                  <w:marBottom w:val="0"/>
                                                  <w:divBdr>
                                                    <w:top w:val="none" w:sz="0" w:space="0" w:color="auto"/>
                                                    <w:left w:val="none" w:sz="0" w:space="0" w:color="auto"/>
                                                    <w:bottom w:val="none" w:sz="0" w:space="0" w:color="auto"/>
                                                    <w:right w:val="none" w:sz="0" w:space="0" w:color="auto"/>
                                                  </w:divBdr>
                                                  <w:divsChild>
                                                    <w:div w:id="1933539799">
                                                      <w:marLeft w:val="0"/>
                                                      <w:marRight w:val="0"/>
                                                      <w:marTop w:val="0"/>
                                                      <w:marBottom w:val="0"/>
                                                      <w:divBdr>
                                                        <w:top w:val="none" w:sz="0" w:space="0" w:color="auto"/>
                                                        <w:left w:val="none" w:sz="0" w:space="0" w:color="auto"/>
                                                        <w:bottom w:val="none" w:sz="0" w:space="0" w:color="auto"/>
                                                        <w:right w:val="none" w:sz="0" w:space="0" w:color="auto"/>
                                                      </w:divBdr>
                                                      <w:divsChild>
                                                        <w:div w:id="665324741">
                                                          <w:marLeft w:val="0"/>
                                                          <w:marRight w:val="0"/>
                                                          <w:marTop w:val="0"/>
                                                          <w:marBottom w:val="0"/>
                                                          <w:divBdr>
                                                            <w:top w:val="none" w:sz="0" w:space="0" w:color="auto"/>
                                                            <w:left w:val="none" w:sz="0" w:space="0" w:color="auto"/>
                                                            <w:bottom w:val="none" w:sz="0" w:space="0" w:color="auto"/>
                                                            <w:right w:val="none" w:sz="0" w:space="0" w:color="auto"/>
                                                          </w:divBdr>
                                                          <w:divsChild>
                                                            <w:div w:id="2139686293">
                                                              <w:marLeft w:val="0"/>
                                                              <w:marRight w:val="0"/>
                                                              <w:marTop w:val="0"/>
                                                              <w:marBottom w:val="0"/>
                                                              <w:divBdr>
                                                                <w:top w:val="none" w:sz="0" w:space="0" w:color="auto"/>
                                                                <w:left w:val="none" w:sz="0" w:space="0" w:color="auto"/>
                                                                <w:bottom w:val="none" w:sz="0" w:space="0" w:color="auto"/>
                                                                <w:right w:val="none" w:sz="0" w:space="0" w:color="auto"/>
                                                              </w:divBdr>
                                                              <w:divsChild>
                                                                <w:div w:id="1914972730">
                                                                  <w:marLeft w:val="0"/>
                                                                  <w:marRight w:val="0"/>
                                                                  <w:marTop w:val="0"/>
                                                                  <w:marBottom w:val="0"/>
                                                                  <w:divBdr>
                                                                    <w:top w:val="none" w:sz="0" w:space="0" w:color="auto"/>
                                                                    <w:left w:val="none" w:sz="0" w:space="0" w:color="auto"/>
                                                                    <w:bottom w:val="none" w:sz="0" w:space="0" w:color="auto"/>
                                                                    <w:right w:val="none" w:sz="0" w:space="0" w:color="auto"/>
                                                                  </w:divBdr>
                                                                  <w:divsChild>
                                                                    <w:div w:id="1941252240">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4171270">
                                      <w:marLeft w:val="0"/>
                                      <w:marRight w:val="0"/>
                                      <w:marTop w:val="0"/>
                                      <w:marBottom w:val="0"/>
                                      <w:divBdr>
                                        <w:top w:val="none" w:sz="0" w:space="0" w:color="auto"/>
                                        <w:left w:val="none" w:sz="0" w:space="0" w:color="auto"/>
                                        <w:bottom w:val="none" w:sz="0" w:space="0" w:color="auto"/>
                                        <w:right w:val="none" w:sz="0" w:space="0" w:color="auto"/>
                                      </w:divBdr>
                                      <w:divsChild>
                                        <w:div w:id="2097552693">
                                          <w:marLeft w:val="0"/>
                                          <w:marRight w:val="0"/>
                                          <w:marTop w:val="0"/>
                                          <w:marBottom w:val="0"/>
                                          <w:divBdr>
                                            <w:top w:val="none" w:sz="0" w:space="0" w:color="auto"/>
                                            <w:left w:val="none" w:sz="0" w:space="0" w:color="auto"/>
                                            <w:bottom w:val="none" w:sz="0" w:space="0" w:color="auto"/>
                                            <w:right w:val="none" w:sz="0" w:space="0" w:color="auto"/>
                                          </w:divBdr>
                                          <w:divsChild>
                                            <w:div w:id="1969241035">
                                              <w:marLeft w:val="0"/>
                                              <w:marRight w:val="0"/>
                                              <w:marTop w:val="0"/>
                                              <w:marBottom w:val="0"/>
                                              <w:divBdr>
                                                <w:top w:val="none" w:sz="0" w:space="0" w:color="auto"/>
                                                <w:left w:val="none" w:sz="0" w:space="0" w:color="auto"/>
                                                <w:bottom w:val="none" w:sz="0" w:space="0" w:color="auto"/>
                                                <w:right w:val="none" w:sz="0" w:space="0" w:color="auto"/>
                                              </w:divBdr>
                                              <w:divsChild>
                                                <w:div w:id="648628516">
                                                  <w:marLeft w:val="0"/>
                                                  <w:marRight w:val="0"/>
                                                  <w:marTop w:val="0"/>
                                                  <w:marBottom w:val="0"/>
                                                  <w:divBdr>
                                                    <w:top w:val="none" w:sz="0" w:space="0" w:color="auto"/>
                                                    <w:left w:val="none" w:sz="0" w:space="0" w:color="auto"/>
                                                    <w:bottom w:val="none" w:sz="0" w:space="0" w:color="auto"/>
                                                    <w:right w:val="none" w:sz="0" w:space="0" w:color="auto"/>
                                                  </w:divBdr>
                                                  <w:divsChild>
                                                    <w:div w:id="448818435">
                                                      <w:marLeft w:val="0"/>
                                                      <w:marRight w:val="0"/>
                                                      <w:marTop w:val="0"/>
                                                      <w:marBottom w:val="0"/>
                                                      <w:divBdr>
                                                        <w:top w:val="none" w:sz="0" w:space="0" w:color="auto"/>
                                                        <w:left w:val="none" w:sz="0" w:space="0" w:color="auto"/>
                                                        <w:bottom w:val="none" w:sz="0" w:space="0" w:color="auto"/>
                                                        <w:right w:val="none" w:sz="0" w:space="0" w:color="auto"/>
                                                      </w:divBdr>
                                                      <w:divsChild>
                                                        <w:div w:id="1866091469">
                                                          <w:marLeft w:val="0"/>
                                                          <w:marRight w:val="0"/>
                                                          <w:marTop w:val="0"/>
                                                          <w:marBottom w:val="0"/>
                                                          <w:divBdr>
                                                            <w:top w:val="none" w:sz="0" w:space="0" w:color="auto"/>
                                                            <w:left w:val="none" w:sz="0" w:space="0" w:color="auto"/>
                                                            <w:bottom w:val="none" w:sz="0" w:space="0" w:color="auto"/>
                                                            <w:right w:val="none" w:sz="0" w:space="0" w:color="auto"/>
                                                          </w:divBdr>
                                                          <w:divsChild>
                                                            <w:div w:id="2031367201">
                                                              <w:marLeft w:val="0"/>
                                                              <w:marRight w:val="0"/>
                                                              <w:marTop w:val="0"/>
                                                              <w:marBottom w:val="0"/>
                                                              <w:divBdr>
                                                                <w:top w:val="none" w:sz="0" w:space="0" w:color="auto"/>
                                                                <w:left w:val="none" w:sz="0" w:space="0" w:color="auto"/>
                                                                <w:bottom w:val="none" w:sz="0" w:space="0" w:color="auto"/>
                                                                <w:right w:val="none" w:sz="0" w:space="0" w:color="auto"/>
                                                              </w:divBdr>
                                                              <w:divsChild>
                                                                <w:div w:id="321856191">
                                                                  <w:marLeft w:val="0"/>
                                                                  <w:marRight w:val="0"/>
                                                                  <w:marTop w:val="0"/>
                                                                  <w:marBottom w:val="0"/>
                                                                  <w:divBdr>
                                                                    <w:top w:val="none" w:sz="0" w:space="0" w:color="auto"/>
                                                                    <w:left w:val="none" w:sz="0" w:space="0" w:color="auto"/>
                                                                    <w:bottom w:val="none" w:sz="0" w:space="0" w:color="auto"/>
                                                                    <w:right w:val="none" w:sz="0" w:space="0" w:color="auto"/>
                                                                  </w:divBdr>
                                                                  <w:divsChild>
                                                                    <w:div w:id="1445035694">
                                                                      <w:marLeft w:val="0"/>
                                                                      <w:marRight w:val="0"/>
                                                                      <w:marTop w:val="0"/>
                                                                      <w:marBottom w:val="0"/>
                                                                      <w:divBdr>
                                                                        <w:top w:val="none" w:sz="0" w:space="0" w:color="auto"/>
                                                                        <w:left w:val="none" w:sz="0" w:space="0" w:color="auto"/>
                                                                        <w:bottom w:val="none" w:sz="0" w:space="0" w:color="auto"/>
                                                                        <w:right w:val="none" w:sz="0" w:space="0" w:color="auto"/>
                                                                      </w:divBdr>
                                                                      <w:divsChild>
                                                                        <w:div w:id="107966110">
                                                                          <w:marLeft w:val="0"/>
                                                                          <w:marRight w:val="0"/>
                                                                          <w:marTop w:val="0"/>
                                                                          <w:marBottom w:val="0"/>
                                                                          <w:divBdr>
                                                                            <w:top w:val="none" w:sz="0" w:space="0" w:color="auto"/>
                                                                            <w:left w:val="none" w:sz="0" w:space="0" w:color="auto"/>
                                                                            <w:bottom w:val="none" w:sz="0" w:space="0" w:color="auto"/>
                                                                            <w:right w:val="none" w:sz="0" w:space="0" w:color="auto"/>
                                                                          </w:divBdr>
                                                                          <w:divsChild>
                                                                            <w:div w:id="1906139837">
                                                                              <w:marLeft w:val="0"/>
                                                                              <w:marRight w:val="0"/>
                                                                              <w:marTop w:val="0"/>
                                                                              <w:marBottom w:val="0"/>
                                                                              <w:divBdr>
                                                                                <w:top w:val="none" w:sz="0" w:space="0" w:color="auto"/>
                                                                                <w:left w:val="none" w:sz="0" w:space="0" w:color="auto"/>
                                                                                <w:bottom w:val="none" w:sz="0" w:space="0" w:color="auto"/>
                                                                                <w:right w:val="none" w:sz="0" w:space="0" w:color="auto"/>
                                                                              </w:divBdr>
                                                                              <w:divsChild>
                                                                                <w:div w:id="85769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626669">
                                      <w:marLeft w:val="0"/>
                                      <w:marRight w:val="0"/>
                                      <w:marTop w:val="0"/>
                                      <w:marBottom w:val="0"/>
                                      <w:divBdr>
                                        <w:top w:val="none" w:sz="0" w:space="0" w:color="auto"/>
                                        <w:left w:val="none" w:sz="0" w:space="0" w:color="auto"/>
                                        <w:bottom w:val="none" w:sz="0" w:space="0" w:color="auto"/>
                                        <w:right w:val="none" w:sz="0" w:space="0" w:color="auto"/>
                                      </w:divBdr>
                                      <w:divsChild>
                                        <w:div w:id="1346830710">
                                          <w:marLeft w:val="0"/>
                                          <w:marRight w:val="0"/>
                                          <w:marTop w:val="0"/>
                                          <w:marBottom w:val="0"/>
                                          <w:divBdr>
                                            <w:top w:val="none" w:sz="0" w:space="0" w:color="auto"/>
                                            <w:left w:val="none" w:sz="0" w:space="0" w:color="auto"/>
                                            <w:bottom w:val="none" w:sz="0" w:space="0" w:color="auto"/>
                                            <w:right w:val="none" w:sz="0" w:space="0" w:color="auto"/>
                                          </w:divBdr>
                                          <w:divsChild>
                                            <w:div w:id="500704037">
                                              <w:marLeft w:val="0"/>
                                              <w:marRight w:val="0"/>
                                              <w:marTop w:val="0"/>
                                              <w:marBottom w:val="0"/>
                                              <w:divBdr>
                                                <w:top w:val="none" w:sz="0" w:space="0" w:color="auto"/>
                                                <w:left w:val="none" w:sz="0" w:space="0" w:color="auto"/>
                                                <w:bottom w:val="none" w:sz="0" w:space="0" w:color="auto"/>
                                                <w:right w:val="none" w:sz="0" w:space="0" w:color="auto"/>
                                              </w:divBdr>
                                              <w:divsChild>
                                                <w:div w:id="1689721445">
                                                  <w:marLeft w:val="0"/>
                                                  <w:marRight w:val="0"/>
                                                  <w:marTop w:val="0"/>
                                                  <w:marBottom w:val="0"/>
                                                  <w:divBdr>
                                                    <w:top w:val="none" w:sz="0" w:space="0" w:color="auto"/>
                                                    <w:left w:val="none" w:sz="0" w:space="0" w:color="auto"/>
                                                    <w:bottom w:val="none" w:sz="0" w:space="0" w:color="auto"/>
                                                    <w:right w:val="none" w:sz="0" w:space="0" w:color="auto"/>
                                                  </w:divBdr>
                                                  <w:divsChild>
                                                    <w:div w:id="1656179533">
                                                      <w:marLeft w:val="0"/>
                                                      <w:marRight w:val="0"/>
                                                      <w:marTop w:val="0"/>
                                                      <w:marBottom w:val="0"/>
                                                      <w:divBdr>
                                                        <w:top w:val="none" w:sz="0" w:space="0" w:color="auto"/>
                                                        <w:left w:val="none" w:sz="0" w:space="0" w:color="auto"/>
                                                        <w:bottom w:val="none" w:sz="0" w:space="0" w:color="auto"/>
                                                        <w:right w:val="none" w:sz="0" w:space="0" w:color="auto"/>
                                                      </w:divBdr>
                                                      <w:divsChild>
                                                        <w:div w:id="1308171705">
                                                          <w:marLeft w:val="0"/>
                                                          <w:marRight w:val="0"/>
                                                          <w:marTop w:val="0"/>
                                                          <w:marBottom w:val="0"/>
                                                          <w:divBdr>
                                                            <w:top w:val="none" w:sz="0" w:space="0" w:color="auto"/>
                                                            <w:left w:val="none" w:sz="0" w:space="0" w:color="auto"/>
                                                            <w:bottom w:val="none" w:sz="0" w:space="0" w:color="auto"/>
                                                            <w:right w:val="none" w:sz="0" w:space="0" w:color="auto"/>
                                                          </w:divBdr>
                                                          <w:divsChild>
                                                            <w:div w:id="148906749">
                                                              <w:marLeft w:val="0"/>
                                                              <w:marRight w:val="0"/>
                                                              <w:marTop w:val="0"/>
                                                              <w:marBottom w:val="0"/>
                                                              <w:divBdr>
                                                                <w:top w:val="none" w:sz="0" w:space="0" w:color="auto"/>
                                                                <w:left w:val="none" w:sz="0" w:space="0" w:color="auto"/>
                                                                <w:bottom w:val="none" w:sz="0" w:space="0" w:color="auto"/>
                                                                <w:right w:val="none" w:sz="0" w:space="0" w:color="auto"/>
                                                              </w:divBdr>
                                                              <w:divsChild>
                                                                <w:div w:id="29302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1782672">
                                      <w:marLeft w:val="0"/>
                                      <w:marRight w:val="0"/>
                                      <w:marTop w:val="0"/>
                                      <w:marBottom w:val="0"/>
                                      <w:divBdr>
                                        <w:top w:val="none" w:sz="0" w:space="0" w:color="auto"/>
                                        <w:left w:val="none" w:sz="0" w:space="0" w:color="auto"/>
                                        <w:bottom w:val="none" w:sz="0" w:space="0" w:color="auto"/>
                                        <w:right w:val="none" w:sz="0" w:space="0" w:color="auto"/>
                                      </w:divBdr>
                                      <w:divsChild>
                                        <w:div w:id="1225607219">
                                          <w:marLeft w:val="0"/>
                                          <w:marRight w:val="0"/>
                                          <w:marTop w:val="0"/>
                                          <w:marBottom w:val="0"/>
                                          <w:divBdr>
                                            <w:top w:val="none" w:sz="0" w:space="0" w:color="auto"/>
                                            <w:left w:val="none" w:sz="0" w:space="0" w:color="auto"/>
                                            <w:bottom w:val="none" w:sz="0" w:space="0" w:color="auto"/>
                                            <w:right w:val="none" w:sz="0" w:space="0" w:color="auto"/>
                                          </w:divBdr>
                                          <w:divsChild>
                                            <w:div w:id="1347631367">
                                              <w:marLeft w:val="0"/>
                                              <w:marRight w:val="0"/>
                                              <w:marTop w:val="0"/>
                                              <w:marBottom w:val="0"/>
                                              <w:divBdr>
                                                <w:top w:val="none" w:sz="0" w:space="0" w:color="auto"/>
                                                <w:left w:val="none" w:sz="0" w:space="0" w:color="auto"/>
                                                <w:bottom w:val="none" w:sz="0" w:space="0" w:color="auto"/>
                                                <w:right w:val="none" w:sz="0" w:space="0" w:color="auto"/>
                                              </w:divBdr>
                                              <w:divsChild>
                                                <w:div w:id="537932198">
                                                  <w:marLeft w:val="0"/>
                                                  <w:marRight w:val="0"/>
                                                  <w:marTop w:val="0"/>
                                                  <w:marBottom w:val="0"/>
                                                  <w:divBdr>
                                                    <w:top w:val="none" w:sz="0" w:space="0" w:color="auto"/>
                                                    <w:left w:val="none" w:sz="0" w:space="0" w:color="auto"/>
                                                    <w:bottom w:val="none" w:sz="0" w:space="0" w:color="auto"/>
                                                    <w:right w:val="none" w:sz="0" w:space="0" w:color="auto"/>
                                                  </w:divBdr>
                                                  <w:divsChild>
                                                    <w:div w:id="1653753508">
                                                      <w:marLeft w:val="0"/>
                                                      <w:marRight w:val="0"/>
                                                      <w:marTop w:val="0"/>
                                                      <w:marBottom w:val="0"/>
                                                      <w:divBdr>
                                                        <w:top w:val="none" w:sz="0" w:space="0" w:color="auto"/>
                                                        <w:left w:val="none" w:sz="0" w:space="0" w:color="auto"/>
                                                        <w:bottom w:val="none" w:sz="0" w:space="0" w:color="auto"/>
                                                        <w:right w:val="none" w:sz="0" w:space="0" w:color="auto"/>
                                                      </w:divBdr>
                                                      <w:divsChild>
                                                        <w:div w:id="1666519597">
                                                          <w:marLeft w:val="0"/>
                                                          <w:marRight w:val="0"/>
                                                          <w:marTop w:val="0"/>
                                                          <w:marBottom w:val="0"/>
                                                          <w:divBdr>
                                                            <w:top w:val="none" w:sz="0" w:space="0" w:color="auto"/>
                                                            <w:left w:val="none" w:sz="0" w:space="0" w:color="auto"/>
                                                            <w:bottom w:val="none" w:sz="0" w:space="0" w:color="auto"/>
                                                            <w:right w:val="none" w:sz="0" w:space="0" w:color="auto"/>
                                                          </w:divBdr>
                                                          <w:divsChild>
                                                            <w:div w:id="1805657523">
                                                              <w:marLeft w:val="0"/>
                                                              <w:marRight w:val="0"/>
                                                              <w:marTop w:val="0"/>
                                                              <w:marBottom w:val="0"/>
                                                              <w:divBdr>
                                                                <w:top w:val="none" w:sz="0" w:space="0" w:color="auto"/>
                                                                <w:left w:val="none" w:sz="0" w:space="0" w:color="auto"/>
                                                                <w:bottom w:val="none" w:sz="0" w:space="0" w:color="auto"/>
                                                                <w:right w:val="none" w:sz="0" w:space="0" w:color="auto"/>
                                                              </w:divBdr>
                                                              <w:divsChild>
                                                                <w:div w:id="1793749590">
                                                                  <w:marLeft w:val="0"/>
                                                                  <w:marRight w:val="0"/>
                                                                  <w:marTop w:val="0"/>
                                                                  <w:marBottom w:val="0"/>
                                                                  <w:divBdr>
                                                                    <w:top w:val="none" w:sz="0" w:space="0" w:color="auto"/>
                                                                    <w:left w:val="none" w:sz="0" w:space="0" w:color="auto"/>
                                                                    <w:bottom w:val="none" w:sz="0" w:space="0" w:color="auto"/>
                                                                    <w:right w:val="none" w:sz="0" w:space="0" w:color="auto"/>
                                                                  </w:divBdr>
                                                                  <w:divsChild>
                                                                    <w:div w:id="1355617828">
                                                                      <w:marLeft w:val="0"/>
                                                                      <w:marRight w:val="0"/>
                                                                      <w:marTop w:val="0"/>
                                                                      <w:marBottom w:val="0"/>
                                                                      <w:divBdr>
                                                                        <w:top w:val="none" w:sz="0" w:space="0" w:color="auto"/>
                                                                        <w:left w:val="none" w:sz="0" w:space="0" w:color="auto"/>
                                                                        <w:bottom w:val="none" w:sz="0" w:space="0" w:color="auto"/>
                                                                        <w:right w:val="none" w:sz="0" w:space="0" w:color="auto"/>
                                                                      </w:divBdr>
                                                                      <w:divsChild>
                                                                        <w:div w:id="1252663370">
                                                                          <w:marLeft w:val="0"/>
                                                                          <w:marRight w:val="0"/>
                                                                          <w:marTop w:val="0"/>
                                                                          <w:marBottom w:val="0"/>
                                                                          <w:divBdr>
                                                                            <w:top w:val="none" w:sz="0" w:space="0" w:color="auto"/>
                                                                            <w:left w:val="none" w:sz="0" w:space="0" w:color="auto"/>
                                                                            <w:bottom w:val="none" w:sz="0" w:space="0" w:color="auto"/>
                                                                            <w:right w:val="none" w:sz="0" w:space="0" w:color="auto"/>
                                                                          </w:divBdr>
                                                                          <w:divsChild>
                                                                            <w:div w:id="1029724955">
                                                                              <w:marLeft w:val="0"/>
                                                                              <w:marRight w:val="0"/>
                                                                              <w:marTop w:val="0"/>
                                                                              <w:marBottom w:val="0"/>
                                                                              <w:divBdr>
                                                                                <w:top w:val="none" w:sz="0" w:space="0" w:color="auto"/>
                                                                                <w:left w:val="none" w:sz="0" w:space="0" w:color="auto"/>
                                                                                <w:bottom w:val="none" w:sz="0" w:space="0" w:color="auto"/>
                                                                                <w:right w:val="none" w:sz="0" w:space="0" w:color="auto"/>
                                                                              </w:divBdr>
                                                                              <w:divsChild>
                                                                                <w:div w:id="98889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81968956">
                                      <w:marLeft w:val="0"/>
                                      <w:marRight w:val="0"/>
                                      <w:marTop w:val="0"/>
                                      <w:marBottom w:val="0"/>
                                      <w:divBdr>
                                        <w:top w:val="none" w:sz="0" w:space="0" w:color="auto"/>
                                        <w:left w:val="none" w:sz="0" w:space="0" w:color="auto"/>
                                        <w:bottom w:val="none" w:sz="0" w:space="0" w:color="auto"/>
                                        <w:right w:val="none" w:sz="0" w:space="0" w:color="auto"/>
                                      </w:divBdr>
                                      <w:divsChild>
                                        <w:div w:id="1124496394">
                                          <w:marLeft w:val="0"/>
                                          <w:marRight w:val="0"/>
                                          <w:marTop w:val="0"/>
                                          <w:marBottom w:val="0"/>
                                          <w:divBdr>
                                            <w:top w:val="none" w:sz="0" w:space="0" w:color="auto"/>
                                            <w:left w:val="none" w:sz="0" w:space="0" w:color="auto"/>
                                            <w:bottom w:val="none" w:sz="0" w:space="0" w:color="auto"/>
                                            <w:right w:val="none" w:sz="0" w:space="0" w:color="auto"/>
                                          </w:divBdr>
                                          <w:divsChild>
                                            <w:div w:id="2062055401">
                                              <w:marLeft w:val="0"/>
                                              <w:marRight w:val="0"/>
                                              <w:marTop w:val="0"/>
                                              <w:marBottom w:val="0"/>
                                              <w:divBdr>
                                                <w:top w:val="none" w:sz="0" w:space="0" w:color="auto"/>
                                                <w:left w:val="none" w:sz="0" w:space="0" w:color="auto"/>
                                                <w:bottom w:val="none" w:sz="0" w:space="0" w:color="auto"/>
                                                <w:right w:val="none" w:sz="0" w:space="0" w:color="auto"/>
                                              </w:divBdr>
                                              <w:divsChild>
                                                <w:div w:id="1291090075">
                                                  <w:marLeft w:val="0"/>
                                                  <w:marRight w:val="0"/>
                                                  <w:marTop w:val="0"/>
                                                  <w:marBottom w:val="0"/>
                                                  <w:divBdr>
                                                    <w:top w:val="none" w:sz="0" w:space="0" w:color="auto"/>
                                                    <w:left w:val="none" w:sz="0" w:space="0" w:color="auto"/>
                                                    <w:bottom w:val="none" w:sz="0" w:space="0" w:color="auto"/>
                                                    <w:right w:val="none" w:sz="0" w:space="0" w:color="auto"/>
                                                  </w:divBdr>
                                                  <w:divsChild>
                                                    <w:div w:id="91629416">
                                                      <w:marLeft w:val="0"/>
                                                      <w:marRight w:val="0"/>
                                                      <w:marTop w:val="0"/>
                                                      <w:marBottom w:val="0"/>
                                                      <w:divBdr>
                                                        <w:top w:val="none" w:sz="0" w:space="0" w:color="auto"/>
                                                        <w:left w:val="none" w:sz="0" w:space="0" w:color="auto"/>
                                                        <w:bottom w:val="none" w:sz="0" w:space="0" w:color="auto"/>
                                                        <w:right w:val="none" w:sz="0" w:space="0" w:color="auto"/>
                                                      </w:divBdr>
                                                      <w:divsChild>
                                                        <w:div w:id="444010327">
                                                          <w:marLeft w:val="0"/>
                                                          <w:marRight w:val="0"/>
                                                          <w:marTop w:val="0"/>
                                                          <w:marBottom w:val="0"/>
                                                          <w:divBdr>
                                                            <w:top w:val="none" w:sz="0" w:space="0" w:color="auto"/>
                                                            <w:left w:val="none" w:sz="0" w:space="0" w:color="auto"/>
                                                            <w:bottom w:val="none" w:sz="0" w:space="0" w:color="auto"/>
                                                            <w:right w:val="none" w:sz="0" w:space="0" w:color="auto"/>
                                                          </w:divBdr>
                                                          <w:divsChild>
                                                            <w:div w:id="987633606">
                                                              <w:marLeft w:val="0"/>
                                                              <w:marRight w:val="0"/>
                                                              <w:marTop w:val="0"/>
                                                              <w:marBottom w:val="0"/>
                                                              <w:divBdr>
                                                                <w:top w:val="none" w:sz="0" w:space="0" w:color="auto"/>
                                                                <w:left w:val="none" w:sz="0" w:space="0" w:color="auto"/>
                                                                <w:bottom w:val="none" w:sz="0" w:space="0" w:color="auto"/>
                                                                <w:right w:val="none" w:sz="0" w:space="0" w:color="auto"/>
                                                              </w:divBdr>
                                                              <w:divsChild>
                                                                <w:div w:id="183857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76446404">
      <w:bodyDiv w:val="1"/>
      <w:marLeft w:val="0"/>
      <w:marRight w:val="0"/>
      <w:marTop w:val="0"/>
      <w:marBottom w:val="0"/>
      <w:divBdr>
        <w:top w:val="none" w:sz="0" w:space="0" w:color="auto"/>
        <w:left w:val="none" w:sz="0" w:space="0" w:color="auto"/>
        <w:bottom w:val="none" w:sz="0" w:space="0" w:color="auto"/>
        <w:right w:val="none" w:sz="0" w:space="0" w:color="auto"/>
      </w:divBdr>
    </w:div>
    <w:div w:id="2003271570">
      <w:bodyDiv w:val="1"/>
      <w:marLeft w:val="0"/>
      <w:marRight w:val="0"/>
      <w:marTop w:val="0"/>
      <w:marBottom w:val="0"/>
      <w:divBdr>
        <w:top w:val="none" w:sz="0" w:space="0" w:color="auto"/>
        <w:left w:val="none" w:sz="0" w:space="0" w:color="auto"/>
        <w:bottom w:val="none" w:sz="0" w:space="0" w:color="auto"/>
        <w:right w:val="none" w:sz="0" w:space="0" w:color="auto"/>
      </w:divBdr>
    </w:div>
    <w:div w:id="2041583396">
      <w:bodyDiv w:val="1"/>
      <w:marLeft w:val="0"/>
      <w:marRight w:val="0"/>
      <w:marTop w:val="0"/>
      <w:marBottom w:val="0"/>
      <w:divBdr>
        <w:top w:val="none" w:sz="0" w:space="0" w:color="auto"/>
        <w:left w:val="none" w:sz="0" w:space="0" w:color="auto"/>
        <w:bottom w:val="none" w:sz="0" w:space="0" w:color="auto"/>
        <w:right w:val="none" w:sz="0" w:space="0" w:color="auto"/>
      </w:divBdr>
      <w:divsChild>
        <w:div w:id="89012620">
          <w:marLeft w:val="0"/>
          <w:marRight w:val="0"/>
          <w:marTop w:val="0"/>
          <w:marBottom w:val="0"/>
          <w:divBdr>
            <w:top w:val="none" w:sz="0" w:space="0" w:color="auto"/>
            <w:left w:val="none" w:sz="0" w:space="0" w:color="auto"/>
            <w:bottom w:val="none" w:sz="0" w:space="0" w:color="auto"/>
            <w:right w:val="none" w:sz="0" w:space="0" w:color="auto"/>
          </w:divBdr>
          <w:divsChild>
            <w:div w:id="1550411156">
              <w:marLeft w:val="0"/>
              <w:marRight w:val="0"/>
              <w:marTop w:val="0"/>
              <w:marBottom w:val="0"/>
              <w:divBdr>
                <w:top w:val="none" w:sz="0" w:space="0" w:color="auto"/>
                <w:left w:val="none" w:sz="0" w:space="0" w:color="auto"/>
                <w:bottom w:val="none" w:sz="0" w:space="0" w:color="auto"/>
                <w:right w:val="none" w:sz="0" w:space="0" w:color="auto"/>
              </w:divBdr>
              <w:divsChild>
                <w:div w:id="166871631">
                  <w:marLeft w:val="0"/>
                  <w:marRight w:val="0"/>
                  <w:marTop w:val="0"/>
                  <w:marBottom w:val="0"/>
                  <w:divBdr>
                    <w:top w:val="none" w:sz="0" w:space="0" w:color="auto"/>
                    <w:left w:val="none" w:sz="0" w:space="0" w:color="auto"/>
                    <w:bottom w:val="none" w:sz="0" w:space="0" w:color="auto"/>
                    <w:right w:val="none" w:sz="0" w:space="0" w:color="auto"/>
                  </w:divBdr>
                  <w:divsChild>
                    <w:div w:id="379281391">
                      <w:marLeft w:val="0"/>
                      <w:marRight w:val="0"/>
                      <w:marTop w:val="0"/>
                      <w:marBottom w:val="0"/>
                      <w:divBdr>
                        <w:top w:val="none" w:sz="0" w:space="0" w:color="auto"/>
                        <w:left w:val="none" w:sz="0" w:space="0" w:color="auto"/>
                        <w:bottom w:val="none" w:sz="0" w:space="0" w:color="auto"/>
                        <w:right w:val="none" w:sz="0" w:space="0" w:color="auto"/>
                      </w:divBdr>
                      <w:divsChild>
                        <w:div w:id="599991886">
                          <w:marLeft w:val="0"/>
                          <w:marRight w:val="0"/>
                          <w:marTop w:val="0"/>
                          <w:marBottom w:val="0"/>
                          <w:divBdr>
                            <w:top w:val="single" w:sz="6" w:space="15" w:color="auto"/>
                            <w:left w:val="single" w:sz="2" w:space="15" w:color="auto"/>
                            <w:bottom w:val="single" w:sz="2" w:space="15" w:color="auto"/>
                            <w:right w:val="single" w:sz="2" w:space="15" w:color="auto"/>
                          </w:divBdr>
                          <w:divsChild>
                            <w:div w:id="44456398">
                              <w:marLeft w:val="0"/>
                              <w:marRight w:val="0"/>
                              <w:marTop w:val="0"/>
                              <w:marBottom w:val="360"/>
                              <w:divBdr>
                                <w:top w:val="none" w:sz="0" w:space="0" w:color="auto"/>
                                <w:left w:val="none" w:sz="0" w:space="0" w:color="auto"/>
                                <w:bottom w:val="none" w:sz="0" w:space="0" w:color="auto"/>
                                <w:right w:val="none" w:sz="0" w:space="0" w:color="auto"/>
                              </w:divBdr>
                            </w:div>
                            <w:div w:id="1250768964">
                              <w:marLeft w:val="0"/>
                              <w:marRight w:val="0"/>
                              <w:marTop w:val="0"/>
                              <w:marBottom w:val="0"/>
                              <w:divBdr>
                                <w:top w:val="none" w:sz="0" w:space="0" w:color="auto"/>
                                <w:left w:val="none" w:sz="0" w:space="0" w:color="auto"/>
                                <w:bottom w:val="none" w:sz="0" w:space="0" w:color="auto"/>
                                <w:right w:val="none" w:sz="0" w:space="0" w:color="auto"/>
                              </w:divBdr>
                              <w:divsChild>
                                <w:div w:id="161632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2442035">
          <w:marLeft w:val="0"/>
          <w:marRight w:val="0"/>
          <w:marTop w:val="0"/>
          <w:marBottom w:val="0"/>
          <w:divBdr>
            <w:top w:val="none" w:sz="0" w:space="0" w:color="auto"/>
            <w:left w:val="none" w:sz="0" w:space="0" w:color="auto"/>
            <w:bottom w:val="none" w:sz="0" w:space="0" w:color="auto"/>
            <w:right w:val="none" w:sz="0" w:space="0" w:color="auto"/>
          </w:divBdr>
          <w:divsChild>
            <w:div w:id="2046247176">
              <w:marLeft w:val="0"/>
              <w:marRight w:val="0"/>
              <w:marTop w:val="0"/>
              <w:marBottom w:val="0"/>
              <w:divBdr>
                <w:top w:val="none" w:sz="0" w:space="0" w:color="auto"/>
                <w:left w:val="none" w:sz="0" w:space="0" w:color="auto"/>
                <w:bottom w:val="none" w:sz="0" w:space="0" w:color="auto"/>
                <w:right w:val="none" w:sz="0" w:space="0" w:color="auto"/>
              </w:divBdr>
              <w:divsChild>
                <w:div w:id="793595896">
                  <w:marLeft w:val="0"/>
                  <w:marRight w:val="0"/>
                  <w:marTop w:val="0"/>
                  <w:marBottom w:val="0"/>
                  <w:divBdr>
                    <w:top w:val="none" w:sz="0" w:space="0" w:color="auto"/>
                    <w:left w:val="none" w:sz="0" w:space="0" w:color="auto"/>
                    <w:bottom w:val="none" w:sz="0" w:space="0" w:color="auto"/>
                    <w:right w:val="none" w:sz="0" w:space="0" w:color="auto"/>
                  </w:divBdr>
                  <w:divsChild>
                    <w:div w:id="1467577613">
                      <w:marLeft w:val="0"/>
                      <w:marRight w:val="0"/>
                      <w:marTop w:val="0"/>
                      <w:marBottom w:val="0"/>
                      <w:divBdr>
                        <w:top w:val="none" w:sz="0" w:space="0" w:color="auto"/>
                        <w:left w:val="none" w:sz="0" w:space="0" w:color="auto"/>
                        <w:bottom w:val="none" w:sz="0" w:space="0" w:color="auto"/>
                        <w:right w:val="none" w:sz="0" w:space="0" w:color="auto"/>
                      </w:divBdr>
                      <w:divsChild>
                        <w:div w:id="211767197">
                          <w:marLeft w:val="0"/>
                          <w:marRight w:val="0"/>
                          <w:marTop w:val="0"/>
                          <w:marBottom w:val="0"/>
                          <w:divBdr>
                            <w:top w:val="none" w:sz="0" w:space="0" w:color="auto"/>
                            <w:left w:val="none" w:sz="0" w:space="0" w:color="auto"/>
                            <w:bottom w:val="none" w:sz="0" w:space="0" w:color="auto"/>
                            <w:right w:val="none" w:sz="0" w:space="0" w:color="auto"/>
                          </w:divBdr>
                          <w:divsChild>
                            <w:div w:id="379478380">
                              <w:marLeft w:val="0"/>
                              <w:marRight w:val="0"/>
                              <w:marTop w:val="0"/>
                              <w:marBottom w:val="0"/>
                              <w:divBdr>
                                <w:top w:val="none" w:sz="0" w:space="0" w:color="auto"/>
                                <w:left w:val="none" w:sz="0" w:space="0" w:color="auto"/>
                                <w:bottom w:val="none" w:sz="0" w:space="0" w:color="auto"/>
                                <w:right w:val="none" w:sz="0" w:space="0" w:color="auto"/>
                              </w:divBdr>
                              <w:divsChild>
                                <w:div w:id="681932622">
                                  <w:marLeft w:val="0"/>
                                  <w:marRight w:val="0"/>
                                  <w:marTop w:val="0"/>
                                  <w:marBottom w:val="0"/>
                                  <w:divBdr>
                                    <w:top w:val="none" w:sz="0" w:space="0" w:color="auto"/>
                                    <w:left w:val="none" w:sz="0" w:space="0" w:color="auto"/>
                                    <w:bottom w:val="none" w:sz="0" w:space="0" w:color="auto"/>
                                    <w:right w:val="none" w:sz="0" w:space="0" w:color="auto"/>
                                  </w:divBdr>
                                  <w:divsChild>
                                    <w:div w:id="2048408099">
                                      <w:marLeft w:val="0"/>
                                      <w:marRight w:val="0"/>
                                      <w:marTop w:val="0"/>
                                      <w:marBottom w:val="0"/>
                                      <w:divBdr>
                                        <w:top w:val="none" w:sz="0" w:space="0" w:color="auto"/>
                                        <w:left w:val="none" w:sz="0" w:space="0" w:color="auto"/>
                                        <w:bottom w:val="none" w:sz="0" w:space="0" w:color="auto"/>
                                        <w:right w:val="none" w:sz="0" w:space="0" w:color="auto"/>
                                      </w:divBdr>
                                      <w:divsChild>
                                        <w:div w:id="895048827">
                                          <w:marLeft w:val="0"/>
                                          <w:marRight w:val="0"/>
                                          <w:marTop w:val="0"/>
                                          <w:marBottom w:val="0"/>
                                          <w:divBdr>
                                            <w:top w:val="none" w:sz="0" w:space="0" w:color="auto"/>
                                            <w:left w:val="none" w:sz="0" w:space="0" w:color="auto"/>
                                            <w:bottom w:val="none" w:sz="0" w:space="0" w:color="auto"/>
                                            <w:right w:val="none" w:sz="0" w:space="0" w:color="auto"/>
                                          </w:divBdr>
                                          <w:divsChild>
                                            <w:div w:id="1757705509">
                                              <w:marLeft w:val="0"/>
                                              <w:marRight w:val="0"/>
                                              <w:marTop w:val="0"/>
                                              <w:marBottom w:val="0"/>
                                              <w:divBdr>
                                                <w:top w:val="none" w:sz="0" w:space="0" w:color="auto"/>
                                                <w:left w:val="none" w:sz="0" w:space="0" w:color="auto"/>
                                                <w:bottom w:val="none" w:sz="0" w:space="0" w:color="auto"/>
                                                <w:right w:val="none" w:sz="0" w:space="0" w:color="auto"/>
                                              </w:divBdr>
                                              <w:divsChild>
                                                <w:div w:id="2099793074">
                                                  <w:marLeft w:val="0"/>
                                                  <w:marRight w:val="0"/>
                                                  <w:marTop w:val="0"/>
                                                  <w:marBottom w:val="0"/>
                                                  <w:divBdr>
                                                    <w:top w:val="none" w:sz="0" w:space="0" w:color="auto"/>
                                                    <w:left w:val="none" w:sz="0" w:space="0" w:color="auto"/>
                                                    <w:bottom w:val="none" w:sz="0" w:space="0" w:color="auto"/>
                                                    <w:right w:val="none" w:sz="0" w:space="0" w:color="auto"/>
                                                  </w:divBdr>
                                                  <w:divsChild>
                                                    <w:div w:id="81031342">
                                                      <w:marLeft w:val="0"/>
                                                      <w:marRight w:val="0"/>
                                                      <w:marTop w:val="0"/>
                                                      <w:marBottom w:val="0"/>
                                                      <w:divBdr>
                                                        <w:top w:val="none" w:sz="0" w:space="0" w:color="auto"/>
                                                        <w:left w:val="none" w:sz="0" w:space="0" w:color="auto"/>
                                                        <w:bottom w:val="none" w:sz="0" w:space="0" w:color="auto"/>
                                                        <w:right w:val="none" w:sz="0" w:space="0" w:color="auto"/>
                                                      </w:divBdr>
                                                      <w:divsChild>
                                                        <w:div w:id="2047631717">
                                                          <w:marLeft w:val="0"/>
                                                          <w:marRight w:val="0"/>
                                                          <w:marTop w:val="0"/>
                                                          <w:marBottom w:val="0"/>
                                                          <w:divBdr>
                                                            <w:top w:val="none" w:sz="0" w:space="0" w:color="auto"/>
                                                            <w:left w:val="none" w:sz="0" w:space="0" w:color="auto"/>
                                                            <w:bottom w:val="none" w:sz="0" w:space="0" w:color="auto"/>
                                                            <w:right w:val="none" w:sz="0" w:space="0" w:color="auto"/>
                                                          </w:divBdr>
                                                          <w:divsChild>
                                                            <w:div w:id="313797658">
                                                              <w:marLeft w:val="0"/>
                                                              <w:marRight w:val="0"/>
                                                              <w:marTop w:val="0"/>
                                                              <w:marBottom w:val="0"/>
                                                              <w:divBdr>
                                                                <w:top w:val="none" w:sz="0" w:space="0" w:color="auto"/>
                                                                <w:left w:val="none" w:sz="0" w:space="0" w:color="auto"/>
                                                                <w:bottom w:val="none" w:sz="0" w:space="0" w:color="auto"/>
                                                                <w:right w:val="none" w:sz="0" w:space="0" w:color="auto"/>
                                                              </w:divBdr>
                                                              <w:divsChild>
                                                                <w:div w:id="1521697070">
                                                                  <w:marLeft w:val="0"/>
                                                                  <w:marRight w:val="0"/>
                                                                  <w:marTop w:val="0"/>
                                                                  <w:marBottom w:val="0"/>
                                                                  <w:divBdr>
                                                                    <w:top w:val="none" w:sz="0" w:space="0" w:color="auto"/>
                                                                    <w:left w:val="none" w:sz="0" w:space="0" w:color="auto"/>
                                                                    <w:bottom w:val="none" w:sz="0" w:space="0" w:color="auto"/>
                                                                    <w:right w:val="none" w:sz="0" w:space="0" w:color="auto"/>
                                                                  </w:divBdr>
                                                                  <w:divsChild>
                                                                    <w:div w:id="1464274060">
                                                                      <w:marLeft w:val="0"/>
                                                                      <w:marRight w:val="0"/>
                                                                      <w:marTop w:val="0"/>
                                                                      <w:marBottom w:val="0"/>
                                                                      <w:divBdr>
                                                                        <w:top w:val="none" w:sz="0" w:space="0" w:color="auto"/>
                                                                        <w:left w:val="none" w:sz="0" w:space="0" w:color="auto"/>
                                                                        <w:bottom w:val="none" w:sz="0" w:space="0" w:color="auto"/>
                                                                        <w:right w:val="none" w:sz="0" w:space="0" w:color="auto"/>
                                                                      </w:divBdr>
                                                                      <w:divsChild>
                                                                        <w:div w:id="1306087475">
                                                                          <w:marLeft w:val="0"/>
                                                                          <w:marRight w:val="0"/>
                                                                          <w:marTop w:val="0"/>
                                                                          <w:marBottom w:val="0"/>
                                                                          <w:divBdr>
                                                                            <w:top w:val="none" w:sz="0" w:space="0" w:color="auto"/>
                                                                            <w:left w:val="none" w:sz="0" w:space="0" w:color="auto"/>
                                                                            <w:bottom w:val="none" w:sz="0" w:space="0" w:color="auto"/>
                                                                            <w:right w:val="none" w:sz="0" w:space="0" w:color="auto"/>
                                                                          </w:divBdr>
                                                                          <w:divsChild>
                                                                            <w:div w:id="1362827861">
                                                                              <w:marLeft w:val="0"/>
                                                                              <w:marRight w:val="0"/>
                                                                              <w:marTop w:val="0"/>
                                                                              <w:marBottom w:val="0"/>
                                                                              <w:divBdr>
                                                                                <w:top w:val="none" w:sz="0" w:space="0" w:color="auto"/>
                                                                                <w:left w:val="none" w:sz="0" w:space="0" w:color="auto"/>
                                                                                <w:bottom w:val="none" w:sz="0" w:space="0" w:color="auto"/>
                                                                                <w:right w:val="none" w:sz="0" w:space="0" w:color="auto"/>
                                                                              </w:divBdr>
                                                                              <w:divsChild>
                                                                                <w:div w:id="135241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11405194">
                                      <w:marLeft w:val="0"/>
                                      <w:marRight w:val="0"/>
                                      <w:marTop w:val="0"/>
                                      <w:marBottom w:val="0"/>
                                      <w:divBdr>
                                        <w:top w:val="none" w:sz="0" w:space="0" w:color="auto"/>
                                        <w:left w:val="none" w:sz="0" w:space="0" w:color="auto"/>
                                        <w:bottom w:val="none" w:sz="0" w:space="0" w:color="auto"/>
                                        <w:right w:val="none" w:sz="0" w:space="0" w:color="auto"/>
                                      </w:divBdr>
                                      <w:divsChild>
                                        <w:div w:id="1262032286">
                                          <w:marLeft w:val="0"/>
                                          <w:marRight w:val="0"/>
                                          <w:marTop w:val="0"/>
                                          <w:marBottom w:val="0"/>
                                          <w:divBdr>
                                            <w:top w:val="none" w:sz="0" w:space="0" w:color="auto"/>
                                            <w:left w:val="none" w:sz="0" w:space="0" w:color="auto"/>
                                            <w:bottom w:val="none" w:sz="0" w:space="0" w:color="auto"/>
                                            <w:right w:val="none" w:sz="0" w:space="0" w:color="auto"/>
                                          </w:divBdr>
                                          <w:divsChild>
                                            <w:div w:id="1760712996">
                                              <w:marLeft w:val="0"/>
                                              <w:marRight w:val="0"/>
                                              <w:marTop w:val="0"/>
                                              <w:marBottom w:val="0"/>
                                              <w:divBdr>
                                                <w:top w:val="none" w:sz="0" w:space="0" w:color="auto"/>
                                                <w:left w:val="none" w:sz="0" w:space="0" w:color="auto"/>
                                                <w:bottom w:val="none" w:sz="0" w:space="0" w:color="auto"/>
                                                <w:right w:val="none" w:sz="0" w:space="0" w:color="auto"/>
                                              </w:divBdr>
                                              <w:divsChild>
                                                <w:div w:id="1812210606">
                                                  <w:marLeft w:val="0"/>
                                                  <w:marRight w:val="0"/>
                                                  <w:marTop w:val="0"/>
                                                  <w:marBottom w:val="0"/>
                                                  <w:divBdr>
                                                    <w:top w:val="none" w:sz="0" w:space="0" w:color="auto"/>
                                                    <w:left w:val="none" w:sz="0" w:space="0" w:color="auto"/>
                                                    <w:bottom w:val="none" w:sz="0" w:space="0" w:color="auto"/>
                                                    <w:right w:val="none" w:sz="0" w:space="0" w:color="auto"/>
                                                  </w:divBdr>
                                                  <w:divsChild>
                                                    <w:div w:id="401219669">
                                                      <w:marLeft w:val="0"/>
                                                      <w:marRight w:val="0"/>
                                                      <w:marTop w:val="0"/>
                                                      <w:marBottom w:val="0"/>
                                                      <w:divBdr>
                                                        <w:top w:val="none" w:sz="0" w:space="0" w:color="auto"/>
                                                        <w:left w:val="none" w:sz="0" w:space="0" w:color="auto"/>
                                                        <w:bottom w:val="none" w:sz="0" w:space="0" w:color="auto"/>
                                                        <w:right w:val="none" w:sz="0" w:space="0" w:color="auto"/>
                                                      </w:divBdr>
                                                      <w:divsChild>
                                                        <w:div w:id="990645786">
                                                          <w:marLeft w:val="0"/>
                                                          <w:marRight w:val="0"/>
                                                          <w:marTop w:val="0"/>
                                                          <w:marBottom w:val="0"/>
                                                          <w:divBdr>
                                                            <w:top w:val="none" w:sz="0" w:space="0" w:color="auto"/>
                                                            <w:left w:val="none" w:sz="0" w:space="0" w:color="auto"/>
                                                            <w:bottom w:val="none" w:sz="0" w:space="0" w:color="auto"/>
                                                            <w:right w:val="none" w:sz="0" w:space="0" w:color="auto"/>
                                                          </w:divBdr>
                                                          <w:divsChild>
                                                            <w:div w:id="1174146434">
                                                              <w:marLeft w:val="0"/>
                                                              <w:marRight w:val="0"/>
                                                              <w:marTop w:val="0"/>
                                                              <w:marBottom w:val="0"/>
                                                              <w:divBdr>
                                                                <w:top w:val="none" w:sz="0" w:space="0" w:color="auto"/>
                                                                <w:left w:val="none" w:sz="0" w:space="0" w:color="auto"/>
                                                                <w:bottom w:val="none" w:sz="0" w:space="0" w:color="auto"/>
                                                                <w:right w:val="none" w:sz="0" w:space="0" w:color="auto"/>
                                                              </w:divBdr>
                                                              <w:divsChild>
                                                                <w:div w:id="2080596447">
                                                                  <w:marLeft w:val="0"/>
                                                                  <w:marRight w:val="0"/>
                                                                  <w:marTop w:val="0"/>
                                                                  <w:marBottom w:val="0"/>
                                                                  <w:divBdr>
                                                                    <w:top w:val="none" w:sz="0" w:space="0" w:color="auto"/>
                                                                    <w:left w:val="none" w:sz="0" w:space="0" w:color="auto"/>
                                                                    <w:bottom w:val="none" w:sz="0" w:space="0" w:color="auto"/>
                                                                    <w:right w:val="none" w:sz="0" w:space="0" w:color="auto"/>
                                                                  </w:divBdr>
                                                                  <w:divsChild>
                                                                    <w:div w:id="772748739">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2761425">
                                      <w:marLeft w:val="0"/>
                                      <w:marRight w:val="0"/>
                                      <w:marTop w:val="0"/>
                                      <w:marBottom w:val="0"/>
                                      <w:divBdr>
                                        <w:top w:val="none" w:sz="0" w:space="0" w:color="auto"/>
                                        <w:left w:val="none" w:sz="0" w:space="0" w:color="auto"/>
                                        <w:bottom w:val="none" w:sz="0" w:space="0" w:color="auto"/>
                                        <w:right w:val="none" w:sz="0" w:space="0" w:color="auto"/>
                                      </w:divBdr>
                                      <w:divsChild>
                                        <w:div w:id="741173729">
                                          <w:marLeft w:val="0"/>
                                          <w:marRight w:val="0"/>
                                          <w:marTop w:val="0"/>
                                          <w:marBottom w:val="0"/>
                                          <w:divBdr>
                                            <w:top w:val="none" w:sz="0" w:space="0" w:color="auto"/>
                                            <w:left w:val="none" w:sz="0" w:space="0" w:color="auto"/>
                                            <w:bottom w:val="none" w:sz="0" w:space="0" w:color="auto"/>
                                            <w:right w:val="none" w:sz="0" w:space="0" w:color="auto"/>
                                          </w:divBdr>
                                          <w:divsChild>
                                            <w:div w:id="1953436518">
                                              <w:marLeft w:val="0"/>
                                              <w:marRight w:val="0"/>
                                              <w:marTop w:val="0"/>
                                              <w:marBottom w:val="0"/>
                                              <w:divBdr>
                                                <w:top w:val="none" w:sz="0" w:space="0" w:color="auto"/>
                                                <w:left w:val="none" w:sz="0" w:space="0" w:color="auto"/>
                                                <w:bottom w:val="none" w:sz="0" w:space="0" w:color="auto"/>
                                                <w:right w:val="none" w:sz="0" w:space="0" w:color="auto"/>
                                              </w:divBdr>
                                              <w:divsChild>
                                                <w:div w:id="2015961664">
                                                  <w:marLeft w:val="0"/>
                                                  <w:marRight w:val="0"/>
                                                  <w:marTop w:val="0"/>
                                                  <w:marBottom w:val="0"/>
                                                  <w:divBdr>
                                                    <w:top w:val="none" w:sz="0" w:space="0" w:color="auto"/>
                                                    <w:left w:val="none" w:sz="0" w:space="0" w:color="auto"/>
                                                    <w:bottom w:val="none" w:sz="0" w:space="0" w:color="auto"/>
                                                    <w:right w:val="none" w:sz="0" w:space="0" w:color="auto"/>
                                                  </w:divBdr>
                                                  <w:divsChild>
                                                    <w:div w:id="577902757">
                                                      <w:marLeft w:val="0"/>
                                                      <w:marRight w:val="0"/>
                                                      <w:marTop w:val="0"/>
                                                      <w:marBottom w:val="0"/>
                                                      <w:divBdr>
                                                        <w:top w:val="none" w:sz="0" w:space="0" w:color="auto"/>
                                                        <w:left w:val="none" w:sz="0" w:space="0" w:color="auto"/>
                                                        <w:bottom w:val="none" w:sz="0" w:space="0" w:color="auto"/>
                                                        <w:right w:val="none" w:sz="0" w:space="0" w:color="auto"/>
                                                      </w:divBdr>
                                                      <w:divsChild>
                                                        <w:div w:id="64840618">
                                                          <w:marLeft w:val="0"/>
                                                          <w:marRight w:val="0"/>
                                                          <w:marTop w:val="0"/>
                                                          <w:marBottom w:val="0"/>
                                                          <w:divBdr>
                                                            <w:top w:val="none" w:sz="0" w:space="0" w:color="auto"/>
                                                            <w:left w:val="none" w:sz="0" w:space="0" w:color="auto"/>
                                                            <w:bottom w:val="none" w:sz="0" w:space="0" w:color="auto"/>
                                                            <w:right w:val="none" w:sz="0" w:space="0" w:color="auto"/>
                                                          </w:divBdr>
                                                          <w:divsChild>
                                                            <w:div w:id="233660780">
                                                              <w:marLeft w:val="0"/>
                                                              <w:marRight w:val="0"/>
                                                              <w:marTop w:val="0"/>
                                                              <w:marBottom w:val="0"/>
                                                              <w:divBdr>
                                                                <w:top w:val="none" w:sz="0" w:space="0" w:color="auto"/>
                                                                <w:left w:val="none" w:sz="0" w:space="0" w:color="auto"/>
                                                                <w:bottom w:val="none" w:sz="0" w:space="0" w:color="auto"/>
                                                                <w:right w:val="none" w:sz="0" w:space="0" w:color="auto"/>
                                                              </w:divBdr>
                                                              <w:divsChild>
                                                                <w:div w:id="236599977">
                                                                  <w:marLeft w:val="0"/>
                                                                  <w:marRight w:val="0"/>
                                                                  <w:marTop w:val="0"/>
                                                                  <w:marBottom w:val="0"/>
                                                                  <w:divBdr>
                                                                    <w:top w:val="none" w:sz="0" w:space="0" w:color="auto"/>
                                                                    <w:left w:val="none" w:sz="0" w:space="0" w:color="auto"/>
                                                                    <w:bottom w:val="none" w:sz="0" w:space="0" w:color="auto"/>
                                                                    <w:right w:val="none" w:sz="0" w:space="0" w:color="auto"/>
                                                                  </w:divBdr>
                                                                  <w:divsChild>
                                                                    <w:div w:id="835611559">
                                                                      <w:marLeft w:val="0"/>
                                                                      <w:marRight w:val="0"/>
                                                                      <w:marTop w:val="0"/>
                                                                      <w:marBottom w:val="0"/>
                                                                      <w:divBdr>
                                                                        <w:top w:val="none" w:sz="0" w:space="0" w:color="auto"/>
                                                                        <w:left w:val="none" w:sz="0" w:space="0" w:color="auto"/>
                                                                        <w:bottom w:val="none" w:sz="0" w:space="0" w:color="auto"/>
                                                                        <w:right w:val="none" w:sz="0" w:space="0" w:color="auto"/>
                                                                      </w:divBdr>
                                                                      <w:divsChild>
                                                                        <w:div w:id="1370178930">
                                                                          <w:marLeft w:val="0"/>
                                                                          <w:marRight w:val="0"/>
                                                                          <w:marTop w:val="0"/>
                                                                          <w:marBottom w:val="0"/>
                                                                          <w:divBdr>
                                                                            <w:top w:val="none" w:sz="0" w:space="0" w:color="auto"/>
                                                                            <w:left w:val="none" w:sz="0" w:space="0" w:color="auto"/>
                                                                            <w:bottom w:val="none" w:sz="0" w:space="0" w:color="auto"/>
                                                                            <w:right w:val="none" w:sz="0" w:space="0" w:color="auto"/>
                                                                          </w:divBdr>
                                                                          <w:divsChild>
                                                                            <w:div w:id="1460807084">
                                                                              <w:marLeft w:val="0"/>
                                                                              <w:marRight w:val="0"/>
                                                                              <w:marTop w:val="0"/>
                                                                              <w:marBottom w:val="0"/>
                                                                              <w:divBdr>
                                                                                <w:top w:val="none" w:sz="0" w:space="0" w:color="auto"/>
                                                                                <w:left w:val="none" w:sz="0" w:space="0" w:color="auto"/>
                                                                                <w:bottom w:val="none" w:sz="0" w:space="0" w:color="auto"/>
                                                                                <w:right w:val="none" w:sz="0" w:space="0" w:color="auto"/>
                                                                              </w:divBdr>
                                                                              <w:divsChild>
                                                                                <w:div w:id="10920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9781913">
                                      <w:marLeft w:val="0"/>
                                      <w:marRight w:val="0"/>
                                      <w:marTop w:val="0"/>
                                      <w:marBottom w:val="0"/>
                                      <w:divBdr>
                                        <w:top w:val="none" w:sz="0" w:space="0" w:color="auto"/>
                                        <w:left w:val="none" w:sz="0" w:space="0" w:color="auto"/>
                                        <w:bottom w:val="none" w:sz="0" w:space="0" w:color="auto"/>
                                        <w:right w:val="none" w:sz="0" w:space="0" w:color="auto"/>
                                      </w:divBdr>
                                      <w:divsChild>
                                        <w:div w:id="2112358473">
                                          <w:marLeft w:val="0"/>
                                          <w:marRight w:val="0"/>
                                          <w:marTop w:val="0"/>
                                          <w:marBottom w:val="0"/>
                                          <w:divBdr>
                                            <w:top w:val="none" w:sz="0" w:space="0" w:color="auto"/>
                                            <w:left w:val="none" w:sz="0" w:space="0" w:color="auto"/>
                                            <w:bottom w:val="none" w:sz="0" w:space="0" w:color="auto"/>
                                            <w:right w:val="none" w:sz="0" w:space="0" w:color="auto"/>
                                          </w:divBdr>
                                          <w:divsChild>
                                            <w:div w:id="1884174029">
                                              <w:marLeft w:val="0"/>
                                              <w:marRight w:val="0"/>
                                              <w:marTop w:val="0"/>
                                              <w:marBottom w:val="0"/>
                                              <w:divBdr>
                                                <w:top w:val="none" w:sz="0" w:space="0" w:color="auto"/>
                                                <w:left w:val="none" w:sz="0" w:space="0" w:color="auto"/>
                                                <w:bottom w:val="none" w:sz="0" w:space="0" w:color="auto"/>
                                                <w:right w:val="none" w:sz="0" w:space="0" w:color="auto"/>
                                              </w:divBdr>
                                              <w:divsChild>
                                                <w:div w:id="1314287863">
                                                  <w:marLeft w:val="0"/>
                                                  <w:marRight w:val="0"/>
                                                  <w:marTop w:val="0"/>
                                                  <w:marBottom w:val="0"/>
                                                  <w:divBdr>
                                                    <w:top w:val="none" w:sz="0" w:space="0" w:color="auto"/>
                                                    <w:left w:val="none" w:sz="0" w:space="0" w:color="auto"/>
                                                    <w:bottom w:val="none" w:sz="0" w:space="0" w:color="auto"/>
                                                    <w:right w:val="none" w:sz="0" w:space="0" w:color="auto"/>
                                                  </w:divBdr>
                                                  <w:divsChild>
                                                    <w:div w:id="883717437">
                                                      <w:marLeft w:val="0"/>
                                                      <w:marRight w:val="0"/>
                                                      <w:marTop w:val="0"/>
                                                      <w:marBottom w:val="0"/>
                                                      <w:divBdr>
                                                        <w:top w:val="none" w:sz="0" w:space="0" w:color="auto"/>
                                                        <w:left w:val="none" w:sz="0" w:space="0" w:color="auto"/>
                                                        <w:bottom w:val="none" w:sz="0" w:space="0" w:color="auto"/>
                                                        <w:right w:val="none" w:sz="0" w:space="0" w:color="auto"/>
                                                      </w:divBdr>
                                                      <w:divsChild>
                                                        <w:div w:id="1797018421">
                                                          <w:marLeft w:val="0"/>
                                                          <w:marRight w:val="0"/>
                                                          <w:marTop w:val="0"/>
                                                          <w:marBottom w:val="0"/>
                                                          <w:divBdr>
                                                            <w:top w:val="none" w:sz="0" w:space="0" w:color="auto"/>
                                                            <w:left w:val="none" w:sz="0" w:space="0" w:color="auto"/>
                                                            <w:bottom w:val="none" w:sz="0" w:space="0" w:color="auto"/>
                                                            <w:right w:val="none" w:sz="0" w:space="0" w:color="auto"/>
                                                          </w:divBdr>
                                                          <w:divsChild>
                                                            <w:div w:id="43524044">
                                                              <w:marLeft w:val="0"/>
                                                              <w:marRight w:val="0"/>
                                                              <w:marTop w:val="0"/>
                                                              <w:marBottom w:val="0"/>
                                                              <w:divBdr>
                                                                <w:top w:val="none" w:sz="0" w:space="0" w:color="auto"/>
                                                                <w:left w:val="none" w:sz="0" w:space="0" w:color="auto"/>
                                                                <w:bottom w:val="none" w:sz="0" w:space="0" w:color="auto"/>
                                                                <w:right w:val="none" w:sz="0" w:space="0" w:color="auto"/>
                                                              </w:divBdr>
                                                              <w:divsChild>
                                                                <w:div w:id="6180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1576800">
                                      <w:marLeft w:val="0"/>
                                      <w:marRight w:val="0"/>
                                      <w:marTop w:val="0"/>
                                      <w:marBottom w:val="0"/>
                                      <w:divBdr>
                                        <w:top w:val="none" w:sz="0" w:space="0" w:color="auto"/>
                                        <w:left w:val="none" w:sz="0" w:space="0" w:color="auto"/>
                                        <w:bottom w:val="none" w:sz="0" w:space="0" w:color="auto"/>
                                        <w:right w:val="none" w:sz="0" w:space="0" w:color="auto"/>
                                      </w:divBdr>
                                      <w:divsChild>
                                        <w:div w:id="1065569249">
                                          <w:marLeft w:val="0"/>
                                          <w:marRight w:val="0"/>
                                          <w:marTop w:val="0"/>
                                          <w:marBottom w:val="0"/>
                                          <w:divBdr>
                                            <w:top w:val="none" w:sz="0" w:space="0" w:color="auto"/>
                                            <w:left w:val="none" w:sz="0" w:space="0" w:color="auto"/>
                                            <w:bottom w:val="none" w:sz="0" w:space="0" w:color="auto"/>
                                            <w:right w:val="none" w:sz="0" w:space="0" w:color="auto"/>
                                          </w:divBdr>
                                          <w:divsChild>
                                            <w:div w:id="1592853733">
                                              <w:marLeft w:val="0"/>
                                              <w:marRight w:val="0"/>
                                              <w:marTop w:val="0"/>
                                              <w:marBottom w:val="0"/>
                                              <w:divBdr>
                                                <w:top w:val="none" w:sz="0" w:space="0" w:color="auto"/>
                                                <w:left w:val="none" w:sz="0" w:space="0" w:color="auto"/>
                                                <w:bottom w:val="none" w:sz="0" w:space="0" w:color="auto"/>
                                                <w:right w:val="none" w:sz="0" w:space="0" w:color="auto"/>
                                              </w:divBdr>
                                              <w:divsChild>
                                                <w:div w:id="935482516">
                                                  <w:marLeft w:val="0"/>
                                                  <w:marRight w:val="0"/>
                                                  <w:marTop w:val="0"/>
                                                  <w:marBottom w:val="0"/>
                                                  <w:divBdr>
                                                    <w:top w:val="none" w:sz="0" w:space="0" w:color="auto"/>
                                                    <w:left w:val="none" w:sz="0" w:space="0" w:color="auto"/>
                                                    <w:bottom w:val="none" w:sz="0" w:space="0" w:color="auto"/>
                                                    <w:right w:val="none" w:sz="0" w:space="0" w:color="auto"/>
                                                  </w:divBdr>
                                                  <w:divsChild>
                                                    <w:div w:id="1553881573">
                                                      <w:marLeft w:val="0"/>
                                                      <w:marRight w:val="0"/>
                                                      <w:marTop w:val="0"/>
                                                      <w:marBottom w:val="0"/>
                                                      <w:divBdr>
                                                        <w:top w:val="none" w:sz="0" w:space="0" w:color="auto"/>
                                                        <w:left w:val="none" w:sz="0" w:space="0" w:color="auto"/>
                                                        <w:bottom w:val="none" w:sz="0" w:space="0" w:color="auto"/>
                                                        <w:right w:val="none" w:sz="0" w:space="0" w:color="auto"/>
                                                      </w:divBdr>
                                                      <w:divsChild>
                                                        <w:div w:id="622543222">
                                                          <w:marLeft w:val="0"/>
                                                          <w:marRight w:val="0"/>
                                                          <w:marTop w:val="0"/>
                                                          <w:marBottom w:val="0"/>
                                                          <w:divBdr>
                                                            <w:top w:val="none" w:sz="0" w:space="0" w:color="auto"/>
                                                            <w:left w:val="none" w:sz="0" w:space="0" w:color="auto"/>
                                                            <w:bottom w:val="none" w:sz="0" w:space="0" w:color="auto"/>
                                                            <w:right w:val="none" w:sz="0" w:space="0" w:color="auto"/>
                                                          </w:divBdr>
                                                          <w:divsChild>
                                                            <w:div w:id="648049553">
                                                              <w:marLeft w:val="0"/>
                                                              <w:marRight w:val="0"/>
                                                              <w:marTop w:val="0"/>
                                                              <w:marBottom w:val="0"/>
                                                              <w:divBdr>
                                                                <w:top w:val="none" w:sz="0" w:space="0" w:color="auto"/>
                                                                <w:left w:val="none" w:sz="0" w:space="0" w:color="auto"/>
                                                                <w:bottom w:val="none" w:sz="0" w:space="0" w:color="auto"/>
                                                                <w:right w:val="none" w:sz="0" w:space="0" w:color="auto"/>
                                                              </w:divBdr>
                                                              <w:divsChild>
                                                                <w:div w:id="443162023">
                                                                  <w:marLeft w:val="0"/>
                                                                  <w:marRight w:val="0"/>
                                                                  <w:marTop w:val="0"/>
                                                                  <w:marBottom w:val="0"/>
                                                                  <w:divBdr>
                                                                    <w:top w:val="none" w:sz="0" w:space="0" w:color="auto"/>
                                                                    <w:left w:val="none" w:sz="0" w:space="0" w:color="auto"/>
                                                                    <w:bottom w:val="none" w:sz="0" w:space="0" w:color="auto"/>
                                                                    <w:right w:val="none" w:sz="0" w:space="0" w:color="auto"/>
                                                                  </w:divBdr>
                                                                  <w:divsChild>
                                                                    <w:div w:id="1648511739">
                                                                      <w:marLeft w:val="0"/>
                                                                      <w:marRight w:val="0"/>
                                                                      <w:marTop w:val="0"/>
                                                                      <w:marBottom w:val="0"/>
                                                                      <w:divBdr>
                                                                        <w:top w:val="none" w:sz="0" w:space="0" w:color="auto"/>
                                                                        <w:left w:val="none" w:sz="0" w:space="0" w:color="auto"/>
                                                                        <w:bottom w:val="none" w:sz="0" w:space="0" w:color="auto"/>
                                                                        <w:right w:val="none" w:sz="0" w:space="0" w:color="auto"/>
                                                                      </w:divBdr>
                                                                      <w:divsChild>
                                                                        <w:div w:id="1860703903">
                                                                          <w:marLeft w:val="0"/>
                                                                          <w:marRight w:val="0"/>
                                                                          <w:marTop w:val="0"/>
                                                                          <w:marBottom w:val="0"/>
                                                                          <w:divBdr>
                                                                            <w:top w:val="none" w:sz="0" w:space="0" w:color="auto"/>
                                                                            <w:left w:val="none" w:sz="0" w:space="0" w:color="auto"/>
                                                                            <w:bottom w:val="none" w:sz="0" w:space="0" w:color="auto"/>
                                                                            <w:right w:val="none" w:sz="0" w:space="0" w:color="auto"/>
                                                                          </w:divBdr>
                                                                          <w:divsChild>
                                                                            <w:div w:id="1654942323">
                                                                              <w:marLeft w:val="0"/>
                                                                              <w:marRight w:val="0"/>
                                                                              <w:marTop w:val="0"/>
                                                                              <w:marBottom w:val="0"/>
                                                                              <w:divBdr>
                                                                                <w:top w:val="none" w:sz="0" w:space="0" w:color="auto"/>
                                                                                <w:left w:val="none" w:sz="0" w:space="0" w:color="auto"/>
                                                                                <w:bottom w:val="none" w:sz="0" w:space="0" w:color="auto"/>
                                                                                <w:right w:val="none" w:sz="0" w:space="0" w:color="auto"/>
                                                                              </w:divBdr>
                                                                              <w:divsChild>
                                                                                <w:div w:id="8459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39885139">
                                      <w:marLeft w:val="0"/>
                                      <w:marRight w:val="0"/>
                                      <w:marTop w:val="0"/>
                                      <w:marBottom w:val="0"/>
                                      <w:divBdr>
                                        <w:top w:val="none" w:sz="0" w:space="0" w:color="auto"/>
                                        <w:left w:val="none" w:sz="0" w:space="0" w:color="auto"/>
                                        <w:bottom w:val="none" w:sz="0" w:space="0" w:color="auto"/>
                                        <w:right w:val="none" w:sz="0" w:space="0" w:color="auto"/>
                                      </w:divBdr>
                                      <w:divsChild>
                                        <w:div w:id="21324579">
                                          <w:marLeft w:val="0"/>
                                          <w:marRight w:val="0"/>
                                          <w:marTop w:val="0"/>
                                          <w:marBottom w:val="0"/>
                                          <w:divBdr>
                                            <w:top w:val="none" w:sz="0" w:space="0" w:color="auto"/>
                                            <w:left w:val="none" w:sz="0" w:space="0" w:color="auto"/>
                                            <w:bottom w:val="none" w:sz="0" w:space="0" w:color="auto"/>
                                            <w:right w:val="none" w:sz="0" w:space="0" w:color="auto"/>
                                          </w:divBdr>
                                          <w:divsChild>
                                            <w:div w:id="1440567388">
                                              <w:marLeft w:val="0"/>
                                              <w:marRight w:val="0"/>
                                              <w:marTop w:val="0"/>
                                              <w:marBottom w:val="0"/>
                                              <w:divBdr>
                                                <w:top w:val="none" w:sz="0" w:space="0" w:color="auto"/>
                                                <w:left w:val="none" w:sz="0" w:space="0" w:color="auto"/>
                                                <w:bottom w:val="none" w:sz="0" w:space="0" w:color="auto"/>
                                                <w:right w:val="none" w:sz="0" w:space="0" w:color="auto"/>
                                              </w:divBdr>
                                              <w:divsChild>
                                                <w:div w:id="1078676497">
                                                  <w:marLeft w:val="0"/>
                                                  <w:marRight w:val="0"/>
                                                  <w:marTop w:val="0"/>
                                                  <w:marBottom w:val="0"/>
                                                  <w:divBdr>
                                                    <w:top w:val="none" w:sz="0" w:space="0" w:color="auto"/>
                                                    <w:left w:val="none" w:sz="0" w:space="0" w:color="auto"/>
                                                    <w:bottom w:val="none" w:sz="0" w:space="0" w:color="auto"/>
                                                    <w:right w:val="none" w:sz="0" w:space="0" w:color="auto"/>
                                                  </w:divBdr>
                                                  <w:divsChild>
                                                    <w:div w:id="811603084">
                                                      <w:marLeft w:val="0"/>
                                                      <w:marRight w:val="0"/>
                                                      <w:marTop w:val="0"/>
                                                      <w:marBottom w:val="0"/>
                                                      <w:divBdr>
                                                        <w:top w:val="none" w:sz="0" w:space="0" w:color="auto"/>
                                                        <w:left w:val="none" w:sz="0" w:space="0" w:color="auto"/>
                                                        <w:bottom w:val="none" w:sz="0" w:space="0" w:color="auto"/>
                                                        <w:right w:val="none" w:sz="0" w:space="0" w:color="auto"/>
                                                      </w:divBdr>
                                                      <w:divsChild>
                                                        <w:div w:id="356076967">
                                                          <w:marLeft w:val="0"/>
                                                          <w:marRight w:val="0"/>
                                                          <w:marTop w:val="0"/>
                                                          <w:marBottom w:val="0"/>
                                                          <w:divBdr>
                                                            <w:top w:val="none" w:sz="0" w:space="0" w:color="auto"/>
                                                            <w:left w:val="none" w:sz="0" w:space="0" w:color="auto"/>
                                                            <w:bottom w:val="none" w:sz="0" w:space="0" w:color="auto"/>
                                                            <w:right w:val="none" w:sz="0" w:space="0" w:color="auto"/>
                                                          </w:divBdr>
                                                          <w:divsChild>
                                                            <w:div w:id="552272963">
                                                              <w:marLeft w:val="0"/>
                                                              <w:marRight w:val="0"/>
                                                              <w:marTop w:val="0"/>
                                                              <w:marBottom w:val="0"/>
                                                              <w:divBdr>
                                                                <w:top w:val="none" w:sz="0" w:space="0" w:color="auto"/>
                                                                <w:left w:val="none" w:sz="0" w:space="0" w:color="auto"/>
                                                                <w:bottom w:val="none" w:sz="0" w:space="0" w:color="auto"/>
                                                                <w:right w:val="none" w:sz="0" w:space="0" w:color="auto"/>
                                                              </w:divBdr>
                                                              <w:divsChild>
                                                                <w:div w:id="77182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doi.org/10.12688/healthopenres.13771.1" TargetMode="External"/><Relationship Id="rId18" Type="http://schemas.openxmlformats.org/officeDocument/2006/relationships/hyperlink" Target="https://dj.univ-danubius.ro/index.php/AUDOE/article/view/1760"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doi.org/10.1002/fsn3.3855" TargetMode="Externa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s://doi.org/10.1111/mcn.12506"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doi.org/10.1016/j.wasman.2007.06.004" TargetMode="External"/><Relationship Id="rId20" Type="http://schemas.openxmlformats.org/officeDocument/2006/relationships/hyperlink" Target="https://doi.org/10.1016/S0197-3975(01)00019-"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header" Target="header1.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3390/agriculture12070956" TargetMode="External"/><Relationship Id="rId23" Type="http://schemas.openxmlformats.org/officeDocument/2006/relationships/hyperlink" Target="https://doi.org/10.1016/j.heliyon.2023.e17232" TargetMode="External"/><Relationship Id="rId28" Type="http://schemas.openxmlformats.org/officeDocument/2006/relationships/header" Target="header3.xml"/><Relationship Id="rId10" Type="http://schemas.microsoft.com/office/2016/09/relationships/commentsIds" Target="commentsIds.xml"/><Relationship Id="rId19" Type="http://schemas.openxmlformats.org/officeDocument/2006/relationships/hyperlink" Target="https://openknowledge.fao.org/server/api/core/bitstreams/de95e011-1af9-4b28-9a07-d8ce61f8aa6c/content/state-food-security-and-nutrition-2025/food-price-inflation-facts.html" TargetMode="External"/><Relationship Id="rId31"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doi.org/10.1111/j.1574-0862.2010.00442.x" TargetMode="External"/><Relationship Id="rId22" Type="http://schemas.openxmlformats.org/officeDocument/2006/relationships/hyperlink" Target="https://dx.doi.org/10.12944/CRNFSJ.10.3.7"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36C8E-B1EF-4619-8B09-03690758F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35</Pages>
  <Words>12572</Words>
  <Characters>71661</Characters>
  <Application>Microsoft Office Word</Application>
  <DocSecurity>0</DocSecurity>
  <Lines>597</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c:creator>
  <cp:keywords/>
  <dc:description/>
  <cp:lastModifiedBy>lenovo.ym10389z@outlook.com</cp:lastModifiedBy>
  <cp:revision>3</cp:revision>
  <dcterms:created xsi:type="dcterms:W3CDTF">2026-05-20T13:28:00Z</dcterms:created>
  <dcterms:modified xsi:type="dcterms:W3CDTF">2026-05-20T13:56:00Z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10624503-c0e8-40da-a064-dc18871500d3</vt:lpwstr>
  </property>
</Properties>
</file>