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A554" w14:textId="77777777" w:rsidR="00DF15D5" w:rsidRPr="00DF15D5" w:rsidRDefault="00DF15D5" w:rsidP="00DF15D5">
      <w:pPr>
        <w:jc w:val="both"/>
        <w:rPr>
          <w:rFonts w:ascii="Arial" w:hAnsi="Arial" w:cs="Arial"/>
          <w:b/>
          <w:bCs/>
          <w:i/>
          <w:iCs/>
          <w:sz w:val="22"/>
          <w:szCs w:val="22"/>
          <w:u w:val="single"/>
        </w:rPr>
      </w:pPr>
      <w:r w:rsidRPr="00DF15D5">
        <w:rPr>
          <w:rFonts w:ascii="Arial" w:hAnsi="Arial" w:cs="Arial"/>
          <w:b/>
          <w:bCs/>
          <w:i/>
          <w:iCs/>
          <w:sz w:val="22"/>
          <w:szCs w:val="22"/>
          <w:u w:val="single"/>
        </w:rPr>
        <w:t>Original Research Article</w:t>
      </w:r>
    </w:p>
    <w:p w14:paraId="083D84B4" w14:textId="77777777" w:rsidR="004C04AE" w:rsidRPr="004C3FFB" w:rsidRDefault="004C04AE" w:rsidP="004C04AE">
      <w:pPr>
        <w:jc w:val="both"/>
        <w:rPr>
          <w:rFonts w:ascii="Arial" w:hAnsi="Arial" w:cs="Arial"/>
          <w:b/>
          <w:bCs/>
          <w:sz w:val="22"/>
          <w:szCs w:val="22"/>
          <w:lang w:val="en-GB"/>
        </w:rPr>
      </w:pPr>
      <w:r w:rsidRPr="004C3FFB">
        <w:rPr>
          <w:rFonts w:ascii="Arial" w:hAnsi="Arial" w:cs="Arial"/>
          <w:b/>
          <w:bCs/>
          <w:sz w:val="22"/>
          <w:szCs w:val="22"/>
          <w:lang w:val="en-GB"/>
        </w:rPr>
        <w:t>RESPONSE OF SULPHUR AND ZINC NUTRITION ON NUTRIENT UPTAKE AND SOIL PROPERTIES OF SESAME</w:t>
      </w:r>
      <w:r w:rsidRPr="004C3FFB">
        <w:rPr>
          <w:rFonts w:ascii="Arial" w:hAnsi="Arial" w:cs="Arial"/>
          <w:b/>
          <w:bCs/>
          <w:i/>
          <w:iCs/>
          <w:sz w:val="22"/>
          <w:szCs w:val="22"/>
          <w:lang w:val="en-GB"/>
        </w:rPr>
        <w:t xml:space="preserve"> (Sesamum indicum</w:t>
      </w:r>
      <w:r w:rsidRPr="004C3FFB">
        <w:rPr>
          <w:rFonts w:ascii="Arial" w:hAnsi="Arial" w:cs="Arial"/>
          <w:b/>
          <w:bCs/>
          <w:sz w:val="22"/>
          <w:szCs w:val="22"/>
          <w:lang w:val="en-GB"/>
        </w:rPr>
        <w:t xml:space="preserve"> L.) UNDER RAINFED CONDITION</w:t>
      </w:r>
    </w:p>
    <w:p w14:paraId="6BAA80FF" w14:textId="77777777" w:rsidR="002164AE" w:rsidRDefault="002164AE" w:rsidP="004C04AE">
      <w:pPr>
        <w:jc w:val="both"/>
        <w:rPr>
          <w:rFonts w:ascii="Arial" w:hAnsi="Arial" w:cs="Arial"/>
          <w:b/>
          <w:bCs/>
          <w:sz w:val="20"/>
          <w:szCs w:val="20"/>
          <w:lang w:val="en-GB"/>
        </w:rPr>
      </w:pPr>
    </w:p>
    <w:p w14:paraId="339907AF" w14:textId="4F2C2594" w:rsidR="004C04AE" w:rsidRPr="004C3FFB" w:rsidRDefault="004C04AE" w:rsidP="004C04AE">
      <w:pPr>
        <w:jc w:val="both"/>
        <w:rPr>
          <w:rFonts w:ascii="Arial" w:hAnsi="Arial" w:cs="Arial"/>
          <w:b/>
          <w:bCs/>
          <w:sz w:val="20"/>
          <w:szCs w:val="20"/>
          <w:lang w:val="en-GB"/>
        </w:rPr>
      </w:pPr>
      <w:r w:rsidRPr="004C3FFB">
        <w:rPr>
          <w:rFonts w:ascii="Arial" w:hAnsi="Arial" w:cs="Arial"/>
          <w:b/>
          <w:bCs/>
          <w:sz w:val="20"/>
          <w:szCs w:val="20"/>
          <w:lang w:val="en-GB"/>
        </w:rPr>
        <w:t>ABSTRACT</w:t>
      </w:r>
    </w:p>
    <w:p w14:paraId="10C89CB1" w14:textId="77777777" w:rsidR="004C04AE" w:rsidRPr="004C3FFB" w:rsidRDefault="004C04AE" w:rsidP="004C04AE">
      <w:pPr>
        <w:jc w:val="both"/>
        <w:rPr>
          <w:rFonts w:ascii="Arial" w:hAnsi="Arial" w:cs="Arial"/>
          <w:sz w:val="20"/>
          <w:szCs w:val="20"/>
          <w:lang w:val="en-GB"/>
        </w:rPr>
      </w:pPr>
      <w:commentRangeStart w:id="0"/>
      <w:r w:rsidRPr="004C3FFB">
        <w:rPr>
          <w:rFonts w:ascii="Arial" w:hAnsi="Arial" w:cs="Arial"/>
          <w:b/>
          <w:bCs/>
          <w:sz w:val="20"/>
          <w:szCs w:val="20"/>
          <w:lang w:val="en-GB"/>
        </w:rPr>
        <w:t>Aims:</w:t>
      </w:r>
      <w:r w:rsidRPr="004C3FFB">
        <w:rPr>
          <w:rFonts w:ascii="Arial" w:hAnsi="Arial" w:cs="Arial"/>
          <w:sz w:val="20"/>
          <w:szCs w:val="20"/>
          <w:lang w:val="en-GB"/>
        </w:rPr>
        <w:t xml:space="preserve"> To study the effect of sulphur and zinc nutrition on nutrient uptake and post-harvest soil properties in rainfed 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L.).</w:t>
      </w:r>
    </w:p>
    <w:p w14:paraId="7B2FFD27"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Study Design:</w:t>
      </w:r>
      <w:r w:rsidRPr="004C3FFB">
        <w:rPr>
          <w:rFonts w:ascii="Arial" w:hAnsi="Arial" w:cs="Arial"/>
          <w:sz w:val="20"/>
          <w:szCs w:val="20"/>
          <w:lang w:val="en-GB"/>
        </w:rPr>
        <w:t xml:space="preserve"> Field experiment in Factorial Randomized Block Design (FRBD) with four replications.</w:t>
      </w:r>
    </w:p>
    <w:p w14:paraId="7B0FAC9D"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Place and Duration of Study:</w:t>
      </w:r>
      <w:r w:rsidRPr="004C3FFB">
        <w:rPr>
          <w:rFonts w:ascii="Arial" w:hAnsi="Arial" w:cs="Arial"/>
          <w:sz w:val="20"/>
          <w:szCs w:val="20"/>
          <w:lang w:val="en-GB"/>
        </w:rPr>
        <w:t xml:space="preserve"> College Farm, College of Agriculture, Navsari Agricultural University, Bharuch, Gujarat, during late kharif (August–November), 2025.</w:t>
      </w:r>
    </w:p>
    <w:p w14:paraId="235DEF29" w14:textId="0627E49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Methodology:</w:t>
      </w:r>
      <w:r w:rsidRPr="004C3FFB">
        <w:rPr>
          <w:rFonts w:ascii="Arial" w:hAnsi="Arial" w:cs="Arial"/>
          <w:sz w:val="20"/>
          <w:szCs w:val="20"/>
          <w:lang w:val="en-GB"/>
        </w:rPr>
        <w:t xml:space="preserve"> Nine treatment combinations of three levels of sulphur (0, 20 and 40 kg S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as bentonite sulphur) and three levels of zinc (0, 2.5 and 5.0 kg Zn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as zinc-EDTA) were imposed on sesame cv. Gujarat Til-4 over a common dose of 30:25:00 kg N:P</w:t>
      </w:r>
      <w:r w:rsidRPr="004C3FFB">
        <w:rPr>
          <w:rFonts w:ascii="Cambria Math" w:hAnsi="Cambria Math" w:cs="Cambria Math"/>
          <w:sz w:val="20"/>
          <w:szCs w:val="20"/>
          <w:lang w:val="en-GB"/>
        </w:rPr>
        <w:t>₂</w:t>
      </w:r>
      <w:r w:rsidRPr="004C3FFB">
        <w:rPr>
          <w:rFonts w:ascii="Arial" w:hAnsi="Arial" w:cs="Arial"/>
          <w:sz w:val="20"/>
          <w:szCs w:val="20"/>
          <w:lang w:val="en-GB"/>
        </w:rPr>
        <w:t>O</w:t>
      </w:r>
      <w:proofErr w:type="gramStart"/>
      <w:r w:rsidRPr="004C3FFB">
        <w:rPr>
          <w:rFonts w:ascii="Cambria Math" w:hAnsi="Cambria Math" w:cs="Cambria Math"/>
          <w:sz w:val="20"/>
          <w:szCs w:val="20"/>
          <w:lang w:val="en-GB"/>
        </w:rPr>
        <w:t>₅</w:t>
      </w:r>
      <w:r w:rsidRPr="004C3FFB">
        <w:rPr>
          <w:rFonts w:ascii="Arial" w:hAnsi="Arial" w:cs="Arial"/>
          <w:sz w:val="20"/>
          <w:szCs w:val="20"/>
          <w:lang w:val="en-GB"/>
        </w:rPr>
        <w:t>:K</w:t>
      </w:r>
      <w:proofErr w:type="gramEnd"/>
      <w:r w:rsidRPr="004C3FFB">
        <w:rPr>
          <w:rFonts w:ascii="Cambria Math" w:hAnsi="Cambria Math" w:cs="Cambria Math"/>
          <w:sz w:val="20"/>
          <w:szCs w:val="20"/>
          <w:lang w:val="en-GB"/>
        </w:rPr>
        <w:t>₂</w:t>
      </w:r>
      <w:r w:rsidRPr="004C3FFB">
        <w:rPr>
          <w:rFonts w:ascii="Arial" w:hAnsi="Arial" w:cs="Arial"/>
          <w:sz w:val="20"/>
          <w:szCs w:val="20"/>
          <w:lang w:val="en-GB"/>
        </w:rPr>
        <w:t>O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Sulphur and zinc content and uptake in seed and stover, alongside post-harvest soil physico-chemical and biological properties, were recorded and subjected to ANOVA.</w:t>
      </w:r>
    </w:p>
    <w:p w14:paraId="65ACAF90" w14:textId="2FD400AD"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Results:</w:t>
      </w:r>
      <w:r w:rsidRPr="004C3FFB">
        <w:rPr>
          <w:rFonts w:ascii="Arial" w:hAnsi="Arial" w:cs="Arial"/>
          <w:sz w:val="20"/>
          <w:szCs w:val="20"/>
          <w:lang w:val="en-GB"/>
        </w:rPr>
        <w:t xml:space="preserve"> Application of 40 kg S ha</w:t>
      </w:r>
      <w:r w:rsidR="00B31B6C"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and 5.0 kg Zn ha</w:t>
      </w:r>
      <w:r w:rsidR="00B31B6C"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significantly enhanced nutrient accumulation. Total sulphur and zinc uptake were highest under 40 kg S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(8.66 kg S and 95.47 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and 5.0 kg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(7.20 kg S and 88.60 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Post-harvest soil analysis showed a significant build-up of available macro- and micronutrients with the highest targeted doses. Application of 40 kg S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maximized available N (266.66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xml:space="preserve"> (53.07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O (389.21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S (18.04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and Fe (2.00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alongside significant improvements in soil organic carbon (7.2 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and beneficial microbial populations (bacteria, actinomycetes, and fungi). Soil pH and physical properties (bulk density, particle density, porosity) were statistically unaffected by the treatments. The S × Zn interaction was non-significant for all parameters studied.</w:t>
      </w:r>
    </w:p>
    <w:p w14:paraId="2CD825F1"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Conclusion:</w:t>
      </w:r>
      <w:r w:rsidRPr="004C3FFB">
        <w:rPr>
          <w:rFonts w:ascii="Arial" w:hAnsi="Arial" w:cs="Arial"/>
          <w:sz w:val="20"/>
          <w:szCs w:val="20"/>
          <w:lang w:val="en-GB"/>
        </w:rPr>
        <w:t xml:space="preserve"> Balanced sulphur–zinc nutrition significantly improves plant nutrient uptake, enhances the residual availability of essential soil nutrients, and fosters beneficial soil microflora in rainfed medium-black soils.</w:t>
      </w:r>
      <w:commentRangeEnd w:id="0"/>
      <w:r w:rsidR="0046382A">
        <w:rPr>
          <w:rStyle w:val="CommentReference"/>
        </w:rPr>
        <w:commentReference w:id="0"/>
      </w:r>
    </w:p>
    <w:p w14:paraId="246D57D0" w14:textId="767A2674" w:rsidR="004C04AE" w:rsidRDefault="004C04AE" w:rsidP="004C04AE">
      <w:pPr>
        <w:jc w:val="both"/>
        <w:rPr>
          <w:rFonts w:ascii="Arial" w:hAnsi="Arial" w:cs="Arial"/>
          <w:sz w:val="20"/>
          <w:szCs w:val="20"/>
          <w:lang w:val="en-GB"/>
        </w:rPr>
      </w:pPr>
      <w:r w:rsidRPr="004C3FFB">
        <w:rPr>
          <w:rFonts w:ascii="Arial" w:hAnsi="Arial" w:cs="Arial"/>
          <w:b/>
          <w:bCs/>
          <w:sz w:val="20"/>
          <w:szCs w:val="20"/>
          <w:lang w:val="en-GB"/>
        </w:rPr>
        <w:t>Keywords:</w:t>
      </w:r>
      <w:r w:rsidRPr="004C3FFB">
        <w:rPr>
          <w:rFonts w:ascii="Arial" w:hAnsi="Arial" w:cs="Arial"/>
          <w:sz w:val="20"/>
          <w:szCs w:val="20"/>
          <w:lang w:val="en-GB"/>
        </w:rPr>
        <w:t xml:space="preserve"> </w:t>
      </w:r>
      <w:commentRangeStart w:id="1"/>
      <w:r w:rsidRPr="004C3FFB">
        <w:rPr>
          <w:rFonts w:ascii="Arial" w:hAnsi="Arial" w:cs="Arial"/>
          <w:sz w:val="20"/>
          <w:szCs w:val="20"/>
          <w:lang w:val="en-GB"/>
        </w:rPr>
        <w:t>Sesame; Sulphur; Zinc; Nutrient uptake; Soil fertility; Soil microflora</w:t>
      </w:r>
      <w:commentRangeEnd w:id="1"/>
      <w:r w:rsidR="0046382A">
        <w:rPr>
          <w:rStyle w:val="CommentReference"/>
        </w:rPr>
        <w:commentReference w:id="1"/>
      </w:r>
      <w:r w:rsidRPr="004C3FFB">
        <w:rPr>
          <w:rFonts w:ascii="Arial" w:hAnsi="Arial" w:cs="Arial"/>
          <w:sz w:val="20"/>
          <w:szCs w:val="20"/>
          <w:lang w:val="en-GB"/>
        </w:rPr>
        <w:t>.</w:t>
      </w:r>
    </w:p>
    <w:p w14:paraId="459450CC" w14:textId="77777777" w:rsidR="007112AA" w:rsidRDefault="007112AA" w:rsidP="004C04AE">
      <w:pPr>
        <w:jc w:val="both"/>
        <w:rPr>
          <w:rFonts w:ascii="Arial" w:hAnsi="Arial" w:cs="Arial"/>
          <w:sz w:val="20"/>
          <w:szCs w:val="20"/>
          <w:lang w:val="en-GB"/>
        </w:rPr>
      </w:pPr>
    </w:p>
    <w:p w14:paraId="3A92DF83" w14:textId="77777777" w:rsidR="007112AA" w:rsidRPr="004C3FFB" w:rsidRDefault="007112AA" w:rsidP="004C04AE">
      <w:pPr>
        <w:jc w:val="both"/>
        <w:rPr>
          <w:rFonts w:ascii="Arial" w:hAnsi="Arial" w:cs="Arial"/>
          <w:sz w:val="20"/>
          <w:szCs w:val="20"/>
          <w:lang w:val="en-GB"/>
        </w:rPr>
      </w:pPr>
    </w:p>
    <w:p w14:paraId="6D1AA7FC"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1. INTRODUCTION</w:t>
      </w:r>
    </w:p>
    <w:p w14:paraId="32AB660F" w14:textId="77777777" w:rsidR="00B46191" w:rsidRPr="004C3FFB" w:rsidRDefault="00B46191" w:rsidP="00B46191">
      <w:pPr>
        <w:jc w:val="both"/>
        <w:rPr>
          <w:rFonts w:ascii="Arial" w:hAnsi="Arial" w:cs="Arial"/>
          <w:sz w:val="20"/>
          <w:szCs w:val="20"/>
          <w:lang w:val="en-GB"/>
        </w:rPr>
      </w:pPr>
      <w:commentRangeStart w:id="2"/>
      <w:r w:rsidRPr="004C3FFB">
        <w:rPr>
          <w:rFonts w:ascii="Arial" w:hAnsi="Arial" w:cs="Arial"/>
          <w:sz w:val="20"/>
          <w:szCs w:val="20"/>
          <w:lang w:val="en-GB"/>
        </w:rPr>
        <w:t>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L.), a member of family </w:t>
      </w:r>
      <w:r w:rsidRPr="004C3FFB">
        <w:rPr>
          <w:rFonts w:ascii="Arial" w:hAnsi="Arial" w:cs="Arial"/>
          <w:b/>
          <w:bCs/>
          <w:sz w:val="20"/>
          <w:szCs w:val="20"/>
          <w:lang w:val="en-GB"/>
        </w:rPr>
        <w:t>Pedaliaceae</w:t>
      </w:r>
      <w:r w:rsidRPr="004C3FFB">
        <w:rPr>
          <w:rFonts w:ascii="Arial" w:hAnsi="Arial" w:cs="Arial"/>
          <w:sz w:val="20"/>
          <w:szCs w:val="20"/>
          <w:lang w:val="en-GB"/>
        </w:rPr>
        <w:t>, is one of the oldest and most valuable oilseed crops. It is grown predominantly under rainfed conditions on marginal, sub-marginal land of inherently low fertility, which—together with imbalanced nutrition—keeps crop productivity well below potential.</w:t>
      </w:r>
      <w:commentRangeEnd w:id="2"/>
      <w:r w:rsidR="005D1685">
        <w:rPr>
          <w:rStyle w:val="CommentReference"/>
        </w:rPr>
        <w:commentReference w:id="2"/>
      </w:r>
      <w:r w:rsidRPr="004C3FFB">
        <w:rPr>
          <w:rFonts w:ascii="Arial" w:hAnsi="Arial" w:cs="Arial"/>
          <w:sz w:val="20"/>
          <w:szCs w:val="20"/>
          <w:lang w:val="en-GB"/>
        </w:rPr>
        <w:t xml:space="preserve"> Among plant nutrients, sulphur and zinc are increasingly recognised as critical yet widely deficient elements in Indian soils. </w:t>
      </w:r>
      <w:commentRangeStart w:id="3"/>
      <w:r w:rsidRPr="004C3FFB">
        <w:rPr>
          <w:rFonts w:ascii="Arial" w:hAnsi="Arial" w:cs="Arial"/>
          <w:sz w:val="20"/>
          <w:szCs w:val="20"/>
          <w:lang w:val="en-GB"/>
        </w:rPr>
        <w:t>Globally, more than 30% of cultivated soils are zinc-deficient, and in India this deficiency is projected to affect nearly 63% of soils, while sulphur deficiency is similarly widespread under intensive rainfed cultivation without adequate replenishment</w:t>
      </w:r>
      <w:commentRangeEnd w:id="3"/>
      <w:r w:rsidR="0046382A">
        <w:rPr>
          <w:rStyle w:val="CommentReference"/>
        </w:rPr>
        <w:commentReference w:id="3"/>
      </w:r>
      <w:r w:rsidRPr="004C3FFB">
        <w:rPr>
          <w:rFonts w:ascii="Arial" w:hAnsi="Arial" w:cs="Arial"/>
          <w:sz w:val="20"/>
          <w:szCs w:val="20"/>
          <w:lang w:val="en-GB"/>
        </w:rPr>
        <w:t>.</w:t>
      </w:r>
    </w:p>
    <w:p w14:paraId="74771C7F" w14:textId="7777777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Sulphur governs vital physiological processes and enzymatic activity, while also influencing the soil chemical environment. Its application in alkaline soils often results in localized rhizosphere acidification, which can solubilize fixed phosphorus and improve micronutrient availability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Furthermore, sulphur acts as a critical substrate for soil microflora, enhancing microbial biomass and enzymatic activity (Ram </w:t>
      </w:r>
      <w:r w:rsidRPr="004C3FFB">
        <w:rPr>
          <w:rFonts w:ascii="Arial" w:hAnsi="Arial" w:cs="Arial"/>
          <w:i/>
          <w:iCs/>
          <w:sz w:val="20"/>
          <w:szCs w:val="20"/>
          <w:lang w:val="en-GB"/>
        </w:rPr>
        <w:t>et al</w:t>
      </w:r>
      <w:r w:rsidRPr="004C3FFB">
        <w:rPr>
          <w:rFonts w:ascii="Arial" w:hAnsi="Arial" w:cs="Arial"/>
          <w:sz w:val="20"/>
          <w:szCs w:val="20"/>
          <w:lang w:val="en-GB"/>
        </w:rPr>
        <w:t xml:space="preserve">., 2017). Zinc, an essential cofactor for numerous microbial and plant </w:t>
      </w:r>
      <w:r w:rsidRPr="004C3FFB">
        <w:rPr>
          <w:rFonts w:ascii="Arial" w:hAnsi="Arial" w:cs="Arial"/>
          <w:sz w:val="20"/>
          <w:szCs w:val="20"/>
          <w:lang w:val="en-GB"/>
        </w:rPr>
        <w:lastRenderedPageBreak/>
        <w:t xml:space="preserve">enzymes, is closely linked to nutrient-accumulation metabolism and overall soil biological health (Kumar </w:t>
      </w:r>
      <w:r w:rsidRPr="004C3FFB">
        <w:rPr>
          <w:rFonts w:ascii="Arial" w:hAnsi="Arial" w:cs="Arial"/>
          <w:i/>
          <w:iCs/>
          <w:sz w:val="20"/>
          <w:szCs w:val="20"/>
          <w:lang w:val="en-GB"/>
        </w:rPr>
        <w:t>et al</w:t>
      </w:r>
      <w:r w:rsidRPr="004C3FFB">
        <w:rPr>
          <w:rFonts w:ascii="Arial" w:hAnsi="Arial" w:cs="Arial"/>
          <w:sz w:val="20"/>
          <w:szCs w:val="20"/>
          <w:lang w:val="en-GB"/>
        </w:rPr>
        <w:t>., 2023).</w:t>
      </w:r>
    </w:p>
    <w:p w14:paraId="188D262E" w14:textId="7777777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Despite their well-established roles, site-specific information on the optimum dose of sulphur and zinc and their subsequent impact on soil health under the rainfed medium-black-soil conditions of South Gujarat remains limited. </w:t>
      </w:r>
      <w:commentRangeStart w:id="4"/>
      <w:r w:rsidRPr="004C3FFB">
        <w:rPr>
          <w:rFonts w:ascii="Arial" w:hAnsi="Arial" w:cs="Arial"/>
          <w:sz w:val="20"/>
          <w:szCs w:val="20"/>
          <w:lang w:val="en-GB"/>
        </w:rPr>
        <w:t xml:space="preserve">A clear understanding of the individual effects of sulphur and zinc on nutrient uptake and residual soil fertility is essential for sustainable nutrient-management. </w:t>
      </w:r>
      <w:commentRangeEnd w:id="4"/>
      <w:r w:rsidR="005D1685">
        <w:rPr>
          <w:rStyle w:val="CommentReference"/>
        </w:rPr>
        <w:commentReference w:id="4"/>
      </w:r>
      <w:commentRangeStart w:id="5"/>
      <w:commentRangeStart w:id="6"/>
      <w:r w:rsidRPr="004C3FFB">
        <w:rPr>
          <w:rFonts w:ascii="Arial" w:hAnsi="Arial" w:cs="Arial"/>
          <w:sz w:val="20"/>
          <w:szCs w:val="20"/>
          <w:lang w:val="en-GB"/>
        </w:rPr>
        <w:t>Keeping this in view, the present investigation was undertaken to assess the effect of sulphur and zinc on nutrient content and uptake in sesame, and to evaluate the consequent changes in soil bio-physico-chemical properties</w:t>
      </w:r>
      <w:commentRangeEnd w:id="5"/>
      <w:r w:rsidR="005D1685">
        <w:rPr>
          <w:rStyle w:val="CommentReference"/>
        </w:rPr>
        <w:commentReference w:id="5"/>
      </w:r>
      <w:commentRangeEnd w:id="6"/>
      <w:r w:rsidR="005D1685">
        <w:rPr>
          <w:rStyle w:val="CommentReference"/>
        </w:rPr>
        <w:commentReference w:id="6"/>
      </w:r>
      <w:r w:rsidRPr="004C3FFB">
        <w:rPr>
          <w:rFonts w:ascii="Arial" w:hAnsi="Arial" w:cs="Arial"/>
          <w:sz w:val="20"/>
          <w:szCs w:val="20"/>
          <w:lang w:val="en-GB"/>
        </w:rPr>
        <w:t>.</w:t>
      </w:r>
    </w:p>
    <w:p w14:paraId="5212DE84"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 MATERIALS AND METHODS</w:t>
      </w:r>
    </w:p>
    <w:p w14:paraId="38EF410D"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2.1 Experimental Site and Weather</w:t>
      </w:r>
    </w:p>
    <w:p w14:paraId="74689019" w14:textId="6629F38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A field experiment was conducted during the late kharif season of 2025 at the College Farm, College of Agriculture, Navsari Agricultural University (NAU), Bharuch, Gujarat, India </w:t>
      </w:r>
      <w:commentRangeStart w:id="7"/>
      <w:r w:rsidRPr="004C3FFB">
        <w:rPr>
          <w:rFonts w:ascii="Arial" w:hAnsi="Arial" w:cs="Arial"/>
          <w:sz w:val="20"/>
          <w:szCs w:val="20"/>
          <w:lang w:val="en-GB"/>
        </w:rPr>
        <w:t>(22° N, 72.5° E; 16.5 m above mean sea level)</w:t>
      </w:r>
      <w:commentRangeEnd w:id="7"/>
      <w:r w:rsidR="006568AC">
        <w:rPr>
          <w:rStyle w:val="CommentReference"/>
        </w:rPr>
        <w:commentReference w:id="7"/>
      </w:r>
      <w:r w:rsidRPr="004C3FFB">
        <w:rPr>
          <w:rFonts w:ascii="Arial" w:hAnsi="Arial" w:cs="Arial"/>
          <w:sz w:val="20"/>
          <w:szCs w:val="20"/>
          <w:lang w:val="en-GB"/>
        </w:rPr>
        <w:t>, which falls under the South Gujarat medium-rainfall agro-climatic Zone II with a tropical monsoon climate.</w:t>
      </w:r>
    </w:p>
    <w:p w14:paraId="6A6D0850"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2.2 Soil of the Experimental Site</w:t>
      </w:r>
    </w:p>
    <w:p w14:paraId="2EA6BA1A" w14:textId="5D586228"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The soil was a clayey Vertisol, locally termed "Medium Black Soil," with fair drainage and good water-holding capacity. The initial 0–15 cm soil was slightly alkaline, non-saline, low in organic carbon and available nitrogen, medium in available phosphorus, sulphur and zinc, high in available potassium, and low in available iron (</w:t>
      </w:r>
      <w:r w:rsidRPr="004C3FFB">
        <w:rPr>
          <w:rFonts w:ascii="Arial" w:hAnsi="Arial" w:cs="Arial"/>
          <w:b/>
          <w:bCs/>
          <w:sz w:val="20"/>
          <w:szCs w:val="20"/>
          <w:lang w:val="en-GB"/>
        </w:rPr>
        <w:t>Table 1</w:t>
      </w:r>
      <w:r w:rsidRPr="004C3FFB">
        <w:rPr>
          <w:rFonts w:ascii="Arial" w:hAnsi="Arial" w:cs="Arial"/>
          <w:sz w:val="20"/>
          <w:szCs w:val="20"/>
          <w:lang w:val="en-GB"/>
        </w:rPr>
        <w:t>).</w:t>
      </w:r>
    </w:p>
    <w:p w14:paraId="4D3E4119" w14:textId="77777777" w:rsidR="00B46191" w:rsidRDefault="00B46191" w:rsidP="007112AA">
      <w:pPr>
        <w:spacing w:after="0"/>
        <w:jc w:val="both"/>
        <w:rPr>
          <w:rFonts w:ascii="Arial" w:hAnsi="Arial" w:cs="Arial"/>
          <w:b/>
          <w:bCs/>
          <w:sz w:val="20"/>
          <w:szCs w:val="20"/>
          <w:lang w:val="en-GB"/>
        </w:rPr>
      </w:pPr>
      <w:r w:rsidRPr="004C3FFB">
        <w:rPr>
          <w:rFonts w:ascii="Arial" w:hAnsi="Arial" w:cs="Arial"/>
          <w:b/>
          <w:bCs/>
          <w:sz w:val="20"/>
          <w:szCs w:val="20"/>
          <w:lang w:val="en-GB"/>
        </w:rPr>
        <w:t>Table 1. Initial physico-chemical properties of the experimental soil (0–15 cm)</w:t>
      </w:r>
    </w:p>
    <w:p w14:paraId="1584AF1C" w14:textId="77777777" w:rsidR="007112AA" w:rsidRPr="007112AA" w:rsidRDefault="007112AA" w:rsidP="007112AA">
      <w:pPr>
        <w:spacing w:after="0"/>
        <w:jc w:val="both"/>
        <w:rPr>
          <w:rFonts w:ascii="Arial" w:hAnsi="Arial" w:cs="Arial"/>
          <w:sz w:val="2"/>
          <w:szCs w:val="2"/>
          <w:lang w:val="en-GB"/>
        </w:rPr>
      </w:pPr>
    </w:p>
    <w:tbl>
      <w:tblPr>
        <w:tblStyle w:val="TableGrid"/>
        <w:tblW w:w="5000" w:type="pct"/>
        <w:tblLook w:val="04A0" w:firstRow="1" w:lastRow="0" w:firstColumn="1" w:lastColumn="0" w:noHBand="0" w:noVBand="1"/>
      </w:tblPr>
      <w:tblGrid>
        <w:gridCol w:w="2687"/>
        <w:gridCol w:w="930"/>
        <w:gridCol w:w="5399"/>
      </w:tblGrid>
      <w:tr w:rsidR="00B46191" w:rsidRPr="004C3FFB" w14:paraId="50D35297" w14:textId="77777777" w:rsidTr="00C82A0C">
        <w:tc>
          <w:tcPr>
            <w:tcW w:w="1490" w:type="pct"/>
            <w:hideMark/>
          </w:tcPr>
          <w:p w14:paraId="68544B20"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Particulars</w:t>
            </w:r>
          </w:p>
        </w:tc>
        <w:tc>
          <w:tcPr>
            <w:tcW w:w="516" w:type="pct"/>
            <w:hideMark/>
          </w:tcPr>
          <w:p w14:paraId="04D2EBD0"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Value</w:t>
            </w:r>
          </w:p>
        </w:tc>
        <w:tc>
          <w:tcPr>
            <w:tcW w:w="2994" w:type="pct"/>
            <w:hideMark/>
          </w:tcPr>
          <w:p w14:paraId="2AAD2E3B"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Method</w:t>
            </w:r>
          </w:p>
        </w:tc>
      </w:tr>
      <w:tr w:rsidR="00B46191" w:rsidRPr="004C3FFB" w14:paraId="21D09701" w14:textId="77777777" w:rsidTr="00C82A0C">
        <w:tc>
          <w:tcPr>
            <w:tcW w:w="1490" w:type="pct"/>
            <w:hideMark/>
          </w:tcPr>
          <w:p w14:paraId="56145DCB"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Textural class</w:t>
            </w:r>
          </w:p>
        </w:tc>
        <w:tc>
          <w:tcPr>
            <w:tcW w:w="516" w:type="pct"/>
            <w:hideMark/>
          </w:tcPr>
          <w:p w14:paraId="665F2702"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Clay</w:t>
            </w:r>
          </w:p>
        </w:tc>
        <w:tc>
          <w:tcPr>
            <w:tcW w:w="2994" w:type="pct"/>
            <w:hideMark/>
          </w:tcPr>
          <w:p w14:paraId="6B687800"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International pipette method (Piper, 1966)</w:t>
            </w:r>
          </w:p>
        </w:tc>
      </w:tr>
      <w:tr w:rsidR="00B46191" w:rsidRPr="004C3FFB" w14:paraId="429C5773" w14:textId="77777777" w:rsidTr="00C82A0C">
        <w:tc>
          <w:tcPr>
            <w:tcW w:w="1490" w:type="pct"/>
            <w:hideMark/>
          </w:tcPr>
          <w:p w14:paraId="5A3DD6B5"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Bulk density (g cm</w:t>
            </w:r>
            <w:r w:rsidRPr="004C3FFB">
              <w:rPr>
                <w:rFonts w:ascii="Cambria Math" w:hAnsi="Cambria Math" w:cs="Cambria Math"/>
                <w:sz w:val="20"/>
                <w:szCs w:val="20"/>
                <w:lang w:val="en-GB"/>
              </w:rPr>
              <w:t>⁻</w:t>
            </w:r>
            <w:r w:rsidRPr="004C3FFB">
              <w:rPr>
                <w:rFonts w:ascii="Arial" w:hAnsi="Arial" w:cs="Arial"/>
                <w:sz w:val="20"/>
                <w:szCs w:val="20"/>
                <w:lang w:val="en-GB"/>
              </w:rPr>
              <w:t>³)</w:t>
            </w:r>
          </w:p>
        </w:tc>
        <w:tc>
          <w:tcPr>
            <w:tcW w:w="516" w:type="pct"/>
            <w:hideMark/>
          </w:tcPr>
          <w:p w14:paraId="1162B353"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1.46</w:t>
            </w:r>
          </w:p>
        </w:tc>
        <w:tc>
          <w:tcPr>
            <w:tcW w:w="2994" w:type="pct"/>
            <w:hideMark/>
          </w:tcPr>
          <w:p w14:paraId="12863B4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Core method (Blake and Hartge, 1986)</w:t>
            </w:r>
          </w:p>
        </w:tc>
      </w:tr>
      <w:tr w:rsidR="00B46191" w:rsidRPr="004C3FFB" w14:paraId="2DFBC44A" w14:textId="77777777" w:rsidTr="00C82A0C">
        <w:tc>
          <w:tcPr>
            <w:tcW w:w="1490" w:type="pct"/>
            <w:hideMark/>
          </w:tcPr>
          <w:p w14:paraId="02D3B60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Particle density (g cm</w:t>
            </w:r>
            <w:r w:rsidRPr="004C3FFB">
              <w:rPr>
                <w:rFonts w:ascii="Cambria Math" w:hAnsi="Cambria Math" w:cs="Cambria Math"/>
                <w:sz w:val="20"/>
                <w:szCs w:val="20"/>
                <w:lang w:val="en-GB"/>
              </w:rPr>
              <w:t>⁻</w:t>
            </w:r>
            <w:r w:rsidRPr="004C3FFB">
              <w:rPr>
                <w:rFonts w:ascii="Arial" w:hAnsi="Arial" w:cs="Arial"/>
                <w:sz w:val="20"/>
                <w:szCs w:val="20"/>
                <w:lang w:val="en-GB"/>
              </w:rPr>
              <w:t>³)</w:t>
            </w:r>
          </w:p>
        </w:tc>
        <w:tc>
          <w:tcPr>
            <w:tcW w:w="516" w:type="pct"/>
            <w:hideMark/>
          </w:tcPr>
          <w:p w14:paraId="0EFA65C3"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2.62</w:t>
            </w:r>
          </w:p>
        </w:tc>
        <w:tc>
          <w:tcPr>
            <w:tcW w:w="2994" w:type="pct"/>
            <w:hideMark/>
          </w:tcPr>
          <w:p w14:paraId="371EA70F"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Pycnometer method (Blake and Hartge, 1986)</w:t>
            </w:r>
          </w:p>
        </w:tc>
      </w:tr>
      <w:tr w:rsidR="00B46191" w:rsidRPr="004C3FFB" w14:paraId="1519551D" w14:textId="77777777" w:rsidTr="00C82A0C">
        <w:tc>
          <w:tcPr>
            <w:tcW w:w="1490" w:type="pct"/>
            <w:hideMark/>
          </w:tcPr>
          <w:p w14:paraId="2EA61C8E"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Porosity (%)</w:t>
            </w:r>
          </w:p>
        </w:tc>
        <w:tc>
          <w:tcPr>
            <w:tcW w:w="516" w:type="pct"/>
            <w:hideMark/>
          </w:tcPr>
          <w:p w14:paraId="35A24CF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42.70</w:t>
            </w:r>
          </w:p>
        </w:tc>
        <w:tc>
          <w:tcPr>
            <w:tcW w:w="2994" w:type="pct"/>
            <w:hideMark/>
          </w:tcPr>
          <w:p w14:paraId="2E6FE10C"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Calculated</w:t>
            </w:r>
          </w:p>
        </w:tc>
      </w:tr>
      <w:tr w:rsidR="00B46191" w:rsidRPr="004C3FFB" w14:paraId="7AB9A6F6" w14:textId="77777777" w:rsidTr="00C82A0C">
        <w:tc>
          <w:tcPr>
            <w:tcW w:w="1490" w:type="pct"/>
            <w:hideMark/>
          </w:tcPr>
          <w:p w14:paraId="07E3058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pH (1:2.5)</w:t>
            </w:r>
          </w:p>
        </w:tc>
        <w:tc>
          <w:tcPr>
            <w:tcW w:w="516" w:type="pct"/>
            <w:hideMark/>
          </w:tcPr>
          <w:p w14:paraId="2B575379"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7.61</w:t>
            </w:r>
          </w:p>
        </w:tc>
        <w:tc>
          <w:tcPr>
            <w:tcW w:w="2994" w:type="pct"/>
            <w:hideMark/>
          </w:tcPr>
          <w:p w14:paraId="502A1D7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Potentiometric (Jackson, 1979)</w:t>
            </w:r>
          </w:p>
        </w:tc>
      </w:tr>
      <w:tr w:rsidR="00B46191" w:rsidRPr="004C3FFB" w14:paraId="40C4414A" w14:textId="77777777" w:rsidTr="00C82A0C">
        <w:tc>
          <w:tcPr>
            <w:tcW w:w="1490" w:type="pct"/>
            <w:hideMark/>
          </w:tcPr>
          <w:p w14:paraId="3F471CCF" w14:textId="1B12AAC9"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EC (1:2.5) (dS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26290B5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0.68</w:t>
            </w:r>
          </w:p>
        </w:tc>
        <w:tc>
          <w:tcPr>
            <w:tcW w:w="2994" w:type="pct"/>
            <w:hideMark/>
          </w:tcPr>
          <w:p w14:paraId="0FA4CFCA" w14:textId="77777777" w:rsidR="00B46191" w:rsidRPr="004C3FFB" w:rsidRDefault="00B46191" w:rsidP="008026D0">
            <w:pPr>
              <w:jc w:val="both"/>
              <w:rPr>
                <w:rFonts w:ascii="Arial" w:hAnsi="Arial" w:cs="Arial"/>
                <w:sz w:val="20"/>
                <w:szCs w:val="20"/>
                <w:lang w:val="en-GB"/>
              </w:rPr>
            </w:pPr>
            <w:commentRangeStart w:id="8"/>
            <w:r w:rsidRPr="004C3FFB">
              <w:rPr>
                <w:rFonts w:ascii="Arial" w:hAnsi="Arial" w:cs="Arial"/>
                <w:sz w:val="20"/>
                <w:szCs w:val="20"/>
                <w:lang w:val="en-GB"/>
              </w:rPr>
              <w:t>Conductometric (Jackson, 1979)</w:t>
            </w:r>
            <w:commentRangeEnd w:id="8"/>
            <w:r w:rsidR="006568AC">
              <w:rPr>
                <w:rStyle w:val="CommentReference"/>
              </w:rPr>
              <w:commentReference w:id="8"/>
            </w:r>
          </w:p>
        </w:tc>
      </w:tr>
      <w:tr w:rsidR="00B46191" w:rsidRPr="004C3FFB" w14:paraId="5F523CD7" w14:textId="77777777" w:rsidTr="00C82A0C">
        <w:tc>
          <w:tcPr>
            <w:tcW w:w="1490" w:type="pct"/>
            <w:hideMark/>
          </w:tcPr>
          <w:p w14:paraId="4409839B" w14:textId="353CEFB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Organic carbon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3C0AB55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5.6</w:t>
            </w:r>
          </w:p>
        </w:tc>
        <w:tc>
          <w:tcPr>
            <w:tcW w:w="2994" w:type="pct"/>
            <w:hideMark/>
          </w:tcPr>
          <w:p w14:paraId="01DB90E4" w14:textId="77777777" w:rsidR="00B46191" w:rsidRPr="004C3FFB" w:rsidRDefault="00B46191" w:rsidP="008026D0">
            <w:pPr>
              <w:jc w:val="both"/>
              <w:rPr>
                <w:rFonts w:ascii="Arial" w:hAnsi="Arial" w:cs="Arial"/>
                <w:sz w:val="20"/>
                <w:szCs w:val="20"/>
                <w:lang w:val="en-GB"/>
              </w:rPr>
            </w:pPr>
            <w:commentRangeStart w:id="9"/>
            <w:r w:rsidRPr="004C3FFB">
              <w:rPr>
                <w:rFonts w:ascii="Arial" w:hAnsi="Arial" w:cs="Arial"/>
                <w:sz w:val="20"/>
                <w:szCs w:val="20"/>
                <w:lang w:val="en-GB"/>
              </w:rPr>
              <w:t>Walkley and Black method (Jackson, 1979)</w:t>
            </w:r>
            <w:commentRangeEnd w:id="9"/>
            <w:r w:rsidR="006568AC">
              <w:rPr>
                <w:rStyle w:val="CommentReference"/>
              </w:rPr>
              <w:commentReference w:id="9"/>
            </w:r>
          </w:p>
        </w:tc>
      </w:tr>
      <w:tr w:rsidR="00B46191" w:rsidRPr="004C3FFB" w14:paraId="08277037" w14:textId="77777777" w:rsidTr="00C82A0C">
        <w:tc>
          <w:tcPr>
            <w:tcW w:w="1490" w:type="pct"/>
            <w:hideMark/>
          </w:tcPr>
          <w:p w14:paraId="70F4DEEB" w14:textId="09448030"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Inorganic carbon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D18D3E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5.88</w:t>
            </w:r>
          </w:p>
        </w:tc>
        <w:tc>
          <w:tcPr>
            <w:tcW w:w="2994" w:type="pct"/>
            <w:hideMark/>
          </w:tcPr>
          <w:p w14:paraId="3C8652E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Rapid titration (Piper, 1966)</w:t>
            </w:r>
          </w:p>
        </w:tc>
      </w:tr>
      <w:tr w:rsidR="00B46191" w:rsidRPr="004C3FFB" w14:paraId="6AA284BA" w14:textId="77777777" w:rsidTr="00C82A0C">
        <w:tc>
          <w:tcPr>
            <w:tcW w:w="1490" w:type="pct"/>
            <w:hideMark/>
          </w:tcPr>
          <w:p w14:paraId="6C08B0F7" w14:textId="3C680F41"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N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2479DC6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222.41</w:t>
            </w:r>
          </w:p>
        </w:tc>
        <w:tc>
          <w:tcPr>
            <w:tcW w:w="2994" w:type="pct"/>
            <w:hideMark/>
          </w:tcPr>
          <w:p w14:paraId="7209522D"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 xml:space="preserve">Alkaline </w:t>
            </w:r>
            <w:proofErr w:type="spellStart"/>
            <w:r w:rsidRPr="004C3FFB">
              <w:rPr>
                <w:rFonts w:ascii="Arial" w:hAnsi="Arial" w:cs="Arial"/>
                <w:sz w:val="20"/>
                <w:szCs w:val="20"/>
                <w:lang w:val="en-GB"/>
              </w:rPr>
              <w:t>KMnO</w:t>
            </w:r>
            <w:proofErr w:type="spellEnd"/>
            <w:r w:rsidRPr="004C3FFB">
              <w:rPr>
                <w:rFonts w:ascii="Cambria Math" w:hAnsi="Cambria Math" w:cs="Cambria Math"/>
                <w:sz w:val="20"/>
                <w:szCs w:val="20"/>
                <w:lang w:val="en-GB"/>
              </w:rPr>
              <w:t>₄</w:t>
            </w:r>
            <w:r w:rsidRPr="004C3FFB">
              <w:rPr>
                <w:rFonts w:ascii="Arial" w:hAnsi="Arial" w:cs="Arial"/>
                <w:sz w:val="20"/>
                <w:szCs w:val="20"/>
                <w:lang w:val="en-GB"/>
              </w:rPr>
              <w:t xml:space="preserve"> method (Subbiah and Asija, 1956)</w:t>
            </w:r>
          </w:p>
        </w:tc>
      </w:tr>
      <w:tr w:rsidR="00B46191" w:rsidRPr="004C3FFB" w14:paraId="52115CBC" w14:textId="77777777" w:rsidTr="00C82A0C">
        <w:tc>
          <w:tcPr>
            <w:tcW w:w="1490" w:type="pct"/>
            <w:hideMark/>
          </w:tcPr>
          <w:p w14:paraId="77CAC17D" w14:textId="3B0E7DA5"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xml:space="preserve">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386DC42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35.40</w:t>
            </w:r>
          </w:p>
        </w:tc>
        <w:tc>
          <w:tcPr>
            <w:tcW w:w="2994" w:type="pct"/>
            <w:hideMark/>
          </w:tcPr>
          <w:p w14:paraId="660B1429"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 xml:space="preserve">Olsen </w:t>
            </w:r>
            <w:r w:rsidRPr="004C3FFB">
              <w:rPr>
                <w:rFonts w:ascii="Arial" w:hAnsi="Arial" w:cs="Arial"/>
                <w:i/>
                <w:iCs/>
                <w:sz w:val="20"/>
                <w:szCs w:val="20"/>
                <w:lang w:val="en-GB"/>
              </w:rPr>
              <w:t>et al</w:t>
            </w:r>
            <w:r w:rsidRPr="004C3FFB">
              <w:rPr>
                <w:rFonts w:ascii="Arial" w:hAnsi="Arial" w:cs="Arial"/>
                <w:sz w:val="20"/>
                <w:szCs w:val="20"/>
                <w:lang w:val="en-GB"/>
              </w:rPr>
              <w:t>., (1954)</w:t>
            </w:r>
          </w:p>
        </w:tc>
      </w:tr>
      <w:tr w:rsidR="00B46191" w:rsidRPr="004C3FFB" w14:paraId="63C95B4C" w14:textId="77777777" w:rsidTr="00C82A0C">
        <w:tc>
          <w:tcPr>
            <w:tcW w:w="1490" w:type="pct"/>
            <w:hideMark/>
          </w:tcPr>
          <w:p w14:paraId="7F1F6B17" w14:textId="5FBF512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K</w:t>
            </w:r>
            <w:r w:rsidRPr="004C3FFB">
              <w:rPr>
                <w:rFonts w:ascii="Cambria Math" w:hAnsi="Cambria Math" w:cs="Cambria Math"/>
                <w:sz w:val="20"/>
                <w:szCs w:val="20"/>
                <w:lang w:val="en-GB"/>
              </w:rPr>
              <w:t>₂</w:t>
            </w:r>
            <w:r w:rsidRPr="004C3FFB">
              <w:rPr>
                <w:rFonts w:ascii="Arial" w:hAnsi="Arial" w:cs="Arial"/>
                <w:sz w:val="20"/>
                <w:szCs w:val="20"/>
                <w:lang w:val="en-GB"/>
              </w:rPr>
              <w:t>O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35C468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333.91</w:t>
            </w:r>
          </w:p>
        </w:tc>
        <w:tc>
          <w:tcPr>
            <w:tcW w:w="2994" w:type="pct"/>
            <w:hideMark/>
          </w:tcPr>
          <w:p w14:paraId="360B1FA2" w14:textId="77777777" w:rsidR="00B46191" w:rsidRPr="004C3FFB" w:rsidRDefault="00B46191" w:rsidP="008026D0">
            <w:pPr>
              <w:jc w:val="both"/>
              <w:rPr>
                <w:rFonts w:ascii="Arial" w:hAnsi="Arial" w:cs="Arial"/>
                <w:sz w:val="20"/>
                <w:szCs w:val="20"/>
                <w:lang w:val="en-GB"/>
              </w:rPr>
            </w:pPr>
            <w:commentRangeStart w:id="10"/>
            <w:r w:rsidRPr="004C3FFB">
              <w:rPr>
                <w:rFonts w:ascii="Arial" w:hAnsi="Arial" w:cs="Arial"/>
                <w:sz w:val="20"/>
                <w:szCs w:val="20"/>
                <w:lang w:val="en-GB"/>
              </w:rPr>
              <w:t>Flame photometric (Jackson, 1979)</w:t>
            </w:r>
            <w:commentRangeEnd w:id="10"/>
            <w:r w:rsidR="006568AC">
              <w:rPr>
                <w:rStyle w:val="CommentReference"/>
              </w:rPr>
              <w:commentReference w:id="10"/>
            </w:r>
          </w:p>
        </w:tc>
      </w:tr>
      <w:tr w:rsidR="00B46191" w:rsidRPr="004C3FFB" w14:paraId="1F1CAFE0" w14:textId="77777777" w:rsidTr="00C82A0C">
        <w:tc>
          <w:tcPr>
            <w:tcW w:w="1490" w:type="pct"/>
            <w:hideMark/>
          </w:tcPr>
          <w:p w14:paraId="3EC05D75" w14:textId="1640F39F"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S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4CE2C1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9.10</w:t>
            </w:r>
          </w:p>
        </w:tc>
        <w:tc>
          <w:tcPr>
            <w:tcW w:w="2994" w:type="pct"/>
            <w:hideMark/>
          </w:tcPr>
          <w:p w14:paraId="247E5F59" w14:textId="77777777" w:rsidR="00B46191" w:rsidRPr="004C3FFB" w:rsidRDefault="00B46191" w:rsidP="008026D0">
            <w:pPr>
              <w:jc w:val="both"/>
              <w:rPr>
                <w:rFonts w:ascii="Arial" w:hAnsi="Arial" w:cs="Arial"/>
                <w:sz w:val="20"/>
                <w:szCs w:val="20"/>
                <w:lang w:val="en-GB"/>
              </w:rPr>
            </w:pPr>
            <w:commentRangeStart w:id="11"/>
            <w:r w:rsidRPr="004C3FFB">
              <w:rPr>
                <w:rFonts w:ascii="Arial" w:hAnsi="Arial" w:cs="Arial"/>
                <w:sz w:val="20"/>
                <w:szCs w:val="20"/>
                <w:lang w:val="en-GB"/>
              </w:rPr>
              <w:t xml:space="preserve">0.15% </w:t>
            </w:r>
            <w:proofErr w:type="spellStart"/>
            <w:r w:rsidRPr="004C3FFB">
              <w:rPr>
                <w:rFonts w:ascii="Arial" w:hAnsi="Arial" w:cs="Arial"/>
                <w:sz w:val="20"/>
                <w:szCs w:val="20"/>
                <w:lang w:val="en-GB"/>
              </w:rPr>
              <w:t>CaCl</w:t>
            </w:r>
            <w:proofErr w:type="spellEnd"/>
            <w:r w:rsidRPr="004C3FFB">
              <w:rPr>
                <w:rFonts w:ascii="Cambria Math" w:hAnsi="Cambria Math" w:cs="Cambria Math"/>
                <w:sz w:val="20"/>
                <w:szCs w:val="20"/>
                <w:lang w:val="en-GB"/>
              </w:rPr>
              <w:t>₂</w:t>
            </w:r>
            <w:r w:rsidRPr="004C3FFB">
              <w:rPr>
                <w:rFonts w:ascii="Arial" w:hAnsi="Arial" w:cs="Arial"/>
                <w:sz w:val="20"/>
                <w:szCs w:val="20"/>
                <w:lang w:val="en-GB"/>
              </w:rPr>
              <w:t xml:space="preserve"> extraction (Chopra and Kanwar, 1976)</w:t>
            </w:r>
            <w:commentRangeEnd w:id="11"/>
            <w:r w:rsidR="006568AC">
              <w:rPr>
                <w:rStyle w:val="CommentReference"/>
              </w:rPr>
              <w:commentReference w:id="11"/>
            </w:r>
          </w:p>
        </w:tc>
      </w:tr>
      <w:tr w:rsidR="00B46191" w:rsidRPr="004C3FFB" w14:paraId="0AB44563" w14:textId="77777777" w:rsidTr="00C82A0C">
        <w:tc>
          <w:tcPr>
            <w:tcW w:w="1490" w:type="pct"/>
            <w:hideMark/>
          </w:tcPr>
          <w:p w14:paraId="2A93F659" w14:textId="1C914E6C"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Zn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095E833C"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0.95</w:t>
            </w:r>
          </w:p>
        </w:tc>
        <w:tc>
          <w:tcPr>
            <w:tcW w:w="2994" w:type="pct"/>
            <w:hideMark/>
          </w:tcPr>
          <w:p w14:paraId="09DD528B"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DTPA extraction–AAS (Lindsay and Norvell, 1978)</w:t>
            </w:r>
          </w:p>
        </w:tc>
      </w:tr>
      <w:tr w:rsidR="00B46191" w:rsidRPr="004C3FFB" w14:paraId="249913FE" w14:textId="77777777" w:rsidTr="00C82A0C">
        <w:tc>
          <w:tcPr>
            <w:tcW w:w="1490" w:type="pct"/>
            <w:hideMark/>
          </w:tcPr>
          <w:p w14:paraId="40D6A4DB" w14:textId="25A7A6BD"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Fe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057F40C0"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0.94</w:t>
            </w:r>
          </w:p>
        </w:tc>
        <w:tc>
          <w:tcPr>
            <w:tcW w:w="2994" w:type="pct"/>
            <w:hideMark/>
          </w:tcPr>
          <w:p w14:paraId="7DE3BB65"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DTPA extraction–AAS (Lindsay and Norvell, 1978)</w:t>
            </w:r>
          </w:p>
        </w:tc>
      </w:tr>
    </w:tbl>
    <w:p w14:paraId="76CB1F7B" w14:textId="77777777" w:rsidR="00B46191" w:rsidRPr="004C3FFB" w:rsidRDefault="00B46191" w:rsidP="008026D0">
      <w:pPr>
        <w:spacing w:before="240"/>
        <w:jc w:val="both"/>
        <w:rPr>
          <w:rFonts w:ascii="Arial" w:hAnsi="Arial" w:cs="Arial"/>
          <w:b/>
          <w:bCs/>
          <w:sz w:val="20"/>
          <w:szCs w:val="20"/>
          <w:lang w:val="en-GB"/>
        </w:rPr>
      </w:pPr>
      <w:r w:rsidRPr="004C3FFB">
        <w:rPr>
          <w:rFonts w:ascii="Arial" w:hAnsi="Arial" w:cs="Arial"/>
          <w:b/>
          <w:bCs/>
          <w:sz w:val="20"/>
          <w:szCs w:val="20"/>
          <w:lang w:val="en-GB"/>
        </w:rPr>
        <w:t>2.3 Treatments and Experimental Design</w:t>
      </w:r>
    </w:p>
    <w:p w14:paraId="7B82EC43" w14:textId="562CB68F"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The experiment was laid out in a Factorial Randomized Block Design (FRBD) with four replications, comprising nine treatment combinations of three levels each of sulphur and zinc over a common recommended dose of fertilizer (RDF) of 30:25:00 kg N:P</w:t>
      </w:r>
      <w:r w:rsidRPr="004C3FFB">
        <w:rPr>
          <w:rFonts w:ascii="Cambria Math" w:hAnsi="Cambria Math" w:cs="Cambria Math"/>
          <w:sz w:val="20"/>
          <w:szCs w:val="20"/>
          <w:lang w:val="en-GB"/>
        </w:rPr>
        <w:t>₂</w:t>
      </w:r>
      <w:r w:rsidRPr="004C3FFB">
        <w:rPr>
          <w:rFonts w:ascii="Arial" w:hAnsi="Arial" w:cs="Arial"/>
          <w:sz w:val="20"/>
          <w:szCs w:val="20"/>
          <w:lang w:val="en-GB"/>
        </w:rPr>
        <w:t>O</w:t>
      </w:r>
      <w:proofErr w:type="gramStart"/>
      <w:r w:rsidRPr="004C3FFB">
        <w:rPr>
          <w:rFonts w:ascii="Cambria Math" w:hAnsi="Cambria Math" w:cs="Cambria Math"/>
          <w:sz w:val="20"/>
          <w:szCs w:val="20"/>
          <w:lang w:val="en-GB"/>
        </w:rPr>
        <w:t>₅</w:t>
      </w:r>
      <w:r w:rsidRPr="004C3FFB">
        <w:rPr>
          <w:rFonts w:ascii="Arial" w:hAnsi="Arial" w:cs="Arial"/>
          <w:sz w:val="20"/>
          <w:szCs w:val="20"/>
          <w:lang w:val="en-GB"/>
        </w:rPr>
        <w:t>:K</w:t>
      </w:r>
      <w:proofErr w:type="gramEnd"/>
      <w:r w:rsidRPr="004C3FFB">
        <w:rPr>
          <w:rFonts w:ascii="Cambria Math" w:hAnsi="Cambria Math" w:cs="Cambria Math"/>
          <w:sz w:val="20"/>
          <w:szCs w:val="20"/>
          <w:lang w:val="en-GB"/>
        </w:rPr>
        <w:t>₂</w:t>
      </w:r>
      <w:r w:rsidRPr="004C3FFB">
        <w:rPr>
          <w:rFonts w:ascii="Arial" w:hAnsi="Arial" w:cs="Arial"/>
          <w:sz w:val="20"/>
          <w:szCs w:val="20"/>
          <w:lang w:val="en-GB"/>
        </w:rPr>
        <w:t>O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(urea and single super phosphate). Sulphur (as bentonite sulphur): </w:t>
      </w:r>
      <w:r w:rsidRPr="004C3FFB">
        <w:rPr>
          <w:rFonts w:ascii="Arial" w:hAnsi="Arial" w:cs="Arial"/>
          <w:b/>
          <w:bCs/>
          <w:sz w:val="20"/>
          <w:szCs w:val="20"/>
          <w:lang w:val="en-GB"/>
        </w:rPr>
        <w:t>S</w:t>
      </w:r>
      <w:r w:rsidRPr="004C3FFB">
        <w:rPr>
          <w:rFonts w:ascii="Cambria Math" w:hAnsi="Cambria Math" w:cs="Cambria Math"/>
          <w:b/>
          <w:bCs/>
          <w:sz w:val="20"/>
          <w:szCs w:val="20"/>
          <w:lang w:val="en-GB"/>
        </w:rPr>
        <w:t>₁</w:t>
      </w:r>
      <w:r w:rsidRPr="004C3FFB">
        <w:rPr>
          <w:rFonts w:ascii="Arial" w:hAnsi="Arial" w:cs="Arial"/>
          <w:sz w:val="20"/>
          <w:szCs w:val="20"/>
          <w:lang w:val="en-GB"/>
        </w:rPr>
        <w:t xml:space="preserve"> – 0, </w:t>
      </w:r>
      <w:r w:rsidRPr="004C3FFB">
        <w:rPr>
          <w:rFonts w:ascii="Arial" w:hAnsi="Arial" w:cs="Arial"/>
          <w:b/>
          <w:bCs/>
          <w:sz w:val="20"/>
          <w:szCs w:val="20"/>
          <w:lang w:val="en-GB"/>
        </w:rPr>
        <w:t>S</w:t>
      </w:r>
      <w:r w:rsidRPr="004C3FFB">
        <w:rPr>
          <w:rFonts w:ascii="Cambria Math" w:hAnsi="Cambria Math" w:cs="Cambria Math"/>
          <w:b/>
          <w:bCs/>
          <w:sz w:val="20"/>
          <w:szCs w:val="20"/>
          <w:lang w:val="en-GB"/>
        </w:rPr>
        <w:t>₂</w:t>
      </w:r>
      <w:r w:rsidRPr="004C3FFB">
        <w:rPr>
          <w:rFonts w:ascii="Arial" w:hAnsi="Arial" w:cs="Arial"/>
          <w:sz w:val="20"/>
          <w:szCs w:val="20"/>
          <w:lang w:val="en-GB"/>
        </w:rPr>
        <w:t xml:space="preserve"> – 20, </w:t>
      </w:r>
      <w:r w:rsidRPr="004C3FFB">
        <w:rPr>
          <w:rFonts w:ascii="Arial" w:hAnsi="Arial" w:cs="Arial"/>
          <w:b/>
          <w:bCs/>
          <w:sz w:val="20"/>
          <w:szCs w:val="20"/>
          <w:lang w:val="en-GB"/>
        </w:rPr>
        <w:t>S</w:t>
      </w:r>
      <w:r w:rsidRPr="004C3FFB">
        <w:rPr>
          <w:rFonts w:ascii="Cambria Math" w:hAnsi="Cambria Math" w:cs="Cambria Math"/>
          <w:b/>
          <w:bCs/>
          <w:sz w:val="20"/>
          <w:szCs w:val="20"/>
          <w:lang w:val="en-GB"/>
        </w:rPr>
        <w:t>₃</w:t>
      </w:r>
      <w:r w:rsidRPr="004C3FFB">
        <w:rPr>
          <w:rFonts w:ascii="Arial" w:hAnsi="Arial" w:cs="Arial"/>
          <w:sz w:val="20"/>
          <w:szCs w:val="20"/>
          <w:lang w:val="en-GB"/>
        </w:rPr>
        <w:t xml:space="preserve"> – 40 kg S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Zinc (as zinc-EDTA): </w:t>
      </w:r>
      <w:r w:rsidRPr="004C3FFB">
        <w:rPr>
          <w:rFonts w:ascii="Arial" w:hAnsi="Arial" w:cs="Arial"/>
          <w:b/>
          <w:bCs/>
          <w:sz w:val="20"/>
          <w:szCs w:val="20"/>
          <w:lang w:val="en-GB"/>
        </w:rPr>
        <w:t>Zn</w:t>
      </w:r>
      <w:r w:rsidRPr="004C3FFB">
        <w:rPr>
          <w:rFonts w:ascii="Cambria Math" w:hAnsi="Cambria Math" w:cs="Cambria Math"/>
          <w:b/>
          <w:bCs/>
          <w:sz w:val="20"/>
          <w:szCs w:val="20"/>
          <w:lang w:val="en-GB"/>
        </w:rPr>
        <w:t>₁</w:t>
      </w:r>
      <w:r w:rsidRPr="004C3FFB">
        <w:rPr>
          <w:rFonts w:ascii="Arial" w:hAnsi="Arial" w:cs="Arial"/>
          <w:sz w:val="20"/>
          <w:szCs w:val="20"/>
          <w:lang w:val="en-GB"/>
        </w:rPr>
        <w:t xml:space="preserve"> – 0, </w:t>
      </w:r>
      <w:r w:rsidRPr="004C3FFB">
        <w:rPr>
          <w:rFonts w:ascii="Arial" w:hAnsi="Arial" w:cs="Arial"/>
          <w:b/>
          <w:bCs/>
          <w:sz w:val="20"/>
          <w:szCs w:val="20"/>
          <w:lang w:val="en-GB"/>
        </w:rPr>
        <w:t>Zn</w:t>
      </w:r>
      <w:r w:rsidRPr="004C3FFB">
        <w:rPr>
          <w:rFonts w:ascii="Cambria Math" w:hAnsi="Cambria Math" w:cs="Cambria Math"/>
          <w:b/>
          <w:bCs/>
          <w:sz w:val="20"/>
          <w:szCs w:val="20"/>
          <w:lang w:val="en-GB"/>
        </w:rPr>
        <w:t>₂</w:t>
      </w:r>
      <w:r w:rsidRPr="004C3FFB">
        <w:rPr>
          <w:rFonts w:ascii="Arial" w:hAnsi="Arial" w:cs="Arial"/>
          <w:sz w:val="20"/>
          <w:szCs w:val="20"/>
          <w:lang w:val="en-GB"/>
        </w:rPr>
        <w:t xml:space="preserve"> – 2.5, </w:t>
      </w:r>
      <w:r w:rsidRPr="004C3FFB">
        <w:rPr>
          <w:rFonts w:ascii="Arial" w:hAnsi="Arial" w:cs="Arial"/>
          <w:b/>
          <w:bCs/>
          <w:sz w:val="20"/>
          <w:szCs w:val="20"/>
          <w:lang w:val="en-GB"/>
        </w:rPr>
        <w:t>Zn</w:t>
      </w:r>
      <w:r w:rsidRPr="004C3FFB">
        <w:rPr>
          <w:rFonts w:ascii="Cambria Math" w:hAnsi="Cambria Math" w:cs="Cambria Math"/>
          <w:b/>
          <w:bCs/>
          <w:sz w:val="20"/>
          <w:szCs w:val="20"/>
          <w:lang w:val="en-GB"/>
        </w:rPr>
        <w:t>₃</w:t>
      </w:r>
      <w:r w:rsidRPr="004C3FFB">
        <w:rPr>
          <w:rFonts w:ascii="Arial" w:hAnsi="Arial" w:cs="Arial"/>
          <w:sz w:val="20"/>
          <w:szCs w:val="20"/>
          <w:lang w:val="en-GB"/>
        </w:rPr>
        <w:t xml:space="preserve"> – 5.0 kg Zn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w:t>
      </w:r>
    </w:p>
    <w:p w14:paraId="68AEBAA0" w14:textId="77777777" w:rsidR="00B46191" w:rsidRDefault="00B46191" w:rsidP="00B46191">
      <w:pPr>
        <w:jc w:val="both"/>
        <w:rPr>
          <w:rFonts w:ascii="Arial" w:hAnsi="Arial" w:cs="Arial"/>
          <w:b/>
          <w:bCs/>
          <w:sz w:val="20"/>
          <w:szCs w:val="20"/>
          <w:lang w:val="en-GB"/>
        </w:rPr>
      </w:pPr>
      <w:r w:rsidRPr="004C3FFB">
        <w:rPr>
          <w:rFonts w:ascii="Arial" w:hAnsi="Arial" w:cs="Arial"/>
          <w:b/>
          <w:bCs/>
          <w:sz w:val="20"/>
          <w:szCs w:val="20"/>
          <w:lang w:val="en-GB"/>
        </w:rPr>
        <w:t>Table 2. Details of the field experiment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035"/>
        <w:gridCol w:w="5478"/>
      </w:tblGrid>
      <w:tr w:rsidR="001177F8" w:rsidRPr="001177F8" w14:paraId="63AC299F" w14:textId="77777777" w:rsidTr="009D5DE4">
        <w:tc>
          <w:tcPr>
            <w:tcW w:w="279" w:type="pct"/>
          </w:tcPr>
          <w:p w14:paraId="2AD7BFE9"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1.</w:t>
            </w:r>
          </w:p>
        </w:tc>
        <w:tc>
          <w:tcPr>
            <w:tcW w:w="1683" w:type="pct"/>
          </w:tcPr>
          <w:p w14:paraId="31EA0910"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Location</w:t>
            </w:r>
          </w:p>
        </w:tc>
        <w:tc>
          <w:tcPr>
            <w:tcW w:w="3038" w:type="pct"/>
          </w:tcPr>
          <w:p w14:paraId="7A6A8639"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College Farm, College of Agriculture, NAU, Campus Bharuch</w:t>
            </w:r>
          </w:p>
        </w:tc>
      </w:tr>
      <w:tr w:rsidR="001177F8" w:rsidRPr="001177F8" w14:paraId="6F9534D8" w14:textId="77777777" w:rsidTr="009D5DE4">
        <w:tc>
          <w:tcPr>
            <w:tcW w:w="279" w:type="pct"/>
          </w:tcPr>
          <w:p w14:paraId="5EC5AEC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2.</w:t>
            </w:r>
          </w:p>
        </w:tc>
        <w:tc>
          <w:tcPr>
            <w:tcW w:w="1683" w:type="pct"/>
          </w:tcPr>
          <w:p w14:paraId="60CEBEFD"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Season And Year</w:t>
            </w:r>
          </w:p>
        </w:tc>
        <w:tc>
          <w:tcPr>
            <w:tcW w:w="3038" w:type="pct"/>
          </w:tcPr>
          <w:p w14:paraId="7681E0AD"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Late</w:t>
            </w:r>
            <w:r w:rsidRPr="001177F8">
              <w:rPr>
                <w:rFonts w:ascii="Arial" w:eastAsia="Calibri" w:hAnsi="Arial" w:cs="Arial"/>
                <w:i/>
                <w:iCs/>
                <w:kern w:val="0"/>
                <w:sz w:val="20"/>
                <w:szCs w:val="20"/>
                <w14:ligatures w14:val="none"/>
              </w:rPr>
              <w:t xml:space="preserve"> kharif</w:t>
            </w:r>
            <w:r w:rsidRPr="001177F8">
              <w:rPr>
                <w:rFonts w:ascii="Arial" w:eastAsia="Calibri" w:hAnsi="Arial" w:cs="Arial"/>
                <w:kern w:val="0"/>
                <w:sz w:val="20"/>
                <w:szCs w:val="20"/>
                <w14:ligatures w14:val="none"/>
              </w:rPr>
              <w:t>-2025</w:t>
            </w:r>
          </w:p>
        </w:tc>
      </w:tr>
      <w:tr w:rsidR="001177F8" w:rsidRPr="001177F8" w14:paraId="1CBA933C" w14:textId="77777777" w:rsidTr="009D5DE4">
        <w:tc>
          <w:tcPr>
            <w:tcW w:w="279" w:type="pct"/>
          </w:tcPr>
          <w:p w14:paraId="4A19472B"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3.</w:t>
            </w:r>
          </w:p>
        </w:tc>
        <w:tc>
          <w:tcPr>
            <w:tcW w:w="4721" w:type="pct"/>
            <w:gridSpan w:val="2"/>
          </w:tcPr>
          <w:p w14:paraId="46CC0A79" w14:textId="77777777" w:rsidR="001177F8" w:rsidRPr="001177F8" w:rsidRDefault="001177F8" w:rsidP="009D5DE4">
            <w:pPr>
              <w:spacing w:after="0" w:line="240" w:lineRule="auto"/>
              <w:jc w:val="both"/>
              <w:rPr>
                <w:rFonts w:ascii="Arial" w:eastAsia="Calibri" w:hAnsi="Arial" w:cs="Arial"/>
                <w:b/>
                <w:bCs/>
                <w:i/>
                <w:iCs/>
                <w:kern w:val="0"/>
                <w:sz w:val="20"/>
                <w:szCs w:val="20"/>
                <w14:ligatures w14:val="none"/>
              </w:rPr>
            </w:pPr>
            <w:r w:rsidRPr="001177F8">
              <w:rPr>
                <w:rFonts w:ascii="Arial" w:eastAsia="Calibri" w:hAnsi="Arial" w:cs="Arial"/>
                <w:b/>
                <w:bCs/>
                <w:kern w:val="0"/>
                <w:sz w:val="20"/>
                <w:szCs w:val="20"/>
                <w14:ligatures w14:val="none"/>
              </w:rPr>
              <w:t>Details of experiment:</w:t>
            </w:r>
          </w:p>
        </w:tc>
      </w:tr>
      <w:tr w:rsidR="001177F8" w:rsidRPr="001177F8" w14:paraId="43159737" w14:textId="77777777" w:rsidTr="009D5DE4">
        <w:tc>
          <w:tcPr>
            <w:tcW w:w="279" w:type="pct"/>
          </w:tcPr>
          <w:p w14:paraId="3CAF1F04"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a.</w:t>
            </w:r>
          </w:p>
        </w:tc>
        <w:tc>
          <w:tcPr>
            <w:tcW w:w="1683" w:type="pct"/>
          </w:tcPr>
          <w:p w14:paraId="2545BB77"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Experimental Design</w:t>
            </w:r>
          </w:p>
        </w:tc>
        <w:tc>
          <w:tcPr>
            <w:tcW w:w="3038" w:type="pct"/>
          </w:tcPr>
          <w:p w14:paraId="7F3583FE"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color w:val="000000" w:themeColor="text1"/>
                <w:kern w:val="0"/>
                <w:sz w:val="20"/>
                <w:szCs w:val="20"/>
                <w14:ligatures w14:val="none"/>
              </w:rPr>
              <w:t>FRBD (Factorial Randomized Block Design)</w:t>
            </w:r>
          </w:p>
        </w:tc>
      </w:tr>
      <w:tr w:rsidR="001177F8" w:rsidRPr="001177F8" w14:paraId="1FE630A3" w14:textId="77777777" w:rsidTr="009D5DE4">
        <w:tc>
          <w:tcPr>
            <w:tcW w:w="279" w:type="pct"/>
          </w:tcPr>
          <w:p w14:paraId="2E570135"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4"/>
                <w:kern w:val="0"/>
                <w:sz w:val="20"/>
                <w:szCs w:val="20"/>
                <w14:ligatures w14:val="none"/>
              </w:rPr>
              <w:lastRenderedPageBreak/>
              <w:t>b.</w:t>
            </w:r>
          </w:p>
        </w:tc>
        <w:tc>
          <w:tcPr>
            <w:tcW w:w="1683" w:type="pct"/>
          </w:tcPr>
          <w:p w14:paraId="5AD61B2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Replications</w:t>
            </w:r>
          </w:p>
        </w:tc>
        <w:tc>
          <w:tcPr>
            <w:tcW w:w="3038" w:type="pct"/>
          </w:tcPr>
          <w:p w14:paraId="62DBA8C3"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4 (Four)</w:t>
            </w:r>
          </w:p>
        </w:tc>
      </w:tr>
      <w:tr w:rsidR="001177F8" w:rsidRPr="001177F8" w14:paraId="52C297DE" w14:textId="77777777" w:rsidTr="009D5DE4">
        <w:tc>
          <w:tcPr>
            <w:tcW w:w="279" w:type="pct"/>
          </w:tcPr>
          <w:p w14:paraId="5CE490FD"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c.</w:t>
            </w:r>
          </w:p>
        </w:tc>
        <w:tc>
          <w:tcPr>
            <w:tcW w:w="1683" w:type="pct"/>
          </w:tcPr>
          <w:p w14:paraId="479B2775"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Treatments</w:t>
            </w:r>
          </w:p>
        </w:tc>
        <w:tc>
          <w:tcPr>
            <w:tcW w:w="3038" w:type="pct"/>
          </w:tcPr>
          <w:p w14:paraId="26457C69"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9 (Nine)</w:t>
            </w:r>
          </w:p>
        </w:tc>
      </w:tr>
      <w:tr w:rsidR="001177F8" w:rsidRPr="001177F8" w14:paraId="5F155E9E" w14:textId="77777777" w:rsidTr="009D5DE4">
        <w:tc>
          <w:tcPr>
            <w:tcW w:w="279" w:type="pct"/>
          </w:tcPr>
          <w:p w14:paraId="0E4903AE" w14:textId="77777777" w:rsidR="001177F8" w:rsidRPr="001177F8" w:rsidRDefault="001177F8" w:rsidP="009D5DE4">
            <w:pPr>
              <w:spacing w:after="0" w:line="240" w:lineRule="auto"/>
              <w:jc w:val="both"/>
              <w:rPr>
                <w:rFonts w:ascii="Arial" w:eastAsia="Calibri" w:hAnsi="Arial" w:cs="Arial"/>
                <w:b/>
                <w:bCs/>
                <w:spacing w:val="13"/>
                <w:kern w:val="0"/>
                <w:sz w:val="20"/>
                <w:szCs w:val="20"/>
                <w14:ligatures w14:val="none"/>
              </w:rPr>
            </w:pPr>
            <w:r w:rsidRPr="001177F8">
              <w:rPr>
                <w:rFonts w:ascii="Arial" w:eastAsia="Calibri" w:hAnsi="Arial" w:cs="Arial"/>
                <w:b/>
                <w:bCs/>
                <w:spacing w:val="14"/>
                <w:kern w:val="0"/>
                <w:sz w:val="20"/>
                <w:szCs w:val="20"/>
                <w14:ligatures w14:val="none"/>
              </w:rPr>
              <w:t>d.</w:t>
            </w:r>
          </w:p>
        </w:tc>
        <w:tc>
          <w:tcPr>
            <w:tcW w:w="1683" w:type="pct"/>
          </w:tcPr>
          <w:p w14:paraId="221EF07F"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Crop and Variety</w:t>
            </w:r>
          </w:p>
        </w:tc>
        <w:tc>
          <w:tcPr>
            <w:tcW w:w="3038" w:type="pct"/>
          </w:tcPr>
          <w:p w14:paraId="17FCFA27"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 xml:space="preserve">Sesame </w:t>
            </w:r>
            <w:r w:rsidRPr="001177F8">
              <w:rPr>
                <w:rFonts w:ascii="Arial" w:eastAsia="Calibri" w:hAnsi="Arial" w:cs="Arial"/>
                <w:color w:val="000000" w:themeColor="text1"/>
                <w:kern w:val="0"/>
                <w:sz w:val="20"/>
                <w:szCs w:val="20"/>
                <w14:ligatures w14:val="none"/>
              </w:rPr>
              <w:t>var</w:t>
            </w:r>
            <w:r w:rsidRPr="001177F8">
              <w:rPr>
                <w:rFonts w:ascii="Arial" w:eastAsia="Calibri" w:hAnsi="Arial" w:cs="Arial"/>
                <w:kern w:val="0"/>
                <w:sz w:val="20"/>
                <w:szCs w:val="20"/>
                <w14:ligatures w14:val="none"/>
              </w:rPr>
              <w:t>. Gujarat Til-4</w:t>
            </w:r>
          </w:p>
        </w:tc>
      </w:tr>
      <w:tr w:rsidR="001177F8" w:rsidRPr="001177F8" w14:paraId="2EBE1547" w14:textId="77777777" w:rsidTr="009D5DE4">
        <w:tc>
          <w:tcPr>
            <w:tcW w:w="279" w:type="pct"/>
          </w:tcPr>
          <w:p w14:paraId="51DBB2EE"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e.</w:t>
            </w:r>
          </w:p>
        </w:tc>
        <w:tc>
          <w:tcPr>
            <w:tcW w:w="1683" w:type="pct"/>
          </w:tcPr>
          <w:p w14:paraId="746C4500"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Total number of plots</w:t>
            </w:r>
          </w:p>
        </w:tc>
        <w:tc>
          <w:tcPr>
            <w:tcW w:w="3038" w:type="pct"/>
          </w:tcPr>
          <w:p w14:paraId="78A00A75"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36</w:t>
            </w:r>
          </w:p>
        </w:tc>
      </w:tr>
      <w:tr w:rsidR="001177F8" w:rsidRPr="001177F8" w14:paraId="6B2E82B2" w14:textId="77777777" w:rsidTr="009D5DE4">
        <w:tc>
          <w:tcPr>
            <w:tcW w:w="279" w:type="pct"/>
          </w:tcPr>
          <w:p w14:paraId="4D43187D"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f.</w:t>
            </w:r>
          </w:p>
        </w:tc>
        <w:tc>
          <w:tcPr>
            <w:tcW w:w="1683" w:type="pct"/>
          </w:tcPr>
          <w:p w14:paraId="220F492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Plot Size</w:t>
            </w:r>
          </w:p>
        </w:tc>
        <w:tc>
          <w:tcPr>
            <w:tcW w:w="3038" w:type="pct"/>
          </w:tcPr>
          <w:p w14:paraId="3F754909" w14:textId="77777777" w:rsidR="001177F8" w:rsidRPr="001177F8" w:rsidRDefault="001177F8" w:rsidP="009D5DE4">
            <w:pPr>
              <w:tabs>
                <w:tab w:val="left" w:pos="1380"/>
              </w:tabs>
              <w:spacing w:after="0" w:line="240" w:lineRule="auto"/>
              <w:jc w:val="both"/>
              <w:rPr>
                <w:rFonts w:ascii="Arial" w:eastAsia="Calibri" w:hAnsi="Arial" w:cs="Arial"/>
                <w:color w:val="000000"/>
                <w:kern w:val="0"/>
                <w:sz w:val="20"/>
                <w:szCs w:val="20"/>
                <w:vertAlign w:val="superscript"/>
                <w14:ligatures w14:val="none"/>
              </w:rPr>
            </w:pPr>
            <w:r w:rsidRPr="001177F8">
              <w:rPr>
                <w:rFonts w:ascii="Arial" w:eastAsia="Calibri" w:hAnsi="Arial" w:cs="Arial"/>
                <w:color w:val="000000"/>
                <w:kern w:val="0"/>
                <w:sz w:val="20"/>
                <w:szCs w:val="20"/>
                <w14:ligatures w14:val="none"/>
              </w:rPr>
              <w:t>Gross: 3.6m x 3.0m</w:t>
            </w:r>
          </w:p>
          <w:p w14:paraId="117FB424"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color w:val="000000"/>
                <w:kern w:val="0"/>
                <w:sz w:val="20"/>
                <w:szCs w:val="20"/>
                <w14:ligatures w14:val="none"/>
              </w:rPr>
              <w:t>Net:     2.7m x 2.0 m</w:t>
            </w:r>
          </w:p>
        </w:tc>
      </w:tr>
      <w:tr w:rsidR="001177F8" w:rsidRPr="001177F8" w14:paraId="1DACFCC2" w14:textId="77777777" w:rsidTr="009D5DE4">
        <w:tc>
          <w:tcPr>
            <w:tcW w:w="279" w:type="pct"/>
          </w:tcPr>
          <w:p w14:paraId="7258DAA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4"/>
                <w:kern w:val="0"/>
                <w:sz w:val="20"/>
                <w:szCs w:val="20"/>
                <w14:ligatures w14:val="none"/>
              </w:rPr>
              <w:t>g.</w:t>
            </w:r>
          </w:p>
        </w:tc>
        <w:tc>
          <w:tcPr>
            <w:tcW w:w="1683" w:type="pct"/>
          </w:tcPr>
          <w:p w14:paraId="55C91966"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Total Experimental Area</w:t>
            </w:r>
          </w:p>
        </w:tc>
        <w:tc>
          <w:tcPr>
            <w:tcW w:w="3038" w:type="pct"/>
          </w:tcPr>
          <w:p w14:paraId="1EE04B14"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858 m</w:t>
            </w:r>
            <w:r w:rsidRPr="001177F8">
              <w:rPr>
                <w:rFonts w:ascii="Arial" w:eastAsia="Calibri" w:hAnsi="Arial" w:cs="Arial"/>
                <w:kern w:val="0"/>
                <w:sz w:val="20"/>
                <w:szCs w:val="20"/>
                <w:vertAlign w:val="superscript"/>
                <w14:ligatures w14:val="none"/>
              </w:rPr>
              <w:t>2</w:t>
            </w:r>
          </w:p>
        </w:tc>
      </w:tr>
      <w:tr w:rsidR="001177F8" w:rsidRPr="001177F8" w14:paraId="24E4C80F" w14:textId="77777777" w:rsidTr="009D5DE4">
        <w:tc>
          <w:tcPr>
            <w:tcW w:w="279" w:type="pct"/>
          </w:tcPr>
          <w:p w14:paraId="106964B0"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4"/>
                <w:kern w:val="0"/>
                <w:sz w:val="20"/>
                <w:szCs w:val="20"/>
                <w14:ligatures w14:val="none"/>
              </w:rPr>
              <w:t>h.</w:t>
            </w:r>
          </w:p>
        </w:tc>
        <w:tc>
          <w:tcPr>
            <w:tcW w:w="1683" w:type="pct"/>
          </w:tcPr>
          <w:p w14:paraId="36486EFB"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Seed rate</w:t>
            </w:r>
          </w:p>
        </w:tc>
        <w:tc>
          <w:tcPr>
            <w:tcW w:w="3038" w:type="pct"/>
          </w:tcPr>
          <w:p w14:paraId="13D6721F" w14:textId="51474713"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5 kg ha</w:t>
            </w:r>
            <w:r w:rsidR="00BF2425" w:rsidRPr="00BF2425">
              <w:rPr>
                <w:rFonts w:ascii="Cambria Math" w:hAnsi="Cambria Math" w:cs="Cambria Math"/>
                <w:sz w:val="20"/>
                <w:szCs w:val="20"/>
                <w:vertAlign w:val="superscript"/>
                <w:lang w:val="en-GB"/>
              </w:rPr>
              <w:t>-1</w:t>
            </w:r>
          </w:p>
        </w:tc>
      </w:tr>
      <w:tr w:rsidR="001177F8" w:rsidRPr="001177F8" w14:paraId="0E2D1133" w14:textId="77777777" w:rsidTr="009D5DE4">
        <w:tc>
          <w:tcPr>
            <w:tcW w:w="279" w:type="pct"/>
          </w:tcPr>
          <w:p w14:paraId="77DBB52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proofErr w:type="spellStart"/>
            <w:r w:rsidRPr="001177F8">
              <w:rPr>
                <w:rFonts w:ascii="Arial" w:eastAsia="Calibri" w:hAnsi="Arial" w:cs="Arial"/>
                <w:b/>
                <w:bCs/>
                <w:spacing w:val="4"/>
                <w:kern w:val="0"/>
                <w:sz w:val="20"/>
                <w:szCs w:val="20"/>
                <w14:ligatures w14:val="none"/>
              </w:rPr>
              <w:t>i</w:t>
            </w:r>
            <w:proofErr w:type="spellEnd"/>
            <w:r w:rsidRPr="001177F8">
              <w:rPr>
                <w:rFonts w:ascii="Arial" w:eastAsia="Calibri" w:hAnsi="Arial" w:cs="Arial"/>
                <w:b/>
                <w:bCs/>
                <w:spacing w:val="4"/>
                <w:kern w:val="0"/>
                <w:sz w:val="20"/>
                <w:szCs w:val="20"/>
                <w14:ligatures w14:val="none"/>
              </w:rPr>
              <w:t>.</w:t>
            </w:r>
          </w:p>
        </w:tc>
        <w:tc>
          <w:tcPr>
            <w:tcW w:w="1683" w:type="pct"/>
          </w:tcPr>
          <w:p w14:paraId="42C15A8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Spacing</w:t>
            </w:r>
          </w:p>
        </w:tc>
        <w:tc>
          <w:tcPr>
            <w:tcW w:w="3038" w:type="pct"/>
          </w:tcPr>
          <w:p w14:paraId="0EB9EFB1"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45 cm x 10 cm</w:t>
            </w:r>
          </w:p>
        </w:tc>
      </w:tr>
      <w:tr w:rsidR="001177F8" w:rsidRPr="001177F8" w14:paraId="7EB170EE" w14:textId="77777777" w:rsidTr="009D5DE4">
        <w:tc>
          <w:tcPr>
            <w:tcW w:w="279" w:type="pct"/>
          </w:tcPr>
          <w:p w14:paraId="71F99855"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4"/>
                <w:kern w:val="0"/>
                <w:sz w:val="20"/>
                <w:szCs w:val="20"/>
                <w14:ligatures w14:val="none"/>
              </w:rPr>
              <w:t>j.</w:t>
            </w:r>
          </w:p>
        </w:tc>
        <w:tc>
          <w:tcPr>
            <w:tcW w:w="1683" w:type="pct"/>
          </w:tcPr>
          <w:p w14:paraId="0F55E7AC"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Fertilizers</w:t>
            </w:r>
          </w:p>
        </w:tc>
        <w:tc>
          <w:tcPr>
            <w:tcW w:w="3038" w:type="pct"/>
          </w:tcPr>
          <w:p w14:paraId="6DA56F73"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30:25:00 NPK kg/ha</w:t>
            </w:r>
          </w:p>
        </w:tc>
      </w:tr>
      <w:tr w:rsidR="001177F8" w:rsidRPr="001177F8" w14:paraId="68AD630D" w14:textId="77777777" w:rsidTr="009D5DE4">
        <w:tc>
          <w:tcPr>
            <w:tcW w:w="279" w:type="pct"/>
          </w:tcPr>
          <w:p w14:paraId="13FA916B" w14:textId="7ED7DC7A"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k.</w:t>
            </w:r>
          </w:p>
        </w:tc>
        <w:tc>
          <w:tcPr>
            <w:tcW w:w="1683" w:type="pct"/>
          </w:tcPr>
          <w:p w14:paraId="0EA972F1" w14:textId="4FBBD3F4" w:rsidR="001177F8" w:rsidRPr="001177F8" w:rsidRDefault="001177F8" w:rsidP="001177F8">
            <w:pPr>
              <w:spacing w:after="0" w:line="240" w:lineRule="auto"/>
              <w:rPr>
                <w:rFonts w:ascii="Arial" w:eastAsia="Calibri" w:hAnsi="Arial" w:cs="Arial"/>
                <w:b/>
                <w:bCs/>
                <w:kern w:val="0"/>
                <w:sz w:val="20"/>
                <w:szCs w:val="20"/>
                <w14:ligatures w14:val="none"/>
              </w:rPr>
            </w:pPr>
            <w:r w:rsidRPr="001177F8">
              <w:rPr>
                <w:rFonts w:ascii="Arial" w:hAnsi="Arial" w:cs="Arial"/>
                <w:b/>
                <w:bCs/>
                <w:sz w:val="20"/>
                <w:szCs w:val="20"/>
              </w:rPr>
              <w:t>Sulphur levels (bentonite S)</w:t>
            </w:r>
          </w:p>
        </w:tc>
        <w:tc>
          <w:tcPr>
            <w:tcW w:w="3038" w:type="pct"/>
          </w:tcPr>
          <w:p w14:paraId="15AB5375" w14:textId="4715FC7A" w:rsidR="001177F8" w:rsidRPr="001177F8" w:rsidRDefault="001177F8" w:rsidP="001177F8">
            <w:pPr>
              <w:spacing w:after="0" w:line="240" w:lineRule="auto"/>
              <w:jc w:val="both"/>
              <w:rPr>
                <w:rFonts w:ascii="Arial" w:eastAsia="Calibri" w:hAnsi="Arial" w:cs="Arial"/>
                <w:kern w:val="0"/>
                <w:sz w:val="20"/>
                <w:szCs w:val="20"/>
                <w14:ligatures w14:val="none"/>
              </w:rPr>
            </w:pPr>
            <w:r w:rsidRPr="001177F8">
              <w:rPr>
                <w:rFonts w:ascii="Arial" w:hAnsi="Arial" w:cs="Arial"/>
                <w:sz w:val="20"/>
                <w:szCs w:val="20"/>
              </w:rPr>
              <w:t>S</w:t>
            </w:r>
            <w:r w:rsidRPr="001177F8">
              <w:rPr>
                <w:rFonts w:ascii="Cambria Math" w:hAnsi="Cambria Math" w:cs="Cambria Math"/>
                <w:sz w:val="20"/>
                <w:szCs w:val="20"/>
              </w:rPr>
              <w:t>₁</w:t>
            </w:r>
            <w:r w:rsidRPr="001177F8">
              <w:rPr>
                <w:rFonts w:ascii="Arial" w:hAnsi="Arial" w:cs="Arial"/>
                <w:sz w:val="20"/>
                <w:szCs w:val="20"/>
              </w:rPr>
              <w:t>: 0, S</w:t>
            </w:r>
            <w:r w:rsidRPr="001177F8">
              <w:rPr>
                <w:rFonts w:ascii="Cambria Math" w:hAnsi="Cambria Math" w:cs="Cambria Math"/>
                <w:sz w:val="20"/>
                <w:szCs w:val="20"/>
              </w:rPr>
              <w:t>₂</w:t>
            </w:r>
            <w:r w:rsidRPr="001177F8">
              <w:rPr>
                <w:rFonts w:ascii="Arial" w:hAnsi="Arial" w:cs="Arial"/>
                <w:sz w:val="20"/>
                <w:szCs w:val="20"/>
              </w:rPr>
              <w:t>: 20, S</w:t>
            </w:r>
            <w:r w:rsidRPr="001177F8">
              <w:rPr>
                <w:rFonts w:ascii="Cambria Math" w:hAnsi="Cambria Math" w:cs="Cambria Math"/>
                <w:sz w:val="20"/>
                <w:szCs w:val="20"/>
              </w:rPr>
              <w:t>₃</w:t>
            </w:r>
            <w:r w:rsidRPr="001177F8">
              <w:rPr>
                <w:rFonts w:ascii="Arial" w:hAnsi="Arial" w:cs="Arial"/>
                <w:sz w:val="20"/>
                <w:szCs w:val="20"/>
              </w:rPr>
              <w:t>: 40 kg S ha</w:t>
            </w:r>
            <w:r w:rsidR="00BF2425" w:rsidRPr="00BF2425">
              <w:rPr>
                <w:rFonts w:ascii="Cambria Math" w:hAnsi="Cambria Math" w:cs="Cambria Math"/>
                <w:sz w:val="20"/>
                <w:szCs w:val="20"/>
                <w:vertAlign w:val="superscript"/>
                <w:lang w:val="en-GB"/>
              </w:rPr>
              <w:t>-1</w:t>
            </w:r>
          </w:p>
        </w:tc>
      </w:tr>
      <w:tr w:rsidR="001177F8" w:rsidRPr="00C82A0C" w14:paraId="1A11A9F2" w14:textId="77777777" w:rsidTr="009D5DE4">
        <w:tc>
          <w:tcPr>
            <w:tcW w:w="279" w:type="pct"/>
          </w:tcPr>
          <w:p w14:paraId="60707704" w14:textId="31E7F815"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l.</w:t>
            </w:r>
          </w:p>
        </w:tc>
        <w:tc>
          <w:tcPr>
            <w:tcW w:w="1683" w:type="pct"/>
          </w:tcPr>
          <w:p w14:paraId="5592BF4D" w14:textId="60983F2B"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rPr>
              <w:t>Zinc levels (zinc-EDTA)</w:t>
            </w:r>
          </w:p>
        </w:tc>
        <w:tc>
          <w:tcPr>
            <w:tcW w:w="3038" w:type="pct"/>
          </w:tcPr>
          <w:p w14:paraId="79C1C78F" w14:textId="574074D9" w:rsidR="001177F8" w:rsidRPr="00C82A0C" w:rsidRDefault="001177F8" w:rsidP="001177F8">
            <w:pPr>
              <w:spacing w:after="0" w:line="240" w:lineRule="auto"/>
              <w:jc w:val="both"/>
              <w:rPr>
                <w:rFonts w:ascii="Arial" w:hAnsi="Arial" w:cs="Arial"/>
                <w:sz w:val="20"/>
                <w:szCs w:val="20"/>
                <w:lang w:val="it-IT"/>
              </w:rPr>
            </w:pPr>
            <w:r w:rsidRPr="00C82A0C">
              <w:rPr>
                <w:rFonts w:ascii="Arial" w:hAnsi="Arial" w:cs="Arial"/>
                <w:sz w:val="20"/>
                <w:szCs w:val="20"/>
                <w:lang w:val="it-IT"/>
              </w:rPr>
              <w:t>Zn</w:t>
            </w:r>
            <w:r w:rsidRPr="00C82A0C">
              <w:rPr>
                <w:rFonts w:ascii="Cambria Math" w:hAnsi="Cambria Math" w:cs="Cambria Math"/>
                <w:sz w:val="20"/>
                <w:szCs w:val="20"/>
                <w:lang w:val="it-IT"/>
              </w:rPr>
              <w:t>₁</w:t>
            </w:r>
            <w:r w:rsidRPr="00C82A0C">
              <w:rPr>
                <w:rFonts w:ascii="Arial" w:hAnsi="Arial" w:cs="Arial"/>
                <w:sz w:val="20"/>
                <w:szCs w:val="20"/>
                <w:lang w:val="it-IT"/>
              </w:rPr>
              <w:t>: 0, Zn</w:t>
            </w:r>
            <w:r w:rsidRPr="00C82A0C">
              <w:rPr>
                <w:rFonts w:ascii="Cambria Math" w:hAnsi="Cambria Math" w:cs="Cambria Math"/>
                <w:sz w:val="20"/>
                <w:szCs w:val="20"/>
                <w:lang w:val="it-IT"/>
              </w:rPr>
              <w:t>₂</w:t>
            </w:r>
            <w:r w:rsidRPr="00C82A0C">
              <w:rPr>
                <w:rFonts w:ascii="Arial" w:hAnsi="Arial" w:cs="Arial"/>
                <w:sz w:val="20"/>
                <w:szCs w:val="20"/>
                <w:lang w:val="it-IT"/>
              </w:rPr>
              <w:t>: 2.5, Zn</w:t>
            </w:r>
            <w:r w:rsidRPr="00C82A0C">
              <w:rPr>
                <w:rFonts w:ascii="Cambria Math" w:hAnsi="Cambria Math" w:cs="Cambria Math"/>
                <w:sz w:val="20"/>
                <w:szCs w:val="20"/>
                <w:lang w:val="it-IT"/>
              </w:rPr>
              <w:t>₃</w:t>
            </w:r>
            <w:r w:rsidRPr="00C82A0C">
              <w:rPr>
                <w:rFonts w:ascii="Arial" w:hAnsi="Arial" w:cs="Arial"/>
                <w:sz w:val="20"/>
                <w:szCs w:val="20"/>
                <w:lang w:val="it-IT"/>
              </w:rPr>
              <w:t>: 5.0 kg Zn ha</w:t>
            </w:r>
            <w:r w:rsidR="00BF2425" w:rsidRPr="00C82A0C">
              <w:rPr>
                <w:rFonts w:ascii="Cambria Math" w:hAnsi="Cambria Math" w:cs="Cambria Math"/>
                <w:sz w:val="20"/>
                <w:szCs w:val="20"/>
                <w:vertAlign w:val="superscript"/>
                <w:lang w:val="it-IT"/>
              </w:rPr>
              <w:t>-1</w:t>
            </w:r>
          </w:p>
        </w:tc>
      </w:tr>
      <w:tr w:rsidR="001177F8" w:rsidRPr="001177F8" w14:paraId="0FA16214" w14:textId="77777777" w:rsidTr="009D5DE4">
        <w:tc>
          <w:tcPr>
            <w:tcW w:w="279" w:type="pct"/>
          </w:tcPr>
          <w:p w14:paraId="5B6D5F41" w14:textId="46E2E0B5"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m.</w:t>
            </w:r>
          </w:p>
        </w:tc>
        <w:tc>
          <w:tcPr>
            <w:tcW w:w="1683" w:type="pct"/>
          </w:tcPr>
          <w:p w14:paraId="0DEC3727" w14:textId="43F10649"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lang w:val="en-GB"/>
              </w:rPr>
              <w:t>Date of sowing</w:t>
            </w:r>
          </w:p>
        </w:tc>
        <w:tc>
          <w:tcPr>
            <w:tcW w:w="3038" w:type="pct"/>
          </w:tcPr>
          <w:p w14:paraId="3A0C9448" w14:textId="108AEFF8" w:rsidR="001177F8" w:rsidRPr="001177F8" w:rsidRDefault="001177F8" w:rsidP="001177F8">
            <w:pPr>
              <w:spacing w:after="0" w:line="240" w:lineRule="auto"/>
              <w:jc w:val="both"/>
              <w:rPr>
                <w:rFonts w:ascii="Arial" w:hAnsi="Arial" w:cs="Arial"/>
                <w:sz w:val="20"/>
                <w:szCs w:val="20"/>
              </w:rPr>
            </w:pPr>
            <w:r w:rsidRPr="001177F8">
              <w:rPr>
                <w:rFonts w:ascii="Arial" w:hAnsi="Arial" w:cs="Arial"/>
                <w:sz w:val="20"/>
                <w:szCs w:val="20"/>
                <w:lang w:val="en-GB"/>
              </w:rPr>
              <w:t>4 August 2025</w:t>
            </w:r>
          </w:p>
        </w:tc>
      </w:tr>
      <w:tr w:rsidR="001177F8" w:rsidRPr="001177F8" w14:paraId="3C68C6FD" w14:textId="77777777" w:rsidTr="009D5DE4">
        <w:tc>
          <w:tcPr>
            <w:tcW w:w="279" w:type="pct"/>
          </w:tcPr>
          <w:p w14:paraId="0C3D8F5A" w14:textId="0F74E3C1"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n.</w:t>
            </w:r>
          </w:p>
        </w:tc>
        <w:tc>
          <w:tcPr>
            <w:tcW w:w="1683" w:type="pct"/>
          </w:tcPr>
          <w:p w14:paraId="30B12844" w14:textId="3D24C194"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lang w:val="en-GB"/>
              </w:rPr>
              <w:t>Date of harvest</w:t>
            </w:r>
          </w:p>
        </w:tc>
        <w:tc>
          <w:tcPr>
            <w:tcW w:w="3038" w:type="pct"/>
          </w:tcPr>
          <w:p w14:paraId="176297DD" w14:textId="4623255B" w:rsidR="001177F8" w:rsidRPr="001177F8" w:rsidRDefault="001177F8" w:rsidP="001177F8">
            <w:pPr>
              <w:spacing w:after="0" w:line="240" w:lineRule="auto"/>
              <w:jc w:val="both"/>
              <w:rPr>
                <w:rFonts w:ascii="Arial" w:hAnsi="Arial" w:cs="Arial"/>
                <w:sz w:val="20"/>
                <w:szCs w:val="20"/>
              </w:rPr>
            </w:pPr>
            <w:r w:rsidRPr="001177F8">
              <w:rPr>
                <w:rFonts w:ascii="Arial" w:hAnsi="Arial" w:cs="Arial"/>
                <w:sz w:val="20"/>
                <w:szCs w:val="20"/>
                <w:lang w:val="en-GB"/>
              </w:rPr>
              <w:t>4 November 2025</w:t>
            </w:r>
          </w:p>
        </w:tc>
      </w:tr>
    </w:tbl>
    <w:p w14:paraId="5BB82A9F" w14:textId="77777777" w:rsidR="00B46191" w:rsidRPr="004C3FFB" w:rsidRDefault="00B46191" w:rsidP="00B46191">
      <w:pPr>
        <w:spacing w:before="240"/>
        <w:jc w:val="both"/>
        <w:rPr>
          <w:rFonts w:ascii="Arial" w:hAnsi="Arial" w:cs="Arial"/>
          <w:b/>
          <w:bCs/>
          <w:sz w:val="20"/>
          <w:szCs w:val="20"/>
          <w:lang w:val="en-GB"/>
        </w:rPr>
      </w:pPr>
      <w:r w:rsidRPr="004C3FFB">
        <w:rPr>
          <w:rFonts w:ascii="Arial" w:hAnsi="Arial" w:cs="Arial"/>
          <w:b/>
          <w:bCs/>
          <w:sz w:val="20"/>
          <w:szCs w:val="20"/>
          <w:lang w:val="en-GB"/>
        </w:rPr>
        <w:t>2.4 Crop Husbandry and Observations</w:t>
      </w:r>
    </w:p>
    <w:p w14:paraId="2DE85A7F" w14:textId="6167EE5A" w:rsidR="00C82A0C" w:rsidRDefault="00C82A0C" w:rsidP="00B46191">
      <w:pPr>
        <w:jc w:val="both"/>
        <w:rPr>
          <w:rFonts w:ascii="Arial" w:hAnsi="Arial" w:cs="Arial"/>
          <w:sz w:val="20"/>
          <w:szCs w:val="20"/>
        </w:rPr>
      </w:pPr>
      <w:r w:rsidRPr="00C82A0C">
        <w:rPr>
          <w:rFonts w:ascii="Arial" w:hAnsi="Arial" w:cs="Arial"/>
          <w:sz w:val="20"/>
          <w:szCs w:val="20"/>
        </w:rPr>
        <w:t xml:space="preserve">Seed was sown on 4 August 2025. Nitrogen and phosphorus (basal) and the treatment doses of </w:t>
      </w:r>
      <w:proofErr w:type="spellStart"/>
      <w:r w:rsidRPr="00C82A0C">
        <w:rPr>
          <w:rFonts w:ascii="Arial" w:hAnsi="Arial" w:cs="Arial"/>
          <w:sz w:val="20"/>
          <w:szCs w:val="20"/>
        </w:rPr>
        <w:t>sulphur</w:t>
      </w:r>
      <w:proofErr w:type="spellEnd"/>
      <w:r w:rsidRPr="00C82A0C">
        <w:rPr>
          <w:rFonts w:ascii="Arial" w:hAnsi="Arial" w:cs="Arial"/>
          <w:sz w:val="20"/>
          <w:szCs w:val="20"/>
        </w:rPr>
        <w:t xml:space="preserve"> and zinc were incorporated at sowing. The crop was harvested at physiological maturity on 4 November 2025. Seed and stover yield were recorded plot-wise from the net harvested area and expressed as kg ha</w:t>
      </w:r>
      <w:r w:rsidRPr="00C82A0C">
        <w:rPr>
          <w:rFonts w:ascii="Cambria Math" w:hAnsi="Cambria Math" w:cs="Cambria Math"/>
          <w:sz w:val="20"/>
          <w:szCs w:val="20"/>
        </w:rPr>
        <w:t>⁻</w:t>
      </w:r>
      <w:r w:rsidRPr="00C82A0C">
        <w:rPr>
          <w:rFonts w:ascii="Arial" w:hAnsi="Arial" w:cs="Arial"/>
          <w:sz w:val="20"/>
          <w:szCs w:val="20"/>
        </w:rPr>
        <w:t xml:space="preserve">¹. Plant </w:t>
      </w:r>
      <w:proofErr w:type="spellStart"/>
      <w:r w:rsidRPr="00C82A0C">
        <w:rPr>
          <w:rFonts w:ascii="Arial" w:hAnsi="Arial" w:cs="Arial"/>
          <w:sz w:val="20"/>
          <w:szCs w:val="20"/>
        </w:rPr>
        <w:t>sulphur</w:t>
      </w:r>
      <w:proofErr w:type="spellEnd"/>
      <w:r w:rsidRPr="00C82A0C">
        <w:rPr>
          <w:rFonts w:ascii="Arial" w:hAnsi="Arial" w:cs="Arial"/>
          <w:sz w:val="20"/>
          <w:szCs w:val="20"/>
        </w:rPr>
        <w:t xml:space="preserve"> and zinc content were determined from a di-acid (HNO</w:t>
      </w:r>
      <w:proofErr w:type="gramStart"/>
      <w:r w:rsidRPr="00C82A0C">
        <w:rPr>
          <w:rFonts w:ascii="Cambria Math" w:hAnsi="Cambria Math" w:cs="Cambria Math"/>
          <w:sz w:val="20"/>
          <w:szCs w:val="20"/>
        </w:rPr>
        <w:t>₃</w:t>
      </w:r>
      <w:r w:rsidRPr="00C82A0C">
        <w:rPr>
          <w:rFonts w:ascii="Arial" w:hAnsi="Arial" w:cs="Arial"/>
          <w:sz w:val="20"/>
          <w:szCs w:val="20"/>
        </w:rPr>
        <w:t>:</w:t>
      </w:r>
      <w:proofErr w:type="spellStart"/>
      <w:r w:rsidRPr="00C82A0C">
        <w:rPr>
          <w:rFonts w:ascii="Arial" w:hAnsi="Arial" w:cs="Arial"/>
          <w:sz w:val="20"/>
          <w:szCs w:val="20"/>
        </w:rPr>
        <w:t>HClO</w:t>
      </w:r>
      <w:proofErr w:type="spellEnd"/>
      <w:proofErr w:type="gramEnd"/>
      <w:r w:rsidRPr="00C82A0C">
        <w:rPr>
          <w:rFonts w:ascii="Cambria Math" w:hAnsi="Cambria Math" w:cs="Cambria Math"/>
          <w:sz w:val="20"/>
          <w:szCs w:val="20"/>
        </w:rPr>
        <w:t>₄</w:t>
      </w:r>
      <w:r w:rsidRPr="00C82A0C">
        <w:rPr>
          <w:rFonts w:ascii="Arial" w:hAnsi="Arial" w:cs="Arial"/>
          <w:sz w:val="20"/>
          <w:szCs w:val="20"/>
        </w:rPr>
        <w:t>, 5:2) digest of seed and stover by the turbidimetric method (</w:t>
      </w:r>
      <w:proofErr w:type="spellStart"/>
      <w:r w:rsidRPr="00C82A0C">
        <w:rPr>
          <w:rFonts w:ascii="Arial" w:hAnsi="Arial" w:cs="Arial"/>
          <w:sz w:val="20"/>
          <w:szCs w:val="20"/>
        </w:rPr>
        <w:t>Chesnin</w:t>
      </w:r>
      <w:proofErr w:type="spellEnd"/>
      <w:r w:rsidRPr="00C82A0C">
        <w:rPr>
          <w:rFonts w:ascii="Arial" w:hAnsi="Arial" w:cs="Arial"/>
          <w:sz w:val="20"/>
          <w:szCs w:val="20"/>
        </w:rPr>
        <w:t xml:space="preserve"> and Yien, 1950) and atomic absorption spectrophotometry (Lindsay and Norvell, 1978), respectively; their uptake was computed as content × seed/stover yield.</w:t>
      </w:r>
    </w:p>
    <w:p w14:paraId="57680ADA" w14:textId="50B58BAC" w:rsidR="00C82A0C" w:rsidRDefault="00C82A0C" w:rsidP="00B46191">
      <w:pPr>
        <w:jc w:val="both"/>
        <w:rPr>
          <w:rFonts w:ascii="Arial" w:hAnsi="Arial" w:cs="Arial"/>
          <w:sz w:val="20"/>
          <w:szCs w:val="20"/>
          <w:lang w:val="en-GB"/>
        </w:rPr>
      </w:pPr>
      <w:commentRangeStart w:id="12"/>
      <w:r w:rsidRPr="00C82A0C">
        <w:rPr>
          <w:rFonts w:ascii="Arial" w:hAnsi="Arial" w:cs="Arial"/>
          <w:sz w:val="20"/>
          <w:szCs w:val="20"/>
        </w:rPr>
        <w:t xml:space="preserve">Soil samples (0–15 cm) collected before sowing and after harvest were </w:t>
      </w:r>
      <w:proofErr w:type="spellStart"/>
      <w:r w:rsidRPr="00C82A0C">
        <w:rPr>
          <w:rFonts w:ascii="Arial" w:hAnsi="Arial" w:cs="Arial"/>
          <w:sz w:val="20"/>
          <w:szCs w:val="20"/>
        </w:rPr>
        <w:t>analysed</w:t>
      </w:r>
      <w:proofErr w:type="spellEnd"/>
      <w:r w:rsidRPr="00C82A0C">
        <w:rPr>
          <w:rFonts w:ascii="Arial" w:hAnsi="Arial" w:cs="Arial"/>
          <w:sz w:val="20"/>
          <w:szCs w:val="20"/>
        </w:rPr>
        <w:t xml:space="preserve"> for pH and EC, organic carbon (Walkley and Black method), inorganic carbon (rapid titration; Piper, 1966), available N (Subbiah and Asija, 1956), available P</w:t>
      </w:r>
      <w:r w:rsidRPr="00C82A0C">
        <w:rPr>
          <w:rFonts w:ascii="Cambria Math" w:hAnsi="Cambria Math" w:cs="Cambria Math"/>
          <w:sz w:val="20"/>
          <w:szCs w:val="20"/>
        </w:rPr>
        <w:t>₂</w:t>
      </w:r>
      <w:r w:rsidRPr="00C82A0C">
        <w:rPr>
          <w:rFonts w:ascii="Arial" w:hAnsi="Arial" w:cs="Arial"/>
          <w:sz w:val="20"/>
          <w:szCs w:val="20"/>
        </w:rPr>
        <w:t>O</w:t>
      </w:r>
      <w:r w:rsidRPr="00C82A0C">
        <w:rPr>
          <w:rFonts w:ascii="Cambria Math" w:hAnsi="Cambria Math" w:cs="Cambria Math"/>
          <w:sz w:val="20"/>
          <w:szCs w:val="20"/>
        </w:rPr>
        <w:t>₅</w:t>
      </w:r>
      <w:r w:rsidRPr="00C82A0C">
        <w:rPr>
          <w:rFonts w:ascii="Arial" w:hAnsi="Arial" w:cs="Arial"/>
          <w:sz w:val="20"/>
          <w:szCs w:val="20"/>
        </w:rPr>
        <w:t xml:space="preserve"> (Olsen et al., 1954), available K</w:t>
      </w:r>
      <w:r w:rsidRPr="00C82A0C">
        <w:rPr>
          <w:rFonts w:ascii="Cambria Math" w:hAnsi="Cambria Math" w:cs="Cambria Math"/>
          <w:sz w:val="20"/>
          <w:szCs w:val="20"/>
        </w:rPr>
        <w:t>₂</w:t>
      </w:r>
      <w:r w:rsidRPr="00C82A0C">
        <w:rPr>
          <w:rFonts w:ascii="Arial" w:hAnsi="Arial" w:cs="Arial"/>
          <w:sz w:val="20"/>
          <w:szCs w:val="20"/>
        </w:rPr>
        <w:t>O (flame photometry), available S (Chopra and Kanwar, 1976) and available Zn and Fe (DTPA–AAS; Lindsay and Norvell, 1978), following Jackson (1979) unless stated otherwise. Bulk and particle density were determined by the core and pycnometer methods (Blake and Hartge, 1986), and porosity calculated therefrom.</w:t>
      </w:r>
      <w:commentRangeEnd w:id="12"/>
      <w:r w:rsidR="005E01D2">
        <w:rPr>
          <w:rStyle w:val="CommentReference"/>
        </w:rPr>
        <w:commentReference w:id="12"/>
      </w:r>
    </w:p>
    <w:p w14:paraId="36B1DBA7" w14:textId="725E18E0" w:rsidR="00C82A0C" w:rsidRDefault="00C82A0C" w:rsidP="00B46191">
      <w:pPr>
        <w:jc w:val="both"/>
        <w:rPr>
          <w:rFonts w:ascii="Arial" w:hAnsi="Arial" w:cs="Arial"/>
          <w:sz w:val="20"/>
          <w:szCs w:val="20"/>
          <w:lang w:val="en-GB"/>
        </w:rPr>
      </w:pPr>
      <w:r w:rsidRPr="00C82A0C">
        <w:rPr>
          <w:rFonts w:ascii="Arial" w:hAnsi="Arial" w:cs="Arial"/>
          <w:sz w:val="20"/>
          <w:szCs w:val="20"/>
        </w:rPr>
        <w:t>Soil bacterial, fungal and actinomycete populations in the post-harvest samples were enumerated by the standard serial dilution-agar plate method. One gram of soil was serially diluted in sterile distilled water up to 10</w:t>
      </w:r>
      <w:r w:rsidRPr="00C82A0C">
        <w:rPr>
          <w:rFonts w:ascii="Cambria Math" w:hAnsi="Cambria Math" w:cs="Cambria Math"/>
          <w:sz w:val="20"/>
          <w:szCs w:val="20"/>
        </w:rPr>
        <w:t>⁻</w:t>
      </w:r>
      <w:r w:rsidRPr="00C82A0C">
        <w:rPr>
          <w:rFonts w:ascii="Arial" w:hAnsi="Arial" w:cs="Arial"/>
          <w:sz w:val="20"/>
          <w:szCs w:val="20"/>
        </w:rPr>
        <w:t xml:space="preserve">⁶, and appropriate dilutions were plated on </w:t>
      </w:r>
      <w:r>
        <w:rPr>
          <w:rFonts w:ascii="Arial" w:hAnsi="Arial" w:cs="Arial"/>
          <w:sz w:val="20"/>
          <w:szCs w:val="20"/>
        </w:rPr>
        <w:t>Agar media</w:t>
      </w:r>
      <w:r w:rsidRPr="00C82A0C">
        <w:rPr>
          <w:rFonts w:ascii="Arial" w:hAnsi="Arial" w:cs="Arial"/>
          <w:sz w:val="20"/>
          <w:szCs w:val="20"/>
        </w:rPr>
        <w:t xml:space="preserve">. Plates were incubated at </w:t>
      </w:r>
      <w:r>
        <w:rPr>
          <w:rFonts w:ascii="Arial" w:hAnsi="Arial" w:cs="Arial"/>
          <w:sz w:val="20"/>
          <w:szCs w:val="20"/>
        </w:rPr>
        <w:t>room temperature for 5 days</w:t>
      </w:r>
      <w:r w:rsidRPr="00C82A0C">
        <w:rPr>
          <w:rFonts w:ascii="Arial" w:hAnsi="Arial" w:cs="Arial"/>
          <w:sz w:val="20"/>
          <w:szCs w:val="20"/>
        </w:rPr>
        <w:t xml:space="preserve"> and colonies were counted and expressed as colony-forming units (</w:t>
      </w:r>
      <w:proofErr w:type="spellStart"/>
      <w:r w:rsidRPr="00C82A0C">
        <w:rPr>
          <w:rFonts w:ascii="Arial" w:hAnsi="Arial" w:cs="Arial"/>
          <w:sz w:val="20"/>
          <w:szCs w:val="20"/>
        </w:rPr>
        <w:t>cfu</w:t>
      </w:r>
      <w:proofErr w:type="spellEnd"/>
      <w:r w:rsidRPr="00C82A0C">
        <w:rPr>
          <w:rFonts w:ascii="Arial" w:hAnsi="Arial" w:cs="Arial"/>
          <w:sz w:val="20"/>
          <w:szCs w:val="20"/>
        </w:rPr>
        <w:t>) g</w:t>
      </w:r>
      <w:r w:rsidRPr="00C82A0C">
        <w:rPr>
          <w:rFonts w:ascii="Cambria Math" w:hAnsi="Cambria Math" w:cs="Cambria Math"/>
          <w:sz w:val="20"/>
          <w:szCs w:val="20"/>
        </w:rPr>
        <w:t>⁻</w:t>
      </w:r>
      <w:r w:rsidRPr="00C82A0C">
        <w:rPr>
          <w:rFonts w:ascii="Arial" w:hAnsi="Arial" w:cs="Arial"/>
          <w:sz w:val="20"/>
          <w:szCs w:val="20"/>
        </w:rPr>
        <w:t>¹ of dry soil.</w:t>
      </w:r>
    </w:p>
    <w:p w14:paraId="1CDC4BF3" w14:textId="77777777" w:rsidR="00095AAF" w:rsidRDefault="00095AAF" w:rsidP="00B46191">
      <w:pPr>
        <w:jc w:val="both"/>
        <w:rPr>
          <w:rFonts w:ascii="Arial" w:hAnsi="Arial" w:cs="Arial"/>
          <w:b/>
          <w:bCs/>
          <w:sz w:val="20"/>
          <w:szCs w:val="20"/>
          <w:lang w:val="en-GB"/>
        </w:rPr>
      </w:pPr>
    </w:p>
    <w:p w14:paraId="07772BDC" w14:textId="77777777" w:rsidR="00095AAF" w:rsidRDefault="00095AAF" w:rsidP="00B46191">
      <w:pPr>
        <w:jc w:val="both"/>
        <w:rPr>
          <w:rFonts w:ascii="Arial" w:hAnsi="Arial" w:cs="Arial"/>
          <w:b/>
          <w:bCs/>
          <w:sz w:val="20"/>
          <w:szCs w:val="20"/>
          <w:lang w:val="en-GB"/>
        </w:rPr>
      </w:pPr>
    </w:p>
    <w:p w14:paraId="31CF732D" w14:textId="4A5A5B8E"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2.5 Statistical Analysis</w:t>
      </w:r>
    </w:p>
    <w:p w14:paraId="0AA929F5" w14:textId="01DA3F2A" w:rsidR="00C82A0C"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The data were subjected to analysis of variance (ANOVA) for a Factorial Randomized Block Design (FRBD) with four replications, and treatment means were compared by critical difference (CD) at 5% probability.</w:t>
      </w:r>
    </w:p>
    <w:p w14:paraId="122239E2" w14:textId="77777777" w:rsidR="00B46191" w:rsidRDefault="00B46191" w:rsidP="00B46191">
      <w:pPr>
        <w:jc w:val="both"/>
        <w:rPr>
          <w:rFonts w:ascii="Arial" w:hAnsi="Arial" w:cs="Arial"/>
          <w:b/>
          <w:bCs/>
          <w:sz w:val="20"/>
          <w:szCs w:val="20"/>
          <w:lang w:val="en-GB"/>
        </w:rPr>
      </w:pPr>
      <w:r w:rsidRPr="004C3FFB">
        <w:rPr>
          <w:rFonts w:ascii="Arial" w:hAnsi="Arial" w:cs="Arial"/>
          <w:b/>
          <w:bCs/>
          <w:sz w:val="20"/>
          <w:szCs w:val="20"/>
          <w:lang w:val="en-GB"/>
        </w:rPr>
        <w:t>3. RESULTS AND DISCUSSION</w:t>
      </w:r>
    </w:p>
    <w:p w14:paraId="0407177A"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3.1 Seed and Stover Yield</w:t>
      </w:r>
    </w:p>
    <w:p w14:paraId="29B16132" w14:textId="1E22F761" w:rsidR="00C82A0C" w:rsidRPr="00C82A0C" w:rsidRDefault="00C82A0C" w:rsidP="00B46191">
      <w:pPr>
        <w:jc w:val="both"/>
        <w:rPr>
          <w:rFonts w:ascii="Arial" w:hAnsi="Arial" w:cs="Arial"/>
          <w:sz w:val="20"/>
          <w:szCs w:val="20"/>
          <w:lang w:val="en-GB"/>
        </w:rPr>
      </w:pPr>
      <w:r w:rsidRPr="00C82A0C">
        <w:rPr>
          <w:rFonts w:ascii="Arial" w:hAnsi="Arial" w:cs="Arial"/>
          <w:sz w:val="20"/>
          <w:szCs w:val="20"/>
          <w:lang w:val="en-GB"/>
        </w:rPr>
        <w:t>Sesame seed and stover yield responded significantly and independently to both nutrients (</w:t>
      </w:r>
      <w:r w:rsidRPr="00C82A0C">
        <w:rPr>
          <w:rFonts w:ascii="Arial" w:hAnsi="Arial" w:cs="Arial"/>
          <w:b/>
          <w:bCs/>
          <w:sz w:val="20"/>
          <w:szCs w:val="20"/>
          <w:lang w:val="en-GB"/>
        </w:rPr>
        <w:t>Table 3</w:t>
      </w:r>
      <w:r w:rsidRPr="00C82A0C">
        <w:rPr>
          <w:rFonts w:ascii="Arial" w:hAnsi="Arial" w:cs="Arial"/>
          <w:sz w:val="20"/>
          <w:szCs w:val="20"/>
          <w:lang w:val="en-GB"/>
        </w:rPr>
        <w:t>). Seed yield increased from 688.13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(S</w:t>
      </w:r>
      <w:r w:rsidRPr="00C82A0C">
        <w:rPr>
          <w:rFonts w:ascii="Cambria Math" w:hAnsi="Cambria Math" w:cs="Cambria Math"/>
          <w:sz w:val="20"/>
          <w:szCs w:val="20"/>
          <w:lang w:val="en-GB"/>
        </w:rPr>
        <w:t>₁</w:t>
      </w:r>
      <w:r w:rsidRPr="00C82A0C">
        <w:rPr>
          <w:rFonts w:ascii="Arial" w:hAnsi="Arial" w:cs="Arial"/>
          <w:sz w:val="20"/>
          <w:szCs w:val="20"/>
          <w:lang w:val="en-GB"/>
        </w:rPr>
        <w:t>) to 828.53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(S</w:t>
      </w:r>
      <w:r w:rsidRPr="00C82A0C">
        <w:rPr>
          <w:rFonts w:ascii="Cambria Math" w:hAnsi="Cambria Math" w:cs="Cambria Math"/>
          <w:sz w:val="20"/>
          <w:szCs w:val="20"/>
          <w:lang w:val="en-GB"/>
        </w:rPr>
        <w:t>₃</w:t>
      </w:r>
      <w:r w:rsidRPr="00C82A0C">
        <w:rPr>
          <w:rFonts w:ascii="Arial" w:hAnsi="Arial" w:cs="Arial"/>
          <w:sz w:val="20"/>
          <w:szCs w:val="20"/>
          <w:lang w:val="en-GB"/>
        </w:rPr>
        <w:t>) with sulphur, and from 725.38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(Zn</w:t>
      </w:r>
      <w:r w:rsidRPr="00C82A0C">
        <w:rPr>
          <w:rFonts w:ascii="Cambria Math" w:hAnsi="Cambria Math" w:cs="Cambria Math"/>
          <w:sz w:val="20"/>
          <w:szCs w:val="20"/>
          <w:lang w:val="en-GB"/>
        </w:rPr>
        <w:t>₁</w:t>
      </w:r>
      <w:r w:rsidRPr="00C82A0C">
        <w:rPr>
          <w:rFonts w:ascii="Arial" w:hAnsi="Arial" w:cs="Arial"/>
          <w:sz w:val="20"/>
          <w:szCs w:val="20"/>
          <w:lang w:val="en-GB"/>
        </w:rPr>
        <w:t>) to 798.79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(Zn</w:t>
      </w:r>
      <w:r w:rsidRPr="00C82A0C">
        <w:rPr>
          <w:rFonts w:ascii="Cambria Math" w:hAnsi="Cambria Math" w:cs="Cambria Math"/>
          <w:sz w:val="20"/>
          <w:szCs w:val="20"/>
          <w:lang w:val="en-GB"/>
        </w:rPr>
        <w:t>₃</w:t>
      </w:r>
      <w:r w:rsidRPr="00C82A0C">
        <w:rPr>
          <w:rFonts w:ascii="Arial" w:hAnsi="Arial" w:cs="Arial"/>
          <w:sz w:val="20"/>
          <w:szCs w:val="20"/>
          <w:lang w:val="en-GB"/>
        </w:rPr>
        <w:t>) with zinc, consistent with sulphur's role in chlorophyll and methionine/cysteine synthesis and in floral-primordia formation, and zinc's role in IAA biosynthesis, electron transport and photosynthate partitioning toward developing capsules (</w:t>
      </w:r>
      <w:proofErr w:type="spellStart"/>
      <w:r w:rsidRPr="00C82A0C">
        <w:rPr>
          <w:rFonts w:ascii="Arial" w:hAnsi="Arial" w:cs="Arial"/>
          <w:sz w:val="20"/>
          <w:szCs w:val="20"/>
          <w:lang w:val="en-GB"/>
        </w:rPr>
        <w:t>Thentu</w:t>
      </w:r>
      <w:proofErr w:type="spellEnd"/>
      <w:r w:rsidRPr="00C82A0C">
        <w:rPr>
          <w:rFonts w:ascii="Arial" w:hAnsi="Arial" w:cs="Arial"/>
          <w:sz w:val="20"/>
          <w:szCs w:val="20"/>
          <w:lang w:val="en-GB"/>
        </w:rPr>
        <w:t xml:space="preserve"> et al., 2014; </w:t>
      </w:r>
      <w:r w:rsidRPr="00C82A0C">
        <w:rPr>
          <w:rFonts w:ascii="Arial" w:hAnsi="Arial" w:cs="Arial"/>
          <w:sz w:val="20"/>
          <w:szCs w:val="20"/>
          <w:lang w:val="en-GB"/>
        </w:rPr>
        <w:lastRenderedPageBreak/>
        <w:t>Murmu et al., 2015; Khan et al., 2021; Jahan et al., 2019; Yadav et al., 2020). Stover yield followed the same trend, rising from 1444.20 to 1744.36 kg ha</w:t>
      </w:r>
      <w:r w:rsidRPr="00C82A0C">
        <w:rPr>
          <w:rFonts w:ascii="Cambria Math" w:hAnsi="Cambria Math" w:cs="Cambria Math"/>
          <w:sz w:val="20"/>
          <w:szCs w:val="20"/>
          <w:lang w:val="en-GB"/>
        </w:rPr>
        <w:t>⁻</w:t>
      </w:r>
      <w:r w:rsidRPr="00C82A0C">
        <w:rPr>
          <w:rFonts w:ascii="Arial" w:hAnsi="Arial" w:cs="Arial"/>
          <w:sz w:val="20"/>
          <w:szCs w:val="20"/>
          <w:lang w:val="en-GB"/>
        </w:rPr>
        <w:t>¹ with sulphur and from 1552.99 to 1659.58 kg ha</w:t>
      </w:r>
      <w:r w:rsidRPr="00C82A0C">
        <w:rPr>
          <w:rFonts w:ascii="Cambria Math" w:hAnsi="Cambria Math" w:cs="Cambria Math"/>
          <w:sz w:val="20"/>
          <w:szCs w:val="20"/>
          <w:lang w:val="en-GB"/>
        </w:rPr>
        <w:t>⁻</w:t>
      </w:r>
      <w:r w:rsidRPr="00C82A0C">
        <w:rPr>
          <w:rFonts w:ascii="Arial" w:hAnsi="Arial" w:cs="Arial"/>
          <w:sz w:val="20"/>
          <w:szCs w:val="20"/>
          <w:lang w:val="en-GB"/>
        </w:rPr>
        <w:t>¹ with zinc, reflecting greater root proliferation, cell elongation and photosynthetic leaf area under improved nutrition (Mamatha et al., 2017; Paul et al., 2019; Jahan et al., 2019; Pravalika and Dawson, 2023). The S × Zn interaction was non-significant for both seed and stover yield, indicating the two nutrients acted independently on biomass production.</w:t>
      </w:r>
    </w:p>
    <w:p w14:paraId="41F7CDB4" w14:textId="3C7D007E" w:rsidR="00C82A0C" w:rsidRDefault="00C82A0C" w:rsidP="00B46191">
      <w:pPr>
        <w:jc w:val="both"/>
        <w:rPr>
          <w:rFonts w:ascii="Arial" w:hAnsi="Arial" w:cs="Arial"/>
          <w:b/>
          <w:bCs/>
          <w:sz w:val="20"/>
          <w:szCs w:val="20"/>
        </w:rPr>
      </w:pPr>
      <w:r w:rsidRPr="00C82A0C">
        <w:rPr>
          <w:rFonts w:ascii="Arial" w:hAnsi="Arial" w:cs="Arial"/>
          <w:b/>
          <w:bCs/>
          <w:sz w:val="20"/>
          <w:szCs w:val="20"/>
        </w:rPr>
        <w:t>Table 3. Seed and Stover Yield of Sesame as Influenced by Sulphur and Zinc Levels</w:t>
      </w:r>
    </w:p>
    <w:tbl>
      <w:tblPr>
        <w:tblStyle w:val="TableGrid"/>
        <w:tblW w:w="5000" w:type="pct"/>
        <w:tblLook w:val="04A0" w:firstRow="1" w:lastRow="0" w:firstColumn="1" w:lastColumn="0" w:noHBand="0" w:noVBand="1"/>
      </w:tblPr>
      <w:tblGrid>
        <w:gridCol w:w="2779"/>
        <w:gridCol w:w="3004"/>
        <w:gridCol w:w="3233"/>
      </w:tblGrid>
      <w:tr w:rsidR="00C82A0C" w:rsidRPr="00C82A0C" w14:paraId="42D0D95C" w14:textId="77777777" w:rsidTr="00C82A0C">
        <w:tc>
          <w:tcPr>
            <w:tcW w:w="1541" w:type="pct"/>
            <w:hideMark/>
          </w:tcPr>
          <w:p w14:paraId="21287BCB" w14:textId="77777777" w:rsidR="00C82A0C" w:rsidRPr="00C82A0C" w:rsidRDefault="00C82A0C" w:rsidP="00C82A0C">
            <w:pPr>
              <w:jc w:val="both"/>
              <w:rPr>
                <w:rFonts w:ascii="Arial" w:hAnsi="Arial" w:cs="Arial"/>
                <w:b/>
                <w:bCs/>
                <w:sz w:val="20"/>
                <w:szCs w:val="20"/>
                <w:lang w:val="en-GB"/>
              </w:rPr>
            </w:pPr>
            <w:r w:rsidRPr="00C82A0C">
              <w:rPr>
                <w:rFonts w:ascii="Arial" w:hAnsi="Arial" w:cs="Arial"/>
                <w:b/>
                <w:bCs/>
                <w:sz w:val="20"/>
                <w:szCs w:val="20"/>
                <w:lang w:val="en-GB"/>
              </w:rPr>
              <w:t>Treatments</w:t>
            </w:r>
          </w:p>
        </w:tc>
        <w:tc>
          <w:tcPr>
            <w:tcW w:w="1666" w:type="pct"/>
            <w:vAlign w:val="center"/>
            <w:hideMark/>
          </w:tcPr>
          <w:p w14:paraId="2921E3A7" w14:textId="4EB4637F"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Seed Yield (kg ha</w:t>
            </w:r>
            <w:r w:rsidR="000E099E" w:rsidRPr="000E099E">
              <w:rPr>
                <w:rFonts w:ascii="Cambria Math" w:hAnsi="Cambria Math" w:cs="Cambria Math"/>
                <w:b/>
                <w:bCs/>
                <w:sz w:val="20"/>
                <w:szCs w:val="20"/>
                <w:vertAlign w:val="superscript"/>
                <w:lang w:val="en-GB"/>
              </w:rPr>
              <w:t>-1</w:t>
            </w:r>
            <w:r w:rsidRPr="00C82A0C">
              <w:rPr>
                <w:rFonts w:ascii="Arial" w:hAnsi="Arial" w:cs="Arial"/>
                <w:b/>
                <w:bCs/>
                <w:sz w:val="20"/>
                <w:szCs w:val="20"/>
                <w:lang w:val="en-GB"/>
              </w:rPr>
              <w:t>)</w:t>
            </w:r>
          </w:p>
        </w:tc>
        <w:tc>
          <w:tcPr>
            <w:tcW w:w="1793" w:type="pct"/>
            <w:vAlign w:val="center"/>
            <w:hideMark/>
          </w:tcPr>
          <w:p w14:paraId="14274D65" w14:textId="72BA6B6E"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Stover Yield (kg ha</w:t>
            </w:r>
            <w:r w:rsidR="000E099E" w:rsidRPr="000E099E">
              <w:rPr>
                <w:rFonts w:ascii="Cambria Math" w:hAnsi="Cambria Math" w:cs="Cambria Math"/>
                <w:b/>
                <w:bCs/>
                <w:sz w:val="20"/>
                <w:szCs w:val="20"/>
                <w:vertAlign w:val="superscript"/>
                <w:lang w:val="en-GB"/>
              </w:rPr>
              <w:t>-1</w:t>
            </w:r>
            <w:r w:rsidRPr="00C82A0C">
              <w:rPr>
                <w:rFonts w:ascii="Arial" w:hAnsi="Arial" w:cs="Arial"/>
                <w:b/>
                <w:bCs/>
                <w:sz w:val="20"/>
                <w:szCs w:val="20"/>
                <w:lang w:val="en-GB"/>
              </w:rPr>
              <w:t>)</w:t>
            </w:r>
          </w:p>
        </w:tc>
      </w:tr>
      <w:tr w:rsidR="00C82A0C" w:rsidRPr="00C82A0C" w14:paraId="387A27FD" w14:textId="77777777" w:rsidTr="00C82A0C">
        <w:tc>
          <w:tcPr>
            <w:tcW w:w="1541" w:type="pct"/>
            <w:hideMark/>
          </w:tcPr>
          <w:p w14:paraId="612F64B4"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(A) Sulphur levels</w:t>
            </w:r>
          </w:p>
        </w:tc>
        <w:tc>
          <w:tcPr>
            <w:tcW w:w="1666" w:type="pct"/>
            <w:vAlign w:val="center"/>
            <w:hideMark/>
          </w:tcPr>
          <w:p w14:paraId="723735C3" w14:textId="77777777" w:rsidR="00C82A0C" w:rsidRPr="00C82A0C" w:rsidRDefault="00C82A0C" w:rsidP="00C82A0C">
            <w:pPr>
              <w:jc w:val="center"/>
              <w:rPr>
                <w:rFonts w:ascii="Arial" w:hAnsi="Arial" w:cs="Arial"/>
                <w:sz w:val="20"/>
                <w:szCs w:val="20"/>
                <w:lang w:val="en-GB"/>
              </w:rPr>
            </w:pPr>
          </w:p>
        </w:tc>
        <w:tc>
          <w:tcPr>
            <w:tcW w:w="1793" w:type="pct"/>
            <w:vAlign w:val="center"/>
            <w:hideMark/>
          </w:tcPr>
          <w:p w14:paraId="4B167B04" w14:textId="77777777" w:rsidR="00C82A0C" w:rsidRPr="00C82A0C" w:rsidRDefault="00C82A0C" w:rsidP="00C82A0C">
            <w:pPr>
              <w:jc w:val="center"/>
              <w:rPr>
                <w:rFonts w:ascii="Arial" w:hAnsi="Arial" w:cs="Arial"/>
                <w:sz w:val="20"/>
                <w:szCs w:val="20"/>
                <w:lang w:val="en-GB"/>
              </w:rPr>
            </w:pPr>
          </w:p>
        </w:tc>
      </w:tr>
      <w:tr w:rsidR="00C82A0C" w:rsidRPr="00C82A0C" w14:paraId="4E766AF9" w14:textId="77777777" w:rsidTr="00C82A0C">
        <w:tc>
          <w:tcPr>
            <w:tcW w:w="1541" w:type="pct"/>
            <w:hideMark/>
          </w:tcPr>
          <w:p w14:paraId="415CDF17" w14:textId="0A701A4F"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₁</w:t>
            </w:r>
            <w:r w:rsidRPr="00C82A0C">
              <w:rPr>
                <w:rFonts w:ascii="Arial" w:hAnsi="Arial" w:cs="Arial"/>
                <w:sz w:val="20"/>
                <w:szCs w:val="20"/>
                <w:lang w:val="en-GB"/>
              </w:rPr>
              <w:t xml:space="preserve"> (0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22E74874"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688.13</w:t>
            </w:r>
          </w:p>
        </w:tc>
        <w:tc>
          <w:tcPr>
            <w:tcW w:w="1793" w:type="pct"/>
            <w:vAlign w:val="center"/>
            <w:hideMark/>
          </w:tcPr>
          <w:p w14:paraId="1DD34E7A"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1444.20</w:t>
            </w:r>
          </w:p>
        </w:tc>
      </w:tr>
      <w:tr w:rsidR="00C82A0C" w:rsidRPr="00C82A0C" w14:paraId="3C70D63A" w14:textId="77777777" w:rsidTr="00C82A0C">
        <w:tc>
          <w:tcPr>
            <w:tcW w:w="1541" w:type="pct"/>
            <w:hideMark/>
          </w:tcPr>
          <w:p w14:paraId="2FF2A554" w14:textId="1301C73E"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₂</w:t>
            </w:r>
            <w:r w:rsidRPr="00C82A0C">
              <w:rPr>
                <w:rFonts w:ascii="Arial" w:hAnsi="Arial" w:cs="Arial"/>
                <w:sz w:val="20"/>
                <w:szCs w:val="20"/>
                <w:lang w:val="en-GB"/>
              </w:rPr>
              <w:t xml:space="preserve"> (20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0ABD5D50"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755.90</w:t>
            </w:r>
          </w:p>
        </w:tc>
        <w:tc>
          <w:tcPr>
            <w:tcW w:w="1793" w:type="pct"/>
            <w:vAlign w:val="center"/>
            <w:hideMark/>
          </w:tcPr>
          <w:p w14:paraId="1DB178B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1598.80</w:t>
            </w:r>
          </w:p>
        </w:tc>
      </w:tr>
      <w:tr w:rsidR="00C82A0C" w:rsidRPr="00C82A0C" w14:paraId="3951F1CB" w14:textId="77777777" w:rsidTr="00C82A0C">
        <w:tc>
          <w:tcPr>
            <w:tcW w:w="1541" w:type="pct"/>
            <w:hideMark/>
          </w:tcPr>
          <w:p w14:paraId="4FD74F6D" w14:textId="4915918B"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₃</w:t>
            </w:r>
            <w:r w:rsidRPr="00C82A0C">
              <w:rPr>
                <w:rFonts w:ascii="Arial" w:hAnsi="Arial" w:cs="Arial"/>
                <w:sz w:val="20"/>
                <w:szCs w:val="20"/>
                <w:lang w:val="en-GB"/>
              </w:rPr>
              <w:t xml:space="preserve"> (40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120EF911"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828.53</w:t>
            </w:r>
          </w:p>
        </w:tc>
        <w:tc>
          <w:tcPr>
            <w:tcW w:w="1793" w:type="pct"/>
            <w:vAlign w:val="center"/>
            <w:hideMark/>
          </w:tcPr>
          <w:p w14:paraId="6375CD4D"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1744.36</w:t>
            </w:r>
          </w:p>
        </w:tc>
      </w:tr>
      <w:tr w:rsidR="00C82A0C" w:rsidRPr="00C82A0C" w14:paraId="1DECD3D5" w14:textId="77777777" w:rsidTr="00C82A0C">
        <w:tc>
          <w:tcPr>
            <w:tcW w:w="1541" w:type="pct"/>
            <w:hideMark/>
          </w:tcPr>
          <w:p w14:paraId="17B5C507"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33544D93"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16.39</w:t>
            </w:r>
          </w:p>
        </w:tc>
        <w:tc>
          <w:tcPr>
            <w:tcW w:w="1793" w:type="pct"/>
            <w:vAlign w:val="center"/>
            <w:hideMark/>
          </w:tcPr>
          <w:p w14:paraId="4430C47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17.44</w:t>
            </w:r>
          </w:p>
        </w:tc>
      </w:tr>
      <w:tr w:rsidR="00C82A0C" w:rsidRPr="00C82A0C" w14:paraId="26C17AA1" w14:textId="77777777" w:rsidTr="00C82A0C">
        <w:tc>
          <w:tcPr>
            <w:tcW w:w="1541" w:type="pct"/>
            <w:hideMark/>
          </w:tcPr>
          <w:p w14:paraId="21874F5F"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CD at 5%</w:t>
            </w:r>
          </w:p>
        </w:tc>
        <w:tc>
          <w:tcPr>
            <w:tcW w:w="1666" w:type="pct"/>
            <w:vAlign w:val="center"/>
            <w:hideMark/>
          </w:tcPr>
          <w:p w14:paraId="5EFCC3CE"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47.83</w:t>
            </w:r>
          </w:p>
        </w:tc>
        <w:tc>
          <w:tcPr>
            <w:tcW w:w="1793" w:type="pct"/>
            <w:vAlign w:val="center"/>
            <w:hideMark/>
          </w:tcPr>
          <w:p w14:paraId="21F09CF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50.90</w:t>
            </w:r>
          </w:p>
        </w:tc>
      </w:tr>
      <w:tr w:rsidR="00C82A0C" w:rsidRPr="00C82A0C" w14:paraId="15DE469C" w14:textId="77777777" w:rsidTr="00C82A0C">
        <w:tc>
          <w:tcPr>
            <w:tcW w:w="1541" w:type="pct"/>
            <w:hideMark/>
          </w:tcPr>
          <w:p w14:paraId="678A4B5A"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(B) Zinc levels</w:t>
            </w:r>
          </w:p>
        </w:tc>
        <w:tc>
          <w:tcPr>
            <w:tcW w:w="1666" w:type="pct"/>
            <w:vAlign w:val="center"/>
            <w:hideMark/>
          </w:tcPr>
          <w:p w14:paraId="3F79A5DE" w14:textId="77777777" w:rsidR="00C82A0C" w:rsidRPr="00C82A0C" w:rsidRDefault="00C82A0C" w:rsidP="00C82A0C">
            <w:pPr>
              <w:jc w:val="center"/>
              <w:rPr>
                <w:rFonts w:ascii="Arial" w:hAnsi="Arial" w:cs="Arial"/>
                <w:sz w:val="20"/>
                <w:szCs w:val="20"/>
                <w:lang w:val="en-GB"/>
              </w:rPr>
            </w:pPr>
          </w:p>
        </w:tc>
        <w:tc>
          <w:tcPr>
            <w:tcW w:w="1793" w:type="pct"/>
            <w:vAlign w:val="center"/>
            <w:hideMark/>
          </w:tcPr>
          <w:p w14:paraId="38DD1E40" w14:textId="77777777" w:rsidR="00C82A0C" w:rsidRPr="00C82A0C" w:rsidRDefault="00C82A0C" w:rsidP="00C82A0C">
            <w:pPr>
              <w:jc w:val="center"/>
              <w:rPr>
                <w:rFonts w:ascii="Arial" w:hAnsi="Arial" w:cs="Arial"/>
                <w:sz w:val="20"/>
                <w:szCs w:val="20"/>
                <w:lang w:val="en-GB"/>
              </w:rPr>
            </w:pPr>
          </w:p>
        </w:tc>
      </w:tr>
      <w:tr w:rsidR="00C82A0C" w:rsidRPr="00C82A0C" w14:paraId="540A944C" w14:textId="77777777" w:rsidTr="00C82A0C">
        <w:tc>
          <w:tcPr>
            <w:tcW w:w="1541" w:type="pct"/>
            <w:hideMark/>
          </w:tcPr>
          <w:p w14:paraId="0B477B7C" w14:textId="49B3EEE8"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₁</w:t>
            </w:r>
            <w:r w:rsidRPr="00C82A0C">
              <w:rPr>
                <w:rFonts w:ascii="Arial" w:hAnsi="Arial" w:cs="Arial"/>
                <w:sz w:val="20"/>
                <w:szCs w:val="20"/>
                <w:lang w:val="en-GB"/>
              </w:rPr>
              <w:t xml:space="preserve"> (0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5058E8FC"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725.38</w:t>
            </w:r>
          </w:p>
        </w:tc>
        <w:tc>
          <w:tcPr>
            <w:tcW w:w="1793" w:type="pct"/>
            <w:vAlign w:val="center"/>
            <w:hideMark/>
          </w:tcPr>
          <w:p w14:paraId="7DEEFA70"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1552.99</w:t>
            </w:r>
          </w:p>
        </w:tc>
      </w:tr>
      <w:tr w:rsidR="00C82A0C" w:rsidRPr="00C82A0C" w14:paraId="6BD0C691" w14:textId="77777777" w:rsidTr="00C82A0C">
        <w:tc>
          <w:tcPr>
            <w:tcW w:w="1541" w:type="pct"/>
            <w:hideMark/>
          </w:tcPr>
          <w:p w14:paraId="34E7F9F5" w14:textId="2AB3EDF1"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₂</w:t>
            </w:r>
            <w:r w:rsidRPr="00C82A0C">
              <w:rPr>
                <w:rFonts w:ascii="Arial" w:hAnsi="Arial" w:cs="Arial"/>
                <w:sz w:val="20"/>
                <w:szCs w:val="20"/>
                <w:lang w:val="en-GB"/>
              </w:rPr>
              <w:t xml:space="preserve"> (2.5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426CF762"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748.39</w:t>
            </w:r>
          </w:p>
        </w:tc>
        <w:tc>
          <w:tcPr>
            <w:tcW w:w="1793" w:type="pct"/>
            <w:vAlign w:val="center"/>
            <w:hideMark/>
          </w:tcPr>
          <w:p w14:paraId="695B3A19"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1574.78</w:t>
            </w:r>
          </w:p>
        </w:tc>
      </w:tr>
      <w:tr w:rsidR="00C82A0C" w:rsidRPr="00C82A0C" w14:paraId="0A11A66C" w14:textId="77777777" w:rsidTr="00C82A0C">
        <w:tc>
          <w:tcPr>
            <w:tcW w:w="1541" w:type="pct"/>
            <w:hideMark/>
          </w:tcPr>
          <w:p w14:paraId="435EA1AF" w14:textId="63275443"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₃</w:t>
            </w:r>
            <w:r w:rsidRPr="00C82A0C">
              <w:rPr>
                <w:rFonts w:ascii="Arial" w:hAnsi="Arial" w:cs="Arial"/>
                <w:sz w:val="20"/>
                <w:szCs w:val="20"/>
                <w:lang w:val="en-GB"/>
              </w:rPr>
              <w:t xml:space="preserve"> (5.0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206D9DE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798.79</w:t>
            </w:r>
          </w:p>
        </w:tc>
        <w:tc>
          <w:tcPr>
            <w:tcW w:w="1793" w:type="pct"/>
            <w:vAlign w:val="center"/>
            <w:hideMark/>
          </w:tcPr>
          <w:p w14:paraId="284F6CE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1659.58</w:t>
            </w:r>
          </w:p>
        </w:tc>
      </w:tr>
      <w:tr w:rsidR="00C82A0C" w:rsidRPr="00C82A0C" w14:paraId="65855E66" w14:textId="77777777" w:rsidTr="00C82A0C">
        <w:tc>
          <w:tcPr>
            <w:tcW w:w="1541" w:type="pct"/>
            <w:hideMark/>
          </w:tcPr>
          <w:p w14:paraId="622A422B"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0A3949A9"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16.39</w:t>
            </w:r>
          </w:p>
        </w:tc>
        <w:tc>
          <w:tcPr>
            <w:tcW w:w="1793" w:type="pct"/>
            <w:vAlign w:val="center"/>
            <w:hideMark/>
          </w:tcPr>
          <w:p w14:paraId="52CB8A4C"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17.44</w:t>
            </w:r>
          </w:p>
        </w:tc>
      </w:tr>
      <w:tr w:rsidR="00C82A0C" w:rsidRPr="00C82A0C" w14:paraId="3EB2B992" w14:textId="77777777" w:rsidTr="00C82A0C">
        <w:tc>
          <w:tcPr>
            <w:tcW w:w="1541" w:type="pct"/>
            <w:hideMark/>
          </w:tcPr>
          <w:p w14:paraId="48835242"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CD at 5%</w:t>
            </w:r>
          </w:p>
        </w:tc>
        <w:tc>
          <w:tcPr>
            <w:tcW w:w="1666" w:type="pct"/>
            <w:vAlign w:val="center"/>
            <w:hideMark/>
          </w:tcPr>
          <w:p w14:paraId="70F79AB2"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47.83</w:t>
            </w:r>
          </w:p>
        </w:tc>
        <w:tc>
          <w:tcPr>
            <w:tcW w:w="1793" w:type="pct"/>
            <w:vAlign w:val="center"/>
            <w:hideMark/>
          </w:tcPr>
          <w:p w14:paraId="65F68E01"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50.90</w:t>
            </w:r>
          </w:p>
        </w:tc>
      </w:tr>
      <w:tr w:rsidR="00C82A0C" w:rsidRPr="00C82A0C" w14:paraId="239CF152" w14:textId="77777777" w:rsidTr="00C82A0C">
        <w:tc>
          <w:tcPr>
            <w:tcW w:w="1541" w:type="pct"/>
            <w:hideMark/>
          </w:tcPr>
          <w:p w14:paraId="6985DD85" w14:textId="77777777" w:rsidR="00C82A0C" w:rsidRPr="00C82A0C" w:rsidRDefault="00C82A0C" w:rsidP="00C82A0C">
            <w:pPr>
              <w:jc w:val="both"/>
              <w:rPr>
                <w:rFonts w:ascii="Arial" w:hAnsi="Arial" w:cs="Arial"/>
                <w:b/>
                <w:bCs/>
                <w:sz w:val="20"/>
                <w:szCs w:val="20"/>
                <w:lang w:val="en-GB"/>
              </w:rPr>
            </w:pPr>
            <w:r w:rsidRPr="00C82A0C">
              <w:rPr>
                <w:rFonts w:ascii="Arial" w:hAnsi="Arial" w:cs="Arial"/>
                <w:b/>
                <w:bCs/>
                <w:sz w:val="20"/>
                <w:szCs w:val="20"/>
                <w:lang w:val="en-GB"/>
              </w:rPr>
              <w:t>Interaction (S × Zn)</w:t>
            </w:r>
          </w:p>
        </w:tc>
        <w:tc>
          <w:tcPr>
            <w:tcW w:w="1666" w:type="pct"/>
            <w:vAlign w:val="center"/>
            <w:hideMark/>
          </w:tcPr>
          <w:p w14:paraId="4F901C18"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NS</w:t>
            </w:r>
          </w:p>
        </w:tc>
        <w:tc>
          <w:tcPr>
            <w:tcW w:w="1793" w:type="pct"/>
            <w:vAlign w:val="center"/>
            <w:hideMark/>
          </w:tcPr>
          <w:p w14:paraId="6692AA52"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NS</w:t>
            </w:r>
          </w:p>
        </w:tc>
      </w:tr>
      <w:tr w:rsidR="00C82A0C" w:rsidRPr="00C82A0C" w14:paraId="7A72CBB3" w14:textId="77777777" w:rsidTr="00C82A0C">
        <w:tc>
          <w:tcPr>
            <w:tcW w:w="1541" w:type="pct"/>
            <w:hideMark/>
          </w:tcPr>
          <w:p w14:paraId="56E28EFC"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4C943C3A"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28.38</w:t>
            </w:r>
          </w:p>
        </w:tc>
        <w:tc>
          <w:tcPr>
            <w:tcW w:w="1793" w:type="pct"/>
            <w:vAlign w:val="center"/>
            <w:hideMark/>
          </w:tcPr>
          <w:p w14:paraId="6DD75F6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30.21</w:t>
            </w:r>
          </w:p>
        </w:tc>
      </w:tr>
      <w:tr w:rsidR="00C82A0C" w:rsidRPr="00C82A0C" w14:paraId="539EC93B" w14:textId="77777777" w:rsidTr="00C82A0C">
        <w:tc>
          <w:tcPr>
            <w:tcW w:w="1541" w:type="pct"/>
            <w:hideMark/>
          </w:tcPr>
          <w:p w14:paraId="20FD8C8A"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CV (%)</w:t>
            </w:r>
          </w:p>
        </w:tc>
        <w:tc>
          <w:tcPr>
            <w:tcW w:w="1666" w:type="pct"/>
            <w:vAlign w:val="center"/>
            <w:hideMark/>
          </w:tcPr>
          <w:p w14:paraId="3A053D03"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7.49</w:t>
            </w:r>
          </w:p>
        </w:tc>
        <w:tc>
          <w:tcPr>
            <w:tcW w:w="1793" w:type="pct"/>
            <w:vAlign w:val="center"/>
            <w:hideMark/>
          </w:tcPr>
          <w:p w14:paraId="76025C6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3.79</w:t>
            </w:r>
          </w:p>
        </w:tc>
      </w:tr>
    </w:tbl>
    <w:p w14:paraId="46705E44" w14:textId="405EDEE7" w:rsidR="00C82A0C" w:rsidRDefault="00C82A0C" w:rsidP="00C82A0C">
      <w:pPr>
        <w:spacing w:before="240"/>
        <w:jc w:val="both"/>
        <w:rPr>
          <w:rFonts w:ascii="Arial" w:hAnsi="Arial" w:cs="Arial"/>
          <w:b/>
          <w:bCs/>
          <w:sz w:val="20"/>
          <w:szCs w:val="20"/>
          <w:lang w:val="en-GB"/>
        </w:rPr>
      </w:pPr>
      <w:r w:rsidRPr="00C82A0C">
        <w:rPr>
          <w:rFonts w:ascii="Arial" w:hAnsi="Arial" w:cs="Arial"/>
          <w:b/>
          <w:bCs/>
          <w:sz w:val="20"/>
          <w:szCs w:val="20"/>
        </w:rPr>
        <w:t>3.2 Nutrient Content and Uptake</w:t>
      </w:r>
    </w:p>
    <w:p w14:paraId="6FA9695A" w14:textId="5174CD11" w:rsidR="00B46191" w:rsidRPr="004C3FFB" w:rsidRDefault="00B46191" w:rsidP="00C82A0C">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2</w:t>
      </w:r>
      <w:r w:rsidRPr="004C3FFB">
        <w:rPr>
          <w:rFonts w:ascii="Arial" w:hAnsi="Arial" w:cs="Arial"/>
          <w:b/>
          <w:bCs/>
          <w:sz w:val="20"/>
          <w:szCs w:val="20"/>
          <w:lang w:val="en-GB"/>
        </w:rPr>
        <w:t>.1 Sulphur and Zinc Content in Seed and Stover</w:t>
      </w:r>
    </w:p>
    <w:p w14:paraId="77D8A50F" w14:textId="3131F017" w:rsidR="00B46191" w:rsidRDefault="00B46191" w:rsidP="00B46191">
      <w:pPr>
        <w:jc w:val="both"/>
        <w:rPr>
          <w:rFonts w:ascii="Arial" w:hAnsi="Arial" w:cs="Arial"/>
          <w:sz w:val="20"/>
          <w:szCs w:val="20"/>
          <w:lang w:val="en-GB"/>
        </w:rPr>
      </w:pPr>
      <w:r w:rsidRPr="004C3FFB">
        <w:rPr>
          <w:rFonts w:ascii="Arial" w:hAnsi="Arial" w:cs="Arial"/>
          <w:sz w:val="20"/>
          <w:szCs w:val="20"/>
          <w:lang w:val="en-GB"/>
        </w:rPr>
        <w:t>Seed and stover sulphur concentration rose consistently with sulphur dose (0.25</w:t>
      </w:r>
      <w:r w:rsidR="00BF2425">
        <w:rPr>
          <w:rFonts w:ascii="Arial" w:hAnsi="Arial" w:cs="Arial"/>
          <w:sz w:val="20"/>
          <w:szCs w:val="20"/>
          <w:lang w:val="en-GB"/>
        </w:rPr>
        <w:t xml:space="preserve"> to </w:t>
      </w:r>
      <w:r w:rsidRPr="004C3FFB">
        <w:rPr>
          <w:rFonts w:ascii="Arial" w:hAnsi="Arial" w:cs="Arial"/>
          <w:sz w:val="20"/>
          <w:szCs w:val="20"/>
          <w:lang w:val="en-GB"/>
        </w:rPr>
        <w:t>0.41%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0.16</w:t>
      </w:r>
      <w:r w:rsidR="00BF2425">
        <w:rPr>
          <w:rFonts w:ascii="Arial" w:hAnsi="Arial" w:cs="Arial"/>
          <w:sz w:val="20"/>
          <w:szCs w:val="20"/>
          <w:lang w:val="en-GB"/>
        </w:rPr>
        <w:t xml:space="preserve"> to</w:t>
      </w:r>
      <w:r w:rsidRPr="004C3FFB">
        <w:rPr>
          <w:rFonts w:ascii="Arial" w:hAnsi="Arial" w:cs="Arial"/>
          <w:sz w:val="20"/>
          <w:szCs w:val="20"/>
          <w:lang w:val="en-GB"/>
        </w:rPr>
        <w:t>0.30% in stover), reflecting greater sulphate availability and translocation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xml:space="preserve">., 2008; Choudhary </w:t>
      </w:r>
      <w:r w:rsidRPr="004C3FFB">
        <w:rPr>
          <w:rFonts w:ascii="Arial" w:hAnsi="Arial" w:cs="Arial"/>
          <w:i/>
          <w:iCs/>
          <w:sz w:val="20"/>
          <w:szCs w:val="20"/>
          <w:lang w:val="en-GB"/>
        </w:rPr>
        <w:t>et al</w:t>
      </w:r>
      <w:r w:rsidRPr="004C3FFB">
        <w:rPr>
          <w:rFonts w:ascii="Arial" w:hAnsi="Arial" w:cs="Arial"/>
          <w:sz w:val="20"/>
          <w:szCs w:val="20"/>
          <w:lang w:val="en-GB"/>
        </w:rPr>
        <w:t xml:space="preserve">., 2016; Vaishnav </w:t>
      </w:r>
      <w:r w:rsidRPr="004C3FFB">
        <w:rPr>
          <w:rFonts w:ascii="Arial" w:hAnsi="Arial" w:cs="Arial"/>
          <w:i/>
          <w:iCs/>
          <w:sz w:val="20"/>
          <w:szCs w:val="20"/>
          <w:lang w:val="en-GB"/>
        </w:rPr>
        <w:t>et al</w:t>
      </w:r>
      <w:r w:rsidRPr="004C3FFB">
        <w:rPr>
          <w:rFonts w:ascii="Arial" w:hAnsi="Arial" w:cs="Arial"/>
          <w:sz w:val="20"/>
          <w:szCs w:val="20"/>
          <w:lang w:val="en-GB"/>
        </w:rPr>
        <w:t>., 2024), and increased significantly with zinc too (0.30</w:t>
      </w:r>
      <w:r w:rsidR="00BF2425">
        <w:rPr>
          <w:rFonts w:ascii="Arial" w:hAnsi="Arial" w:cs="Arial"/>
          <w:sz w:val="20"/>
          <w:szCs w:val="20"/>
          <w:lang w:val="en-GB"/>
        </w:rPr>
        <w:t xml:space="preserve"> to </w:t>
      </w:r>
      <w:r w:rsidRPr="004C3FFB">
        <w:rPr>
          <w:rFonts w:ascii="Arial" w:hAnsi="Arial" w:cs="Arial"/>
          <w:sz w:val="20"/>
          <w:szCs w:val="20"/>
          <w:lang w:val="en-GB"/>
        </w:rPr>
        <w:t>0.36%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0.21</w:t>
      </w:r>
      <w:r w:rsidR="00BF2425">
        <w:rPr>
          <w:rFonts w:ascii="Arial" w:hAnsi="Arial" w:cs="Arial"/>
          <w:sz w:val="20"/>
          <w:szCs w:val="20"/>
          <w:lang w:val="en-GB"/>
        </w:rPr>
        <w:t xml:space="preserve"> to </w:t>
      </w:r>
      <w:r w:rsidRPr="004C3FFB">
        <w:rPr>
          <w:rFonts w:ascii="Arial" w:hAnsi="Arial" w:cs="Arial"/>
          <w:sz w:val="20"/>
          <w:szCs w:val="20"/>
          <w:lang w:val="en-GB"/>
        </w:rPr>
        <w:t>0.25% in stover, Z</w:t>
      </w:r>
      <w:r w:rsidR="00BF2425">
        <w:rPr>
          <w:rFonts w:ascii="Arial" w:hAnsi="Arial" w:cs="Arial"/>
          <w:sz w:val="20"/>
          <w:szCs w:val="20"/>
          <w:lang w:val="en-GB"/>
        </w:rPr>
        <w:t>n</w:t>
      </w:r>
      <w:r w:rsidRPr="004C3FFB">
        <w:rPr>
          <w:rFonts w:ascii="Arial" w:hAnsi="Arial" w:cs="Arial"/>
          <w:sz w:val="20"/>
          <w:szCs w:val="20"/>
          <w:lang w:val="en-GB"/>
        </w:rPr>
        <w:t>), suggesting a synergistic role of zinc in nutrient-accumulation metabolism (Jat and Mehra, 2007; Upadhyay, 2012) (</w:t>
      </w:r>
      <w:r w:rsidRPr="004C3FFB">
        <w:rPr>
          <w:rFonts w:ascii="Arial" w:hAnsi="Arial" w:cs="Arial"/>
          <w:b/>
          <w:bCs/>
          <w:sz w:val="20"/>
          <w:szCs w:val="20"/>
          <w:lang w:val="en-GB"/>
        </w:rPr>
        <w:t xml:space="preserve">Table </w:t>
      </w:r>
      <w:r w:rsidR="00C82A0C">
        <w:rPr>
          <w:rFonts w:ascii="Arial" w:hAnsi="Arial" w:cs="Arial"/>
          <w:b/>
          <w:bCs/>
          <w:sz w:val="20"/>
          <w:szCs w:val="20"/>
          <w:lang w:val="en-GB"/>
        </w:rPr>
        <w:t>4</w:t>
      </w:r>
      <w:r w:rsidRPr="004C3FFB">
        <w:rPr>
          <w:rFonts w:ascii="Arial" w:hAnsi="Arial" w:cs="Arial"/>
          <w:sz w:val="20"/>
          <w:szCs w:val="20"/>
          <w:lang w:val="en-GB"/>
        </w:rPr>
        <w:t>). Seed and stover zinc concentration likewise rose significantly with sulphur (38.33</w:t>
      </w:r>
      <w:r w:rsidR="00BF2425">
        <w:rPr>
          <w:rFonts w:ascii="Arial" w:hAnsi="Arial" w:cs="Arial"/>
          <w:sz w:val="20"/>
          <w:szCs w:val="20"/>
          <w:lang w:val="en-GB"/>
        </w:rPr>
        <w:t xml:space="preserve"> to </w:t>
      </w:r>
      <w:r w:rsidRPr="004C3FFB">
        <w:rPr>
          <w:rFonts w:ascii="Arial" w:hAnsi="Arial" w:cs="Arial"/>
          <w:sz w:val="20"/>
          <w:szCs w:val="20"/>
          <w:lang w:val="en-GB"/>
        </w:rPr>
        <w:t>50.00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21.65</w:t>
      </w:r>
      <w:r w:rsidR="00BF2425">
        <w:rPr>
          <w:rFonts w:ascii="Arial" w:hAnsi="Arial" w:cs="Arial"/>
          <w:sz w:val="20"/>
          <w:szCs w:val="20"/>
          <w:lang w:val="en-GB"/>
        </w:rPr>
        <w:t xml:space="preserve"> to </w:t>
      </w:r>
      <w:r w:rsidRPr="004C3FFB">
        <w:rPr>
          <w:rFonts w:ascii="Arial" w:hAnsi="Arial" w:cs="Arial"/>
          <w:sz w:val="20"/>
          <w:szCs w:val="20"/>
          <w:lang w:val="en-GB"/>
        </w:rPr>
        <w:t>31.07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stover)</w:t>
      </w:r>
      <w:r w:rsidR="00BF2425">
        <w:rPr>
          <w:rFonts w:ascii="Arial" w:hAnsi="Arial" w:cs="Arial"/>
          <w:sz w:val="20"/>
          <w:szCs w:val="20"/>
          <w:lang w:val="en-GB"/>
        </w:rPr>
        <w:t xml:space="preserve"> </w:t>
      </w:r>
      <w:r w:rsidRPr="004C3FFB">
        <w:rPr>
          <w:rFonts w:ascii="Arial" w:hAnsi="Arial" w:cs="Arial"/>
          <w:sz w:val="20"/>
          <w:szCs w:val="20"/>
          <w:lang w:val="en-GB"/>
        </w:rPr>
        <w:t xml:space="preserve">sulphur nutrition evidently improves root proliferation and the plant's capacity to acquire zinc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2008; Upadhyay, 2012)</w:t>
      </w:r>
      <w:r w:rsidR="00BF2425">
        <w:rPr>
          <w:rFonts w:ascii="Arial" w:hAnsi="Arial" w:cs="Arial"/>
          <w:sz w:val="20"/>
          <w:szCs w:val="20"/>
          <w:lang w:val="en-GB"/>
        </w:rPr>
        <w:t xml:space="preserve"> </w:t>
      </w:r>
      <w:r w:rsidRPr="004C3FFB">
        <w:rPr>
          <w:rFonts w:ascii="Arial" w:hAnsi="Arial" w:cs="Arial"/>
          <w:sz w:val="20"/>
          <w:szCs w:val="20"/>
          <w:lang w:val="en-GB"/>
        </w:rPr>
        <w:t>and with zinc dose itself (40.00</w:t>
      </w:r>
      <w:r w:rsidR="00BF2425">
        <w:rPr>
          <w:rFonts w:ascii="Arial" w:hAnsi="Arial" w:cs="Arial"/>
          <w:sz w:val="20"/>
          <w:szCs w:val="20"/>
          <w:lang w:val="en-GB"/>
        </w:rPr>
        <w:t xml:space="preserve"> to </w:t>
      </w:r>
      <w:r w:rsidRPr="004C3FFB">
        <w:rPr>
          <w:rFonts w:ascii="Arial" w:hAnsi="Arial" w:cs="Arial"/>
          <w:sz w:val="20"/>
          <w:szCs w:val="20"/>
          <w:lang w:val="en-GB"/>
        </w:rPr>
        <w:t>48.33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22.66</w:t>
      </w:r>
      <w:r w:rsidR="00BF2425">
        <w:rPr>
          <w:rFonts w:ascii="Arial" w:hAnsi="Arial" w:cs="Arial"/>
          <w:sz w:val="20"/>
          <w:szCs w:val="20"/>
          <w:lang w:val="en-GB"/>
        </w:rPr>
        <w:t xml:space="preserve"> to </w:t>
      </w:r>
      <w:r w:rsidRPr="004C3FFB">
        <w:rPr>
          <w:rFonts w:ascii="Arial" w:hAnsi="Arial" w:cs="Arial"/>
          <w:sz w:val="20"/>
          <w:szCs w:val="20"/>
          <w:lang w:val="en-GB"/>
        </w:rPr>
        <w:t>29.64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stover), a direct consequence of the larger zinc pool created by EDTA-Zn application. Interaction effects were non-significant throughout.</w:t>
      </w:r>
    </w:p>
    <w:p w14:paraId="32339BF0" w14:textId="77777777" w:rsidR="009152C6" w:rsidRPr="004C3FFB" w:rsidRDefault="009152C6" w:rsidP="00B46191">
      <w:pPr>
        <w:jc w:val="both"/>
        <w:rPr>
          <w:rFonts w:ascii="Arial" w:hAnsi="Arial" w:cs="Arial"/>
          <w:sz w:val="20"/>
          <w:szCs w:val="20"/>
          <w:lang w:val="en-GB"/>
        </w:rPr>
      </w:pPr>
    </w:p>
    <w:p w14:paraId="4D41317A" w14:textId="5C6A0787" w:rsidR="00B46191" w:rsidRPr="008026D0" w:rsidRDefault="00B46191" w:rsidP="00B46191">
      <w:pPr>
        <w:jc w:val="both"/>
        <w:rPr>
          <w:rFonts w:ascii="Arial" w:hAnsi="Arial" w:cs="Arial"/>
          <w:b/>
          <w:bCs/>
          <w:sz w:val="20"/>
          <w:szCs w:val="20"/>
          <w:lang w:val="en-GB"/>
        </w:rPr>
      </w:pPr>
      <w:r w:rsidRPr="008026D0">
        <w:rPr>
          <w:rFonts w:ascii="Arial" w:hAnsi="Arial" w:cs="Arial"/>
          <w:b/>
          <w:bCs/>
          <w:sz w:val="20"/>
          <w:szCs w:val="20"/>
          <w:lang w:val="en-GB"/>
        </w:rPr>
        <w:t xml:space="preserve">Table </w:t>
      </w:r>
      <w:r w:rsidR="00C82A0C">
        <w:rPr>
          <w:rFonts w:ascii="Arial" w:hAnsi="Arial" w:cs="Arial"/>
          <w:b/>
          <w:bCs/>
          <w:sz w:val="20"/>
          <w:szCs w:val="20"/>
          <w:lang w:val="en-GB"/>
        </w:rPr>
        <w:t>4</w:t>
      </w:r>
      <w:r w:rsidRPr="008026D0">
        <w:rPr>
          <w:rFonts w:ascii="Arial" w:hAnsi="Arial" w:cs="Arial"/>
          <w:b/>
          <w:bCs/>
          <w:sz w:val="20"/>
          <w:szCs w:val="20"/>
          <w:lang w:val="en-GB"/>
        </w:rPr>
        <w:t>. Sulphur and Zinc Content in Seed and Stover as Influenced by Sulphur and Zinc Levels</w:t>
      </w:r>
    </w:p>
    <w:tbl>
      <w:tblPr>
        <w:tblStyle w:val="TableGrid"/>
        <w:tblW w:w="5000" w:type="pct"/>
        <w:tblLook w:val="04A0" w:firstRow="1" w:lastRow="0" w:firstColumn="1" w:lastColumn="0" w:noHBand="0" w:noVBand="1"/>
      </w:tblPr>
      <w:tblGrid>
        <w:gridCol w:w="3274"/>
        <w:gridCol w:w="997"/>
        <w:gridCol w:w="1356"/>
        <w:gridCol w:w="1544"/>
        <w:gridCol w:w="1845"/>
      </w:tblGrid>
      <w:tr w:rsidR="0025155E" w:rsidRPr="00D70DCF" w14:paraId="5B0B3F35" w14:textId="77777777" w:rsidTr="009D5DE4">
        <w:tc>
          <w:tcPr>
            <w:tcW w:w="1816" w:type="pct"/>
            <w:vMerge w:val="restart"/>
          </w:tcPr>
          <w:p w14:paraId="73CF7EED" w14:textId="77777777" w:rsidR="0025155E" w:rsidRPr="00D70DCF" w:rsidRDefault="0025155E" w:rsidP="00D70DCF">
            <w:pPr>
              <w:jc w:val="both"/>
              <w:rPr>
                <w:rFonts w:ascii="Arial" w:hAnsi="Arial" w:cs="Arial"/>
                <w:b/>
                <w:bCs/>
                <w:sz w:val="20"/>
                <w:szCs w:val="20"/>
              </w:rPr>
            </w:pPr>
            <w:r w:rsidRPr="00D70DCF">
              <w:rPr>
                <w:rFonts w:ascii="Arial" w:hAnsi="Arial" w:cs="Arial"/>
                <w:b/>
                <w:bCs/>
                <w:sz w:val="20"/>
                <w:szCs w:val="20"/>
              </w:rPr>
              <w:t>Treatments</w:t>
            </w:r>
          </w:p>
        </w:tc>
        <w:tc>
          <w:tcPr>
            <w:tcW w:w="1305" w:type="pct"/>
            <w:gridSpan w:val="2"/>
            <w:vAlign w:val="center"/>
          </w:tcPr>
          <w:p w14:paraId="7A4542CE"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Sulphur (%)</w:t>
            </w:r>
          </w:p>
        </w:tc>
        <w:tc>
          <w:tcPr>
            <w:tcW w:w="1879" w:type="pct"/>
            <w:gridSpan w:val="2"/>
            <w:vAlign w:val="center"/>
          </w:tcPr>
          <w:p w14:paraId="4E20CAA7" w14:textId="354DFDB3" w:rsidR="0025155E" w:rsidRPr="00D70DCF" w:rsidRDefault="00755106" w:rsidP="00D70DCF">
            <w:pPr>
              <w:jc w:val="center"/>
              <w:rPr>
                <w:rFonts w:ascii="Arial" w:hAnsi="Arial" w:cs="Arial"/>
                <w:b/>
                <w:bCs/>
                <w:sz w:val="20"/>
                <w:szCs w:val="20"/>
              </w:rPr>
            </w:pPr>
            <w:r w:rsidRPr="00D70DCF">
              <w:rPr>
                <w:rFonts w:ascii="Arial" w:hAnsi="Arial" w:cs="Arial"/>
                <w:b/>
                <w:bCs/>
                <w:sz w:val="20"/>
                <w:szCs w:val="20"/>
              </w:rPr>
              <w:t>Zinc (</w:t>
            </w:r>
            <w:r w:rsidR="0025155E" w:rsidRPr="00D70DCF">
              <w:rPr>
                <w:rFonts w:ascii="Arial" w:hAnsi="Arial" w:cs="Arial"/>
                <w:b/>
                <w:bCs/>
                <w:sz w:val="20"/>
                <w:szCs w:val="20"/>
              </w:rPr>
              <w:t>mg kg</w:t>
            </w:r>
            <w:r w:rsidR="0025155E" w:rsidRPr="00D70DCF">
              <w:rPr>
                <w:rFonts w:ascii="Arial" w:hAnsi="Arial" w:cs="Arial"/>
                <w:b/>
                <w:bCs/>
                <w:sz w:val="20"/>
                <w:szCs w:val="20"/>
                <w:vertAlign w:val="superscript"/>
              </w:rPr>
              <w:t>-1</w:t>
            </w:r>
            <w:r w:rsidR="0025155E" w:rsidRPr="00D70DCF">
              <w:rPr>
                <w:rFonts w:ascii="Arial" w:hAnsi="Arial" w:cs="Arial"/>
                <w:b/>
                <w:bCs/>
                <w:sz w:val="20"/>
                <w:szCs w:val="20"/>
              </w:rPr>
              <w:t>)</w:t>
            </w:r>
          </w:p>
        </w:tc>
      </w:tr>
      <w:tr w:rsidR="0025155E" w:rsidRPr="00D70DCF" w14:paraId="33EF2025" w14:textId="77777777" w:rsidTr="009D5DE4">
        <w:tc>
          <w:tcPr>
            <w:tcW w:w="1816" w:type="pct"/>
            <w:vMerge/>
            <w:hideMark/>
          </w:tcPr>
          <w:p w14:paraId="5984CC96" w14:textId="77777777" w:rsidR="0025155E" w:rsidRPr="00D70DCF" w:rsidRDefault="0025155E" w:rsidP="00D70DCF">
            <w:pPr>
              <w:jc w:val="both"/>
              <w:rPr>
                <w:rFonts w:ascii="Arial" w:hAnsi="Arial" w:cs="Arial"/>
                <w:b/>
                <w:bCs/>
                <w:sz w:val="20"/>
                <w:szCs w:val="20"/>
              </w:rPr>
            </w:pPr>
          </w:p>
        </w:tc>
        <w:tc>
          <w:tcPr>
            <w:tcW w:w="553" w:type="pct"/>
            <w:vAlign w:val="center"/>
            <w:hideMark/>
          </w:tcPr>
          <w:p w14:paraId="56A98BC1"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Seed</w:t>
            </w:r>
          </w:p>
        </w:tc>
        <w:tc>
          <w:tcPr>
            <w:tcW w:w="752" w:type="pct"/>
            <w:vAlign w:val="center"/>
            <w:hideMark/>
          </w:tcPr>
          <w:p w14:paraId="41634F38"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Stover</w:t>
            </w:r>
          </w:p>
        </w:tc>
        <w:tc>
          <w:tcPr>
            <w:tcW w:w="856" w:type="pct"/>
            <w:vAlign w:val="center"/>
            <w:hideMark/>
          </w:tcPr>
          <w:p w14:paraId="19E2E49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Seed</w:t>
            </w:r>
          </w:p>
        </w:tc>
        <w:tc>
          <w:tcPr>
            <w:tcW w:w="1023" w:type="pct"/>
            <w:vAlign w:val="center"/>
            <w:hideMark/>
          </w:tcPr>
          <w:p w14:paraId="30687F7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Stover</w:t>
            </w:r>
          </w:p>
        </w:tc>
      </w:tr>
      <w:tr w:rsidR="0025155E" w:rsidRPr="00D70DCF" w14:paraId="5D77C914" w14:textId="77777777" w:rsidTr="009D5DE4">
        <w:tc>
          <w:tcPr>
            <w:tcW w:w="5000" w:type="pct"/>
            <w:gridSpan w:val="5"/>
            <w:vAlign w:val="center"/>
            <w:hideMark/>
          </w:tcPr>
          <w:p w14:paraId="77B10773" w14:textId="77777777" w:rsidR="0025155E" w:rsidRPr="00D70DCF" w:rsidRDefault="0025155E" w:rsidP="00D70DCF">
            <w:pPr>
              <w:rPr>
                <w:rFonts w:ascii="Arial" w:hAnsi="Arial" w:cs="Arial"/>
                <w:sz w:val="20"/>
                <w:szCs w:val="20"/>
              </w:rPr>
            </w:pPr>
            <w:r w:rsidRPr="00D70DCF">
              <w:rPr>
                <w:rFonts w:ascii="Arial" w:hAnsi="Arial" w:cs="Arial"/>
                <w:b/>
                <w:bCs/>
                <w:sz w:val="20"/>
                <w:szCs w:val="20"/>
              </w:rPr>
              <w:t>(A) Sulphur levels</w:t>
            </w:r>
          </w:p>
        </w:tc>
      </w:tr>
      <w:tr w:rsidR="0025155E" w:rsidRPr="00D70DCF" w14:paraId="4143ADFD" w14:textId="77777777" w:rsidTr="009D5DE4">
        <w:tc>
          <w:tcPr>
            <w:tcW w:w="1816" w:type="pct"/>
            <w:hideMark/>
          </w:tcPr>
          <w:p w14:paraId="5769D94F"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1</w:t>
            </w:r>
            <w:r w:rsidRPr="00D70DCF">
              <w:rPr>
                <w:rFonts w:ascii="Arial" w:hAnsi="Arial" w:cs="Arial"/>
                <w:sz w:val="20"/>
                <w:szCs w:val="20"/>
              </w:rPr>
              <w:t xml:space="preserve"> (00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12C28BC3"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0.25</w:t>
            </w:r>
          </w:p>
        </w:tc>
        <w:tc>
          <w:tcPr>
            <w:tcW w:w="752" w:type="pct"/>
            <w:vAlign w:val="center"/>
            <w:hideMark/>
          </w:tcPr>
          <w:p w14:paraId="4C78661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0.16</w:t>
            </w:r>
          </w:p>
        </w:tc>
        <w:tc>
          <w:tcPr>
            <w:tcW w:w="856" w:type="pct"/>
            <w:vAlign w:val="center"/>
            <w:hideMark/>
          </w:tcPr>
          <w:p w14:paraId="41F09D27"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38.33</w:t>
            </w:r>
          </w:p>
        </w:tc>
        <w:tc>
          <w:tcPr>
            <w:tcW w:w="1023" w:type="pct"/>
            <w:vAlign w:val="center"/>
            <w:hideMark/>
          </w:tcPr>
          <w:p w14:paraId="46C9A820"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21.65</w:t>
            </w:r>
          </w:p>
        </w:tc>
      </w:tr>
      <w:tr w:rsidR="0025155E" w:rsidRPr="00D70DCF" w14:paraId="58C3E9F2" w14:textId="77777777" w:rsidTr="009D5DE4">
        <w:tc>
          <w:tcPr>
            <w:tcW w:w="1816" w:type="pct"/>
            <w:hideMark/>
          </w:tcPr>
          <w:p w14:paraId="5C769EFF"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2</w:t>
            </w:r>
            <w:r w:rsidRPr="00D70DCF">
              <w:rPr>
                <w:rFonts w:ascii="Arial" w:hAnsi="Arial" w:cs="Arial"/>
                <w:sz w:val="20"/>
                <w:szCs w:val="20"/>
              </w:rPr>
              <w:t xml:space="preserve"> (20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4DBE7F8B"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0.33</w:t>
            </w:r>
          </w:p>
        </w:tc>
        <w:tc>
          <w:tcPr>
            <w:tcW w:w="752" w:type="pct"/>
            <w:vAlign w:val="center"/>
            <w:hideMark/>
          </w:tcPr>
          <w:p w14:paraId="202FC859"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0.23</w:t>
            </w:r>
          </w:p>
        </w:tc>
        <w:tc>
          <w:tcPr>
            <w:tcW w:w="856" w:type="pct"/>
            <w:vAlign w:val="center"/>
            <w:hideMark/>
          </w:tcPr>
          <w:p w14:paraId="6425B16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44.00</w:t>
            </w:r>
          </w:p>
        </w:tc>
        <w:tc>
          <w:tcPr>
            <w:tcW w:w="1023" w:type="pct"/>
            <w:vAlign w:val="center"/>
            <w:hideMark/>
          </w:tcPr>
          <w:p w14:paraId="1514C485"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26.32</w:t>
            </w:r>
          </w:p>
        </w:tc>
      </w:tr>
      <w:tr w:rsidR="0025155E" w:rsidRPr="00D70DCF" w14:paraId="14CBCCEB" w14:textId="77777777" w:rsidTr="009D5DE4">
        <w:tc>
          <w:tcPr>
            <w:tcW w:w="1816" w:type="pct"/>
            <w:hideMark/>
          </w:tcPr>
          <w:p w14:paraId="6EF2DBA0"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3</w:t>
            </w:r>
            <w:r w:rsidRPr="00D70DCF">
              <w:rPr>
                <w:rFonts w:ascii="Arial" w:hAnsi="Arial" w:cs="Arial"/>
                <w:sz w:val="20"/>
                <w:szCs w:val="20"/>
              </w:rPr>
              <w:t xml:space="preserve"> (40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75E08CD9"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0.41</w:t>
            </w:r>
          </w:p>
        </w:tc>
        <w:tc>
          <w:tcPr>
            <w:tcW w:w="752" w:type="pct"/>
            <w:vAlign w:val="center"/>
            <w:hideMark/>
          </w:tcPr>
          <w:p w14:paraId="4288474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0.30</w:t>
            </w:r>
          </w:p>
        </w:tc>
        <w:tc>
          <w:tcPr>
            <w:tcW w:w="856" w:type="pct"/>
            <w:vAlign w:val="center"/>
            <w:hideMark/>
          </w:tcPr>
          <w:p w14:paraId="0122948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50.00</w:t>
            </w:r>
          </w:p>
        </w:tc>
        <w:tc>
          <w:tcPr>
            <w:tcW w:w="1023" w:type="pct"/>
            <w:vAlign w:val="center"/>
            <w:hideMark/>
          </w:tcPr>
          <w:p w14:paraId="26A7F76D"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31.07</w:t>
            </w:r>
          </w:p>
        </w:tc>
      </w:tr>
      <w:tr w:rsidR="0025155E" w:rsidRPr="00D70DCF" w14:paraId="2B6F7692" w14:textId="77777777" w:rsidTr="009D5DE4">
        <w:tc>
          <w:tcPr>
            <w:tcW w:w="1816" w:type="pct"/>
            <w:vAlign w:val="center"/>
            <w:hideMark/>
          </w:tcPr>
          <w:p w14:paraId="69811AD0"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t>S.Em</w:t>
            </w:r>
            <w:proofErr w:type="spellEnd"/>
            <w:r w:rsidRPr="00D70DCF">
              <w:rPr>
                <w:rFonts w:ascii="Arial" w:hAnsi="Arial" w:cs="Arial"/>
                <w:b/>
                <w:bCs/>
                <w:sz w:val="20"/>
                <w:szCs w:val="20"/>
              </w:rPr>
              <w:t>. ±</w:t>
            </w:r>
          </w:p>
        </w:tc>
        <w:tc>
          <w:tcPr>
            <w:tcW w:w="553" w:type="pct"/>
            <w:vAlign w:val="center"/>
            <w:hideMark/>
          </w:tcPr>
          <w:p w14:paraId="18EE920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13655E28"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32D9D3D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1.17</w:t>
            </w:r>
          </w:p>
        </w:tc>
        <w:tc>
          <w:tcPr>
            <w:tcW w:w="1023" w:type="pct"/>
            <w:vAlign w:val="center"/>
            <w:hideMark/>
          </w:tcPr>
          <w:p w14:paraId="699F9DA3"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0.60</w:t>
            </w:r>
          </w:p>
        </w:tc>
      </w:tr>
      <w:tr w:rsidR="0025155E" w:rsidRPr="00D70DCF" w14:paraId="3CF95935" w14:textId="77777777" w:rsidTr="009D5DE4">
        <w:tc>
          <w:tcPr>
            <w:tcW w:w="1816" w:type="pct"/>
            <w:vAlign w:val="center"/>
            <w:hideMark/>
          </w:tcPr>
          <w:p w14:paraId="6E247848"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CD at 5%</w:t>
            </w:r>
          </w:p>
        </w:tc>
        <w:tc>
          <w:tcPr>
            <w:tcW w:w="553" w:type="pct"/>
            <w:vAlign w:val="center"/>
            <w:hideMark/>
          </w:tcPr>
          <w:p w14:paraId="082759AC"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752" w:type="pct"/>
            <w:vAlign w:val="center"/>
            <w:hideMark/>
          </w:tcPr>
          <w:p w14:paraId="68A7C42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856" w:type="pct"/>
            <w:vAlign w:val="center"/>
            <w:hideMark/>
          </w:tcPr>
          <w:p w14:paraId="071D97AA"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3.41</w:t>
            </w:r>
          </w:p>
        </w:tc>
        <w:tc>
          <w:tcPr>
            <w:tcW w:w="1023" w:type="pct"/>
            <w:vAlign w:val="center"/>
            <w:hideMark/>
          </w:tcPr>
          <w:p w14:paraId="155019C5"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1.74</w:t>
            </w:r>
          </w:p>
        </w:tc>
      </w:tr>
      <w:tr w:rsidR="0025155E" w:rsidRPr="00D70DCF" w14:paraId="64619438" w14:textId="77777777" w:rsidTr="009D5DE4">
        <w:tc>
          <w:tcPr>
            <w:tcW w:w="5000" w:type="pct"/>
            <w:gridSpan w:val="5"/>
            <w:vAlign w:val="center"/>
            <w:hideMark/>
          </w:tcPr>
          <w:p w14:paraId="44E01A66" w14:textId="77777777" w:rsidR="0025155E" w:rsidRPr="00D70DCF" w:rsidRDefault="0025155E" w:rsidP="00D70DCF">
            <w:pPr>
              <w:rPr>
                <w:rFonts w:ascii="Arial" w:hAnsi="Arial" w:cs="Arial"/>
                <w:sz w:val="20"/>
                <w:szCs w:val="20"/>
              </w:rPr>
            </w:pPr>
            <w:r w:rsidRPr="00D70DCF">
              <w:rPr>
                <w:rFonts w:ascii="Arial" w:hAnsi="Arial" w:cs="Arial"/>
                <w:b/>
                <w:bCs/>
                <w:sz w:val="20"/>
                <w:szCs w:val="20"/>
              </w:rPr>
              <w:t>(B) Zinc levels</w:t>
            </w:r>
          </w:p>
        </w:tc>
      </w:tr>
      <w:tr w:rsidR="0025155E" w:rsidRPr="00D70DCF" w14:paraId="4592E138" w14:textId="77777777" w:rsidTr="009D5DE4">
        <w:tc>
          <w:tcPr>
            <w:tcW w:w="1816" w:type="pct"/>
            <w:hideMark/>
          </w:tcPr>
          <w:p w14:paraId="0E800808"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1</w:t>
            </w:r>
            <w:r w:rsidRPr="00D70DCF">
              <w:rPr>
                <w:rFonts w:ascii="Arial" w:hAnsi="Arial" w:cs="Arial"/>
                <w:sz w:val="20"/>
                <w:szCs w:val="20"/>
              </w:rPr>
              <w:t xml:space="preserve"> (00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60C0CCA8"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0.30</w:t>
            </w:r>
          </w:p>
        </w:tc>
        <w:tc>
          <w:tcPr>
            <w:tcW w:w="752" w:type="pct"/>
            <w:vAlign w:val="center"/>
            <w:hideMark/>
          </w:tcPr>
          <w:p w14:paraId="5F783A3F"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0.21</w:t>
            </w:r>
          </w:p>
        </w:tc>
        <w:tc>
          <w:tcPr>
            <w:tcW w:w="856" w:type="pct"/>
            <w:vAlign w:val="center"/>
            <w:hideMark/>
          </w:tcPr>
          <w:p w14:paraId="225F6E5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40.00</w:t>
            </w:r>
          </w:p>
        </w:tc>
        <w:tc>
          <w:tcPr>
            <w:tcW w:w="1023" w:type="pct"/>
            <w:vAlign w:val="center"/>
            <w:hideMark/>
          </w:tcPr>
          <w:p w14:paraId="42189EDA"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22.66</w:t>
            </w:r>
          </w:p>
        </w:tc>
      </w:tr>
      <w:tr w:rsidR="0025155E" w:rsidRPr="00D70DCF" w14:paraId="2231F7E5" w14:textId="77777777" w:rsidTr="009D5DE4">
        <w:tc>
          <w:tcPr>
            <w:tcW w:w="1816" w:type="pct"/>
            <w:hideMark/>
          </w:tcPr>
          <w:p w14:paraId="2ED6FAE2"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 xml:space="preserve">2 </w:t>
            </w:r>
            <w:r w:rsidRPr="00D70DCF">
              <w:rPr>
                <w:rFonts w:ascii="Arial" w:hAnsi="Arial" w:cs="Arial"/>
                <w:sz w:val="20"/>
                <w:szCs w:val="20"/>
              </w:rPr>
              <w:t>(2.5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08638C44"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0.33</w:t>
            </w:r>
          </w:p>
        </w:tc>
        <w:tc>
          <w:tcPr>
            <w:tcW w:w="752" w:type="pct"/>
            <w:vAlign w:val="center"/>
            <w:hideMark/>
          </w:tcPr>
          <w:p w14:paraId="6E08D03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0.23</w:t>
            </w:r>
          </w:p>
        </w:tc>
        <w:tc>
          <w:tcPr>
            <w:tcW w:w="856" w:type="pct"/>
            <w:vAlign w:val="center"/>
            <w:hideMark/>
          </w:tcPr>
          <w:p w14:paraId="63289AB5"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44.00</w:t>
            </w:r>
          </w:p>
        </w:tc>
        <w:tc>
          <w:tcPr>
            <w:tcW w:w="1023" w:type="pct"/>
            <w:vAlign w:val="center"/>
            <w:hideMark/>
          </w:tcPr>
          <w:p w14:paraId="27C3EB98"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26.73</w:t>
            </w:r>
          </w:p>
        </w:tc>
      </w:tr>
      <w:tr w:rsidR="0025155E" w:rsidRPr="00D70DCF" w14:paraId="24FCD2C4" w14:textId="77777777" w:rsidTr="009D5DE4">
        <w:tc>
          <w:tcPr>
            <w:tcW w:w="1816" w:type="pct"/>
            <w:hideMark/>
          </w:tcPr>
          <w:p w14:paraId="71FFBF37"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3</w:t>
            </w:r>
            <w:r w:rsidRPr="00D70DCF">
              <w:rPr>
                <w:rFonts w:ascii="Arial" w:hAnsi="Arial" w:cs="Arial"/>
                <w:sz w:val="20"/>
                <w:szCs w:val="20"/>
              </w:rPr>
              <w:t xml:space="preserve"> (5.0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7B579591"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0.36</w:t>
            </w:r>
          </w:p>
        </w:tc>
        <w:tc>
          <w:tcPr>
            <w:tcW w:w="752" w:type="pct"/>
            <w:vAlign w:val="center"/>
            <w:hideMark/>
          </w:tcPr>
          <w:p w14:paraId="6A11CDCA"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0.25</w:t>
            </w:r>
          </w:p>
        </w:tc>
        <w:tc>
          <w:tcPr>
            <w:tcW w:w="856" w:type="pct"/>
            <w:vAlign w:val="center"/>
            <w:hideMark/>
          </w:tcPr>
          <w:p w14:paraId="4810B0CC"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48.33</w:t>
            </w:r>
          </w:p>
        </w:tc>
        <w:tc>
          <w:tcPr>
            <w:tcW w:w="1023" w:type="pct"/>
            <w:vAlign w:val="center"/>
            <w:hideMark/>
          </w:tcPr>
          <w:p w14:paraId="435B69F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29.64</w:t>
            </w:r>
          </w:p>
        </w:tc>
      </w:tr>
      <w:tr w:rsidR="0025155E" w:rsidRPr="00D70DCF" w14:paraId="4AC4E5D5" w14:textId="77777777" w:rsidTr="009D5DE4">
        <w:tc>
          <w:tcPr>
            <w:tcW w:w="1816" w:type="pct"/>
            <w:vAlign w:val="center"/>
            <w:hideMark/>
          </w:tcPr>
          <w:p w14:paraId="122E7F39"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lastRenderedPageBreak/>
              <w:t>S.Em</w:t>
            </w:r>
            <w:proofErr w:type="spellEnd"/>
            <w:r w:rsidRPr="00D70DCF">
              <w:rPr>
                <w:rFonts w:ascii="Arial" w:hAnsi="Arial" w:cs="Arial"/>
                <w:b/>
                <w:bCs/>
                <w:sz w:val="20"/>
                <w:szCs w:val="20"/>
              </w:rPr>
              <w:t>. ±</w:t>
            </w:r>
          </w:p>
        </w:tc>
        <w:tc>
          <w:tcPr>
            <w:tcW w:w="553" w:type="pct"/>
            <w:vAlign w:val="center"/>
            <w:hideMark/>
          </w:tcPr>
          <w:p w14:paraId="1CD37544"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77467715"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6553687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1.17</w:t>
            </w:r>
          </w:p>
        </w:tc>
        <w:tc>
          <w:tcPr>
            <w:tcW w:w="1023" w:type="pct"/>
            <w:vAlign w:val="center"/>
            <w:hideMark/>
          </w:tcPr>
          <w:p w14:paraId="4BDBCFEF"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0.60</w:t>
            </w:r>
          </w:p>
        </w:tc>
      </w:tr>
      <w:tr w:rsidR="0025155E" w:rsidRPr="00D70DCF" w14:paraId="7CE73F16" w14:textId="77777777" w:rsidTr="009D5DE4">
        <w:tc>
          <w:tcPr>
            <w:tcW w:w="1816" w:type="pct"/>
            <w:vAlign w:val="center"/>
            <w:hideMark/>
          </w:tcPr>
          <w:p w14:paraId="7EB1E654"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CD at 5%</w:t>
            </w:r>
          </w:p>
        </w:tc>
        <w:tc>
          <w:tcPr>
            <w:tcW w:w="553" w:type="pct"/>
            <w:vAlign w:val="center"/>
            <w:hideMark/>
          </w:tcPr>
          <w:p w14:paraId="09DE2F7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752" w:type="pct"/>
            <w:vAlign w:val="center"/>
            <w:hideMark/>
          </w:tcPr>
          <w:p w14:paraId="2BCE862C"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856" w:type="pct"/>
            <w:vAlign w:val="center"/>
            <w:hideMark/>
          </w:tcPr>
          <w:p w14:paraId="2CFE1F73"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3.41</w:t>
            </w:r>
          </w:p>
        </w:tc>
        <w:tc>
          <w:tcPr>
            <w:tcW w:w="1023" w:type="pct"/>
            <w:vAlign w:val="center"/>
            <w:hideMark/>
          </w:tcPr>
          <w:p w14:paraId="2C0953F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1.74</w:t>
            </w:r>
          </w:p>
        </w:tc>
      </w:tr>
      <w:tr w:rsidR="0025155E" w:rsidRPr="00D70DCF" w14:paraId="4EE50A60" w14:textId="77777777" w:rsidTr="009D5DE4">
        <w:tc>
          <w:tcPr>
            <w:tcW w:w="1816" w:type="pct"/>
            <w:hideMark/>
          </w:tcPr>
          <w:p w14:paraId="4E6C21B5" w14:textId="77777777" w:rsidR="0025155E" w:rsidRPr="00D70DCF" w:rsidRDefault="0025155E" w:rsidP="00D70DCF">
            <w:pPr>
              <w:jc w:val="both"/>
              <w:rPr>
                <w:rFonts w:ascii="Arial" w:hAnsi="Arial" w:cs="Arial"/>
                <w:sz w:val="20"/>
                <w:szCs w:val="20"/>
              </w:rPr>
            </w:pPr>
          </w:p>
        </w:tc>
        <w:tc>
          <w:tcPr>
            <w:tcW w:w="553" w:type="pct"/>
            <w:vAlign w:val="center"/>
            <w:hideMark/>
          </w:tcPr>
          <w:p w14:paraId="2555FA31" w14:textId="77777777" w:rsidR="0025155E" w:rsidRPr="00D70DCF" w:rsidRDefault="0025155E" w:rsidP="00D70DCF">
            <w:pPr>
              <w:jc w:val="center"/>
              <w:rPr>
                <w:rFonts w:ascii="Arial" w:hAnsi="Arial" w:cs="Arial"/>
                <w:sz w:val="20"/>
                <w:szCs w:val="20"/>
              </w:rPr>
            </w:pPr>
          </w:p>
        </w:tc>
        <w:tc>
          <w:tcPr>
            <w:tcW w:w="752" w:type="pct"/>
            <w:vAlign w:val="center"/>
            <w:hideMark/>
          </w:tcPr>
          <w:p w14:paraId="6E6BF0AE" w14:textId="77777777" w:rsidR="0025155E" w:rsidRPr="00D70DCF" w:rsidRDefault="0025155E" w:rsidP="00D70DCF">
            <w:pPr>
              <w:jc w:val="center"/>
              <w:rPr>
                <w:rFonts w:ascii="Arial" w:hAnsi="Arial" w:cs="Arial"/>
                <w:sz w:val="20"/>
                <w:szCs w:val="20"/>
              </w:rPr>
            </w:pPr>
          </w:p>
        </w:tc>
        <w:tc>
          <w:tcPr>
            <w:tcW w:w="856" w:type="pct"/>
            <w:vAlign w:val="center"/>
            <w:hideMark/>
          </w:tcPr>
          <w:p w14:paraId="3DFD3CF8" w14:textId="77777777" w:rsidR="0025155E" w:rsidRPr="00D70DCF" w:rsidRDefault="0025155E" w:rsidP="00D70DCF">
            <w:pPr>
              <w:jc w:val="center"/>
              <w:rPr>
                <w:rFonts w:ascii="Arial" w:hAnsi="Arial" w:cs="Arial"/>
                <w:sz w:val="20"/>
                <w:szCs w:val="20"/>
              </w:rPr>
            </w:pPr>
          </w:p>
        </w:tc>
        <w:tc>
          <w:tcPr>
            <w:tcW w:w="1023" w:type="pct"/>
            <w:vAlign w:val="center"/>
            <w:hideMark/>
          </w:tcPr>
          <w:p w14:paraId="3718D661" w14:textId="77777777" w:rsidR="0025155E" w:rsidRPr="00D70DCF" w:rsidRDefault="0025155E" w:rsidP="00D70DCF">
            <w:pPr>
              <w:jc w:val="center"/>
              <w:rPr>
                <w:rFonts w:ascii="Arial" w:hAnsi="Arial" w:cs="Arial"/>
                <w:sz w:val="20"/>
                <w:szCs w:val="20"/>
              </w:rPr>
            </w:pPr>
          </w:p>
        </w:tc>
      </w:tr>
      <w:tr w:rsidR="0025155E" w:rsidRPr="00D70DCF" w14:paraId="6B2E7E49" w14:textId="77777777" w:rsidTr="009D5DE4">
        <w:tc>
          <w:tcPr>
            <w:tcW w:w="1816" w:type="pct"/>
            <w:hideMark/>
          </w:tcPr>
          <w:p w14:paraId="43CBD520" w14:textId="77777777" w:rsidR="0025155E" w:rsidRPr="00D70DCF" w:rsidRDefault="0025155E" w:rsidP="00D70DCF">
            <w:pPr>
              <w:jc w:val="both"/>
              <w:rPr>
                <w:rFonts w:ascii="Arial" w:hAnsi="Arial" w:cs="Arial"/>
                <w:sz w:val="20"/>
                <w:szCs w:val="20"/>
              </w:rPr>
            </w:pPr>
            <w:r w:rsidRPr="00D70DCF">
              <w:rPr>
                <w:rFonts w:ascii="Arial" w:hAnsi="Arial" w:cs="Arial"/>
                <w:b/>
                <w:bCs/>
                <w:sz w:val="20"/>
                <w:szCs w:val="20"/>
              </w:rPr>
              <w:t>Interaction (S × Zn)</w:t>
            </w:r>
          </w:p>
        </w:tc>
        <w:tc>
          <w:tcPr>
            <w:tcW w:w="553" w:type="pct"/>
            <w:vAlign w:val="center"/>
            <w:hideMark/>
          </w:tcPr>
          <w:p w14:paraId="7DBBF4B4"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752" w:type="pct"/>
            <w:vAlign w:val="center"/>
            <w:hideMark/>
          </w:tcPr>
          <w:p w14:paraId="2EA7938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856" w:type="pct"/>
            <w:vAlign w:val="center"/>
            <w:hideMark/>
          </w:tcPr>
          <w:p w14:paraId="6DD4734B"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1023" w:type="pct"/>
            <w:vAlign w:val="center"/>
            <w:hideMark/>
          </w:tcPr>
          <w:p w14:paraId="0A57F3B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r>
      <w:tr w:rsidR="0025155E" w:rsidRPr="00D70DCF" w14:paraId="1D34CED2" w14:textId="77777777" w:rsidTr="009D5DE4">
        <w:tc>
          <w:tcPr>
            <w:tcW w:w="1816" w:type="pct"/>
            <w:vAlign w:val="center"/>
            <w:hideMark/>
          </w:tcPr>
          <w:p w14:paraId="71AFB48C"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t>S.Em</w:t>
            </w:r>
            <w:proofErr w:type="spellEnd"/>
            <w:r w:rsidRPr="00D70DCF">
              <w:rPr>
                <w:rFonts w:ascii="Arial" w:hAnsi="Arial" w:cs="Arial"/>
                <w:b/>
                <w:bCs/>
                <w:sz w:val="20"/>
                <w:szCs w:val="20"/>
              </w:rPr>
              <w:t>. ±</w:t>
            </w:r>
          </w:p>
        </w:tc>
        <w:tc>
          <w:tcPr>
            <w:tcW w:w="553" w:type="pct"/>
            <w:vAlign w:val="center"/>
            <w:hideMark/>
          </w:tcPr>
          <w:p w14:paraId="7CAE4CC7"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45C45A1D"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18C1F31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2.02</w:t>
            </w:r>
          </w:p>
        </w:tc>
        <w:tc>
          <w:tcPr>
            <w:tcW w:w="1023" w:type="pct"/>
            <w:vAlign w:val="center"/>
            <w:hideMark/>
          </w:tcPr>
          <w:p w14:paraId="63966F32"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1.03</w:t>
            </w:r>
          </w:p>
        </w:tc>
      </w:tr>
      <w:tr w:rsidR="0025155E" w:rsidRPr="00D70DCF" w14:paraId="452C552D" w14:textId="77777777" w:rsidTr="009D5DE4">
        <w:tc>
          <w:tcPr>
            <w:tcW w:w="1816" w:type="pct"/>
            <w:vAlign w:val="center"/>
            <w:hideMark/>
          </w:tcPr>
          <w:p w14:paraId="0DEF1939"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CV (%)</w:t>
            </w:r>
          </w:p>
        </w:tc>
        <w:tc>
          <w:tcPr>
            <w:tcW w:w="553" w:type="pct"/>
            <w:vAlign w:val="center"/>
            <w:hideMark/>
          </w:tcPr>
          <w:p w14:paraId="28A7456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8.28</w:t>
            </w:r>
          </w:p>
        </w:tc>
        <w:tc>
          <w:tcPr>
            <w:tcW w:w="752" w:type="pct"/>
            <w:vAlign w:val="center"/>
            <w:hideMark/>
          </w:tcPr>
          <w:p w14:paraId="341E1B8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8.74</w:t>
            </w:r>
          </w:p>
        </w:tc>
        <w:tc>
          <w:tcPr>
            <w:tcW w:w="856" w:type="pct"/>
            <w:vAlign w:val="center"/>
            <w:hideMark/>
          </w:tcPr>
          <w:p w14:paraId="021373E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9.16</w:t>
            </w:r>
          </w:p>
        </w:tc>
        <w:tc>
          <w:tcPr>
            <w:tcW w:w="1023" w:type="pct"/>
            <w:vAlign w:val="center"/>
            <w:hideMark/>
          </w:tcPr>
          <w:p w14:paraId="3F51EE3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7.83</w:t>
            </w:r>
          </w:p>
        </w:tc>
      </w:tr>
    </w:tbl>
    <w:p w14:paraId="21E6BBC7" w14:textId="2BBE73DF" w:rsidR="00D70DCF" w:rsidRDefault="00D70DCF" w:rsidP="0025155E">
      <w:pPr>
        <w:spacing w:before="240"/>
        <w:jc w:val="both"/>
        <w:rPr>
          <w:rFonts w:ascii="Arial" w:hAnsi="Arial" w:cs="Arial"/>
          <w:b/>
          <w:bCs/>
          <w:sz w:val="20"/>
          <w:szCs w:val="20"/>
          <w:lang w:val="en-GB"/>
        </w:rPr>
      </w:pPr>
      <w:r>
        <w:rPr>
          <w:noProof/>
          <w:lang w:eastAsia="en-IN" w:bidi="gu-IN"/>
        </w:rPr>
        <w:drawing>
          <wp:inline distT="0" distB="0" distL="0" distR="0" wp14:anchorId="446FFCCA" wp14:editId="44130CCC">
            <wp:extent cx="5731510" cy="3190126"/>
            <wp:effectExtent l="0" t="0" r="2540" b="10795"/>
            <wp:docPr id="959440628" name="Chart 1">
              <a:extLst xmlns:a="http://schemas.openxmlformats.org/drawingml/2006/main">
                <a:ext uri="{FF2B5EF4-FFF2-40B4-BE49-F238E27FC236}">
                  <a16:creationId xmlns:a16="http://schemas.microsoft.com/office/drawing/2014/main" id="{191EC8FD-BFD4-69E2-6A39-E134D7028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05247B" w14:textId="35556896" w:rsidR="006E2FB9" w:rsidRDefault="006E2FB9" w:rsidP="0025155E">
      <w:pPr>
        <w:spacing w:before="240"/>
        <w:jc w:val="both"/>
        <w:rPr>
          <w:rFonts w:ascii="Arial" w:hAnsi="Arial" w:cs="Arial"/>
          <w:b/>
          <w:bCs/>
          <w:sz w:val="20"/>
          <w:szCs w:val="20"/>
          <w:lang w:val="en-GB"/>
        </w:rPr>
      </w:pPr>
      <w:r>
        <w:rPr>
          <w:noProof/>
          <w:lang w:eastAsia="en-IN" w:bidi="gu-IN"/>
        </w:rPr>
        <w:drawing>
          <wp:inline distT="0" distB="0" distL="0" distR="0" wp14:anchorId="289A1D88" wp14:editId="426834B4">
            <wp:extent cx="5731510" cy="3184629"/>
            <wp:effectExtent l="0" t="0" r="2540" b="15875"/>
            <wp:docPr id="1103529013" name="Chart 1">
              <a:extLst xmlns:a="http://schemas.openxmlformats.org/drawingml/2006/main">
                <a:ext uri="{FF2B5EF4-FFF2-40B4-BE49-F238E27FC236}">
                  <a16:creationId xmlns:a16="http://schemas.microsoft.com/office/drawing/2014/main" id="{0137E659-2A74-2C54-2D65-B85099D84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FA1AF5" w14:textId="4AF04C41" w:rsidR="00D70DCF" w:rsidRDefault="00D70DCF" w:rsidP="00D70DCF">
      <w:pPr>
        <w:jc w:val="both"/>
        <w:rPr>
          <w:rFonts w:ascii="Arial" w:hAnsi="Arial" w:cs="Arial"/>
          <w:b/>
          <w:bCs/>
          <w:sz w:val="20"/>
          <w:szCs w:val="20"/>
          <w:lang w:val="en-GB"/>
        </w:rPr>
      </w:pPr>
      <w:r>
        <w:rPr>
          <w:rFonts w:ascii="Arial" w:hAnsi="Arial" w:cs="Arial"/>
          <w:b/>
          <w:bCs/>
          <w:sz w:val="20"/>
          <w:szCs w:val="20"/>
          <w:lang w:val="en-GB"/>
        </w:rPr>
        <w:t>Figure</w:t>
      </w:r>
      <w:r w:rsidRPr="008026D0">
        <w:rPr>
          <w:rFonts w:ascii="Arial" w:hAnsi="Arial" w:cs="Arial"/>
          <w:b/>
          <w:bCs/>
          <w:sz w:val="20"/>
          <w:szCs w:val="20"/>
          <w:lang w:val="en-GB"/>
        </w:rPr>
        <w:t xml:space="preserve"> </w:t>
      </w:r>
      <w:r>
        <w:rPr>
          <w:rFonts w:ascii="Arial" w:hAnsi="Arial" w:cs="Arial"/>
          <w:b/>
          <w:bCs/>
          <w:sz w:val="20"/>
          <w:szCs w:val="20"/>
          <w:lang w:val="en-GB"/>
        </w:rPr>
        <w:t>1</w:t>
      </w:r>
      <w:r w:rsidRPr="008026D0">
        <w:rPr>
          <w:rFonts w:ascii="Arial" w:hAnsi="Arial" w:cs="Arial"/>
          <w:b/>
          <w:bCs/>
          <w:sz w:val="20"/>
          <w:szCs w:val="20"/>
          <w:lang w:val="en-GB"/>
        </w:rPr>
        <w:t xml:space="preserve">. </w:t>
      </w:r>
      <w:r w:rsidR="006E2FB9" w:rsidRPr="006E2FB9">
        <w:rPr>
          <w:rFonts w:ascii="Arial" w:hAnsi="Arial" w:cs="Arial"/>
          <w:b/>
          <w:bCs/>
          <w:sz w:val="20"/>
          <w:szCs w:val="20"/>
          <w:lang w:val="en-GB"/>
        </w:rPr>
        <w:t>Sulphur and Zinc Content in Seed and Stover as Influenced by Sulphur and Zinc Levels</w:t>
      </w:r>
    </w:p>
    <w:p w14:paraId="1378B8FB" w14:textId="7183B104" w:rsidR="00B46191" w:rsidRPr="004C3FFB" w:rsidRDefault="00B46191" w:rsidP="0025155E">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2</w:t>
      </w:r>
      <w:r w:rsidRPr="004C3FFB">
        <w:rPr>
          <w:rFonts w:ascii="Arial" w:hAnsi="Arial" w:cs="Arial"/>
          <w:b/>
          <w:bCs/>
          <w:sz w:val="20"/>
          <w:szCs w:val="20"/>
          <w:lang w:val="en-GB"/>
        </w:rPr>
        <w:t>.2 Sulphur and Zinc Uptake</w:t>
      </w:r>
    </w:p>
    <w:p w14:paraId="273DFDF0" w14:textId="505BE59E"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Total sulphur uptake more than doubled with sulphur application, from 4.04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₁</w:t>
      </w:r>
      <w:r w:rsidRPr="004C3FFB">
        <w:rPr>
          <w:rFonts w:ascii="Arial" w:hAnsi="Arial" w:cs="Arial"/>
          <w:sz w:val="20"/>
          <w:szCs w:val="20"/>
          <w:lang w:val="en-GB"/>
        </w:rPr>
        <w:t>) to 8.66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₃</w:t>
      </w:r>
      <w:r w:rsidRPr="004C3FFB">
        <w:rPr>
          <w:rFonts w:ascii="Arial" w:hAnsi="Arial" w:cs="Arial"/>
          <w:sz w:val="20"/>
          <w:szCs w:val="20"/>
          <w:lang w:val="en-GB"/>
        </w:rPr>
        <w:t>), and rose from 5.46 to 7.20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(Zn</w:t>
      </w:r>
      <w:r w:rsidRPr="004C3FFB">
        <w:rPr>
          <w:rFonts w:ascii="Cambria Math" w:hAnsi="Cambria Math" w:cs="Cambria Math"/>
          <w:sz w:val="20"/>
          <w:szCs w:val="20"/>
          <w:lang w:val="en-GB"/>
        </w:rPr>
        <w:t>₁</w:t>
      </w:r>
      <w:r w:rsidR="00641BAC">
        <w:rPr>
          <w:rFonts w:ascii="Arial" w:hAnsi="Arial" w:cs="Arial"/>
          <w:sz w:val="20"/>
          <w:szCs w:val="20"/>
          <w:lang w:val="en-GB"/>
        </w:rPr>
        <w:t xml:space="preserve"> to </w:t>
      </w:r>
      <w:r w:rsidRPr="004C3FFB">
        <w:rPr>
          <w:rFonts w:ascii="Arial" w:hAnsi="Arial" w:cs="Arial"/>
          <w:sz w:val="20"/>
          <w:szCs w:val="20"/>
          <w:lang w:val="en-GB"/>
        </w:rPr>
        <w:t>Zn</w:t>
      </w:r>
      <w:r w:rsidRPr="004C3FFB">
        <w:rPr>
          <w:rFonts w:ascii="Cambria Math" w:hAnsi="Cambria Math" w:cs="Cambria Math"/>
          <w:sz w:val="20"/>
          <w:szCs w:val="20"/>
          <w:lang w:val="en-GB"/>
        </w:rPr>
        <w:t>₃</w:t>
      </w:r>
      <w:r w:rsidRPr="004C3FFB">
        <w:rPr>
          <w:rFonts w:ascii="Arial" w:hAnsi="Arial" w:cs="Arial"/>
          <w:sz w:val="20"/>
          <w:szCs w:val="20"/>
          <w:lang w:val="en-GB"/>
        </w:rPr>
        <w:t>) (</w:t>
      </w:r>
      <w:r w:rsidRPr="004C3FFB">
        <w:rPr>
          <w:rFonts w:ascii="Arial" w:hAnsi="Arial" w:cs="Arial"/>
          <w:b/>
          <w:bCs/>
          <w:sz w:val="20"/>
          <w:szCs w:val="20"/>
          <w:lang w:val="en-GB"/>
        </w:rPr>
        <w:t xml:space="preserve">Table </w:t>
      </w:r>
      <w:r w:rsidR="00C82A0C">
        <w:rPr>
          <w:rFonts w:ascii="Arial" w:hAnsi="Arial" w:cs="Arial"/>
          <w:b/>
          <w:bCs/>
          <w:sz w:val="20"/>
          <w:szCs w:val="20"/>
          <w:lang w:val="en-GB"/>
        </w:rPr>
        <w:t>5</w:t>
      </w:r>
      <w:r w:rsidRPr="004C3FFB">
        <w:rPr>
          <w:rFonts w:ascii="Arial" w:hAnsi="Arial" w:cs="Arial"/>
          <w:sz w:val="20"/>
          <w:szCs w:val="20"/>
          <w:lang w:val="en-GB"/>
        </w:rPr>
        <w:t>), the increase being driven jointly by higher tissue concentration and higher biomass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xml:space="preserve">., 2008; Rana </w:t>
      </w:r>
      <w:r w:rsidRPr="004C3FFB">
        <w:rPr>
          <w:rFonts w:ascii="Arial" w:hAnsi="Arial" w:cs="Arial"/>
          <w:i/>
          <w:iCs/>
          <w:sz w:val="20"/>
          <w:szCs w:val="20"/>
          <w:lang w:val="en-GB"/>
        </w:rPr>
        <w:t>et al</w:t>
      </w:r>
      <w:r w:rsidRPr="004C3FFB">
        <w:rPr>
          <w:rFonts w:ascii="Arial" w:hAnsi="Arial" w:cs="Arial"/>
          <w:sz w:val="20"/>
          <w:szCs w:val="20"/>
          <w:lang w:val="en-GB"/>
        </w:rPr>
        <w:t xml:space="preserve">., 2018; Jat and </w:t>
      </w:r>
      <w:r w:rsidRPr="004C3FFB">
        <w:rPr>
          <w:rFonts w:ascii="Arial" w:hAnsi="Arial" w:cs="Arial"/>
          <w:sz w:val="20"/>
          <w:szCs w:val="20"/>
          <w:lang w:val="en-GB"/>
        </w:rPr>
        <w:lastRenderedPageBreak/>
        <w:t xml:space="preserve">Mehra, 2007; Choudhary </w:t>
      </w:r>
      <w:r w:rsidRPr="004C3FFB">
        <w:rPr>
          <w:rFonts w:ascii="Arial" w:hAnsi="Arial" w:cs="Arial"/>
          <w:i/>
          <w:iCs/>
          <w:sz w:val="20"/>
          <w:szCs w:val="20"/>
          <w:lang w:val="en-GB"/>
        </w:rPr>
        <w:t>et al</w:t>
      </w:r>
      <w:r w:rsidRPr="004C3FFB">
        <w:rPr>
          <w:rFonts w:ascii="Arial" w:hAnsi="Arial" w:cs="Arial"/>
          <w:sz w:val="20"/>
          <w:szCs w:val="20"/>
          <w:lang w:val="en-GB"/>
        </w:rPr>
        <w:t xml:space="preserve">., 2016; Vaishnav </w:t>
      </w:r>
      <w:r w:rsidRPr="004C3FFB">
        <w:rPr>
          <w:rFonts w:ascii="Arial" w:hAnsi="Arial" w:cs="Arial"/>
          <w:i/>
          <w:iCs/>
          <w:sz w:val="20"/>
          <w:szCs w:val="20"/>
          <w:lang w:val="en-GB"/>
        </w:rPr>
        <w:t>et al</w:t>
      </w:r>
      <w:r w:rsidRPr="004C3FFB">
        <w:rPr>
          <w:rFonts w:ascii="Arial" w:hAnsi="Arial" w:cs="Arial"/>
          <w:sz w:val="20"/>
          <w:szCs w:val="20"/>
          <w:lang w:val="en-GB"/>
        </w:rPr>
        <w:t>., 2024). Total zinc uptake showed a parallel response, rising from 57.88 to 95.47 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from 64.75 to 88.60 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(Upadhyay, 2012;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Wang </w:t>
      </w:r>
      <w:r w:rsidRPr="004C3FFB">
        <w:rPr>
          <w:rFonts w:ascii="Arial" w:hAnsi="Arial" w:cs="Arial"/>
          <w:i/>
          <w:iCs/>
          <w:sz w:val="20"/>
          <w:szCs w:val="20"/>
          <w:lang w:val="en-GB"/>
        </w:rPr>
        <w:t>et al</w:t>
      </w:r>
      <w:r w:rsidRPr="004C3FFB">
        <w:rPr>
          <w:rFonts w:ascii="Arial" w:hAnsi="Arial" w:cs="Arial"/>
          <w:sz w:val="20"/>
          <w:szCs w:val="20"/>
          <w:lang w:val="en-GB"/>
        </w:rPr>
        <w:t xml:space="preserve">., 2014; Rana </w:t>
      </w:r>
      <w:r w:rsidRPr="004C3FFB">
        <w:rPr>
          <w:rFonts w:ascii="Arial" w:hAnsi="Arial" w:cs="Arial"/>
          <w:i/>
          <w:iCs/>
          <w:sz w:val="20"/>
          <w:szCs w:val="20"/>
          <w:lang w:val="en-GB"/>
        </w:rPr>
        <w:t>et al</w:t>
      </w:r>
      <w:r w:rsidRPr="004C3FFB">
        <w:rPr>
          <w:rFonts w:ascii="Arial" w:hAnsi="Arial" w:cs="Arial"/>
          <w:sz w:val="20"/>
          <w:szCs w:val="20"/>
          <w:lang w:val="en-GB"/>
        </w:rPr>
        <w:t>., 2018), confirming that improved sulphur nutrition enhances not only its own uptake but also that of zinc, most likely through better root development and physiological efficiency. All S × Zn interactions for nutrient uptake were non-significant.</w:t>
      </w:r>
    </w:p>
    <w:p w14:paraId="1043A3C7" w14:textId="5C97B016"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5</w:t>
      </w:r>
      <w:r w:rsidRPr="004C3FFB">
        <w:rPr>
          <w:rFonts w:ascii="Arial" w:hAnsi="Arial" w:cs="Arial"/>
          <w:b/>
          <w:bCs/>
          <w:sz w:val="20"/>
          <w:szCs w:val="20"/>
          <w:lang w:val="en-GB"/>
        </w:rPr>
        <w:t>. Sulphur and Zinc Uptake by Seed, Stover and Total Plant</w:t>
      </w:r>
    </w:p>
    <w:tbl>
      <w:tblPr>
        <w:tblStyle w:val="TableGrid"/>
        <w:tblW w:w="5000" w:type="pct"/>
        <w:tblLook w:val="04A0" w:firstRow="1" w:lastRow="0" w:firstColumn="1" w:lastColumn="0" w:noHBand="0" w:noVBand="1"/>
      </w:tblPr>
      <w:tblGrid>
        <w:gridCol w:w="2699"/>
        <w:gridCol w:w="1001"/>
        <w:gridCol w:w="1118"/>
        <w:gridCol w:w="921"/>
        <w:gridCol w:w="1001"/>
        <w:gridCol w:w="1118"/>
        <w:gridCol w:w="1158"/>
      </w:tblGrid>
      <w:tr w:rsidR="0025155E" w:rsidRPr="00543408" w14:paraId="58DE01FD" w14:textId="77777777" w:rsidTr="009D5DE4">
        <w:tc>
          <w:tcPr>
            <w:tcW w:w="1497" w:type="pct"/>
            <w:vMerge w:val="restart"/>
            <w:vAlign w:val="center"/>
          </w:tcPr>
          <w:p w14:paraId="5EF8B5BA" w14:textId="77777777" w:rsidR="0025155E" w:rsidRPr="00543408" w:rsidRDefault="0025155E" w:rsidP="00543408">
            <w:pPr>
              <w:jc w:val="both"/>
              <w:rPr>
                <w:rFonts w:ascii="Arial" w:hAnsi="Arial" w:cs="Arial"/>
                <w:b/>
                <w:bCs/>
                <w:sz w:val="20"/>
                <w:szCs w:val="20"/>
              </w:rPr>
            </w:pPr>
            <w:r w:rsidRPr="00543408">
              <w:rPr>
                <w:rFonts w:ascii="Arial" w:hAnsi="Arial" w:cs="Arial"/>
                <w:b/>
                <w:bCs/>
                <w:sz w:val="20"/>
                <w:szCs w:val="20"/>
              </w:rPr>
              <w:t>Treatments</w:t>
            </w:r>
          </w:p>
        </w:tc>
        <w:tc>
          <w:tcPr>
            <w:tcW w:w="1686" w:type="pct"/>
            <w:gridSpan w:val="3"/>
            <w:vAlign w:val="center"/>
          </w:tcPr>
          <w:p w14:paraId="06609B8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 Uptake (kg</w:t>
            </w:r>
            <w:r w:rsidRPr="00543408">
              <w:rPr>
                <w:rFonts w:ascii="Arial" w:hAnsi="Arial" w:cs="Arial"/>
                <w:sz w:val="20"/>
                <w:szCs w:val="20"/>
              </w:rPr>
              <w:t xml:space="preserve"> </w:t>
            </w:r>
            <w:r w:rsidRPr="00543408">
              <w:rPr>
                <w:rFonts w:ascii="Arial" w:hAnsi="Arial" w:cs="Arial"/>
                <w:b/>
                <w:bCs/>
                <w:sz w:val="20"/>
                <w:szCs w:val="20"/>
              </w:rPr>
              <w:t>ha</w:t>
            </w:r>
            <w:r w:rsidRPr="00543408">
              <w:rPr>
                <w:rFonts w:ascii="Arial" w:hAnsi="Arial" w:cs="Arial"/>
                <w:b/>
                <w:bCs/>
                <w:sz w:val="20"/>
                <w:szCs w:val="20"/>
                <w:vertAlign w:val="superscript"/>
              </w:rPr>
              <w:t>-1</w:t>
            </w:r>
            <w:r w:rsidRPr="00543408">
              <w:rPr>
                <w:rFonts w:ascii="Arial" w:hAnsi="Arial" w:cs="Arial"/>
                <w:b/>
                <w:bCs/>
                <w:sz w:val="20"/>
                <w:szCs w:val="20"/>
              </w:rPr>
              <w:t>)</w:t>
            </w:r>
          </w:p>
        </w:tc>
        <w:tc>
          <w:tcPr>
            <w:tcW w:w="1817" w:type="pct"/>
            <w:gridSpan w:val="3"/>
            <w:vAlign w:val="center"/>
          </w:tcPr>
          <w:p w14:paraId="433B66A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Zn Uptake (g</w:t>
            </w:r>
            <w:r w:rsidRPr="00543408">
              <w:rPr>
                <w:rFonts w:ascii="Arial" w:hAnsi="Arial" w:cs="Arial"/>
                <w:sz w:val="20"/>
                <w:szCs w:val="20"/>
              </w:rPr>
              <w:t xml:space="preserve"> </w:t>
            </w:r>
            <w:r w:rsidRPr="00543408">
              <w:rPr>
                <w:rFonts w:ascii="Arial" w:hAnsi="Arial" w:cs="Arial"/>
                <w:b/>
                <w:bCs/>
                <w:sz w:val="20"/>
                <w:szCs w:val="20"/>
              </w:rPr>
              <w:t>ha</w:t>
            </w:r>
            <w:r w:rsidRPr="00543408">
              <w:rPr>
                <w:rFonts w:ascii="Arial" w:hAnsi="Arial" w:cs="Arial"/>
                <w:b/>
                <w:bCs/>
                <w:sz w:val="20"/>
                <w:szCs w:val="20"/>
                <w:vertAlign w:val="superscript"/>
              </w:rPr>
              <w:t>-1</w:t>
            </w:r>
            <w:r w:rsidRPr="00543408">
              <w:rPr>
                <w:rFonts w:ascii="Arial" w:hAnsi="Arial" w:cs="Arial"/>
                <w:b/>
                <w:bCs/>
                <w:sz w:val="20"/>
                <w:szCs w:val="20"/>
              </w:rPr>
              <w:t>)</w:t>
            </w:r>
          </w:p>
        </w:tc>
      </w:tr>
      <w:tr w:rsidR="0025155E" w:rsidRPr="00543408" w14:paraId="6BF991B5" w14:textId="77777777" w:rsidTr="009D5DE4">
        <w:tc>
          <w:tcPr>
            <w:tcW w:w="1497" w:type="pct"/>
            <w:vMerge/>
            <w:vAlign w:val="center"/>
            <w:hideMark/>
          </w:tcPr>
          <w:p w14:paraId="57FF2146" w14:textId="77777777" w:rsidR="0025155E" w:rsidRPr="00543408" w:rsidRDefault="0025155E" w:rsidP="00543408">
            <w:pPr>
              <w:jc w:val="both"/>
              <w:rPr>
                <w:rFonts w:ascii="Arial" w:hAnsi="Arial" w:cs="Arial"/>
                <w:b/>
                <w:bCs/>
                <w:sz w:val="20"/>
                <w:szCs w:val="20"/>
              </w:rPr>
            </w:pPr>
          </w:p>
        </w:tc>
        <w:tc>
          <w:tcPr>
            <w:tcW w:w="555" w:type="pct"/>
            <w:vAlign w:val="center"/>
            <w:hideMark/>
          </w:tcPr>
          <w:p w14:paraId="71AC568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Seed</w:t>
            </w:r>
          </w:p>
        </w:tc>
        <w:tc>
          <w:tcPr>
            <w:tcW w:w="620" w:type="pct"/>
            <w:vAlign w:val="center"/>
            <w:hideMark/>
          </w:tcPr>
          <w:p w14:paraId="7B7FE8D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Stover</w:t>
            </w:r>
          </w:p>
        </w:tc>
        <w:tc>
          <w:tcPr>
            <w:tcW w:w="511" w:type="pct"/>
            <w:vAlign w:val="center"/>
            <w:hideMark/>
          </w:tcPr>
          <w:p w14:paraId="751510C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Total</w:t>
            </w:r>
          </w:p>
        </w:tc>
        <w:tc>
          <w:tcPr>
            <w:tcW w:w="555" w:type="pct"/>
            <w:vAlign w:val="center"/>
            <w:hideMark/>
          </w:tcPr>
          <w:p w14:paraId="44312F1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Seed</w:t>
            </w:r>
          </w:p>
        </w:tc>
        <w:tc>
          <w:tcPr>
            <w:tcW w:w="620" w:type="pct"/>
            <w:vAlign w:val="center"/>
            <w:hideMark/>
          </w:tcPr>
          <w:p w14:paraId="2DE8FB0C"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Stover</w:t>
            </w:r>
          </w:p>
        </w:tc>
        <w:tc>
          <w:tcPr>
            <w:tcW w:w="642" w:type="pct"/>
            <w:vAlign w:val="center"/>
            <w:hideMark/>
          </w:tcPr>
          <w:p w14:paraId="5DF3C5D6"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Total</w:t>
            </w:r>
          </w:p>
        </w:tc>
      </w:tr>
      <w:tr w:rsidR="0025155E" w:rsidRPr="00543408" w14:paraId="236D0408" w14:textId="77777777" w:rsidTr="009D5DE4">
        <w:tc>
          <w:tcPr>
            <w:tcW w:w="5000" w:type="pct"/>
            <w:gridSpan w:val="7"/>
            <w:vAlign w:val="center"/>
            <w:hideMark/>
          </w:tcPr>
          <w:p w14:paraId="6057CD54" w14:textId="77777777" w:rsidR="0025155E" w:rsidRPr="00543408" w:rsidRDefault="0025155E" w:rsidP="00543408">
            <w:pPr>
              <w:rPr>
                <w:rFonts w:ascii="Arial" w:hAnsi="Arial" w:cs="Arial"/>
                <w:sz w:val="20"/>
                <w:szCs w:val="20"/>
              </w:rPr>
            </w:pPr>
            <w:r w:rsidRPr="00543408">
              <w:rPr>
                <w:rFonts w:ascii="Arial" w:hAnsi="Arial" w:cs="Arial"/>
                <w:b/>
                <w:bCs/>
                <w:sz w:val="20"/>
                <w:szCs w:val="20"/>
              </w:rPr>
              <w:t>(A) Sulphur levels</w:t>
            </w:r>
          </w:p>
        </w:tc>
      </w:tr>
      <w:tr w:rsidR="0025155E" w:rsidRPr="00543408" w14:paraId="7DCDB276" w14:textId="77777777" w:rsidTr="009D5DE4">
        <w:tc>
          <w:tcPr>
            <w:tcW w:w="1497" w:type="pct"/>
            <w:hideMark/>
          </w:tcPr>
          <w:p w14:paraId="28406BB1"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1</w:t>
            </w:r>
            <w:r w:rsidRPr="00543408">
              <w:rPr>
                <w:rFonts w:ascii="Arial" w:hAnsi="Arial" w:cs="Arial"/>
                <w:sz w:val="20"/>
                <w:szCs w:val="20"/>
              </w:rPr>
              <w:t xml:space="preserve"> (00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4A70356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1.73</w:t>
            </w:r>
          </w:p>
        </w:tc>
        <w:tc>
          <w:tcPr>
            <w:tcW w:w="620" w:type="pct"/>
            <w:vAlign w:val="center"/>
            <w:hideMark/>
          </w:tcPr>
          <w:p w14:paraId="4DBD6A90"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2.31</w:t>
            </w:r>
          </w:p>
        </w:tc>
        <w:tc>
          <w:tcPr>
            <w:tcW w:w="511" w:type="pct"/>
            <w:vAlign w:val="center"/>
            <w:hideMark/>
          </w:tcPr>
          <w:p w14:paraId="76ADEE5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4.04</w:t>
            </w:r>
          </w:p>
        </w:tc>
        <w:tc>
          <w:tcPr>
            <w:tcW w:w="555" w:type="pct"/>
            <w:vAlign w:val="center"/>
            <w:hideMark/>
          </w:tcPr>
          <w:p w14:paraId="099DDCF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26.48</w:t>
            </w:r>
          </w:p>
        </w:tc>
        <w:tc>
          <w:tcPr>
            <w:tcW w:w="620" w:type="pct"/>
            <w:vAlign w:val="center"/>
            <w:hideMark/>
          </w:tcPr>
          <w:p w14:paraId="0831F94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31.40</w:t>
            </w:r>
          </w:p>
        </w:tc>
        <w:tc>
          <w:tcPr>
            <w:tcW w:w="642" w:type="pct"/>
            <w:vAlign w:val="center"/>
            <w:hideMark/>
          </w:tcPr>
          <w:p w14:paraId="00349F3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57.88</w:t>
            </w:r>
          </w:p>
        </w:tc>
      </w:tr>
      <w:tr w:rsidR="0025155E" w:rsidRPr="00543408" w14:paraId="0341A0F9" w14:textId="77777777" w:rsidTr="009D5DE4">
        <w:tc>
          <w:tcPr>
            <w:tcW w:w="1497" w:type="pct"/>
            <w:hideMark/>
          </w:tcPr>
          <w:p w14:paraId="574447C3"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2</w:t>
            </w:r>
            <w:r w:rsidRPr="00543408">
              <w:rPr>
                <w:rFonts w:ascii="Arial" w:hAnsi="Arial" w:cs="Arial"/>
                <w:sz w:val="20"/>
                <w:szCs w:val="20"/>
              </w:rPr>
              <w:t xml:space="preserve"> (20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7181E57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2.50</w:t>
            </w:r>
          </w:p>
        </w:tc>
        <w:tc>
          <w:tcPr>
            <w:tcW w:w="620" w:type="pct"/>
            <w:vAlign w:val="center"/>
            <w:hideMark/>
          </w:tcPr>
          <w:p w14:paraId="1F4D206F"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3.69</w:t>
            </w:r>
          </w:p>
        </w:tc>
        <w:tc>
          <w:tcPr>
            <w:tcW w:w="511" w:type="pct"/>
            <w:vAlign w:val="center"/>
            <w:hideMark/>
          </w:tcPr>
          <w:p w14:paraId="6CE2154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6.19</w:t>
            </w:r>
          </w:p>
        </w:tc>
        <w:tc>
          <w:tcPr>
            <w:tcW w:w="555" w:type="pct"/>
            <w:vAlign w:val="center"/>
            <w:hideMark/>
          </w:tcPr>
          <w:p w14:paraId="3856D4D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33.39</w:t>
            </w:r>
          </w:p>
        </w:tc>
        <w:tc>
          <w:tcPr>
            <w:tcW w:w="620" w:type="pct"/>
            <w:vAlign w:val="center"/>
            <w:hideMark/>
          </w:tcPr>
          <w:p w14:paraId="762F9E0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42.21</w:t>
            </w:r>
          </w:p>
        </w:tc>
        <w:tc>
          <w:tcPr>
            <w:tcW w:w="642" w:type="pct"/>
            <w:vAlign w:val="center"/>
            <w:hideMark/>
          </w:tcPr>
          <w:p w14:paraId="1BCF858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75.60</w:t>
            </w:r>
          </w:p>
        </w:tc>
      </w:tr>
      <w:tr w:rsidR="0025155E" w:rsidRPr="00543408" w14:paraId="3E60467F" w14:textId="77777777" w:rsidTr="009D5DE4">
        <w:tc>
          <w:tcPr>
            <w:tcW w:w="1497" w:type="pct"/>
            <w:hideMark/>
          </w:tcPr>
          <w:p w14:paraId="07C934A5"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3</w:t>
            </w:r>
            <w:r w:rsidRPr="00543408">
              <w:rPr>
                <w:rFonts w:ascii="Arial" w:hAnsi="Arial" w:cs="Arial"/>
                <w:sz w:val="20"/>
                <w:szCs w:val="20"/>
              </w:rPr>
              <w:t xml:space="preserve"> (40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4CF55CA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3.41</w:t>
            </w:r>
          </w:p>
        </w:tc>
        <w:tc>
          <w:tcPr>
            <w:tcW w:w="620" w:type="pct"/>
            <w:vAlign w:val="center"/>
            <w:hideMark/>
          </w:tcPr>
          <w:p w14:paraId="7BF08B22"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5.25</w:t>
            </w:r>
          </w:p>
        </w:tc>
        <w:tc>
          <w:tcPr>
            <w:tcW w:w="511" w:type="pct"/>
            <w:vAlign w:val="center"/>
            <w:hideMark/>
          </w:tcPr>
          <w:p w14:paraId="5616A0C5"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8.66</w:t>
            </w:r>
          </w:p>
        </w:tc>
        <w:tc>
          <w:tcPr>
            <w:tcW w:w="555" w:type="pct"/>
            <w:vAlign w:val="center"/>
            <w:hideMark/>
          </w:tcPr>
          <w:p w14:paraId="3D228480"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41.54</w:t>
            </w:r>
          </w:p>
        </w:tc>
        <w:tc>
          <w:tcPr>
            <w:tcW w:w="620" w:type="pct"/>
            <w:vAlign w:val="center"/>
            <w:hideMark/>
          </w:tcPr>
          <w:p w14:paraId="704201A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53.93</w:t>
            </w:r>
          </w:p>
        </w:tc>
        <w:tc>
          <w:tcPr>
            <w:tcW w:w="642" w:type="pct"/>
            <w:vAlign w:val="center"/>
            <w:hideMark/>
          </w:tcPr>
          <w:p w14:paraId="2F467E1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95.47</w:t>
            </w:r>
          </w:p>
        </w:tc>
      </w:tr>
      <w:tr w:rsidR="0025155E" w:rsidRPr="00543408" w14:paraId="170AF3B3" w14:textId="77777777" w:rsidTr="009D5DE4">
        <w:tc>
          <w:tcPr>
            <w:tcW w:w="1497" w:type="pct"/>
            <w:vAlign w:val="center"/>
            <w:hideMark/>
          </w:tcPr>
          <w:p w14:paraId="0E7D3F92"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75FC77D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0.09</w:t>
            </w:r>
          </w:p>
        </w:tc>
        <w:tc>
          <w:tcPr>
            <w:tcW w:w="620" w:type="pct"/>
            <w:vAlign w:val="center"/>
            <w:hideMark/>
          </w:tcPr>
          <w:p w14:paraId="718D541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0.11</w:t>
            </w:r>
          </w:p>
        </w:tc>
        <w:tc>
          <w:tcPr>
            <w:tcW w:w="511" w:type="pct"/>
            <w:vAlign w:val="center"/>
            <w:hideMark/>
          </w:tcPr>
          <w:p w14:paraId="55E07F3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555" w:type="pct"/>
            <w:vAlign w:val="center"/>
            <w:hideMark/>
          </w:tcPr>
          <w:p w14:paraId="207DB1CF"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1.15</w:t>
            </w:r>
          </w:p>
        </w:tc>
        <w:tc>
          <w:tcPr>
            <w:tcW w:w="620" w:type="pct"/>
            <w:vAlign w:val="center"/>
            <w:hideMark/>
          </w:tcPr>
          <w:p w14:paraId="111B0E9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1.10</w:t>
            </w:r>
          </w:p>
        </w:tc>
        <w:tc>
          <w:tcPr>
            <w:tcW w:w="642" w:type="pct"/>
            <w:vAlign w:val="center"/>
            <w:hideMark/>
          </w:tcPr>
          <w:p w14:paraId="560BA021"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1.77</w:t>
            </w:r>
          </w:p>
        </w:tc>
      </w:tr>
      <w:tr w:rsidR="0025155E" w:rsidRPr="00543408" w14:paraId="49B23586" w14:textId="77777777" w:rsidTr="009D5DE4">
        <w:tc>
          <w:tcPr>
            <w:tcW w:w="1497" w:type="pct"/>
            <w:vAlign w:val="center"/>
            <w:hideMark/>
          </w:tcPr>
          <w:p w14:paraId="1A33C81C"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CD at 5%</w:t>
            </w:r>
          </w:p>
        </w:tc>
        <w:tc>
          <w:tcPr>
            <w:tcW w:w="555" w:type="pct"/>
            <w:vAlign w:val="center"/>
            <w:hideMark/>
          </w:tcPr>
          <w:p w14:paraId="4F90A8D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620" w:type="pct"/>
            <w:vAlign w:val="center"/>
            <w:hideMark/>
          </w:tcPr>
          <w:p w14:paraId="7BAA5C0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0.33</w:t>
            </w:r>
          </w:p>
        </w:tc>
        <w:tc>
          <w:tcPr>
            <w:tcW w:w="511" w:type="pct"/>
            <w:vAlign w:val="center"/>
            <w:hideMark/>
          </w:tcPr>
          <w:p w14:paraId="51997885"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0.44</w:t>
            </w:r>
          </w:p>
        </w:tc>
        <w:tc>
          <w:tcPr>
            <w:tcW w:w="555" w:type="pct"/>
            <w:vAlign w:val="center"/>
            <w:hideMark/>
          </w:tcPr>
          <w:p w14:paraId="07B16973"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3.35</w:t>
            </w:r>
          </w:p>
        </w:tc>
        <w:tc>
          <w:tcPr>
            <w:tcW w:w="620" w:type="pct"/>
            <w:vAlign w:val="center"/>
            <w:hideMark/>
          </w:tcPr>
          <w:p w14:paraId="3C27202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3.20</w:t>
            </w:r>
          </w:p>
        </w:tc>
        <w:tc>
          <w:tcPr>
            <w:tcW w:w="642" w:type="pct"/>
            <w:vAlign w:val="center"/>
            <w:hideMark/>
          </w:tcPr>
          <w:p w14:paraId="4409DEB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5.17</w:t>
            </w:r>
          </w:p>
        </w:tc>
      </w:tr>
      <w:tr w:rsidR="0025155E" w:rsidRPr="00543408" w14:paraId="53E7C26F" w14:textId="77777777" w:rsidTr="009D5DE4">
        <w:tc>
          <w:tcPr>
            <w:tcW w:w="5000" w:type="pct"/>
            <w:gridSpan w:val="7"/>
            <w:vAlign w:val="center"/>
            <w:hideMark/>
          </w:tcPr>
          <w:p w14:paraId="54BC391C" w14:textId="77777777" w:rsidR="0025155E" w:rsidRPr="00543408" w:rsidRDefault="0025155E" w:rsidP="00543408">
            <w:pPr>
              <w:rPr>
                <w:rFonts w:ascii="Arial" w:hAnsi="Arial" w:cs="Arial"/>
                <w:sz w:val="20"/>
                <w:szCs w:val="20"/>
              </w:rPr>
            </w:pPr>
            <w:r w:rsidRPr="00543408">
              <w:rPr>
                <w:rFonts w:ascii="Arial" w:hAnsi="Arial" w:cs="Arial"/>
                <w:b/>
                <w:bCs/>
                <w:sz w:val="20"/>
                <w:szCs w:val="20"/>
              </w:rPr>
              <w:t>(B) Zinc levels</w:t>
            </w:r>
          </w:p>
        </w:tc>
      </w:tr>
      <w:tr w:rsidR="0025155E" w:rsidRPr="00543408" w14:paraId="6BAB06BD" w14:textId="77777777" w:rsidTr="009D5DE4">
        <w:tc>
          <w:tcPr>
            <w:tcW w:w="1497" w:type="pct"/>
            <w:hideMark/>
          </w:tcPr>
          <w:p w14:paraId="7D1AFF4D"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1</w:t>
            </w:r>
            <w:r w:rsidRPr="00543408">
              <w:rPr>
                <w:rFonts w:ascii="Arial" w:hAnsi="Arial" w:cs="Arial"/>
                <w:sz w:val="20"/>
                <w:szCs w:val="20"/>
              </w:rPr>
              <w:t xml:space="preserve"> (00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0FC12B2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2.20</w:t>
            </w:r>
          </w:p>
        </w:tc>
        <w:tc>
          <w:tcPr>
            <w:tcW w:w="620" w:type="pct"/>
            <w:vAlign w:val="center"/>
            <w:hideMark/>
          </w:tcPr>
          <w:p w14:paraId="00A14C8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3.26</w:t>
            </w:r>
          </w:p>
        </w:tc>
        <w:tc>
          <w:tcPr>
            <w:tcW w:w="511" w:type="pct"/>
            <w:vAlign w:val="center"/>
            <w:hideMark/>
          </w:tcPr>
          <w:p w14:paraId="4701132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5.46</w:t>
            </w:r>
          </w:p>
        </w:tc>
        <w:tc>
          <w:tcPr>
            <w:tcW w:w="555" w:type="pct"/>
            <w:vAlign w:val="center"/>
            <w:hideMark/>
          </w:tcPr>
          <w:p w14:paraId="0F48D002"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29.17</w:t>
            </w:r>
          </w:p>
        </w:tc>
        <w:tc>
          <w:tcPr>
            <w:tcW w:w="620" w:type="pct"/>
            <w:vAlign w:val="center"/>
            <w:hideMark/>
          </w:tcPr>
          <w:p w14:paraId="77609FEF"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35.58</w:t>
            </w:r>
          </w:p>
        </w:tc>
        <w:tc>
          <w:tcPr>
            <w:tcW w:w="642" w:type="pct"/>
            <w:vAlign w:val="center"/>
            <w:hideMark/>
          </w:tcPr>
          <w:p w14:paraId="50E49167"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64.75</w:t>
            </w:r>
          </w:p>
        </w:tc>
      </w:tr>
      <w:tr w:rsidR="0025155E" w:rsidRPr="00543408" w14:paraId="654B2FB5" w14:textId="77777777" w:rsidTr="009D5DE4">
        <w:tc>
          <w:tcPr>
            <w:tcW w:w="1497" w:type="pct"/>
            <w:hideMark/>
          </w:tcPr>
          <w:p w14:paraId="1B2E7733"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2</w:t>
            </w:r>
            <w:r w:rsidRPr="00543408">
              <w:rPr>
                <w:rFonts w:ascii="Arial" w:hAnsi="Arial" w:cs="Arial"/>
                <w:sz w:val="20"/>
                <w:szCs w:val="20"/>
              </w:rPr>
              <w:t xml:space="preserve"> (2.5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609FA0C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2.53</w:t>
            </w:r>
          </w:p>
        </w:tc>
        <w:tc>
          <w:tcPr>
            <w:tcW w:w="620" w:type="pct"/>
            <w:vAlign w:val="center"/>
            <w:hideMark/>
          </w:tcPr>
          <w:p w14:paraId="66E8473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3.70</w:t>
            </w:r>
          </w:p>
        </w:tc>
        <w:tc>
          <w:tcPr>
            <w:tcW w:w="511" w:type="pct"/>
            <w:vAlign w:val="center"/>
            <w:hideMark/>
          </w:tcPr>
          <w:p w14:paraId="7801D18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6.23</w:t>
            </w:r>
          </w:p>
        </w:tc>
        <w:tc>
          <w:tcPr>
            <w:tcW w:w="555" w:type="pct"/>
            <w:vAlign w:val="center"/>
            <w:hideMark/>
          </w:tcPr>
          <w:p w14:paraId="78D087E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33.34</w:t>
            </w:r>
          </w:p>
        </w:tc>
        <w:tc>
          <w:tcPr>
            <w:tcW w:w="620" w:type="pct"/>
            <w:vAlign w:val="center"/>
            <w:hideMark/>
          </w:tcPr>
          <w:p w14:paraId="72FB856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42.26</w:t>
            </w:r>
          </w:p>
        </w:tc>
        <w:tc>
          <w:tcPr>
            <w:tcW w:w="642" w:type="pct"/>
            <w:vAlign w:val="center"/>
            <w:hideMark/>
          </w:tcPr>
          <w:p w14:paraId="3639DFCB"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75.60</w:t>
            </w:r>
          </w:p>
        </w:tc>
      </w:tr>
      <w:tr w:rsidR="0025155E" w:rsidRPr="00543408" w14:paraId="51DDA988" w14:textId="77777777" w:rsidTr="009D5DE4">
        <w:tc>
          <w:tcPr>
            <w:tcW w:w="1497" w:type="pct"/>
            <w:hideMark/>
          </w:tcPr>
          <w:p w14:paraId="10721F1A"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3</w:t>
            </w:r>
            <w:r w:rsidRPr="00543408">
              <w:rPr>
                <w:rFonts w:ascii="Arial" w:hAnsi="Arial" w:cs="Arial"/>
                <w:sz w:val="20"/>
                <w:szCs w:val="20"/>
              </w:rPr>
              <w:t xml:space="preserve"> (5.0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051FF4F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2.91</w:t>
            </w:r>
          </w:p>
        </w:tc>
        <w:tc>
          <w:tcPr>
            <w:tcW w:w="620" w:type="pct"/>
            <w:vAlign w:val="center"/>
            <w:hideMark/>
          </w:tcPr>
          <w:p w14:paraId="3604D33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4.29</w:t>
            </w:r>
          </w:p>
        </w:tc>
        <w:tc>
          <w:tcPr>
            <w:tcW w:w="511" w:type="pct"/>
            <w:vAlign w:val="center"/>
            <w:hideMark/>
          </w:tcPr>
          <w:p w14:paraId="72279CA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7.20</w:t>
            </w:r>
          </w:p>
        </w:tc>
        <w:tc>
          <w:tcPr>
            <w:tcW w:w="555" w:type="pct"/>
            <w:vAlign w:val="center"/>
            <w:hideMark/>
          </w:tcPr>
          <w:p w14:paraId="74B18AE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38.90</w:t>
            </w:r>
          </w:p>
        </w:tc>
        <w:tc>
          <w:tcPr>
            <w:tcW w:w="620" w:type="pct"/>
            <w:vAlign w:val="center"/>
            <w:hideMark/>
          </w:tcPr>
          <w:p w14:paraId="5A2BCBC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49.70</w:t>
            </w:r>
          </w:p>
        </w:tc>
        <w:tc>
          <w:tcPr>
            <w:tcW w:w="642" w:type="pct"/>
            <w:vAlign w:val="center"/>
            <w:hideMark/>
          </w:tcPr>
          <w:p w14:paraId="5D34E90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88.60</w:t>
            </w:r>
          </w:p>
        </w:tc>
      </w:tr>
      <w:tr w:rsidR="0025155E" w:rsidRPr="00543408" w14:paraId="4AE41255" w14:textId="77777777" w:rsidTr="009D5DE4">
        <w:tc>
          <w:tcPr>
            <w:tcW w:w="1497" w:type="pct"/>
            <w:vAlign w:val="center"/>
            <w:hideMark/>
          </w:tcPr>
          <w:p w14:paraId="3FBDB261"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6B710342"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0.09</w:t>
            </w:r>
          </w:p>
        </w:tc>
        <w:tc>
          <w:tcPr>
            <w:tcW w:w="620" w:type="pct"/>
            <w:vAlign w:val="center"/>
            <w:hideMark/>
          </w:tcPr>
          <w:p w14:paraId="6996FAE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0.11</w:t>
            </w:r>
          </w:p>
        </w:tc>
        <w:tc>
          <w:tcPr>
            <w:tcW w:w="511" w:type="pct"/>
            <w:vAlign w:val="center"/>
            <w:hideMark/>
          </w:tcPr>
          <w:p w14:paraId="602365F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555" w:type="pct"/>
            <w:vAlign w:val="center"/>
            <w:hideMark/>
          </w:tcPr>
          <w:p w14:paraId="490BF24C"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1.15</w:t>
            </w:r>
          </w:p>
        </w:tc>
        <w:tc>
          <w:tcPr>
            <w:tcW w:w="620" w:type="pct"/>
            <w:vAlign w:val="center"/>
            <w:hideMark/>
          </w:tcPr>
          <w:p w14:paraId="6A5B3C93"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1.10</w:t>
            </w:r>
          </w:p>
        </w:tc>
        <w:tc>
          <w:tcPr>
            <w:tcW w:w="642" w:type="pct"/>
            <w:vAlign w:val="center"/>
            <w:hideMark/>
          </w:tcPr>
          <w:p w14:paraId="492FD3F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1.77</w:t>
            </w:r>
          </w:p>
        </w:tc>
      </w:tr>
      <w:tr w:rsidR="0025155E" w:rsidRPr="00543408" w14:paraId="5250ADBC" w14:textId="77777777" w:rsidTr="009D5DE4">
        <w:tc>
          <w:tcPr>
            <w:tcW w:w="1497" w:type="pct"/>
            <w:vAlign w:val="center"/>
            <w:hideMark/>
          </w:tcPr>
          <w:p w14:paraId="2AA03207"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CD at 5%</w:t>
            </w:r>
          </w:p>
        </w:tc>
        <w:tc>
          <w:tcPr>
            <w:tcW w:w="555" w:type="pct"/>
            <w:vAlign w:val="center"/>
            <w:hideMark/>
          </w:tcPr>
          <w:p w14:paraId="5EAC06A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620" w:type="pct"/>
            <w:vAlign w:val="center"/>
            <w:hideMark/>
          </w:tcPr>
          <w:p w14:paraId="0887A21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0.33</w:t>
            </w:r>
          </w:p>
        </w:tc>
        <w:tc>
          <w:tcPr>
            <w:tcW w:w="511" w:type="pct"/>
            <w:vAlign w:val="center"/>
            <w:hideMark/>
          </w:tcPr>
          <w:p w14:paraId="5661FE0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0.44</w:t>
            </w:r>
          </w:p>
        </w:tc>
        <w:tc>
          <w:tcPr>
            <w:tcW w:w="555" w:type="pct"/>
            <w:vAlign w:val="center"/>
            <w:hideMark/>
          </w:tcPr>
          <w:p w14:paraId="085B632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3.35</w:t>
            </w:r>
          </w:p>
        </w:tc>
        <w:tc>
          <w:tcPr>
            <w:tcW w:w="620" w:type="pct"/>
            <w:vAlign w:val="center"/>
            <w:hideMark/>
          </w:tcPr>
          <w:p w14:paraId="34F7BEBD"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3.20</w:t>
            </w:r>
          </w:p>
        </w:tc>
        <w:tc>
          <w:tcPr>
            <w:tcW w:w="642" w:type="pct"/>
            <w:vAlign w:val="center"/>
            <w:hideMark/>
          </w:tcPr>
          <w:p w14:paraId="1F5D1DE5"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5.17</w:t>
            </w:r>
          </w:p>
        </w:tc>
      </w:tr>
      <w:tr w:rsidR="0025155E" w:rsidRPr="00543408" w14:paraId="23659959" w14:textId="77777777" w:rsidTr="009D5DE4">
        <w:tc>
          <w:tcPr>
            <w:tcW w:w="1497" w:type="pct"/>
            <w:vAlign w:val="center"/>
            <w:hideMark/>
          </w:tcPr>
          <w:p w14:paraId="7C25F370" w14:textId="77777777" w:rsidR="0025155E" w:rsidRPr="00543408" w:rsidRDefault="0025155E" w:rsidP="00543408">
            <w:pPr>
              <w:jc w:val="both"/>
              <w:rPr>
                <w:rFonts w:ascii="Arial" w:hAnsi="Arial" w:cs="Arial"/>
                <w:sz w:val="20"/>
                <w:szCs w:val="20"/>
              </w:rPr>
            </w:pPr>
            <w:r w:rsidRPr="00543408">
              <w:rPr>
                <w:rFonts w:ascii="Arial" w:hAnsi="Arial" w:cs="Arial"/>
                <w:b/>
                <w:bCs/>
                <w:sz w:val="20"/>
                <w:szCs w:val="20"/>
              </w:rPr>
              <w:t>Interaction (S × Zn)</w:t>
            </w:r>
          </w:p>
        </w:tc>
        <w:tc>
          <w:tcPr>
            <w:tcW w:w="555" w:type="pct"/>
            <w:vAlign w:val="center"/>
            <w:hideMark/>
          </w:tcPr>
          <w:p w14:paraId="56F91057"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20" w:type="pct"/>
            <w:vAlign w:val="center"/>
            <w:hideMark/>
          </w:tcPr>
          <w:p w14:paraId="2BF4AEC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511" w:type="pct"/>
            <w:vAlign w:val="center"/>
            <w:hideMark/>
          </w:tcPr>
          <w:p w14:paraId="64E2B61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555" w:type="pct"/>
            <w:vAlign w:val="center"/>
            <w:hideMark/>
          </w:tcPr>
          <w:p w14:paraId="6870F62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20" w:type="pct"/>
            <w:vAlign w:val="center"/>
            <w:hideMark/>
          </w:tcPr>
          <w:p w14:paraId="50A06041"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42" w:type="pct"/>
            <w:vAlign w:val="center"/>
            <w:hideMark/>
          </w:tcPr>
          <w:p w14:paraId="339983E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r>
      <w:tr w:rsidR="0025155E" w:rsidRPr="00543408" w14:paraId="3AC38947" w14:textId="77777777" w:rsidTr="009D5DE4">
        <w:tc>
          <w:tcPr>
            <w:tcW w:w="1497" w:type="pct"/>
            <w:vAlign w:val="center"/>
            <w:hideMark/>
          </w:tcPr>
          <w:p w14:paraId="0BB8A4CE"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45973286"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620" w:type="pct"/>
            <w:vAlign w:val="center"/>
            <w:hideMark/>
          </w:tcPr>
          <w:p w14:paraId="547A27A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0.19</w:t>
            </w:r>
          </w:p>
        </w:tc>
        <w:tc>
          <w:tcPr>
            <w:tcW w:w="511" w:type="pct"/>
            <w:vAlign w:val="center"/>
            <w:hideMark/>
          </w:tcPr>
          <w:p w14:paraId="6D501DDD"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555" w:type="pct"/>
            <w:vAlign w:val="center"/>
            <w:hideMark/>
          </w:tcPr>
          <w:p w14:paraId="35968C3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1.99</w:t>
            </w:r>
          </w:p>
        </w:tc>
        <w:tc>
          <w:tcPr>
            <w:tcW w:w="620" w:type="pct"/>
            <w:vAlign w:val="center"/>
            <w:hideMark/>
          </w:tcPr>
          <w:p w14:paraId="6B8DE73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1.90</w:t>
            </w:r>
          </w:p>
        </w:tc>
        <w:tc>
          <w:tcPr>
            <w:tcW w:w="642" w:type="pct"/>
            <w:vAlign w:val="center"/>
            <w:hideMark/>
          </w:tcPr>
          <w:p w14:paraId="3DECA6B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3.07</w:t>
            </w:r>
          </w:p>
        </w:tc>
      </w:tr>
      <w:tr w:rsidR="0025155E" w:rsidRPr="00543408" w14:paraId="5A6A4770" w14:textId="77777777" w:rsidTr="009D5DE4">
        <w:tc>
          <w:tcPr>
            <w:tcW w:w="1497" w:type="pct"/>
            <w:vAlign w:val="center"/>
            <w:hideMark/>
          </w:tcPr>
          <w:p w14:paraId="7A762C60"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CV (%)</w:t>
            </w:r>
          </w:p>
        </w:tc>
        <w:tc>
          <w:tcPr>
            <w:tcW w:w="555" w:type="pct"/>
            <w:vAlign w:val="center"/>
            <w:hideMark/>
          </w:tcPr>
          <w:p w14:paraId="229158EF"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11.97</w:t>
            </w:r>
          </w:p>
        </w:tc>
        <w:tc>
          <w:tcPr>
            <w:tcW w:w="620" w:type="pct"/>
            <w:vAlign w:val="center"/>
            <w:hideMark/>
          </w:tcPr>
          <w:p w14:paraId="3D0D9E9E"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10.35</w:t>
            </w:r>
          </w:p>
        </w:tc>
        <w:tc>
          <w:tcPr>
            <w:tcW w:w="511" w:type="pct"/>
            <w:vAlign w:val="center"/>
            <w:hideMark/>
          </w:tcPr>
          <w:p w14:paraId="4E8AEC6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8.22</w:t>
            </w:r>
          </w:p>
        </w:tc>
        <w:tc>
          <w:tcPr>
            <w:tcW w:w="555" w:type="pct"/>
            <w:vAlign w:val="center"/>
            <w:hideMark/>
          </w:tcPr>
          <w:p w14:paraId="429C7041"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11.76</w:t>
            </w:r>
          </w:p>
        </w:tc>
        <w:tc>
          <w:tcPr>
            <w:tcW w:w="620" w:type="pct"/>
            <w:vAlign w:val="center"/>
            <w:hideMark/>
          </w:tcPr>
          <w:p w14:paraId="068B4DF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8.95</w:t>
            </w:r>
          </w:p>
        </w:tc>
        <w:tc>
          <w:tcPr>
            <w:tcW w:w="642" w:type="pct"/>
            <w:vAlign w:val="center"/>
            <w:hideMark/>
          </w:tcPr>
          <w:p w14:paraId="293B139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8.03</w:t>
            </w:r>
          </w:p>
        </w:tc>
      </w:tr>
    </w:tbl>
    <w:p w14:paraId="12A35AD4" w14:textId="55C7FB98"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3</w:t>
      </w:r>
      <w:r w:rsidRPr="004C3FFB">
        <w:rPr>
          <w:rFonts w:ascii="Arial" w:hAnsi="Arial" w:cs="Arial"/>
          <w:b/>
          <w:bCs/>
          <w:sz w:val="20"/>
          <w:szCs w:val="20"/>
          <w:lang w:val="en-GB"/>
        </w:rPr>
        <w:t xml:space="preserve"> Soil Properties</w:t>
      </w:r>
    </w:p>
    <w:p w14:paraId="1FE0222D" w14:textId="03EC049E"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3</w:t>
      </w:r>
      <w:r w:rsidRPr="004C3FFB">
        <w:rPr>
          <w:rFonts w:ascii="Arial" w:hAnsi="Arial" w:cs="Arial"/>
          <w:b/>
          <w:bCs/>
          <w:sz w:val="20"/>
          <w:szCs w:val="20"/>
          <w:lang w:val="en-GB"/>
        </w:rPr>
        <w:t>.1 Available Macro- and Micronutrients</w:t>
      </w:r>
    </w:p>
    <w:p w14:paraId="35AF05F1" w14:textId="12CBD8A0"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Post-harvest analysis showed a clear, dose-dependent build-up of available nutrients over the initial status (</w:t>
      </w:r>
      <w:r w:rsidRPr="004C3FFB">
        <w:rPr>
          <w:rFonts w:ascii="Arial" w:hAnsi="Arial" w:cs="Arial"/>
          <w:b/>
          <w:bCs/>
          <w:sz w:val="20"/>
          <w:szCs w:val="20"/>
          <w:lang w:val="en-GB"/>
        </w:rPr>
        <w:t xml:space="preserve">Table </w:t>
      </w:r>
      <w:r w:rsidR="00C82A0C">
        <w:rPr>
          <w:rFonts w:ascii="Arial" w:hAnsi="Arial" w:cs="Arial"/>
          <w:b/>
          <w:bCs/>
          <w:sz w:val="20"/>
          <w:szCs w:val="20"/>
          <w:lang w:val="en-GB"/>
        </w:rPr>
        <w:t>6</w:t>
      </w:r>
      <w:r w:rsidRPr="004C3FFB">
        <w:rPr>
          <w:rFonts w:ascii="Arial" w:hAnsi="Arial" w:cs="Arial"/>
          <w:sz w:val="20"/>
          <w:szCs w:val="20"/>
          <w:lang w:val="en-GB"/>
        </w:rPr>
        <w:t>). Available nitrogen rose significantly with sulphur (227.04</w:t>
      </w:r>
      <w:r w:rsidR="00624EBE">
        <w:rPr>
          <w:rFonts w:ascii="Arial" w:hAnsi="Arial" w:cs="Arial"/>
          <w:sz w:val="20"/>
          <w:szCs w:val="20"/>
          <w:lang w:val="en-GB"/>
        </w:rPr>
        <w:t xml:space="preserve"> to </w:t>
      </w:r>
      <w:r w:rsidRPr="004C3FFB">
        <w:rPr>
          <w:rFonts w:ascii="Arial" w:hAnsi="Arial" w:cs="Arial"/>
          <w:sz w:val="20"/>
          <w:szCs w:val="20"/>
          <w:lang w:val="en-GB"/>
        </w:rPr>
        <w:t>266.66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S</w:t>
      </w:r>
      <w:r w:rsidRPr="004C3FFB">
        <w:rPr>
          <w:rFonts w:ascii="Cambria Math" w:hAnsi="Cambria Math" w:cs="Cambria Math"/>
          <w:sz w:val="20"/>
          <w:szCs w:val="20"/>
          <w:lang w:val="en-GB"/>
        </w:rPr>
        <w:t>₁</w:t>
      </w:r>
      <w:r w:rsidR="00624EBE">
        <w:rPr>
          <w:rFonts w:ascii="Arial" w:hAnsi="Arial" w:cs="Arial"/>
          <w:sz w:val="20"/>
          <w:szCs w:val="20"/>
          <w:lang w:val="en-GB"/>
        </w:rPr>
        <w:t xml:space="preserve"> to </w:t>
      </w:r>
      <w:r w:rsidRPr="004C3FFB">
        <w:rPr>
          <w:rFonts w:ascii="Arial" w:hAnsi="Arial" w:cs="Arial"/>
          <w:sz w:val="20"/>
          <w:szCs w:val="20"/>
          <w:lang w:val="en-GB"/>
        </w:rPr>
        <w:t>S</w:t>
      </w:r>
      <w:r w:rsidRPr="004C3FFB">
        <w:rPr>
          <w:rFonts w:ascii="Cambria Math" w:hAnsi="Cambria Math" w:cs="Cambria Math"/>
          <w:sz w:val="20"/>
          <w:szCs w:val="20"/>
          <w:lang w:val="en-GB"/>
        </w:rPr>
        <w:t>₃</w:t>
      </w:r>
      <w:r w:rsidRPr="004C3FFB">
        <w:rPr>
          <w:rFonts w:ascii="Arial" w:hAnsi="Arial" w:cs="Arial"/>
          <w:sz w:val="20"/>
          <w:szCs w:val="20"/>
          <w:lang w:val="en-GB"/>
        </w:rPr>
        <w:t>; initial 222.41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most likely because higher sulphur favours proliferation of the soil microflora that mineralise organic nitrogen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Sahu </w:t>
      </w:r>
      <w:r w:rsidRPr="004C3FFB">
        <w:rPr>
          <w:rFonts w:ascii="Arial" w:hAnsi="Arial" w:cs="Arial"/>
          <w:i/>
          <w:iCs/>
          <w:sz w:val="20"/>
          <w:szCs w:val="20"/>
          <w:lang w:val="en-GB"/>
        </w:rPr>
        <w:t>et al</w:t>
      </w:r>
      <w:r w:rsidRPr="004C3FFB">
        <w:rPr>
          <w:rFonts w:ascii="Arial" w:hAnsi="Arial" w:cs="Arial"/>
          <w:sz w:val="20"/>
          <w:szCs w:val="20"/>
          <w:lang w:val="en-GB"/>
        </w:rPr>
        <w:t>., 2017). Available phosphorus and potassium likewise rose significantly with sulphur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33.14</w:t>
      </w:r>
      <w:r w:rsidR="00624EBE">
        <w:rPr>
          <w:rFonts w:ascii="Arial" w:hAnsi="Arial" w:cs="Arial"/>
          <w:sz w:val="20"/>
          <w:szCs w:val="20"/>
          <w:lang w:val="en-GB"/>
        </w:rPr>
        <w:t xml:space="preserve"> to </w:t>
      </w:r>
      <w:r w:rsidRPr="004C3FFB">
        <w:rPr>
          <w:rFonts w:ascii="Arial" w:hAnsi="Arial" w:cs="Arial"/>
          <w:sz w:val="20"/>
          <w:szCs w:val="20"/>
          <w:lang w:val="en-GB"/>
        </w:rPr>
        <w:t>53.07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O: 339.37</w:t>
      </w:r>
      <w:r w:rsidR="00624EBE">
        <w:rPr>
          <w:rFonts w:ascii="Arial" w:hAnsi="Arial" w:cs="Arial"/>
          <w:sz w:val="20"/>
          <w:szCs w:val="20"/>
          <w:lang w:val="en-GB"/>
        </w:rPr>
        <w:t xml:space="preserve"> to </w:t>
      </w:r>
      <w:r w:rsidRPr="004C3FFB">
        <w:rPr>
          <w:rFonts w:ascii="Arial" w:hAnsi="Arial" w:cs="Arial"/>
          <w:sz w:val="20"/>
          <w:szCs w:val="20"/>
          <w:lang w:val="en-GB"/>
        </w:rPr>
        <w:t>389.21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)—attributable to mild rhizosphere acidification from sulphur oxidation that solubilises fixed phosphorus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Singh and Singh, 2017;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Singh </w:t>
      </w:r>
      <w:r w:rsidRPr="004C3FFB">
        <w:rPr>
          <w:rFonts w:ascii="Arial" w:hAnsi="Arial" w:cs="Arial"/>
          <w:i/>
          <w:iCs/>
          <w:sz w:val="20"/>
          <w:szCs w:val="20"/>
          <w:lang w:val="en-GB"/>
        </w:rPr>
        <w:t>et al</w:t>
      </w:r>
      <w:r w:rsidRPr="004C3FFB">
        <w:rPr>
          <w:rFonts w:ascii="Arial" w:hAnsi="Arial" w:cs="Arial"/>
          <w:sz w:val="20"/>
          <w:szCs w:val="20"/>
          <w:lang w:val="en-GB"/>
        </w:rPr>
        <w:t>., 2022)—and phosphorus also rose significantly with zinc (38.20</w:t>
      </w:r>
      <w:r w:rsidR="00624EBE">
        <w:rPr>
          <w:rFonts w:ascii="Arial" w:hAnsi="Arial" w:cs="Arial"/>
          <w:sz w:val="20"/>
          <w:szCs w:val="20"/>
          <w:lang w:val="en-GB"/>
        </w:rPr>
        <w:t xml:space="preserve"> to </w:t>
      </w:r>
      <w:r w:rsidRPr="004C3FFB">
        <w:rPr>
          <w:rFonts w:ascii="Arial" w:hAnsi="Arial" w:cs="Arial"/>
          <w:sz w:val="20"/>
          <w:szCs w:val="20"/>
          <w:lang w:val="en-GB"/>
        </w:rPr>
        <w:t>46.10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2019; Singh </w:t>
      </w:r>
      <w:r w:rsidRPr="004C3FFB">
        <w:rPr>
          <w:rFonts w:ascii="Arial" w:hAnsi="Arial" w:cs="Arial"/>
          <w:i/>
          <w:iCs/>
          <w:sz w:val="20"/>
          <w:szCs w:val="20"/>
          <w:lang w:val="en-GB"/>
        </w:rPr>
        <w:t>et al</w:t>
      </w:r>
      <w:r w:rsidRPr="004C3FFB">
        <w:rPr>
          <w:rFonts w:ascii="Arial" w:hAnsi="Arial" w:cs="Arial"/>
          <w:sz w:val="20"/>
          <w:szCs w:val="20"/>
          <w:lang w:val="en-GB"/>
        </w:rPr>
        <w:t>., 2022). Available soil sulphur rose sharply with sulphur dose (10.25</w:t>
      </w:r>
      <w:r w:rsidR="00624EBE">
        <w:rPr>
          <w:rFonts w:ascii="Arial" w:hAnsi="Arial" w:cs="Arial"/>
          <w:sz w:val="20"/>
          <w:szCs w:val="20"/>
          <w:lang w:val="en-GB"/>
        </w:rPr>
        <w:t xml:space="preserve"> to </w:t>
      </w:r>
      <w:r w:rsidRPr="004C3FFB">
        <w:rPr>
          <w:rFonts w:ascii="Arial" w:hAnsi="Arial" w:cs="Arial"/>
          <w:sz w:val="20"/>
          <w:szCs w:val="20"/>
          <w:lang w:val="en-GB"/>
        </w:rPr>
        <w:t>18.04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initial 9.10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as unutilised bentonite-sulphate accumulated in the profile, and significantly, though more modestly, with zinc (12.90</w:t>
      </w:r>
      <w:r w:rsidR="00624EBE">
        <w:rPr>
          <w:rFonts w:ascii="Arial" w:hAnsi="Arial" w:cs="Arial"/>
          <w:sz w:val="20"/>
          <w:szCs w:val="20"/>
          <w:lang w:val="en-GB"/>
        </w:rPr>
        <w:t xml:space="preserve"> to </w:t>
      </w:r>
      <w:r w:rsidRPr="004C3FFB">
        <w:rPr>
          <w:rFonts w:ascii="Arial" w:hAnsi="Arial" w:cs="Arial"/>
          <w:sz w:val="20"/>
          <w:szCs w:val="20"/>
          <w:lang w:val="en-GB"/>
        </w:rPr>
        <w:t>15.33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2019;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Singh </w:t>
      </w:r>
      <w:r w:rsidRPr="004C3FFB">
        <w:rPr>
          <w:rFonts w:ascii="Arial" w:hAnsi="Arial" w:cs="Arial"/>
          <w:i/>
          <w:iCs/>
          <w:sz w:val="20"/>
          <w:szCs w:val="20"/>
          <w:lang w:val="en-GB"/>
        </w:rPr>
        <w:t>et al</w:t>
      </w:r>
      <w:r w:rsidRPr="004C3FFB">
        <w:rPr>
          <w:rFonts w:ascii="Arial" w:hAnsi="Arial" w:cs="Arial"/>
          <w:sz w:val="20"/>
          <w:szCs w:val="20"/>
          <w:lang w:val="en-GB"/>
        </w:rPr>
        <w:t>., 2022). Available iron and zinc both rose significantly with sulphur (up to 2.00 and 1.65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at S</w:t>
      </w:r>
      <w:r w:rsidRPr="004C3FFB">
        <w:rPr>
          <w:rFonts w:ascii="Cambria Math" w:hAnsi="Cambria Math" w:cs="Cambria Math"/>
          <w:sz w:val="20"/>
          <w:szCs w:val="20"/>
          <w:lang w:val="en-GB"/>
        </w:rPr>
        <w:t>₃</w:t>
      </w:r>
      <w:r w:rsidRPr="004C3FFB">
        <w:rPr>
          <w:rFonts w:ascii="Arial" w:hAnsi="Arial" w:cs="Arial"/>
          <w:sz w:val="20"/>
          <w:szCs w:val="20"/>
          <w:lang w:val="en-GB"/>
        </w:rPr>
        <w:t>) and with zinc dose itself (up to 2.00 and 1.85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at Zn</w:t>
      </w:r>
      <w:r w:rsidRPr="004C3FFB">
        <w:rPr>
          <w:rFonts w:ascii="Cambria Math" w:hAnsi="Cambria Math" w:cs="Cambria Math"/>
          <w:sz w:val="20"/>
          <w:szCs w:val="20"/>
          <w:lang w:val="en-GB"/>
        </w:rPr>
        <w:t>₃</w:t>
      </w:r>
      <w:r w:rsidRPr="004C3FFB">
        <w:rPr>
          <w:rFonts w:ascii="Arial" w:hAnsi="Arial" w:cs="Arial"/>
          <w:sz w:val="20"/>
          <w:szCs w:val="20"/>
          <w:lang w:val="en-GB"/>
        </w:rPr>
        <w:t xml:space="preserve">), the latter a direct residual effect of the applied zinc-EDTA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Singh </w:t>
      </w:r>
      <w:r w:rsidRPr="004C3FFB">
        <w:rPr>
          <w:rFonts w:ascii="Arial" w:hAnsi="Arial" w:cs="Arial"/>
          <w:i/>
          <w:iCs/>
          <w:sz w:val="20"/>
          <w:szCs w:val="20"/>
          <w:lang w:val="en-GB"/>
        </w:rPr>
        <w:t>et al</w:t>
      </w:r>
      <w:r w:rsidRPr="004C3FFB">
        <w:rPr>
          <w:rFonts w:ascii="Arial" w:hAnsi="Arial" w:cs="Arial"/>
          <w:sz w:val="20"/>
          <w:szCs w:val="20"/>
          <w:lang w:val="en-GB"/>
        </w:rPr>
        <w:t xml:space="preserve">., 2012;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2019). None of the six nutrients showed a significant S × Zn interaction.</w:t>
      </w:r>
    </w:p>
    <w:p w14:paraId="1683B9B5" w14:textId="2C476E4A"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6</w:t>
      </w:r>
      <w:r w:rsidRPr="004C3FFB">
        <w:rPr>
          <w:rFonts w:ascii="Arial" w:hAnsi="Arial" w:cs="Arial"/>
          <w:b/>
          <w:bCs/>
          <w:sz w:val="20"/>
          <w:szCs w:val="20"/>
          <w:lang w:val="en-GB"/>
        </w:rPr>
        <w:t>. Available Nutrient Status (N, P</w:t>
      </w:r>
      <w:r w:rsidRPr="004C3FFB">
        <w:rPr>
          <w:rFonts w:ascii="Cambria Math" w:hAnsi="Cambria Math" w:cs="Cambria Math"/>
          <w:b/>
          <w:bCs/>
          <w:sz w:val="20"/>
          <w:szCs w:val="20"/>
          <w:lang w:val="en-GB"/>
        </w:rPr>
        <w:t>₂</w:t>
      </w:r>
      <w:r w:rsidRPr="004C3FFB">
        <w:rPr>
          <w:rFonts w:ascii="Arial" w:hAnsi="Arial" w:cs="Arial"/>
          <w:b/>
          <w:bCs/>
          <w:sz w:val="20"/>
          <w:szCs w:val="20"/>
          <w:lang w:val="en-GB"/>
        </w:rPr>
        <w:t>O</w:t>
      </w:r>
      <w:r w:rsidRPr="004C3FFB">
        <w:rPr>
          <w:rFonts w:ascii="Cambria Math" w:hAnsi="Cambria Math" w:cs="Cambria Math"/>
          <w:b/>
          <w:bCs/>
          <w:sz w:val="20"/>
          <w:szCs w:val="20"/>
          <w:lang w:val="en-GB"/>
        </w:rPr>
        <w:t>₅</w:t>
      </w:r>
      <w:r w:rsidRPr="004C3FFB">
        <w:rPr>
          <w:rFonts w:ascii="Arial" w:hAnsi="Arial" w:cs="Arial"/>
          <w:b/>
          <w:bCs/>
          <w:sz w:val="20"/>
          <w:szCs w:val="20"/>
          <w:lang w:val="en-GB"/>
        </w:rPr>
        <w:t>, K</w:t>
      </w:r>
      <w:r w:rsidRPr="004C3FFB">
        <w:rPr>
          <w:rFonts w:ascii="Cambria Math" w:hAnsi="Cambria Math" w:cs="Cambria Math"/>
          <w:b/>
          <w:bCs/>
          <w:sz w:val="20"/>
          <w:szCs w:val="20"/>
          <w:lang w:val="en-GB"/>
        </w:rPr>
        <w:t>₂</w:t>
      </w:r>
      <w:r w:rsidRPr="004C3FFB">
        <w:rPr>
          <w:rFonts w:ascii="Arial" w:hAnsi="Arial" w:cs="Arial"/>
          <w:b/>
          <w:bCs/>
          <w:sz w:val="20"/>
          <w:szCs w:val="20"/>
          <w:lang w:val="en-GB"/>
        </w:rPr>
        <w:t xml:space="preserve">O, S, </w:t>
      </w:r>
      <w:r w:rsidR="00D14E18">
        <w:rPr>
          <w:rFonts w:ascii="Arial" w:hAnsi="Arial" w:cs="Arial"/>
          <w:b/>
          <w:bCs/>
          <w:sz w:val="20"/>
          <w:szCs w:val="20"/>
          <w:lang w:val="en-GB"/>
        </w:rPr>
        <w:t>Fe</w:t>
      </w:r>
      <w:r w:rsidRPr="004C3FFB">
        <w:rPr>
          <w:rFonts w:ascii="Arial" w:hAnsi="Arial" w:cs="Arial"/>
          <w:b/>
          <w:bCs/>
          <w:sz w:val="20"/>
          <w:szCs w:val="20"/>
          <w:lang w:val="en-GB"/>
        </w:rPr>
        <w:t xml:space="preserve"> and </w:t>
      </w:r>
      <w:r w:rsidR="00D14E18">
        <w:rPr>
          <w:rFonts w:ascii="Arial" w:hAnsi="Arial" w:cs="Arial"/>
          <w:b/>
          <w:bCs/>
          <w:sz w:val="20"/>
          <w:szCs w:val="20"/>
          <w:lang w:val="en-GB"/>
        </w:rPr>
        <w:t>Zn</w:t>
      </w:r>
      <w:r w:rsidRPr="004C3FFB">
        <w:rPr>
          <w:rFonts w:ascii="Arial" w:hAnsi="Arial" w:cs="Arial"/>
          <w:b/>
          <w:bCs/>
          <w:sz w:val="20"/>
          <w:szCs w:val="20"/>
          <w:lang w:val="en-GB"/>
        </w:rPr>
        <w:t>) of Soil after Harvest</w:t>
      </w:r>
    </w:p>
    <w:tbl>
      <w:tblPr>
        <w:tblStyle w:val="TableGrid"/>
        <w:tblW w:w="5000" w:type="pct"/>
        <w:tblLook w:val="04A0" w:firstRow="1" w:lastRow="0" w:firstColumn="1" w:lastColumn="0" w:noHBand="0" w:noVBand="1"/>
      </w:tblPr>
      <w:tblGrid>
        <w:gridCol w:w="1890"/>
        <w:gridCol w:w="1138"/>
        <w:gridCol w:w="1172"/>
        <w:gridCol w:w="1172"/>
        <w:gridCol w:w="1138"/>
        <w:gridCol w:w="1235"/>
        <w:gridCol w:w="1271"/>
      </w:tblGrid>
      <w:tr w:rsidR="00D14E18" w:rsidRPr="00D14E18" w14:paraId="3AF222CA" w14:textId="77777777" w:rsidTr="00D14E18">
        <w:tc>
          <w:tcPr>
            <w:tcW w:w="1048" w:type="pct"/>
            <w:hideMark/>
          </w:tcPr>
          <w:p w14:paraId="037ACC09"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631" w:type="pct"/>
          </w:tcPr>
          <w:p w14:paraId="4D696126" w14:textId="2B2E3020" w:rsidR="00D14E18" w:rsidRPr="00D14E18" w:rsidRDefault="00D14E18" w:rsidP="00D14E18">
            <w:pPr>
              <w:jc w:val="center"/>
              <w:rPr>
                <w:rFonts w:ascii="Arial" w:hAnsi="Arial" w:cs="Arial"/>
                <w:b/>
                <w:bCs/>
                <w:sz w:val="20"/>
                <w:szCs w:val="20"/>
              </w:rPr>
            </w:pPr>
            <w:r w:rsidRPr="00D14E18">
              <w:rPr>
                <w:rFonts w:ascii="Arial" w:hAnsi="Arial" w:cs="Arial"/>
                <w:b/>
                <w:bCs/>
                <w:sz w:val="20"/>
                <w:szCs w:val="20"/>
                <w:lang w:val="en-IN"/>
              </w:rPr>
              <w:t>Available N</w:t>
            </w:r>
            <w:r w:rsidRPr="00D14E18">
              <w:rPr>
                <w:rFonts w:ascii="Arial" w:hAnsi="Arial" w:cs="Arial"/>
                <w:b/>
                <w:bCs/>
                <w:sz w:val="20"/>
                <w:szCs w:val="20"/>
                <w:lang w:val="en-IN"/>
              </w:rPr>
              <w:br/>
              <w:t>(kg ha</w:t>
            </w:r>
            <w:r w:rsidRPr="00D14E18">
              <w:rPr>
                <w:rFonts w:ascii="Arial" w:hAnsi="Arial" w:cs="Arial"/>
                <w:b/>
                <w:bCs/>
                <w:sz w:val="20"/>
                <w:szCs w:val="20"/>
                <w:vertAlign w:val="superscript"/>
                <w:lang w:val="en-IN"/>
              </w:rPr>
              <w:t>-1</w:t>
            </w:r>
            <w:r w:rsidRPr="00D14E18">
              <w:rPr>
                <w:rFonts w:ascii="Arial" w:hAnsi="Arial" w:cs="Arial"/>
                <w:b/>
                <w:bCs/>
                <w:sz w:val="20"/>
                <w:szCs w:val="20"/>
                <w:lang w:val="en-IN"/>
              </w:rPr>
              <w:t>)</w:t>
            </w:r>
          </w:p>
        </w:tc>
        <w:tc>
          <w:tcPr>
            <w:tcW w:w="650" w:type="pct"/>
            <w:vAlign w:val="center"/>
          </w:tcPr>
          <w:p w14:paraId="48AA78A9" w14:textId="6E9155ED"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Available P</w:t>
            </w:r>
            <w:r w:rsidRPr="00D14E18">
              <w:rPr>
                <w:rFonts w:ascii="Arial" w:hAnsi="Arial" w:cs="Arial"/>
                <w:b/>
                <w:bCs/>
                <w:sz w:val="20"/>
                <w:szCs w:val="20"/>
                <w:vertAlign w:val="subscript"/>
              </w:rPr>
              <w:t>2</w:t>
            </w:r>
            <w:r w:rsidRPr="00D14E18">
              <w:rPr>
                <w:rFonts w:ascii="Arial" w:hAnsi="Arial" w:cs="Arial"/>
                <w:b/>
                <w:bCs/>
                <w:sz w:val="20"/>
                <w:szCs w:val="20"/>
              </w:rPr>
              <w:t>O</w:t>
            </w:r>
            <w:r w:rsidRPr="00D14E18">
              <w:rPr>
                <w:rFonts w:ascii="Arial" w:hAnsi="Arial" w:cs="Arial"/>
                <w:b/>
                <w:bCs/>
                <w:sz w:val="20"/>
                <w:szCs w:val="20"/>
                <w:vertAlign w:val="subscript"/>
              </w:rPr>
              <w:t>5</w:t>
            </w:r>
            <w:r w:rsidRPr="00D14E18">
              <w:rPr>
                <w:rFonts w:ascii="Arial" w:hAnsi="Arial" w:cs="Arial"/>
                <w:b/>
                <w:bCs/>
                <w:sz w:val="20"/>
                <w:szCs w:val="20"/>
              </w:rPr>
              <w:t xml:space="preserve"> </w:t>
            </w:r>
            <w:r w:rsidRPr="00D14E18">
              <w:rPr>
                <w:rFonts w:ascii="Arial" w:hAnsi="Arial" w:cs="Arial"/>
                <w:b/>
                <w:bCs/>
                <w:sz w:val="20"/>
                <w:szCs w:val="20"/>
              </w:rPr>
              <w:br/>
              <w:t>(kg</w:t>
            </w:r>
            <w:r w:rsidRPr="00D14E18">
              <w:rPr>
                <w:rFonts w:ascii="Arial" w:hAnsi="Arial" w:cs="Arial"/>
                <w:sz w:val="20"/>
                <w:szCs w:val="20"/>
              </w:rPr>
              <w:t xml:space="preserve"> </w:t>
            </w:r>
            <w:r w:rsidRPr="00D14E18">
              <w:rPr>
                <w:rFonts w:ascii="Arial" w:hAnsi="Arial" w:cs="Arial"/>
                <w:b/>
                <w:bCs/>
                <w:sz w:val="20"/>
                <w:szCs w:val="20"/>
              </w:rPr>
              <w:t>ha</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50" w:type="pct"/>
            <w:vAlign w:val="center"/>
          </w:tcPr>
          <w:p w14:paraId="3B3129CB" w14:textId="589A5BB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Available K</w:t>
            </w:r>
            <w:r w:rsidRPr="00D14E18">
              <w:rPr>
                <w:rFonts w:ascii="Arial" w:hAnsi="Arial" w:cs="Arial"/>
                <w:b/>
                <w:bCs/>
                <w:sz w:val="20"/>
                <w:szCs w:val="20"/>
                <w:vertAlign w:val="subscript"/>
              </w:rPr>
              <w:t>2</w:t>
            </w:r>
            <w:r w:rsidRPr="00D14E18">
              <w:rPr>
                <w:rFonts w:ascii="Arial" w:hAnsi="Arial" w:cs="Arial"/>
                <w:b/>
                <w:bCs/>
                <w:sz w:val="20"/>
                <w:szCs w:val="20"/>
              </w:rPr>
              <w:t xml:space="preserve">O </w:t>
            </w:r>
            <w:r w:rsidRPr="00D14E18">
              <w:rPr>
                <w:rFonts w:ascii="Arial" w:hAnsi="Arial" w:cs="Arial"/>
                <w:b/>
                <w:bCs/>
                <w:sz w:val="20"/>
                <w:szCs w:val="20"/>
              </w:rPr>
              <w:br/>
              <w:t>(kg</w:t>
            </w:r>
            <w:r w:rsidRPr="00D14E18">
              <w:rPr>
                <w:rFonts w:ascii="Arial" w:hAnsi="Arial" w:cs="Arial"/>
                <w:sz w:val="20"/>
                <w:szCs w:val="20"/>
              </w:rPr>
              <w:t xml:space="preserve"> </w:t>
            </w:r>
            <w:r w:rsidRPr="00D14E18">
              <w:rPr>
                <w:rFonts w:ascii="Arial" w:hAnsi="Arial" w:cs="Arial"/>
                <w:b/>
                <w:bCs/>
                <w:sz w:val="20"/>
                <w:szCs w:val="20"/>
              </w:rPr>
              <w:t>ha</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31" w:type="pct"/>
            <w:vAlign w:val="center"/>
            <w:hideMark/>
          </w:tcPr>
          <w:p w14:paraId="18F21FFC" w14:textId="31343710"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S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85" w:type="pct"/>
            <w:vAlign w:val="center"/>
            <w:hideMark/>
          </w:tcPr>
          <w:p w14:paraId="1BC1BF3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Fe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705" w:type="pct"/>
            <w:vAlign w:val="center"/>
            <w:hideMark/>
          </w:tcPr>
          <w:p w14:paraId="72D044F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Zn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r>
      <w:tr w:rsidR="00D14E18" w:rsidRPr="00D14E18" w14:paraId="480962F8" w14:textId="77777777" w:rsidTr="00D14E18">
        <w:tc>
          <w:tcPr>
            <w:tcW w:w="5000" w:type="pct"/>
            <w:gridSpan w:val="7"/>
          </w:tcPr>
          <w:p w14:paraId="762D6F07" w14:textId="681D2770" w:rsidR="00D14E18" w:rsidRPr="00D14E18" w:rsidRDefault="00D14E18" w:rsidP="00D14E18">
            <w:pPr>
              <w:rPr>
                <w:rFonts w:ascii="Arial" w:hAnsi="Arial" w:cs="Arial"/>
                <w:sz w:val="20"/>
                <w:szCs w:val="20"/>
              </w:rPr>
            </w:pPr>
            <w:r w:rsidRPr="00D14E18">
              <w:rPr>
                <w:rFonts w:ascii="Arial" w:hAnsi="Arial" w:cs="Arial"/>
                <w:b/>
                <w:bCs/>
                <w:sz w:val="20"/>
                <w:szCs w:val="20"/>
              </w:rPr>
              <w:t>(A)Sulphur levels</w:t>
            </w:r>
          </w:p>
        </w:tc>
      </w:tr>
      <w:tr w:rsidR="00D14E18" w:rsidRPr="00D14E18" w14:paraId="399AD402" w14:textId="77777777" w:rsidTr="00D14E18">
        <w:tc>
          <w:tcPr>
            <w:tcW w:w="1048" w:type="pct"/>
            <w:hideMark/>
          </w:tcPr>
          <w:p w14:paraId="2B268EA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3FDCDC93" w14:textId="5CC17583" w:rsidR="00D14E18" w:rsidRPr="00D14E18" w:rsidRDefault="00D14E18" w:rsidP="00D14E18">
            <w:pPr>
              <w:jc w:val="center"/>
              <w:rPr>
                <w:rFonts w:ascii="Arial" w:hAnsi="Arial" w:cs="Arial"/>
                <w:sz w:val="20"/>
                <w:szCs w:val="20"/>
              </w:rPr>
            </w:pPr>
            <w:r w:rsidRPr="00D14E18">
              <w:rPr>
                <w:rFonts w:ascii="Arial" w:hAnsi="Arial" w:cs="Arial"/>
                <w:sz w:val="20"/>
                <w:szCs w:val="20"/>
              </w:rPr>
              <w:t>227.04</w:t>
            </w:r>
          </w:p>
        </w:tc>
        <w:tc>
          <w:tcPr>
            <w:tcW w:w="650" w:type="pct"/>
            <w:vAlign w:val="center"/>
          </w:tcPr>
          <w:p w14:paraId="1B4953C9" w14:textId="0B45F0FD" w:rsidR="00D14E18" w:rsidRPr="00D14E18" w:rsidRDefault="00D14E18" w:rsidP="00D14E18">
            <w:pPr>
              <w:jc w:val="center"/>
              <w:rPr>
                <w:rFonts w:ascii="Arial" w:hAnsi="Arial" w:cs="Arial"/>
                <w:sz w:val="20"/>
                <w:szCs w:val="20"/>
              </w:rPr>
            </w:pPr>
            <w:r w:rsidRPr="00D14E18">
              <w:rPr>
                <w:rFonts w:ascii="Arial" w:hAnsi="Arial" w:cs="Arial"/>
                <w:sz w:val="20"/>
                <w:szCs w:val="20"/>
              </w:rPr>
              <w:t>33.14</w:t>
            </w:r>
          </w:p>
        </w:tc>
        <w:tc>
          <w:tcPr>
            <w:tcW w:w="650" w:type="pct"/>
            <w:vAlign w:val="center"/>
          </w:tcPr>
          <w:p w14:paraId="3F211804" w14:textId="153ACC0A" w:rsidR="00D14E18" w:rsidRPr="00D14E18" w:rsidRDefault="00D14E18" w:rsidP="00D14E18">
            <w:pPr>
              <w:jc w:val="center"/>
              <w:rPr>
                <w:rFonts w:ascii="Arial" w:hAnsi="Arial" w:cs="Arial"/>
                <w:sz w:val="20"/>
                <w:szCs w:val="20"/>
              </w:rPr>
            </w:pPr>
            <w:r w:rsidRPr="00D14E18">
              <w:rPr>
                <w:rFonts w:ascii="Arial" w:hAnsi="Arial" w:cs="Arial"/>
                <w:sz w:val="20"/>
                <w:szCs w:val="20"/>
              </w:rPr>
              <w:t>339.37</w:t>
            </w:r>
          </w:p>
        </w:tc>
        <w:tc>
          <w:tcPr>
            <w:tcW w:w="631" w:type="pct"/>
            <w:vAlign w:val="center"/>
            <w:hideMark/>
          </w:tcPr>
          <w:p w14:paraId="013B45E2" w14:textId="39885B3D" w:rsidR="00D14E18" w:rsidRPr="00D14E18" w:rsidRDefault="00D14E18" w:rsidP="00D14E18">
            <w:pPr>
              <w:jc w:val="center"/>
              <w:rPr>
                <w:rFonts w:ascii="Arial" w:hAnsi="Arial" w:cs="Arial"/>
                <w:sz w:val="20"/>
                <w:szCs w:val="20"/>
              </w:rPr>
            </w:pPr>
            <w:r w:rsidRPr="00D14E18">
              <w:rPr>
                <w:rFonts w:ascii="Arial" w:hAnsi="Arial" w:cs="Arial"/>
                <w:sz w:val="20"/>
                <w:szCs w:val="20"/>
              </w:rPr>
              <w:t>10.25</w:t>
            </w:r>
          </w:p>
        </w:tc>
        <w:tc>
          <w:tcPr>
            <w:tcW w:w="685" w:type="pct"/>
            <w:vAlign w:val="center"/>
            <w:hideMark/>
          </w:tcPr>
          <w:p w14:paraId="59F49ED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1.20</w:t>
            </w:r>
          </w:p>
        </w:tc>
        <w:tc>
          <w:tcPr>
            <w:tcW w:w="705" w:type="pct"/>
            <w:vAlign w:val="center"/>
            <w:hideMark/>
          </w:tcPr>
          <w:p w14:paraId="187E1FE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1.35</w:t>
            </w:r>
          </w:p>
        </w:tc>
      </w:tr>
      <w:tr w:rsidR="00D14E18" w:rsidRPr="00D14E18" w14:paraId="533B6613" w14:textId="77777777" w:rsidTr="00D14E18">
        <w:tc>
          <w:tcPr>
            <w:tcW w:w="1048" w:type="pct"/>
            <w:hideMark/>
          </w:tcPr>
          <w:p w14:paraId="03C42A92"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7A615C2D" w14:textId="04C61802" w:rsidR="00D14E18" w:rsidRPr="00D14E18" w:rsidRDefault="00D14E18" w:rsidP="00D14E18">
            <w:pPr>
              <w:jc w:val="center"/>
              <w:rPr>
                <w:rFonts w:ascii="Arial" w:hAnsi="Arial" w:cs="Arial"/>
                <w:sz w:val="20"/>
                <w:szCs w:val="20"/>
              </w:rPr>
            </w:pPr>
            <w:r w:rsidRPr="00D14E18">
              <w:rPr>
                <w:rFonts w:ascii="Arial" w:hAnsi="Arial" w:cs="Arial"/>
                <w:sz w:val="20"/>
                <w:szCs w:val="20"/>
              </w:rPr>
              <w:t>247.75</w:t>
            </w:r>
          </w:p>
        </w:tc>
        <w:tc>
          <w:tcPr>
            <w:tcW w:w="650" w:type="pct"/>
            <w:vAlign w:val="center"/>
          </w:tcPr>
          <w:p w14:paraId="50F84BB4" w14:textId="0BB262F8" w:rsidR="00D14E18" w:rsidRPr="00D14E18" w:rsidRDefault="00D14E18" w:rsidP="00D14E18">
            <w:pPr>
              <w:jc w:val="center"/>
              <w:rPr>
                <w:rFonts w:ascii="Arial" w:hAnsi="Arial" w:cs="Arial"/>
                <w:sz w:val="20"/>
                <w:szCs w:val="20"/>
              </w:rPr>
            </w:pPr>
            <w:r w:rsidRPr="00D14E18">
              <w:rPr>
                <w:rFonts w:ascii="Arial" w:hAnsi="Arial" w:cs="Arial"/>
                <w:sz w:val="20"/>
                <w:szCs w:val="20"/>
              </w:rPr>
              <w:t>40.63</w:t>
            </w:r>
          </w:p>
        </w:tc>
        <w:tc>
          <w:tcPr>
            <w:tcW w:w="650" w:type="pct"/>
            <w:vAlign w:val="center"/>
          </w:tcPr>
          <w:p w14:paraId="52CF8FCD" w14:textId="558B7492" w:rsidR="00D14E18" w:rsidRPr="00D14E18" w:rsidRDefault="00D14E18" w:rsidP="00D14E18">
            <w:pPr>
              <w:jc w:val="center"/>
              <w:rPr>
                <w:rFonts w:ascii="Arial" w:hAnsi="Arial" w:cs="Arial"/>
                <w:sz w:val="20"/>
                <w:szCs w:val="20"/>
              </w:rPr>
            </w:pPr>
            <w:r w:rsidRPr="00D14E18">
              <w:rPr>
                <w:rFonts w:ascii="Arial" w:hAnsi="Arial" w:cs="Arial"/>
                <w:sz w:val="20"/>
                <w:szCs w:val="20"/>
              </w:rPr>
              <w:t>364.39</w:t>
            </w:r>
          </w:p>
        </w:tc>
        <w:tc>
          <w:tcPr>
            <w:tcW w:w="631" w:type="pct"/>
            <w:vAlign w:val="center"/>
            <w:hideMark/>
          </w:tcPr>
          <w:p w14:paraId="17A1CE5A" w14:textId="73A317A8" w:rsidR="00D14E18" w:rsidRPr="00D14E18" w:rsidRDefault="00D14E18" w:rsidP="00D14E18">
            <w:pPr>
              <w:jc w:val="center"/>
              <w:rPr>
                <w:rFonts w:ascii="Arial" w:hAnsi="Arial" w:cs="Arial"/>
                <w:sz w:val="20"/>
                <w:szCs w:val="20"/>
              </w:rPr>
            </w:pPr>
            <w:r w:rsidRPr="00D14E18">
              <w:rPr>
                <w:rFonts w:ascii="Arial" w:hAnsi="Arial" w:cs="Arial"/>
                <w:sz w:val="20"/>
                <w:szCs w:val="20"/>
              </w:rPr>
              <w:t>14.97</w:t>
            </w:r>
          </w:p>
        </w:tc>
        <w:tc>
          <w:tcPr>
            <w:tcW w:w="685" w:type="pct"/>
            <w:vAlign w:val="center"/>
            <w:hideMark/>
          </w:tcPr>
          <w:p w14:paraId="357605B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1.90</w:t>
            </w:r>
          </w:p>
        </w:tc>
        <w:tc>
          <w:tcPr>
            <w:tcW w:w="705" w:type="pct"/>
            <w:vAlign w:val="center"/>
            <w:hideMark/>
          </w:tcPr>
          <w:p w14:paraId="0BC658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r>
      <w:tr w:rsidR="00D14E18" w:rsidRPr="00D14E18" w14:paraId="0828357B" w14:textId="77777777" w:rsidTr="00D14E18">
        <w:tc>
          <w:tcPr>
            <w:tcW w:w="1048" w:type="pct"/>
            <w:hideMark/>
          </w:tcPr>
          <w:p w14:paraId="28C7D93F"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79A8C2EF" w14:textId="3E93AA0B" w:rsidR="00D14E18" w:rsidRPr="00D14E18" w:rsidRDefault="00D14E18" w:rsidP="00D14E18">
            <w:pPr>
              <w:jc w:val="center"/>
              <w:rPr>
                <w:rFonts w:ascii="Arial" w:hAnsi="Arial" w:cs="Arial"/>
                <w:sz w:val="20"/>
                <w:szCs w:val="20"/>
              </w:rPr>
            </w:pPr>
            <w:r w:rsidRPr="00D14E18">
              <w:rPr>
                <w:rFonts w:ascii="Arial" w:hAnsi="Arial" w:cs="Arial"/>
                <w:sz w:val="20"/>
                <w:szCs w:val="20"/>
              </w:rPr>
              <w:t>266.66</w:t>
            </w:r>
          </w:p>
        </w:tc>
        <w:tc>
          <w:tcPr>
            <w:tcW w:w="650" w:type="pct"/>
            <w:vAlign w:val="center"/>
          </w:tcPr>
          <w:p w14:paraId="3B8CD7F3" w14:textId="6203F2E2" w:rsidR="00D14E18" w:rsidRPr="00D14E18" w:rsidRDefault="00D14E18" w:rsidP="00D14E18">
            <w:pPr>
              <w:jc w:val="center"/>
              <w:rPr>
                <w:rFonts w:ascii="Arial" w:hAnsi="Arial" w:cs="Arial"/>
                <w:sz w:val="20"/>
                <w:szCs w:val="20"/>
              </w:rPr>
            </w:pPr>
            <w:r w:rsidRPr="00D14E18">
              <w:rPr>
                <w:rFonts w:ascii="Arial" w:hAnsi="Arial" w:cs="Arial"/>
                <w:sz w:val="20"/>
                <w:szCs w:val="20"/>
              </w:rPr>
              <w:t>53.07</w:t>
            </w:r>
          </w:p>
        </w:tc>
        <w:tc>
          <w:tcPr>
            <w:tcW w:w="650" w:type="pct"/>
            <w:vAlign w:val="center"/>
          </w:tcPr>
          <w:p w14:paraId="64E696F0" w14:textId="4C89ACE1" w:rsidR="00D14E18" w:rsidRPr="00D14E18" w:rsidRDefault="00D14E18" w:rsidP="00D14E18">
            <w:pPr>
              <w:jc w:val="center"/>
              <w:rPr>
                <w:rFonts w:ascii="Arial" w:hAnsi="Arial" w:cs="Arial"/>
                <w:sz w:val="20"/>
                <w:szCs w:val="20"/>
              </w:rPr>
            </w:pPr>
            <w:r w:rsidRPr="00D14E18">
              <w:rPr>
                <w:rFonts w:ascii="Arial" w:hAnsi="Arial" w:cs="Arial"/>
                <w:sz w:val="20"/>
                <w:szCs w:val="20"/>
              </w:rPr>
              <w:t>389.21</w:t>
            </w:r>
          </w:p>
        </w:tc>
        <w:tc>
          <w:tcPr>
            <w:tcW w:w="631" w:type="pct"/>
            <w:vAlign w:val="center"/>
            <w:hideMark/>
          </w:tcPr>
          <w:p w14:paraId="15E60069" w14:textId="7FCC8A67" w:rsidR="00D14E18" w:rsidRPr="00D14E18" w:rsidRDefault="00D14E18" w:rsidP="00D14E18">
            <w:pPr>
              <w:jc w:val="center"/>
              <w:rPr>
                <w:rFonts w:ascii="Arial" w:hAnsi="Arial" w:cs="Arial"/>
                <w:sz w:val="20"/>
                <w:szCs w:val="20"/>
              </w:rPr>
            </w:pPr>
            <w:r w:rsidRPr="00D14E18">
              <w:rPr>
                <w:rFonts w:ascii="Arial" w:hAnsi="Arial" w:cs="Arial"/>
                <w:sz w:val="20"/>
                <w:szCs w:val="20"/>
              </w:rPr>
              <w:t>18.04</w:t>
            </w:r>
          </w:p>
        </w:tc>
        <w:tc>
          <w:tcPr>
            <w:tcW w:w="685" w:type="pct"/>
            <w:vAlign w:val="center"/>
            <w:hideMark/>
          </w:tcPr>
          <w:p w14:paraId="33AA6A4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2.00</w:t>
            </w:r>
          </w:p>
        </w:tc>
        <w:tc>
          <w:tcPr>
            <w:tcW w:w="705" w:type="pct"/>
            <w:vAlign w:val="center"/>
            <w:hideMark/>
          </w:tcPr>
          <w:p w14:paraId="2BBCE19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1.65</w:t>
            </w:r>
          </w:p>
        </w:tc>
      </w:tr>
      <w:tr w:rsidR="00D14E18" w:rsidRPr="00D14E18" w14:paraId="248470E9" w14:textId="77777777" w:rsidTr="00D14E18">
        <w:tc>
          <w:tcPr>
            <w:tcW w:w="1048" w:type="pct"/>
            <w:vAlign w:val="center"/>
            <w:hideMark/>
          </w:tcPr>
          <w:p w14:paraId="09986350"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1439CC80" w14:textId="41EF2D0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3.88</w:t>
            </w:r>
          </w:p>
        </w:tc>
        <w:tc>
          <w:tcPr>
            <w:tcW w:w="650" w:type="pct"/>
            <w:vAlign w:val="center"/>
          </w:tcPr>
          <w:p w14:paraId="6E177955" w14:textId="58BA195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0.91</w:t>
            </w:r>
          </w:p>
        </w:tc>
        <w:tc>
          <w:tcPr>
            <w:tcW w:w="650" w:type="pct"/>
            <w:vAlign w:val="center"/>
          </w:tcPr>
          <w:p w14:paraId="1E8D63B2" w14:textId="766B042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8.04</w:t>
            </w:r>
          </w:p>
        </w:tc>
        <w:tc>
          <w:tcPr>
            <w:tcW w:w="631" w:type="pct"/>
            <w:vAlign w:val="center"/>
            <w:hideMark/>
          </w:tcPr>
          <w:p w14:paraId="3626AD4F" w14:textId="7D39696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0.29</w:t>
            </w:r>
          </w:p>
        </w:tc>
        <w:tc>
          <w:tcPr>
            <w:tcW w:w="685" w:type="pct"/>
            <w:vAlign w:val="center"/>
            <w:hideMark/>
          </w:tcPr>
          <w:p w14:paraId="04D380D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c>
          <w:tcPr>
            <w:tcW w:w="705" w:type="pct"/>
            <w:vAlign w:val="center"/>
            <w:hideMark/>
          </w:tcPr>
          <w:p w14:paraId="4102D3C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r>
      <w:tr w:rsidR="00D14E18" w:rsidRPr="00D14E18" w14:paraId="62A1B0A5" w14:textId="77777777" w:rsidTr="00D14E18">
        <w:tc>
          <w:tcPr>
            <w:tcW w:w="1048" w:type="pct"/>
            <w:vAlign w:val="center"/>
            <w:hideMark/>
          </w:tcPr>
          <w:p w14:paraId="07EC63C7"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lastRenderedPageBreak/>
              <w:t>CD at 5%</w:t>
            </w:r>
          </w:p>
        </w:tc>
        <w:tc>
          <w:tcPr>
            <w:tcW w:w="631" w:type="pct"/>
            <w:vAlign w:val="center"/>
          </w:tcPr>
          <w:p w14:paraId="71B456CB" w14:textId="0F9E645F"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11.32</w:t>
            </w:r>
          </w:p>
        </w:tc>
        <w:tc>
          <w:tcPr>
            <w:tcW w:w="650" w:type="pct"/>
            <w:vAlign w:val="center"/>
          </w:tcPr>
          <w:p w14:paraId="4D860C0D" w14:textId="028A6AE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2.64</w:t>
            </w:r>
          </w:p>
        </w:tc>
        <w:tc>
          <w:tcPr>
            <w:tcW w:w="650" w:type="pct"/>
            <w:vAlign w:val="center"/>
          </w:tcPr>
          <w:p w14:paraId="0DC245DB" w14:textId="13344F7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40.66</w:t>
            </w:r>
          </w:p>
        </w:tc>
        <w:tc>
          <w:tcPr>
            <w:tcW w:w="631" w:type="pct"/>
            <w:vAlign w:val="center"/>
            <w:hideMark/>
          </w:tcPr>
          <w:p w14:paraId="12BC8790" w14:textId="31365E09"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0.84</w:t>
            </w:r>
          </w:p>
        </w:tc>
        <w:tc>
          <w:tcPr>
            <w:tcW w:w="685" w:type="pct"/>
            <w:vAlign w:val="center"/>
            <w:hideMark/>
          </w:tcPr>
          <w:p w14:paraId="65A9509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705" w:type="pct"/>
            <w:vAlign w:val="center"/>
            <w:hideMark/>
          </w:tcPr>
          <w:p w14:paraId="2B8684C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0.09</w:t>
            </w:r>
          </w:p>
        </w:tc>
      </w:tr>
      <w:tr w:rsidR="00D14E18" w:rsidRPr="00D14E18" w14:paraId="2DE7C5EA" w14:textId="77777777" w:rsidTr="00D14E18">
        <w:tc>
          <w:tcPr>
            <w:tcW w:w="5000" w:type="pct"/>
            <w:gridSpan w:val="7"/>
          </w:tcPr>
          <w:p w14:paraId="700293AA" w14:textId="70FE9A14"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787D3642" w14:textId="77777777" w:rsidTr="00EE2CC9">
        <w:tc>
          <w:tcPr>
            <w:tcW w:w="1048" w:type="pct"/>
            <w:hideMark/>
          </w:tcPr>
          <w:p w14:paraId="2FA05DE0"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48C3F66F" w14:textId="163A587D" w:rsidR="00D14E18" w:rsidRPr="00D14E18" w:rsidRDefault="00D14E18" w:rsidP="00D14E18">
            <w:pPr>
              <w:jc w:val="center"/>
              <w:rPr>
                <w:rFonts w:ascii="Arial" w:hAnsi="Arial" w:cs="Arial"/>
                <w:sz w:val="20"/>
                <w:szCs w:val="20"/>
              </w:rPr>
            </w:pPr>
            <w:r w:rsidRPr="00D14E18">
              <w:rPr>
                <w:rFonts w:ascii="Arial" w:hAnsi="Arial" w:cs="Arial"/>
                <w:sz w:val="20"/>
                <w:szCs w:val="20"/>
              </w:rPr>
              <w:t>242.40</w:t>
            </w:r>
          </w:p>
        </w:tc>
        <w:tc>
          <w:tcPr>
            <w:tcW w:w="650" w:type="pct"/>
            <w:vAlign w:val="center"/>
          </w:tcPr>
          <w:p w14:paraId="16BAD6D8" w14:textId="4F22DB28" w:rsidR="00D14E18" w:rsidRPr="00D14E18" w:rsidRDefault="00D14E18" w:rsidP="00D14E18">
            <w:pPr>
              <w:jc w:val="center"/>
              <w:rPr>
                <w:rFonts w:ascii="Arial" w:hAnsi="Arial" w:cs="Arial"/>
                <w:sz w:val="20"/>
                <w:szCs w:val="20"/>
              </w:rPr>
            </w:pPr>
            <w:r w:rsidRPr="00D14E18">
              <w:rPr>
                <w:rFonts w:ascii="Arial" w:hAnsi="Arial" w:cs="Arial"/>
                <w:sz w:val="20"/>
                <w:szCs w:val="20"/>
              </w:rPr>
              <w:t>38.20</w:t>
            </w:r>
          </w:p>
        </w:tc>
        <w:tc>
          <w:tcPr>
            <w:tcW w:w="650" w:type="pct"/>
            <w:vAlign w:val="center"/>
          </w:tcPr>
          <w:p w14:paraId="37E11CCD" w14:textId="073E6640" w:rsidR="00D14E18" w:rsidRPr="00D14E18" w:rsidRDefault="00D14E18" w:rsidP="00D14E18">
            <w:pPr>
              <w:jc w:val="center"/>
              <w:rPr>
                <w:rFonts w:ascii="Arial" w:hAnsi="Arial" w:cs="Arial"/>
                <w:sz w:val="20"/>
                <w:szCs w:val="20"/>
              </w:rPr>
            </w:pPr>
            <w:r w:rsidRPr="00D14E18">
              <w:rPr>
                <w:rFonts w:ascii="Arial" w:hAnsi="Arial" w:cs="Arial"/>
                <w:sz w:val="20"/>
                <w:szCs w:val="20"/>
              </w:rPr>
              <w:t>358.72</w:t>
            </w:r>
          </w:p>
        </w:tc>
        <w:tc>
          <w:tcPr>
            <w:tcW w:w="631" w:type="pct"/>
            <w:vAlign w:val="center"/>
            <w:hideMark/>
          </w:tcPr>
          <w:p w14:paraId="363E393C" w14:textId="630E5509" w:rsidR="00D14E18" w:rsidRPr="00D14E18" w:rsidRDefault="00D14E18" w:rsidP="00D14E18">
            <w:pPr>
              <w:jc w:val="center"/>
              <w:rPr>
                <w:rFonts w:ascii="Arial" w:hAnsi="Arial" w:cs="Arial"/>
                <w:sz w:val="20"/>
                <w:szCs w:val="20"/>
              </w:rPr>
            </w:pPr>
            <w:r w:rsidRPr="00D14E18">
              <w:rPr>
                <w:rFonts w:ascii="Arial" w:hAnsi="Arial" w:cs="Arial"/>
                <w:sz w:val="20"/>
                <w:szCs w:val="20"/>
              </w:rPr>
              <w:t>12.90</w:t>
            </w:r>
          </w:p>
        </w:tc>
        <w:tc>
          <w:tcPr>
            <w:tcW w:w="685" w:type="pct"/>
            <w:vAlign w:val="center"/>
            <w:hideMark/>
          </w:tcPr>
          <w:p w14:paraId="0C268AF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c>
          <w:tcPr>
            <w:tcW w:w="705" w:type="pct"/>
            <w:vAlign w:val="center"/>
            <w:hideMark/>
          </w:tcPr>
          <w:p w14:paraId="3DAEDDB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1.15</w:t>
            </w:r>
          </w:p>
        </w:tc>
      </w:tr>
      <w:tr w:rsidR="00D14E18" w:rsidRPr="00D14E18" w14:paraId="2C8631C4" w14:textId="77777777" w:rsidTr="00EE2CC9">
        <w:tc>
          <w:tcPr>
            <w:tcW w:w="1048" w:type="pct"/>
            <w:hideMark/>
          </w:tcPr>
          <w:p w14:paraId="76976E52"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30CD4AD9" w14:textId="5761689C" w:rsidR="00D14E18" w:rsidRPr="00D14E18" w:rsidRDefault="00D14E18" w:rsidP="00D14E18">
            <w:pPr>
              <w:jc w:val="center"/>
              <w:rPr>
                <w:rFonts w:ascii="Arial" w:hAnsi="Arial" w:cs="Arial"/>
                <w:sz w:val="20"/>
                <w:szCs w:val="20"/>
              </w:rPr>
            </w:pPr>
            <w:r w:rsidRPr="00D14E18">
              <w:rPr>
                <w:rFonts w:ascii="Arial" w:hAnsi="Arial" w:cs="Arial"/>
                <w:sz w:val="20"/>
                <w:szCs w:val="20"/>
              </w:rPr>
              <w:t>247.03</w:t>
            </w:r>
          </w:p>
        </w:tc>
        <w:tc>
          <w:tcPr>
            <w:tcW w:w="650" w:type="pct"/>
            <w:vAlign w:val="center"/>
          </w:tcPr>
          <w:p w14:paraId="1D2DEF71" w14:textId="7FE55B1F" w:rsidR="00D14E18" w:rsidRPr="00D14E18" w:rsidRDefault="00D14E18" w:rsidP="00D14E18">
            <w:pPr>
              <w:jc w:val="center"/>
              <w:rPr>
                <w:rFonts w:ascii="Arial" w:hAnsi="Arial" w:cs="Arial"/>
                <w:sz w:val="20"/>
                <w:szCs w:val="20"/>
              </w:rPr>
            </w:pPr>
            <w:r w:rsidRPr="00D14E18">
              <w:rPr>
                <w:rFonts w:ascii="Arial" w:hAnsi="Arial" w:cs="Arial"/>
                <w:sz w:val="20"/>
                <w:szCs w:val="20"/>
              </w:rPr>
              <w:t>42.55</w:t>
            </w:r>
          </w:p>
        </w:tc>
        <w:tc>
          <w:tcPr>
            <w:tcW w:w="650" w:type="pct"/>
            <w:vAlign w:val="center"/>
          </w:tcPr>
          <w:p w14:paraId="6631FE2C" w14:textId="1CE5A51B" w:rsidR="00D14E18" w:rsidRPr="00D14E18" w:rsidRDefault="00D14E18" w:rsidP="00D14E18">
            <w:pPr>
              <w:jc w:val="center"/>
              <w:rPr>
                <w:rFonts w:ascii="Arial" w:hAnsi="Arial" w:cs="Arial"/>
                <w:sz w:val="20"/>
                <w:szCs w:val="20"/>
              </w:rPr>
            </w:pPr>
            <w:r w:rsidRPr="00D14E18">
              <w:rPr>
                <w:rFonts w:ascii="Arial" w:hAnsi="Arial" w:cs="Arial"/>
                <w:sz w:val="20"/>
                <w:szCs w:val="20"/>
              </w:rPr>
              <w:t>364.58</w:t>
            </w:r>
          </w:p>
        </w:tc>
        <w:tc>
          <w:tcPr>
            <w:tcW w:w="631" w:type="pct"/>
            <w:vAlign w:val="center"/>
            <w:hideMark/>
          </w:tcPr>
          <w:p w14:paraId="2A7032CE" w14:textId="521AB8D7" w:rsidR="00D14E18" w:rsidRPr="00D14E18" w:rsidRDefault="00D14E18" w:rsidP="00D14E18">
            <w:pPr>
              <w:jc w:val="center"/>
              <w:rPr>
                <w:rFonts w:ascii="Arial" w:hAnsi="Arial" w:cs="Arial"/>
                <w:sz w:val="20"/>
                <w:szCs w:val="20"/>
              </w:rPr>
            </w:pPr>
            <w:r w:rsidRPr="00D14E18">
              <w:rPr>
                <w:rFonts w:ascii="Arial" w:hAnsi="Arial" w:cs="Arial"/>
                <w:sz w:val="20"/>
                <w:szCs w:val="20"/>
              </w:rPr>
              <w:t>15.04</w:t>
            </w:r>
          </w:p>
        </w:tc>
        <w:tc>
          <w:tcPr>
            <w:tcW w:w="685" w:type="pct"/>
            <w:vAlign w:val="center"/>
            <w:hideMark/>
          </w:tcPr>
          <w:p w14:paraId="2D59DBC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1.60</w:t>
            </w:r>
          </w:p>
        </w:tc>
        <w:tc>
          <w:tcPr>
            <w:tcW w:w="705" w:type="pct"/>
            <w:vAlign w:val="center"/>
            <w:hideMark/>
          </w:tcPr>
          <w:p w14:paraId="6B51646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r>
      <w:tr w:rsidR="00D14E18" w:rsidRPr="00D14E18" w14:paraId="67C1DB0A" w14:textId="77777777" w:rsidTr="00EE2CC9">
        <w:tc>
          <w:tcPr>
            <w:tcW w:w="1048" w:type="pct"/>
            <w:hideMark/>
          </w:tcPr>
          <w:p w14:paraId="332FFE67"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4D80B6FE" w14:textId="4EF70129" w:rsidR="00D14E18" w:rsidRPr="00D14E18" w:rsidRDefault="00D14E18" w:rsidP="00D14E18">
            <w:pPr>
              <w:jc w:val="center"/>
              <w:rPr>
                <w:rFonts w:ascii="Arial" w:hAnsi="Arial" w:cs="Arial"/>
                <w:sz w:val="20"/>
                <w:szCs w:val="20"/>
              </w:rPr>
            </w:pPr>
            <w:r w:rsidRPr="00D14E18">
              <w:rPr>
                <w:rFonts w:ascii="Arial" w:hAnsi="Arial" w:cs="Arial"/>
                <w:sz w:val="20"/>
                <w:szCs w:val="20"/>
              </w:rPr>
              <w:t>252.01</w:t>
            </w:r>
          </w:p>
        </w:tc>
        <w:tc>
          <w:tcPr>
            <w:tcW w:w="650" w:type="pct"/>
            <w:vAlign w:val="center"/>
          </w:tcPr>
          <w:p w14:paraId="025FC096" w14:textId="30FBC591" w:rsidR="00D14E18" w:rsidRPr="00D14E18" w:rsidRDefault="00D14E18" w:rsidP="00D14E18">
            <w:pPr>
              <w:jc w:val="center"/>
              <w:rPr>
                <w:rFonts w:ascii="Arial" w:hAnsi="Arial" w:cs="Arial"/>
                <w:sz w:val="20"/>
                <w:szCs w:val="20"/>
              </w:rPr>
            </w:pPr>
            <w:r w:rsidRPr="00D14E18">
              <w:rPr>
                <w:rFonts w:ascii="Arial" w:hAnsi="Arial" w:cs="Arial"/>
                <w:sz w:val="20"/>
                <w:szCs w:val="20"/>
              </w:rPr>
              <w:t>46.10</w:t>
            </w:r>
          </w:p>
        </w:tc>
        <w:tc>
          <w:tcPr>
            <w:tcW w:w="650" w:type="pct"/>
            <w:vAlign w:val="center"/>
          </w:tcPr>
          <w:p w14:paraId="008E945D" w14:textId="45D70D76" w:rsidR="00D14E18" w:rsidRPr="00D14E18" w:rsidRDefault="00D14E18" w:rsidP="00D14E18">
            <w:pPr>
              <w:jc w:val="center"/>
              <w:rPr>
                <w:rFonts w:ascii="Arial" w:hAnsi="Arial" w:cs="Arial"/>
                <w:sz w:val="20"/>
                <w:szCs w:val="20"/>
              </w:rPr>
            </w:pPr>
            <w:r w:rsidRPr="00D14E18">
              <w:rPr>
                <w:rFonts w:ascii="Arial" w:hAnsi="Arial" w:cs="Arial"/>
                <w:sz w:val="20"/>
                <w:szCs w:val="20"/>
              </w:rPr>
              <w:t>369.72</w:t>
            </w:r>
          </w:p>
        </w:tc>
        <w:tc>
          <w:tcPr>
            <w:tcW w:w="631" w:type="pct"/>
            <w:vAlign w:val="center"/>
            <w:hideMark/>
          </w:tcPr>
          <w:p w14:paraId="533F72DC" w14:textId="26F0D7AB" w:rsidR="00D14E18" w:rsidRPr="00D14E18" w:rsidRDefault="00D14E18" w:rsidP="00D14E18">
            <w:pPr>
              <w:jc w:val="center"/>
              <w:rPr>
                <w:rFonts w:ascii="Arial" w:hAnsi="Arial" w:cs="Arial"/>
                <w:sz w:val="20"/>
                <w:szCs w:val="20"/>
              </w:rPr>
            </w:pPr>
            <w:r w:rsidRPr="00D14E18">
              <w:rPr>
                <w:rFonts w:ascii="Arial" w:hAnsi="Arial" w:cs="Arial"/>
                <w:sz w:val="20"/>
                <w:szCs w:val="20"/>
              </w:rPr>
              <w:t>15.33</w:t>
            </w:r>
          </w:p>
        </w:tc>
        <w:tc>
          <w:tcPr>
            <w:tcW w:w="685" w:type="pct"/>
            <w:vAlign w:val="center"/>
            <w:hideMark/>
          </w:tcPr>
          <w:p w14:paraId="442639A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2.00</w:t>
            </w:r>
          </w:p>
        </w:tc>
        <w:tc>
          <w:tcPr>
            <w:tcW w:w="705" w:type="pct"/>
            <w:vAlign w:val="center"/>
            <w:hideMark/>
          </w:tcPr>
          <w:p w14:paraId="097EFD2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1.85</w:t>
            </w:r>
          </w:p>
        </w:tc>
      </w:tr>
      <w:tr w:rsidR="00D14E18" w:rsidRPr="00D14E18" w14:paraId="244D578F" w14:textId="77777777" w:rsidTr="00EE2CC9">
        <w:tc>
          <w:tcPr>
            <w:tcW w:w="1048" w:type="pct"/>
            <w:vAlign w:val="center"/>
            <w:hideMark/>
          </w:tcPr>
          <w:p w14:paraId="12FCF8BC"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35D8B0C9" w14:textId="74F46F9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3.88</w:t>
            </w:r>
          </w:p>
        </w:tc>
        <w:tc>
          <w:tcPr>
            <w:tcW w:w="650" w:type="pct"/>
            <w:vAlign w:val="center"/>
          </w:tcPr>
          <w:p w14:paraId="7AB25600" w14:textId="662C5423"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0.91</w:t>
            </w:r>
          </w:p>
        </w:tc>
        <w:tc>
          <w:tcPr>
            <w:tcW w:w="650" w:type="pct"/>
            <w:vAlign w:val="center"/>
          </w:tcPr>
          <w:p w14:paraId="0917D0E7" w14:textId="4DA4AE9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8.04</w:t>
            </w:r>
          </w:p>
        </w:tc>
        <w:tc>
          <w:tcPr>
            <w:tcW w:w="631" w:type="pct"/>
            <w:vAlign w:val="center"/>
            <w:hideMark/>
          </w:tcPr>
          <w:p w14:paraId="0DDEFF92" w14:textId="78DE741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0.29</w:t>
            </w:r>
          </w:p>
        </w:tc>
        <w:tc>
          <w:tcPr>
            <w:tcW w:w="685" w:type="pct"/>
            <w:vAlign w:val="center"/>
            <w:hideMark/>
          </w:tcPr>
          <w:p w14:paraId="3EFF2B2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c>
          <w:tcPr>
            <w:tcW w:w="705" w:type="pct"/>
            <w:vAlign w:val="center"/>
            <w:hideMark/>
          </w:tcPr>
          <w:p w14:paraId="5E2749F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r>
      <w:tr w:rsidR="00D14E18" w:rsidRPr="00D14E18" w14:paraId="4BE702EC" w14:textId="77777777" w:rsidTr="00EE2CC9">
        <w:tc>
          <w:tcPr>
            <w:tcW w:w="1048" w:type="pct"/>
            <w:vAlign w:val="center"/>
            <w:hideMark/>
          </w:tcPr>
          <w:p w14:paraId="4624BFB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631" w:type="pct"/>
            <w:vAlign w:val="center"/>
          </w:tcPr>
          <w:p w14:paraId="6A8F7E65" w14:textId="6069CAB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650" w:type="pct"/>
            <w:vAlign w:val="center"/>
          </w:tcPr>
          <w:p w14:paraId="077095B5" w14:textId="41CB861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2.64</w:t>
            </w:r>
          </w:p>
        </w:tc>
        <w:tc>
          <w:tcPr>
            <w:tcW w:w="650" w:type="pct"/>
            <w:vAlign w:val="center"/>
          </w:tcPr>
          <w:p w14:paraId="6921B689" w14:textId="37E3FE04"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631" w:type="pct"/>
            <w:vAlign w:val="center"/>
            <w:hideMark/>
          </w:tcPr>
          <w:p w14:paraId="0ADBED95" w14:textId="71B5DE6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0.84</w:t>
            </w:r>
          </w:p>
        </w:tc>
        <w:tc>
          <w:tcPr>
            <w:tcW w:w="685" w:type="pct"/>
            <w:vAlign w:val="center"/>
            <w:hideMark/>
          </w:tcPr>
          <w:p w14:paraId="32362AA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705" w:type="pct"/>
            <w:vAlign w:val="center"/>
            <w:hideMark/>
          </w:tcPr>
          <w:p w14:paraId="630EDA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0.09</w:t>
            </w:r>
          </w:p>
        </w:tc>
      </w:tr>
      <w:tr w:rsidR="00D14E18" w:rsidRPr="00D14E18" w14:paraId="056B9CB7" w14:textId="77777777" w:rsidTr="00EE2CC9">
        <w:tc>
          <w:tcPr>
            <w:tcW w:w="1048" w:type="pct"/>
            <w:hideMark/>
          </w:tcPr>
          <w:p w14:paraId="7867F1CC"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631" w:type="pct"/>
            <w:vAlign w:val="center"/>
          </w:tcPr>
          <w:p w14:paraId="3BF8A3D3" w14:textId="5591FC95"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50" w:type="pct"/>
            <w:vAlign w:val="center"/>
          </w:tcPr>
          <w:p w14:paraId="04BAD0C9" w14:textId="4094BB3E"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50" w:type="pct"/>
            <w:vAlign w:val="center"/>
          </w:tcPr>
          <w:p w14:paraId="2529C235" w14:textId="24E0008F"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31" w:type="pct"/>
            <w:vAlign w:val="center"/>
            <w:hideMark/>
          </w:tcPr>
          <w:p w14:paraId="46B405B0" w14:textId="4D648AB3"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85" w:type="pct"/>
            <w:vAlign w:val="center"/>
            <w:hideMark/>
          </w:tcPr>
          <w:p w14:paraId="034AFE0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705" w:type="pct"/>
            <w:vAlign w:val="center"/>
            <w:hideMark/>
          </w:tcPr>
          <w:p w14:paraId="6F009BF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24650114" w14:textId="77777777" w:rsidTr="00EE2CC9">
        <w:tc>
          <w:tcPr>
            <w:tcW w:w="1048" w:type="pct"/>
            <w:vAlign w:val="center"/>
            <w:hideMark/>
          </w:tcPr>
          <w:p w14:paraId="0C67BE06"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560B38F0" w14:textId="5C93CBE0"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6.72</w:t>
            </w:r>
          </w:p>
        </w:tc>
        <w:tc>
          <w:tcPr>
            <w:tcW w:w="650" w:type="pct"/>
            <w:vAlign w:val="center"/>
          </w:tcPr>
          <w:p w14:paraId="29C0B529" w14:textId="408228EB"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1.57</w:t>
            </w:r>
          </w:p>
        </w:tc>
        <w:tc>
          <w:tcPr>
            <w:tcW w:w="650" w:type="pct"/>
            <w:vAlign w:val="center"/>
          </w:tcPr>
          <w:p w14:paraId="4287F7A8" w14:textId="5C68975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13.93</w:t>
            </w:r>
          </w:p>
        </w:tc>
        <w:tc>
          <w:tcPr>
            <w:tcW w:w="631" w:type="pct"/>
            <w:vAlign w:val="center"/>
            <w:hideMark/>
          </w:tcPr>
          <w:p w14:paraId="02F19FBC" w14:textId="4E0C222D"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0.50</w:t>
            </w:r>
          </w:p>
        </w:tc>
        <w:tc>
          <w:tcPr>
            <w:tcW w:w="685" w:type="pct"/>
            <w:vAlign w:val="center"/>
            <w:hideMark/>
          </w:tcPr>
          <w:p w14:paraId="0A89A19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0.06</w:t>
            </w:r>
          </w:p>
        </w:tc>
        <w:tc>
          <w:tcPr>
            <w:tcW w:w="705" w:type="pct"/>
            <w:vAlign w:val="center"/>
            <w:hideMark/>
          </w:tcPr>
          <w:p w14:paraId="5D0859A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0.06</w:t>
            </w:r>
          </w:p>
        </w:tc>
      </w:tr>
      <w:tr w:rsidR="00D14E18" w:rsidRPr="00D14E18" w14:paraId="1F93F608" w14:textId="77777777" w:rsidTr="00EE2CC9">
        <w:tc>
          <w:tcPr>
            <w:tcW w:w="1048" w:type="pct"/>
            <w:vAlign w:val="center"/>
            <w:hideMark/>
          </w:tcPr>
          <w:p w14:paraId="51E73282"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631" w:type="pct"/>
            <w:vAlign w:val="center"/>
          </w:tcPr>
          <w:p w14:paraId="5BF94C10" w14:textId="2D0131D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5.43</w:t>
            </w:r>
          </w:p>
        </w:tc>
        <w:tc>
          <w:tcPr>
            <w:tcW w:w="650" w:type="pct"/>
            <w:vAlign w:val="center"/>
          </w:tcPr>
          <w:p w14:paraId="58FDA023" w14:textId="3382A18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7.42</w:t>
            </w:r>
          </w:p>
        </w:tc>
        <w:tc>
          <w:tcPr>
            <w:tcW w:w="650" w:type="pct"/>
            <w:vAlign w:val="center"/>
          </w:tcPr>
          <w:p w14:paraId="04435695" w14:textId="357B5F0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7.65</w:t>
            </w:r>
          </w:p>
        </w:tc>
        <w:tc>
          <w:tcPr>
            <w:tcW w:w="631" w:type="pct"/>
            <w:vAlign w:val="center"/>
            <w:hideMark/>
          </w:tcPr>
          <w:p w14:paraId="2D8981B1" w14:textId="7534C3A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6.95</w:t>
            </w:r>
          </w:p>
        </w:tc>
        <w:tc>
          <w:tcPr>
            <w:tcW w:w="685" w:type="pct"/>
            <w:vAlign w:val="center"/>
            <w:hideMark/>
          </w:tcPr>
          <w:p w14:paraId="0F411C5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6.92</w:t>
            </w:r>
          </w:p>
        </w:tc>
        <w:tc>
          <w:tcPr>
            <w:tcW w:w="705" w:type="pct"/>
            <w:vAlign w:val="center"/>
            <w:hideMark/>
          </w:tcPr>
          <w:p w14:paraId="4FE8586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7.41</w:t>
            </w:r>
          </w:p>
        </w:tc>
      </w:tr>
      <w:tr w:rsidR="00D14E18" w:rsidRPr="00D14E18" w14:paraId="2556710B" w14:textId="77777777" w:rsidTr="00EE2CC9">
        <w:trPr>
          <w:trHeight w:val="395"/>
        </w:trPr>
        <w:tc>
          <w:tcPr>
            <w:tcW w:w="1048" w:type="pct"/>
            <w:vAlign w:val="center"/>
          </w:tcPr>
          <w:p w14:paraId="0A52547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631" w:type="pct"/>
            <w:vAlign w:val="center"/>
          </w:tcPr>
          <w:p w14:paraId="2F409509" w14:textId="21E284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222.41</w:t>
            </w:r>
          </w:p>
        </w:tc>
        <w:tc>
          <w:tcPr>
            <w:tcW w:w="650" w:type="pct"/>
            <w:vAlign w:val="center"/>
          </w:tcPr>
          <w:p w14:paraId="1DD25968" w14:textId="58F89496"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35.40</w:t>
            </w:r>
          </w:p>
        </w:tc>
        <w:tc>
          <w:tcPr>
            <w:tcW w:w="650" w:type="pct"/>
            <w:vAlign w:val="center"/>
          </w:tcPr>
          <w:p w14:paraId="65A58190" w14:textId="5369158F"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333.91</w:t>
            </w:r>
          </w:p>
        </w:tc>
        <w:tc>
          <w:tcPr>
            <w:tcW w:w="631" w:type="pct"/>
            <w:vAlign w:val="center"/>
          </w:tcPr>
          <w:p w14:paraId="13803979" w14:textId="265D557E"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9.10</w:t>
            </w:r>
          </w:p>
        </w:tc>
        <w:tc>
          <w:tcPr>
            <w:tcW w:w="685" w:type="pct"/>
            <w:vAlign w:val="center"/>
          </w:tcPr>
          <w:p w14:paraId="39298650"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0.94</w:t>
            </w:r>
          </w:p>
        </w:tc>
        <w:tc>
          <w:tcPr>
            <w:tcW w:w="705" w:type="pct"/>
            <w:vAlign w:val="center"/>
          </w:tcPr>
          <w:p w14:paraId="09127D1D"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0.95</w:t>
            </w:r>
          </w:p>
        </w:tc>
      </w:tr>
    </w:tbl>
    <w:p w14:paraId="47908C04" w14:textId="0667A34D"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02DE0">
        <w:rPr>
          <w:rFonts w:ascii="Arial" w:hAnsi="Arial" w:cs="Arial"/>
          <w:b/>
          <w:bCs/>
          <w:sz w:val="20"/>
          <w:szCs w:val="20"/>
          <w:lang w:val="en-GB"/>
        </w:rPr>
        <w:t>3</w:t>
      </w:r>
      <w:r w:rsidRPr="004C3FFB">
        <w:rPr>
          <w:rFonts w:ascii="Arial" w:hAnsi="Arial" w:cs="Arial"/>
          <w:b/>
          <w:bCs/>
          <w:sz w:val="20"/>
          <w:szCs w:val="20"/>
          <w:lang w:val="en-GB"/>
        </w:rPr>
        <w:t>.2 Soil Organic Carbon, Inorganic Carbon, pH and Electrical Conductivity</w:t>
      </w:r>
    </w:p>
    <w:p w14:paraId="0F58627A" w14:textId="658B8B6D"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Organic carbon increased significantly with sulphur, from 5.8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₁</w:t>
      </w:r>
      <w:r w:rsidRPr="004C3FFB">
        <w:rPr>
          <w:rFonts w:ascii="Arial" w:hAnsi="Arial" w:cs="Arial"/>
          <w:sz w:val="20"/>
          <w:szCs w:val="20"/>
          <w:lang w:val="en-GB"/>
        </w:rPr>
        <w:t>) to 7.2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₃</w:t>
      </w:r>
      <w:r w:rsidRPr="004C3FFB">
        <w:rPr>
          <w:rFonts w:ascii="Arial" w:hAnsi="Arial" w:cs="Arial"/>
          <w:sz w:val="20"/>
          <w:szCs w:val="20"/>
          <w:lang w:val="en-GB"/>
        </w:rPr>
        <w:t>) against an initial 5.6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reflecting greater root biomass and residue return under improved sulphur nutrition (Yadav </w:t>
      </w:r>
      <w:r w:rsidRPr="004C3FFB">
        <w:rPr>
          <w:rFonts w:ascii="Arial" w:hAnsi="Arial" w:cs="Arial"/>
          <w:i/>
          <w:iCs/>
          <w:sz w:val="20"/>
          <w:szCs w:val="20"/>
          <w:lang w:val="en-GB"/>
        </w:rPr>
        <w:t>et al</w:t>
      </w:r>
      <w:r w:rsidRPr="004C3FFB">
        <w:rPr>
          <w:rFonts w:ascii="Arial" w:hAnsi="Arial" w:cs="Arial"/>
          <w:sz w:val="20"/>
          <w:szCs w:val="20"/>
          <w:lang w:val="en-GB"/>
        </w:rPr>
        <w:t xml:space="preserve">., 2010; Alam </w:t>
      </w:r>
      <w:r w:rsidRPr="004C3FFB">
        <w:rPr>
          <w:rFonts w:ascii="Arial" w:hAnsi="Arial" w:cs="Arial"/>
          <w:i/>
          <w:iCs/>
          <w:sz w:val="20"/>
          <w:szCs w:val="20"/>
          <w:lang w:val="en-GB"/>
        </w:rPr>
        <w:t>et al</w:t>
      </w:r>
      <w:r w:rsidRPr="004C3FFB">
        <w:rPr>
          <w:rFonts w:ascii="Arial" w:hAnsi="Arial" w:cs="Arial"/>
          <w:sz w:val="20"/>
          <w:szCs w:val="20"/>
          <w:lang w:val="en-GB"/>
        </w:rPr>
        <w:t xml:space="preserve">., 2014;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Sahu </w:t>
      </w:r>
      <w:r w:rsidRPr="004C3FFB">
        <w:rPr>
          <w:rFonts w:ascii="Arial" w:hAnsi="Arial" w:cs="Arial"/>
          <w:i/>
          <w:iCs/>
          <w:sz w:val="20"/>
          <w:szCs w:val="20"/>
          <w:lang w:val="en-GB"/>
        </w:rPr>
        <w:t>et al</w:t>
      </w:r>
      <w:r w:rsidRPr="004C3FFB">
        <w:rPr>
          <w:rFonts w:ascii="Arial" w:hAnsi="Arial" w:cs="Arial"/>
          <w:sz w:val="20"/>
          <w:szCs w:val="20"/>
          <w:lang w:val="en-GB"/>
        </w:rPr>
        <w:t>., 2017), while zinc's effect was non-significant (</w:t>
      </w:r>
      <w:r w:rsidRPr="004C3FFB">
        <w:rPr>
          <w:rFonts w:ascii="Arial" w:hAnsi="Arial" w:cs="Arial"/>
          <w:b/>
          <w:bCs/>
          <w:sz w:val="20"/>
          <w:szCs w:val="20"/>
          <w:lang w:val="en-GB"/>
        </w:rPr>
        <w:t xml:space="preserve">Table </w:t>
      </w:r>
      <w:r w:rsidR="00C82A0C">
        <w:rPr>
          <w:rFonts w:ascii="Arial" w:hAnsi="Arial" w:cs="Arial"/>
          <w:b/>
          <w:bCs/>
          <w:sz w:val="20"/>
          <w:szCs w:val="20"/>
          <w:lang w:val="en-GB"/>
        </w:rPr>
        <w:t>7</w:t>
      </w:r>
      <w:r w:rsidRPr="004C3FFB">
        <w:rPr>
          <w:rFonts w:ascii="Arial" w:hAnsi="Arial" w:cs="Arial"/>
          <w:sz w:val="20"/>
          <w:szCs w:val="20"/>
          <w:lang w:val="en-GB"/>
        </w:rPr>
        <w:t xml:space="preserve">). </w:t>
      </w:r>
      <w:commentRangeStart w:id="13"/>
      <w:r w:rsidRPr="004C3FFB">
        <w:rPr>
          <w:rFonts w:ascii="Arial" w:hAnsi="Arial" w:cs="Arial"/>
          <w:sz w:val="20"/>
          <w:szCs w:val="20"/>
          <w:lang w:val="en-GB"/>
        </w:rPr>
        <w:t>Inorganic carbon, governed largely by the calcareous parent material of these Vertisols, was unaffected by either nutrient</w:t>
      </w:r>
      <w:commentRangeEnd w:id="13"/>
      <w:r w:rsidR="006B765A">
        <w:rPr>
          <w:rStyle w:val="CommentReference"/>
        </w:rPr>
        <w:commentReference w:id="13"/>
      </w:r>
      <w:r w:rsidRPr="004C3FFB">
        <w:rPr>
          <w:rFonts w:ascii="Arial" w:hAnsi="Arial" w:cs="Arial"/>
          <w:sz w:val="20"/>
          <w:szCs w:val="20"/>
          <w:lang w:val="en-GB"/>
        </w:rPr>
        <w:t>. Soil pH showed only a marginal, non-significant decline with sulphur (7.61</w:t>
      </w:r>
      <w:r w:rsidR="00624EBE">
        <w:rPr>
          <w:rFonts w:ascii="Arial" w:hAnsi="Arial" w:cs="Arial"/>
          <w:sz w:val="20"/>
          <w:szCs w:val="20"/>
          <w:lang w:val="en-GB"/>
        </w:rPr>
        <w:t xml:space="preserve"> to </w:t>
      </w:r>
      <w:r w:rsidRPr="004C3FFB">
        <w:rPr>
          <w:rFonts w:ascii="Arial" w:hAnsi="Arial" w:cs="Arial"/>
          <w:sz w:val="20"/>
          <w:szCs w:val="20"/>
          <w:lang w:val="en-GB"/>
        </w:rPr>
        <w:t xml:space="preserve">7.58), consistent with partial neutralisation of alkalinity through microbial oxidation of sulphur (Yadav </w:t>
      </w:r>
      <w:r w:rsidRPr="004C3FFB">
        <w:rPr>
          <w:rFonts w:ascii="Arial" w:hAnsi="Arial" w:cs="Arial"/>
          <w:i/>
          <w:iCs/>
          <w:sz w:val="20"/>
          <w:szCs w:val="20"/>
          <w:lang w:val="en-GB"/>
        </w:rPr>
        <w:t>et al</w:t>
      </w:r>
      <w:r w:rsidRPr="004C3FFB">
        <w:rPr>
          <w:rFonts w:ascii="Arial" w:hAnsi="Arial" w:cs="Arial"/>
          <w:sz w:val="20"/>
          <w:szCs w:val="20"/>
          <w:lang w:val="en-GB"/>
        </w:rPr>
        <w:t xml:space="preserve">., 2010; Sahu </w:t>
      </w:r>
      <w:r w:rsidRPr="004C3FFB">
        <w:rPr>
          <w:rFonts w:ascii="Arial" w:hAnsi="Arial" w:cs="Arial"/>
          <w:i/>
          <w:iCs/>
          <w:sz w:val="20"/>
          <w:szCs w:val="20"/>
          <w:lang w:val="en-GB"/>
        </w:rPr>
        <w:t>et al</w:t>
      </w:r>
      <w:r w:rsidRPr="004C3FFB">
        <w:rPr>
          <w:rFonts w:ascii="Arial" w:hAnsi="Arial" w:cs="Arial"/>
          <w:sz w:val="20"/>
          <w:szCs w:val="20"/>
          <w:lang w:val="en-GB"/>
        </w:rPr>
        <w:t>., 2017; Singh and Singh, 2017), and was unaffected by zinc. EC, by contrast, increased significantly with both sulphur (0.73</w:t>
      </w:r>
      <w:r w:rsidR="00624EBE">
        <w:rPr>
          <w:rFonts w:ascii="Arial" w:hAnsi="Arial" w:cs="Arial"/>
          <w:sz w:val="20"/>
          <w:szCs w:val="20"/>
          <w:lang w:val="en-GB"/>
        </w:rPr>
        <w:t xml:space="preserve"> to </w:t>
      </w:r>
      <w:r w:rsidRPr="004C3FFB">
        <w:rPr>
          <w:rFonts w:ascii="Arial" w:hAnsi="Arial" w:cs="Arial"/>
          <w:sz w:val="20"/>
          <w:szCs w:val="20"/>
          <w:lang w:val="en-GB"/>
        </w:rPr>
        <w:t>0.79 dS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and zinc (0.71</w:t>
      </w:r>
      <w:r w:rsidR="00624EBE">
        <w:rPr>
          <w:rFonts w:ascii="Arial" w:hAnsi="Arial" w:cs="Arial"/>
          <w:sz w:val="20"/>
          <w:szCs w:val="20"/>
          <w:lang w:val="en-GB"/>
        </w:rPr>
        <w:t xml:space="preserve"> to </w:t>
      </w:r>
      <w:r w:rsidRPr="004C3FFB">
        <w:rPr>
          <w:rFonts w:ascii="Arial" w:hAnsi="Arial" w:cs="Arial"/>
          <w:sz w:val="20"/>
          <w:szCs w:val="20"/>
          <w:lang w:val="en-GB"/>
        </w:rPr>
        <w:t>0.80 dS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owing to the added soluble sulphate and zinc-EDTA salts (Alam </w:t>
      </w:r>
      <w:r w:rsidRPr="004C3FFB">
        <w:rPr>
          <w:rFonts w:ascii="Arial" w:hAnsi="Arial" w:cs="Arial"/>
          <w:i/>
          <w:iCs/>
          <w:sz w:val="20"/>
          <w:szCs w:val="20"/>
          <w:lang w:val="en-GB"/>
        </w:rPr>
        <w:t>et al</w:t>
      </w:r>
      <w:r w:rsidRPr="004C3FFB">
        <w:rPr>
          <w:rFonts w:ascii="Arial" w:hAnsi="Arial" w:cs="Arial"/>
          <w:sz w:val="20"/>
          <w:szCs w:val="20"/>
          <w:lang w:val="en-GB"/>
        </w:rPr>
        <w:t xml:space="preserve">., 2014; Sahu </w:t>
      </w:r>
      <w:r w:rsidRPr="004C3FFB">
        <w:rPr>
          <w:rFonts w:ascii="Arial" w:hAnsi="Arial" w:cs="Arial"/>
          <w:i/>
          <w:iCs/>
          <w:sz w:val="20"/>
          <w:szCs w:val="20"/>
          <w:lang w:val="en-GB"/>
        </w:rPr>
        <w:t>et al</w:t>
      </w:r>
      <w:r w:rsidRPr="004C3FFB">
        <w:rPr>
          <w:rFonts w:ascii="Arial" w:hAnsi="Arial" w:cs="Arial"/>
          <w:sz w:val="20"/>
          <w:szCs w:val="20"/>
          <w:lang w:val="en-GB"/>
        </w:rPr>
        <w:t>., 2017), though values stayed well within the non-saline range.</w:t>
      </w:r>
    </w:p>
    <w:p w14:paraId="09D82A5A" w14:textId="41DD6DF5"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7</w:t>
      </w:r>
      <w:r w:rsidRPr="004C3FFB">
        <w:rPr>
          <w:rFonts w:ascii="Arial" w:hAnsi="Arial" w:cs="Arial"/>
          <w:b/>
          <w:bCs/>
          <w:sz w:val="20"/>
          <w:szCs w:val="20"/>
          <w:lang w:val="en-GB"/>
        </w:rPr>
        <w:t>. Soil Organic Carbon, Inorganic Carbon, pH and EC after Harvest</w:t>
      </w:r>
    </w:p>
    <w:tbl>
      <w:tblPr>
        <w:tblStyle w:val="TableGrid"/>
        <w:tblW w:w="5000" w:type="pct"/>
        <w:tblLook w:val="04A0" w:firstRow="1" w:lastRow="0" w:firstColumn="1" w:lastColumn="0" w:noHBand="0" w:noVBand="1"/>
      </w:tblPr>
      <w:tblGrid>
        <w:gridCol w:w="1719"/>
        <w:gridCol w:w="1720"/>
        <w:gridCol w:w="1861"/>
        <w:gridCol w:w="1859"/>
        <w:gridCol w:w="1857"/>
      </w:tblGrid>
      <w:tr w:rsidR="00D14E18" w:rsidRPr="00D14E18" w14:paraId="62689593" w14:textId="7651A1B4" w:rsidTr="00D14E18">
        <w:tc>
          <w:tcPr>
            <w:tcW w:w="953" w:type="pct"/>
            <w:hideMark/>
          </w:tcPr>
          <w:p w14:paraId="1FE184A5"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954" w:type="pct"/>
            <w:vAlign w:val="center"/>
            <w:hideMark/>
          </w:tcPr>
          <w:p w14:paraId="29AA833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Organic Carbon (g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32" w:type="pct"/>
            <w:vAlign w:val="center"/>
            <w:hideMark/>
          </w:tcPr>
          <w:p w14:paraId="0D787D3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Inorganic Carbon (g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31" w:type="pct"/>
            <w:vAlign w:val="center"/>
          </w:tcPr>
          <w:p w14:paraId="73E9906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pH</w:t>
            </w:r>
          </w:p>
          <w:p w14:paraId="282BE3BA" w14:textId="6254BBB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(1:2.5)</w:t>
            </w:r>
          </w:p>
        </w:tc>
        <w:tc>
          <w:tcPr>
            <w:tcW w:w="1030" w:type="pct"/>
            <w:vAlign w:val="center"/>
          </w:tcPr>
          <w:p w14:paraId="67B16936" w14:textId="77777777" w:rsidR="00D14E18" w:rsidRPr="00D14E18" w:rsidRDefault="00D14E18" w:rsidP="00D14E18">
            <w:pPr>
              <w:jc w:val="center"/>
              <w:rPr>
                <w:rFonts w:ascii="Arial" w:hAnsi="Arial" w:cs="Arial"/>
                <w:b/>
                <w:bCs/>
                <w:color w:val="000000" w:themeColor="text1"/>
                <w:sz w:val="20"/>
                <w:szCs w:val="20"/>
              </w:rPr>
            </w:pPr>
            <w:r w:rsidRPr="00D14E18">
              <w:rPr>
                <w:rFonts w:ascii="Arial" w:hAnsi="Arial" w:cs="Arial"/>
                <w:b/>
                <w:bCs/>
                <w:color w:val="000000" w:themeColor="text1"/>
                <w:sz w:val="20"/>
                <w:szCs w:val="20"/>
              </w:rPr>
              <w:t>EC (dS</w:t>
            </w:r>
            <w:r w:rsidRPr="00D14E18">
              <w:rPr>
                <w:rFonts w:ascii="Arial" w:hAnsi="Arial" w:cs="Arial"/>
                <w:color w:val="000000" w:themeColor="text1"/>
                <w:sz w:val="20"/>
                <w:szCs w:val="20"/>
              </w:rPr>
              <w:t xml:space="preserve"> </w:t>
            </w:r>
            <w:r w:rsidRPr="00D14E18">
              <w:rPr>
                <w:rFonts w:ascii="Arial" w:hAnsi="Arial" w:cs="Arial"/>
                <w:b/>
                <w:bCs/>
                <w:color w:val="000000" w:themeColor="text1"/>
                <w:sz w:val="20"/>
                <w:szCs w:val="20"/>
              </w:rPr>
              <w:t>m</w:t>
            </w:r>
            <w:r w:rsidRPr="00D14E18">
              <w:rPr>
                <w:rFonts w:ascii="Arial" w:hAnsi="Arial" w:cs="Arial"/>
                <w:b/>
                <w:bCs/>
                <w:color w:val="000000" w:themeColor="text1"/>
                <w:sz w:val="20"/>
                <w:szCs w:val="20"/>
                <w:vertAlign w:val="superscript"/>
              </w:rPr>
              <w:t>-1</w:t>
            </w:r>
            <w:r w:rsidRPr="00D14E18">
              <w:rPr>
                <w:rFonts w:ascii="Arial" w:hAnsi="Arial" w:cs="Arial"/>
                <w:b/>
                <w:bCs/>
                <w:color w:val="000000" w:themeColor="text1"/>
                <w:sz w:val="20"/>
                <w:szCs w:val="20"/>
              </w:rPr>
              <w:t>)</w:t>
            </w:r>
          </w:p>
          <w:p w14:paraId="34B56549" w14:textId="1C1E3CB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(1:2.5)</w:t>
            </w:r>
          </w:p>
        </w:tc>
      </w:tr>
      <w:tr w:rsidR="00D14E18" w:rsidRPr="00D14E18" w14:paraId="49DB4F78" w14:textId="2DFB74C4" w:rsidTr="00D14E18">
        <w:tc>
          <w:tcPr>
            <w:tcW w:w="5000" w:type="pct"/>
            <w:gridSpan w:val="5"/>
            <w:hideMark/>
          </w:tcPr>
          <w:p w14:paraId="22BB557A" w14:textId="27B708D3" w:rsidR="00D14E18" w:rsidRPr="00D14E18" w:rsidRDefault="00D14E18" w:rsidP="00D14E18">
            <w:pPr>
              <w:rPr>
                <w:rFonts w:ascii="Arial" w:hAnsi="Arial" w:cs="Arial"/>
                <w:b/>
                <w:bCs/>
                <w:sz w:val="20"/>
                <w:szCs w:val="20"/>
              </w:rPr>
            </w:pPr>
            <w:r w:rsidRPr="00D14E18">
              <w:rPr>
                <w:rFonts w:ascii="Arial" w:hAnsi="Arial" w:cs="Arial"/>
                <w:b/>
                <w:bCs/>
                <w:sz w:val="20"/>
                <w:szCs w:val="20"/>
              </w:rPr>
              <w:t>(A) Sulphur levels</w:t>
            </w:r>
          </w:p>
        </w:tc>
      </w:tr>
      <w:tr w:rsidR="00D14E18" w:rsidRPr="00D14E18" w14:paraId="2340278A" w14:textId="07CAEDBC" w:rsidTr="00EE39B2">
        <w:tc>
          <w:tcPr>
            <w:tcW w:w="953" w:type="pct"/>
            <w:hideMark/>
          </w:tcPr>
          <w:p w14:paraId="7D8497D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62C3015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5.8</w:t>
            </w:r>
          </w:p>
        </w:tc>
        <w:tc>
          <w:tcPr>
            <w:tcW w:w="1032" w:type="pct"/>
            <w:vAlign w:val="center"/>
            <w:hideMark/>
          </w:tcPr>
          <w:p w14:paraId="6E17D48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6.17</w:t>
            </w:r>
          </w:p>
        </w:tc>
        <w:tc>
          <w:tcPr>
            <w:tcW w:w="1031" w:type="pct"/>
            <w:vAlign w:val="center"/>
          </w:tcPr>
          <w:p w14:paraId="3ABA05D1" w14:textId="33F001FF" w:rsidR="00D14E18" w:rsidRPr="00D14E18" w:rsidRDefault="00D14E18" w:rsidP="00D14E18">
            <w:pPr>
              <w:jc w:val="center"/>
              <w:rPr>
                <w:rFonts w:ascii="Arial" w:hAnsi="Arial" w:cs="Arial"/>
                <w:sz w:val="20"/>
                <w:szCs w:val="20"/>
              </w:rPr>
            </w:pPr>
            <w:r w:rsidRPr="00D14E18">
              <w:rPr>
                <w:rFonts w:ascii="Arial" w:hAnsi="Arial" w:cs="Arial"/>
                <w:sz w:val="20"/>
                <w:szCs w:val="20"/>
              </w:rPr>
              <w:t>7.61</w:t>
            </w:r>
          </w:p>
        </w:tc>
        <w:tc>
          <w:tcPr>
            <w:tcW w:w="1030" w:type="pct"/>
            <w:vAlign w:val="center"/>
          </w:tcPr>
          <w:p w14:paraId="0F0EF28F" w14:textId="1989542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0.73</w:t>
            </w:r>
          </w:p>
        </w:tc>
      </w:tr>
      <w:tr w:rsidR="00D14E18" w:rsidRPr="00D14E18" w14:paraId="77A525D0" w14:textId="4B7C0056" w:rsidTr="00EE39B2">
        <w:tc>
          <w:tcPr>
            <w:tcW w:w="953" w:type="pct"/>
            <w:hideMark/>
          </w:tcPr>
          <w:p w14:paraId="6F39A87B"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 xml:space="preserve">2 </w:t>
            </w:r>
            <w:r w:rsidRPr="00D14E18">
              <w:rPr>
                <w:rFonts w:ascii="Arial" w:hAnsi="Arial" w:cs="Arial"/>
                <w:sz w:val="20"/>
                <w:szCs w:val="20"/>
              </w:rPr>
              <w:t>(20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12015E3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6.5</w:t>
            </w:r>
          </w:p>
        </w:tc>
        <w:tc>
          <w:tcPr>
            <w:tcW w:w="1032" w:type="pct"/>
            <w:vAlign w:val="center"/>
            <w:hideMark/>
          </w:tcPr>
          <w:p w14:paraId="5988FED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6.33</w:t>
            </w:r>
          </w:p>
        </w:tc>
        <w:tc>
          <w:tcPr>
            <w:tcW w:w="1031" w:type="pct"/>
            <w:vAlign w:val="center"/>
          </w:tcPr>
          <w:p w14:paraId="3598D9E7" w14:textId="446E1EB4" w:rsidR="00D14E18" w:rsidRPr="00D14E18" w:rsidRDefault="00D14E18" w:rsidP="00D14E18">
            <w:pPr>
              <w:jc w:val="center"/>
              <w:rPr>
                <w:rFonts w:ascii="Arial" w:hAnsi="Arial" w:cs="Arial"/>
                <w:sz w:val="20"/>
                <w:szCs w:val="20"/>
              </w:rPr>
            </w:pPr>
            <w:r w:rsidRPr="00D14E18">
              <w:rPr>
                <w:rFonts w:ascii="Arial" w:hAnsi="Arial" w:cs="Arial"/>
                <w:sz w:val="20"/>
                <w:szCs w:val="20"/>
              </w:rPr>
              <w:t>7.60</w:t>
            </w:r>
          </w:p>
        </w:tc>
        <w:tc>
          <w:tcPr>
            <w:tcW w:w="1030" w:type="pct"/>
            <w:vAlign w:val="center"/>
          </w:tcPr>
          <w:p w14:paraId="6F25B968" w14:textId="4F9CC49E"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0.76</w:t>
            </w:r>
          </w:p>
        </w:tc>
      </w:tr>
      <w:tr w:rsidR="00D14E18" w:rsidRPr="00D14E18" w14:paraId="17E7114E" w14:textId="1546C6A4" w:rsidTr="00EE39B2">
        <w:tc>
          <w:tcPr>
            <w:tcW w:w="953" w:type="pct"/>
            <w:hideMark/>
          </w:tcPr>
          <w:p w14:paraId="15A8A71C"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021F8B1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7.2</w:t>
            </w:r>
          </w:p>
        </w:tc>
        <w:tc>
          <w:tcPr>
            <w:tcW w:w="1032" w:type="pct"/>
            <w:vAlign w:val="center"/>
            <w:hideMark/>
          </w:tcPr>
          <w:p w14:paraId="0F284B8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6.31</w:t>
            </w:r>
          </w:p>
        </w:tc>
        <w:tc>
          <w:tcPr>
            <w:tcW w:w="1031" w:type="pct"/>
            <w:vAlign w:val="center"/>
          </w:tcPr>
          <w:p w14:paraId="58838017" w14:textId="4C2FCA73" w:rsidR="00D14E18" w:rsidRPr="00D14E18" w:rsidRDefault="00D14E18" w:rsidP="00D14E18">
            <w:pPr>
              <w:jc w:val="center"/>
              <w:rPr>
                <w:rFonts w:ascii="Arial" w:hAnsi="Arial" w:cs="Arial"/>
                <w:sz w:val="20"/>
                <w:szCs w:val="20"/>
              </w:rPr>
            </w:pPr>
            <w:r w:rsidRPr="00D14E18">
              <w:rPr>
                <w:rFonts w:ascii="Arial" w:hAnsi="Arial" w:cs="Arial"/>
                <w:sz w:val="20"/>
                <w:szCs w:val="20"/>
              </w:rPr>
              <w:t>7.58</w:t>
            </w:r>
          </w:p>
        </w:tc>
        <w:tc>
          <w:tcPr>
            <w:tcW w:w="1030" w:type="pct"/>
            <w:vAlign w:val="center"/>
          </w:tcPr>
          <w:p w14:paraId="573F3ECB" w14:textId="60766A94"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0.79</w:t>
            </w:r>
          </w:p>
        </w:tc>
      </w:tr>
      <w:tr w:rsidR="00D14E18" w:rsidRPr="00D14E18" w14:paraId="5531AB46" w14:textId="3058DAF2" w:rsidTr="00EE39B2">
        <w:tc>
          <w:tcPr>
            <w:tcW w:w="953" w:type="pct"/>
            <w:vAlign w:val="center"/>
            <w:hideMark/>
          </w:tcPr>
          <w:p w14:paraId="168FA6D8"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2000673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0.007</w:t>
            </w:r>
          </w:p>
        </w:tc>
        <w:tc>
          <w:tcPr>
            <w:tcW w:w="1032" w:type="pct"/>
            <w:vAlign w:val="center"/>
            <w:hideMark/>
          </w:tcPr>
          <w:p w14:paraId="4A846C0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0.22</w:t>
            </w:r>
          </w:p>
        </w:tc>
        <w:tc>
          <w:tcPr>
            <w:tcW w:w="1031" w:type="pct"/>
            <w:vAlign w:val="center"/>
          </w:tcPr>
          <w:p w14:paraId="7306E94E" w14:textId="39E39093"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1030" w:type="pct"/>
            <w:vAlign w:val="center"/>
          </w:tcPr>
          <w:p w14:paraId="5BD450A7" w14:textId="6A2E24F3"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0.00</w:t>
            </w:r>
          </w:p>
        </w:tc>
      </w:tr>
      <w:tr w:rsidR="00D14E18" w:rsidRPr="00D14E18" w14:paraId="6D67D5DC" w14:textId="7B26EF3B" w:rsidTr="00EE39B2">
        <w:tc>
          <w:tcPr>
            <w:tcW w:w="953" w:type="pct"/>
            <w:vAlign w:val="center"/>
            <w:hideMark/>
          </w:tcPr>
          <w:p w14:paraId="6D848EFE"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954" w:type="pct"/>
            <w:vAlign w:val="center"/>
            <w:hideMark/>
          </w:tcPr>
          <w:p w14:paraId="116E9C1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0.021</w:t>
            </w:r>
          </w:p>
        </w:tc>
        <w:tc>
          <w:tcPr>
            <w:tcW w:w="1032" w:type="pct"/>
            <w:vAlign w:val="center"/>
            <w:hideMark/>
          </w:tcPr>
          <w:p w14:paraId="5B65D9F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1" w:type="pct"/>
            <w:vAlign w:val="center"/>
          </w:tcPr>
          <w:p w14:paraId="5AAEEEB7" w14:textId="074C7E69"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0" w:type="pct"/>
            <w:vAlign w:val="center"/>
          </w:tcPr>
          <w:p w14:paraId="1FB49F19" w14:textId="1C9A267D"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43905E16" w14:textId="6F4854E0" w:rsidTr="00D14E18">
        <w:tc>
          <w:tcPr>
            <w:tcW w:w="5000" w:type="pct"/>
            <w:gridSpan w:val="5"/>
            <w:hideMark/>
          </w:tcPr>
          <w:p w14:paraId="44ED0A90" w14:textId="7648319E" w:rsidR="00D14E18" w:rsidRPr="00D14E18" w:rsidRDefault="00D14E18" w:rsidP="00D14E18">
            <w:pPr>
              <w:rPr>
                <w:rFonts w:ascii="Arial" w:hAnsi="Arial" w:cs="Arial"/>
                <w:b/>
                <w:bCs/>
                <w:sz w:val="20"/>
                <w:szCs w:val="20"/>
              </w:rPr>
            </w:pPr>
            <w:r w:rsidRPr="00D14E18">
              <w:rPr>
                <w:rFonts w:ascii="Arial" w:hAnsi="Arial" w:cs="Arial"/>
                <w:b/>
                <w:bCs/>
                <w:sz w:val="20"/>
                <w:szCs w:val="20"/>
              </w:rPr>
              <w:t>(B) Zinc levels</w:t>
            </w:r>
          </w:p>
        </w:tc>
      </w:tr>
      <w:tr w:rsidR="00D14E18" w:rsidRPr="00D14E18" w14:paraId="33B2789F" w14:textId="54BB1373" w:rsidTr="002E4C93">
        <w:tc>
          <w:tcPr>
            <w:tcW w:w="953" w:type="pct"/>
            <w:hideMark/>
          </w:tcPr>
          <w:p w14:paraId="147637D4"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16487E9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5.7</w:t>
            </w:r>
          </w:p>
        </w:tc>
        <w:tc>
          <w:tcPr>
            <w:tcW w:w="1032" w:type="pct"/>
            <w:vAlign w:val="center"/>
            <w:hideMark/>
          </w:tcPr>
          <w:p w14:paraId="762CE74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6.15</w:t>
            </w:r>
          </w:p>
        </w:tc>
        <w:tc>
          <w:tcPr>
            <w:tcW w:w="1031" w:type="pct"/>
            <w:vAlign w:val="center"/>
          </w:tcPr>
          <w:p w14:paraId="2023062E" w14:textId="5EEF1018" w:rsidR="00D14E18" w:rsidRPr="00D14E18" w:rsidRDefault="00D14E18" w:rsidP="00D14E18">
            <w:pPr>
              <w:jc w:val="center"/>
              <w:rPr>
                <w:rFonts w:ascii="Arial" w:hAnsi="Arial" w:cs="Arial"/>
                <w:sz w:val="20"/>
                <w:szCs w:val="20"/>
              </w:rPr>
            </w:pPr>
            <w:r w:rsidRPr="00D14E18">
              <w:rPr>
                <w:rFonts w:ascii="Arial" w:hAnsi="Arial" w:cs="Arial"/>
                <w:sz w:val="20"/>
                <w:szCs w:val="20"/>
              </w:rPr>
              <w:t>7.59</w:t>
            </w:r>
          </w:p>
        </w:tc>
        <w:tc>
          <w:tcPr>
            <w:tcW w:w="1030" w:type="pct"/>
            <w:vAlign w:val="center"/>
          </w:tcPr>
          <w:p w14:paraId="27E5F427" w14:textId="14495A76"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0.71</w:t>
            </w:r>
          </w:p>
        </w:tc>
      </w:tr>
      <w:tr w:rsidR="00D14E18" w:rsidRPr="00D14E18" w14:paraId="4A7E169D" w14:textId="3BD439AF" w:rsidTr="002E4C93">
        <w:tc>
          <w:tcPr>
            <w:tcW w:w="953" w:type="pct"/>
            <w:hideMark/>
          </w:tcPr>
          <w:p w14:paraId="60CA4B25"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4BB1AD0C"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5.6</w:t>
            </w:r>
          </w:p>
        </w:tc>
        <w:tc>
          <w:tcPr>
            <w:tcW w:w="1032" w:type="pct"/>
            <w:vAlign w:val="center"/>
            <w:hideMark/>
          </w:tcPr>
          <w:p w14:paraId="7A4880B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6.32</w:t>
            </w:r>
          </w:p>
        </w:tc>
        <w:tc>
          <w:tcPr>
            <w:tcW w:w="1031" w:type="pct"/>
            <w:vAlign w:val="center"/>
          </w:tcPr>
          <w:p w14:paraId="6F0B3EEE" w14:textId="5D20305D" w:rsidR="00D14E18" w:rsidRPr="00D14E18" w:rsidRDefault="00D14E18" w:rsidP="00D14E18">
            <w:pPr>
              <w:jc w:val="center"/>
              <w:rPr>
                <w:rFonts w:ascii="Arial" w:hAnsi="Arial" w:cs="Arial"/>
                <w:sz w:val="20"/>
                <w:szCs w:val="20"/>
              </w:rPr>
            </w:pPr>
            <w:r w:rsidRPr="00D14E18">
              <w:rPr>
                <w:rFonts w:ascii="Arial" w:hAnsi="Arial" w:cs="Arial"/>
                <w:sz w:val="20"/>
                <w:szCs w:val="20"/>
              </w:rPr>
              <w:t>7.58</w:t>
            </w:r>
          </w:p>
        </w:tc>
        <w:tc>
          <w:tcPr>
            <w:tcW w:w="1030" w:type="pct"/>
            <w:vAlign w:val="center"/>
          </w:tcPr>
          <w:p w14:paraId="57B5CD48" w14:textId="36EC5546"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0.76</w:t>
            </w:r>
          </w:p>
        </w:tc>
      </w:tr>
      <w:tr w:rsidR="00D14E18" w:rsidRPr="00D14E18" w14:paraId="662305C0" w14:textId="749133C5" w:rsidTr="002E4C93">
        <w:tc>
          <w:tcPr>
            <w:tcW w:w="953" w:type="pct"/>
            <w:hideMark/>
          </w:tcPr>
          <w:p w14:paraId="623658E1"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59FC936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5.9</w:t>
            </w:r>
          </w:p>
        </w:tc>
        <w:tc>
          <w:tcPr>
            <w:tcW w:w="1032" w:type="pct"/>
            <w:vAlign w:val="center"/>
            <w:hideMark/>
          </w:tcPr>
          <w:p w14:paraId="49AF537F"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6.33</w:t>
            </w:r>
          </w:p>
        </w:tc>
        <w:tc>
          <w:tcPr>
            <w:tcW w:w="1031" w:type="pct"/>
            <w:vAlign w:val="center"/>
          </w:tcPr>
          <w:p w14:paraId="6FB5E906" w14:textId="23903114" w:rsidR="00D14E18" w:rsidRPr="00D14E18" w:rsidRDefault="00D14E18" w:rsidP="00D14E18">
            <w:pPr>
              <w:jc w:val="center"/>
              <w:rPr>
                <w:rFonts w:ascii="Arial" w:hAnsi="Arial" w:cs="Arial"/>
                <w:sz w:val="20"/>
                <w:szCs w:val="20"/>
              </w:rPr>
            </w:pPr>
            <w:r w:rsidRPr="00D14E18">
              <w:rPr>
                <w:rFonts w:ascii="Arial" w:hAnsi="Arial" w:cs="Arial"/>
                <w:sz w:val="20"/>
                <w:szCs w:val="20"/>
              </w:rPr>
              <w:t>7.61</w:t>
            </w:r>
          </w:p>
        </w:tc>
        <w:tc>
          <w:tcPr>
            <w:tcW w:w="1030" w:type="pct"/>
            <w:vAlign w:val="center"/>
          </w:tcPr>
          <w:p w14:paraId="017C0CFF" w14:textId="6DB78D2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0.80</w:t>
            </w:r>
          </w:p>
        </w:tc>
      </w:tr>
      <w:tr w:rsidR="00D14E18" w:rsidRPr="00D14E18" w14:paraId="0AC70C03" w14:textId="0F0B5301" w:rsidTr="002E4C93">
        <w:tc>
          <w:tcPr>
            <w:tcW w:w="953" w:type="pct"/>
            <w:vAlign w:val="center"/>
            <w:hideMark/>
          </w:tcPr>
          <w:p w14:paraId="68A0960D"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73A961D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0.007</w:t>
            </w:r>
          </w:p>
        </w:tc>
        <w:tc>
          <w:tcPr>
            <w:tcW w:w="1032" w:type="pct"/>
            <w:vAlign w:val="center"/>
            <w:hideMark/>
          </w:tcPr>
          <w:p w14:paraId="441C3FC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0.22</w:t>
            </w:r>
          </w:p>
        </w:tc>
        <w:tc>
          <w:tcPr>
            <w:tcW w:w="1031" w:type="pct"/>
            <w:vAlign w:val="center"/>
          </w:tcPr>
          <w:p w14:paraId="590B2196" w14:textId="35AEF68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1030" w:type="pct"/>
            <w:vAlign w:val="center"/>
          </w:tcPr>
          <w:p w14:paraId="407C01F7" w14:textId="1435298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0.00</w:t>
            </w:r>
          </w:p>
        </w:tc>
      </w:tr>
      <w:tr w:rsidR="00D14E18" w:rsidRPr="00D14E18" w14:paraId="0D9697B7" w14:textId="70643356" w:rsidTr="002E4C93">
        <w:tc>
          <w:tcPr>
            <w:tcW w:w="953" w:type="pct"/>
            <w:vAlign w:val="center"/>
            <w:hideMark/>
          </w:tcPr>
          <w:p w14:paraId="11247F5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954" w:type="pct"/>
            <w:vAlign w:val="center"/>
            <w:hideMark/>
          </w:tcPr>
          <w:p w14:paraId="40362BE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2" w:type="pct"/>
            <w:vAlign w:val="center"/>
            <w:hideMark/>
          </w:tcPr>
          <w:p w14:paraId="793F546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1" w:type="pct"/>
            <w:vAlign w:val="center"/>
          </w:tcPr>
          <w:p w14:paraId="77558678" w14:textId="56881E7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0" w:type="pct"/>
            <w:vAlign w:val="center"/>
          </w:tcPr>
          <w:p w14:paraId="4F12613A" w14:textId="3F060BC2"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6F63E6E2" w14:textId="0F28D8FF" w:rsidTr="002E4C93">
        <w:tc>
          <w:tcPr>
            <w:tcW w:w="953" w:type="pct"/>
            <w:hideMark/>
          </w:tcPr>
          <w:p w14:paraId="65471148" w14:textId="77777777" w:rsidR="00D14E18" w:rsidRPr="00D14E18" w:rsidRDefault="00D14E18" w:rsidP="00D14E18">
            <w:pPr>
              <w:jc w:val="both"/>
              <w:rPr>
                <w:rFonts w:ascii="Arial" w:hAnsi="Arial" w:cs="Arial"/>
                <w:sz w:val="20"/>
                <w:szCs w:val="20"/>
              </w:rPr>
            </w:pPr>
          </w:p>
        </w:tc>
        <w:tc>
          <w:tcPr>
            <w:tcW w:w="954" w:type="pct"/>
            <w:vAlign w:val="center"/>
            <w:hideMark/>
          </w:tcPr>
          <w:p w14:paraId="726EF422" w14:textId="77777777" w:rsidR="00D14E18" w:rsidRPr="00D14E18" w:rsidRDefault="00D14E18" w:rsidP="00D14E18">
            <w:pPr>
              <w:jc w:val="center"/>
              <w:rPr>
                <w:rFonts w:ascii="Arial" w:hAnsi="Arial" w:cs="Arial"/>
                <w:sz w:val="20"/>
                <w:szCs w:val="20"/>
              </w:rPr>
            </w:pPr>
          </w:p>
        </w:tc>
        <w:tc>
          <w:tcPr>
            <w:tcW w:w="1032" w:type="pct"/>
            <w:vAlign w:val="center"/>
            <w:hideMark/>
          </w:tcPr>
          <w:p w14:paraId="2598BBA8" w14:textId="77777777" w:rsidR="00D14E18" w:rsidRPr="00D14E18" w:rsidRDefault="00D14E18" w:rsidP="00D14E18">
            <w:pPr>
              <w:jc w:val="center"/>
              <w:rPr>
                <w:rFonts w:ascii="Arial" w:hAnsi="Arial" w:cs="Arial"/>
                <w:sz w:val="20"/>
                <w:szCs w:val="20"/>
              </w:rPr>
            </w:pPr>
          </w:p>
        </w:tc>
        <w:tc>
          <w:tcPr>
            <w:tcW w:w="1031" w:type="pct"/>
            <w:vAlign w:val="center"/>
          </w:tcPr>
          <w:p w14:paraId="5BC34B4F" w14:textId="3D4B7159" w:rsidR="00D14E18" w:rsidRPr="00D14E18" w:rsidRDefault="00D14E18" w:rsidP="00D14E18">
            <w:pPr>
              <w:jc w:val="center"/>
              <w:rPr>
                <w:rFonts w:ascii="Arial" w:hAnsi="Arial" w:cs="Arial"/>
                <w:sz w:val="20"/>
                <w:szCs w:val="20"/>
              </w:rPr>
            </w:pPr>
          </w:p>
        </w:tc>
        <w:tc>
          <w:tcPr>
            <w:tcW w:w="1030" w:type="pct"/>
            <w:vAlign w:val="center"/>
          </w:tcPr>
          <w:p w14:paraId="2D1969D5" w14:textId="2233EE58" w:rsidR="00D14E18" w:rsidRPr="00D14E18" w:rsidRDefault="00D14E18" w:rsidP="00D14E18">
            <w:pPr>
              <w:jc w:val="center"/>
              <w:rPr>
                <w:rFonts w:ascii="Arial" w:hAnsi="Arial" w:cs="Arial"/>
                <w:sz w:val="20"/>
                <w:szCs w:val="20"/>
              </w:rPr>
            </w:pPr>
          </w:p>
        </w:tc>
      </w:tr>
      <w:tr w:rsidR="00D14E18" w:rsidRPr="00D14E18" w14:paraId="0B2154BE" w14:textId="42FDD6E3" w:rsidTr="002E4C93">
        <w:tc>
          <w:tcPr>
            <w:tcW w:w="953" w:type="pct"/>
            <w:hideMark/>
          </w:tcPr>
          <w:p w14:paraId="669D578C"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954" w:type="pct"/>
            <w:vAlign w:val="center"/>
            <w:hideMark/>
          </w:tcPr>
          <w:p w14:paraId="3D3481F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2" w:type="pct"/>
            <w:vAlign w:val="center"/>
            <w:hideMark/>
          </w:tcPr>
          <w:p w14:paraId="226B582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1" w:type="pct"/>
            <w:vAlign w:val="center"/>
          </w:tcPr>
          <w:p w14:paraId="50C84672" w14:textId="455B49EB"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0" w:type="pct"/>
            <w:vAlign w:val="center"/>
          </w:tcPr>
          <w:p w14:paraId="1F299962" w14:textId="5A2F830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NS</w:t>
            </w:r>
          </w:p>
        </w:tc>
      </w:tr>
      <w:tr w:rsidR="00D14E18" w:rsidRPr="00D14E18" w14:paraId="3C79866A" w14:textId="19EE130E" w:rsidTr="002E4C93">
        <w:tc>
          <w:tcPr>
            <w:tcW w:w="953" w:type="pct"/>
            <w:vAlign w:val="center"/>
            <w:hideMark/>
          </w:tcPr>
          <w:p w14:paraId="18BCB393"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1A41CAD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0.012</w:t>
            </w:r>
          </w:p>
        </w:tc>
        <w:tc>
          <w:tcPr>
            <w:tcW w:w="1032" w:type="pct"/>
            <w:vAlign w:val="center"/>
            <w:hideMark/>
          </w:tcPr>
          <w:p w14:paraId="691096E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0.38</w:t>
            </w:r>
          </w:p>
        </w:tc>
        <w:tc>
          <w:tcPr>
            <w:tcW w:w="1031" w:type="pct"/>
            <w:vAlign w:val="center"/>
          </w:tcPr>
          <w:p w14:paraId="6A320EB6" w14:textId="6BC296C8"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30" w:type="pct"/>
            <w:vAlign w:val="center"/>
          </w:tcPr>
          <w:p w14:paraId="5D5DBA61" w14:textId="231F5E6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6164D9C0" w14:textId="6FC40137" w:rsidTr="002E4C93">
        <w:tc>
          <w:tcPr>
            <w:tcW w:w="953" w:type="pct"/>
            <w:vAlign w:val="center"/>
            <w:hideMark/>
          </w:tcPr>
          <w:p w14:paraId="1D266554"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954" w:type="pct"/>
            <w:vAlign w:val="center"/>
            <w:hideMark/>
          </w:tcPr>
          <w:p w14:paraId="650A12A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3.85</w:t>
            </w:r>
          </w:p>
        </w:tc>
        <w:tc>
          <w:tcPr>
            <w:tcW w:w="1032" w:type="pct"/>
            <w:vAlign w:val="center"/>
            <w:hideMark/>
          </w:tcPr>
          <w:p w14:paraId="4E7B0B1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11.98</w:t>
            </w:r>
          </w:p>
        </w:tc>
        <w:tc>
          <w:tcPr>
            <w:tcW w:w="1031" w:type="pct"/>
            <w:vAlign w:val="center"/>
          </w:tcPr>
          <w:p w14:paraId="3AFB04E0" w14:textId="057691D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1.01</w:t>
            </w:r>
          </w:p>
        </w:tc>
        <w:tc>
          <w:tcPr>
            <w:tcW w:w="1030" w:type="pct"/>
            <w:vAlign w:val="center"/>
          </w:tcPr>
          <w:p w14:paraId="4D6F7CFC" w14:textId="30C55320"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1.89</w:t>
            </w:r>
          </w:p>
        </w:tc>
      </w:tr>
      <w:tr w:rsidR="00D14E18" w:rsidRPr="00D14E18" w14:paraId="6150FBCD" w14:textId="491ABFDD" w:rsidTr="00CC0051">
        <w:trPr>
          <w:trHeight w:val="423"/>
        </w:trPr>
        <w:tc>
          <w:tcPr>
            <w:tcW w:w="953" w:type="pct"/>
            <w:vAlign w:val="center"/>
          </w:tcPr>
          <w:p w14:paraId="750292A2"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954" w:type="pct"/>
            <w:vAlign w:val="center"/>
          </w:tcPr>
          <w:p w14:paraId="7EC042AA"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5.6</w:t>
            </w:r>
          </w:p>
        </w:tc>
        <w:tc>
          <w:tcPr>
            <w:tcW w:w="1032" w:type="pct"/>
            <w:vAlign w:val="center"/>
          </w:tcPr>
          <w:p w14:paraId="30CA70AA"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5.88</w:t>
            </w:r>
          </w:p>
        </w:tc>
        <w:tc>
          <w:tcPr>
            <w:tcW w:w="1031" w:type="pct"/>
            <w:vAlign w:val="center"/>
          </w:tcPr>
          <w:p w14:paraId="7AF25D41" w14:textId="1D12B5B0"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7.61</w:t>
            </w:r>
          </w:p>
        </w:tc>
        <w:tc>
          <w:tcPr>
            <w:tcW w:w="1030" w:type="pct"/>
            <w:vAlign w:val="center"/>
          </w:tcPr>
          <w:p w14:paraId="223F65D7" w14:textId="71D0EA37" w:rsidR="00D14E18" w:rsidRPr="00D14E18" w:rsidRDefault="00D14E18" w:rsidP="00D14E18">
            <w:pPr>
              <w:jc w:val="right"/>
              <w:rPr>
                <w:rFonts w:ascii="Arial" w:hAnsi="Arial" w:cs="Arial"/>
                <w:b/>
                <w:bCs/>
                <w:sz w:val="20"/>
                <w:szCs w:val="20"/>
              </w:rPr>
            </w:pPr>
            <w:r w:rsidRPr="00D14E18">
              <w:rPr>
                <w:rFonts w:ascii="Arial" w:hAnsi="Arial" w:cs="Arial"/>
                <w:b/>
                <w:bCs/>
                <w:color w:val="000000" w:themeColor="text1"/>
                <w:sz w:val="20"/>
                <w:szCs w:val="20"/>
              </w:rPr>
              <w:t>0.68</w:t>
            </w:r>
          </w:p>
        </w:tc>
      </w:tr>
    </w:tbl>
    <w:p w14:paraId="5D4379B9" w14:textId="77777777" w:rsidR="00C82A0C" w:rsidRDefault="00C82A0C" w:rsidP="00D14E18">
      <w:pPr>
        <w:spacing w:before="240"/>
        <w:jc w:val="both"/>
        <w:rPr>
          <w:rFonts w:ascii="Arial" w:hAnsi="Arial" w:cs="Arial"/>
          <w:b/>
          <w:bCs/>
          <w:sz w:val="20"/>
          <w:szCs w:val="20"/>
          <w:lang w:val="en-GB"/>
        </w:rPr>
      </w:pPr>
    </w:p>
    <w:p w14:paraId="3C76A99D" w14:textId="36791161"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02DE0">
        <w:rPr>
          <w:rFonts w:ascii="Arial" w:hAnsi="Arial" w:cs="Arial"/>
          <w:b/>
          <w:bCs/>
          <w:sz w:val="20"/>
          <w:szCs w:val="20"/>
          <w:lang w:val="en-GB"/>
        </w:rPr>
        <w:t>3</w:t>
      </w:r>
      <w:r w:rsidRPr="004C3FFB">
        <w:rPr>
          <w:rFonts w:ascii="Arial" w:hAnsi="Arial" w:cs="Arial"/>
          <w:b/>
          <w:bCs/>
          <w:sz w:val="20"/>
          <w:szCs w:val="20"/>
          <w:lang w:val="en-GB"/>
        </w:rPr>
        <w:t>.3 Soil Physical Properties</w:t>
      </w:r>
    </w:p>
    <w:p w14:paraId="06504E2D" w14:textId="512937CE" w:rsidR="00B46191" w:rsidRDefault="00B46191" w:rsidP="00B46191">
      <w:pPr>
        <w:jc w:val="both"/>
        <w:rPr>
          <w:rFonts w:ascii="Arial" w:hAnsi="Arial" w:cs="Arial"/>
          <w:sz w:val="20"/>
          <w:szCs w:val="20"/>
          <w:lang w:val="en-GB"/>
        </w:rPr>
      </w:pPr>
      <w:r w:rsidRPr="004C3FFB">
        <w:rPr>
          <w:rFonts w:ascii="Arial" w:hAnsi="Arial" w:cs="Arial"/>
          <w:sz w:val="20"/>
          <w:szCs w:val="20"/>
          <w:lang w:val="en-GB"/>
        </w:rPr>
        <w:t>Particle density, bulk density and porosity were statistically unaffected by sulphur, zinc or their interaction (</w:t>
      </w:r>
      <w:r w:rsidRPr="004C3FFB">
        <w:rPr>
          <w:rFonts w:ascii="Arial" w:hAnsi="Arial" w:cs="Arial"/>
          <w:b/>
          <w:bCs/>
          <w:sz w:val="20"/>
          <w:szCs w:val="20"/>
          <w:lang w:val="en-GB"/>
        </w:rPr>
        <w:t xml:space="preserve">Table </w:t>
      </w:r>
      <w:r w:rsidR="00C82A0C">
        <w:rPr>
          <w:rFonts w:ascii="Arial" w:hAnsi="Arial" w:cs="Arial"/>
          <w:b/>
          <w:bCs/>
          <w:sz w:val="20"/>
          <w:szCs w:val="20"/>
          <w:lang w:val="en-GB"/>
        </w:rPr>
        <w:t>8</w:t>
      </w:r>
      <w:r w:rsidRPr="004C3FFB">
        <w:rPr>
          <w:rFonts w:ascii="Arial" w:hAnsi="Arial" w:cs="Arial"/>
          <w:sz w:val="20"/>
          <w:szCs w:val="20"/>
          <w:lang w:val="en-GB"/>
        </w:rPr>
        <w:t xml:space="preserve">); the small numerical fluctuations confirm that soil physical architecture, governed </w:t>
      </w:r>
      <w:r w:rsidRPr="004C3FFB">
        <w:rPr>
          <w:rFonts w:ascii="Arial" w:hAnsi="Arial" w:cs="Arial"/>
          <w:sz w:val="20"/>
          <w:szCs w:val="20"/>
          <w:lang w:val="en-GB"/>
        </w:rPr>
        <w:lastRenderedPageBreak/>
        <w:t>by mineral composition and long-term structural development, does not respond appreciably within a single cropping season.</w:t>
      </w:r>
    </w:p>
    <w:p w14:paraId="51D3BBD6" w14:textId="284CC59B"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8</w:t>
      </w:r>
      <w:r w:rsidRPr="004C3FFB">
        <w:rPr>
          <w:rFonts w:ascii="Arial" w:hAnsi="Arial" w:cs="Arial"/>
          <w:b/>
          <w:bCs/>
          <w:sz w:val="20"/>
          <w:szCs w:val="20"/>
          <w:lang w:val="en-GB"/>
        </w:rPr>
        <w:t>. Soil Physical Properties after Harvest as Influenced by Sulphur and Zinc Levels</w:t>
      </w:r>
    </w:p>
    <w:tbl>
      <w:tblPr>
        <w:tblStyle w:val="TableGrid"/>
        <w:tblW w:w="5000" w:type="pct"/>
        <w:tblLook w:val="04A0" w:firstRow="1" w:lastRow="0" w:firstColumn="1" w:lastColumn="0" w:noHBand="0" w:noVBand="1"/>
      </w:tblPr>
      <w:tblGrid>
        <w:gridCol w:w="3184"/>
        <w:gridCol w:w="2620"/>
        <w:gridCol w:w="1881"/>
        <w:gridCol w:w="1331"/>
      </w:tblGrid>
      <w:tr w:rsidR="00D14E18" w:rsidRPr="00D14E18" w14:paraId="5C2BB90C" w14:textId="77777777" w:rsidTr="009D5DE4">
        <w:tc>
          <w:tcPr>
            <w:tcW w:w="1766" w:type="pct"/>
            <w:vAlign w:val="center"/>
            <w:hideMark/>
          </w:tcPr>
          <w:p w14:paraId="11776E1C" w14:textId="77777777" w:rsidR="00D14E18" w:rsidRPr="00D14E18" w:rsidRDefault="00D14E18" w:rsidP="00D14E18">
            <w:pPr>
              <w:rPr>
                <w:rFonts w:ascii="Arial" w:hAnsi="Arial" w:cs="Arial"/>
                <w:b/>
                <w:bCs/>
                <w:sz w:val="20"/>
                <w:szCs w:val="20"/>
              </w:rPr>
            </w:pPr>
            <w:r w:rsidRPr="00D14E18">
              <w:rPr>
                <w:rFonts w:ascii="Arial" w:hAnsi="Arial" w:cs="Arial"/>
                <w:b/>
                <w:bCs/>
                <w:sz w:val="20"/>
                <w:szCs w:val="20"/>
              </w:rPr>
              <w:t>Treatments</w:t>
            </w:r>
          </w:p>
        </w:tc>
        <w:tc>
          <w:tcPr>
            <w:tcW w:w="1453" w:type="pct"/>
            <w:vAlign w:val="center"/>
            <w:hideMark/>
          </w:tcPr>
          <w:p w14:paraId="2DC7D10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Particle density </w:t>
            </w:r>
            <w:r w:rsidRPr="00D14E18">
              <w:rPr>
                <w:rFonts w:ascii="Arial" w:hAnsi="Arial" w:cs="Arial"/>
                <w:b/>
                <w:bCs/>
                <w:sz w:val="20"/>
                <w:szCs w:val="20"/>
              </w:rPr>
              <w:br/>
              <w:t>(g/cm³)</w:t>
            </w:r>
          </w:p>
        </w:tc>
        <w:tc>
          <w:tcPr>
            <w:tcW w:w="1043" w:type="pct"/>
            <w:vAlign w:val="center"/>
            <w:hideMark/>
          </w:tcPr>
          <w:p w14:paraId="65AA135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Bulk density </w:t>
            </w:r>
            <w:r w:rsidRPr="00D14E18">
              <w:rPr>
                <w:rFonts w:ascii="Arial" w:hAnsi="Arial" w:cs="Arial"/>
                <w:b/>
                <w:bCs/>
                <w:sz w:val="20"/>
                <w:szCs w:val="20"/>
              </w:rPr>
              <w:br/>
              <w:t>(g/cm³)</w:t>
            </w:r>
          </w:p>
        </w:tc>
        <w:tc>
          <w:tcPr>
            <w:tcW w:w="738" w:type="pct"/>
            <w:vAlign w:val="center"/>
            <w:hideMark/>
          </w:tcPr>
          <w:p w14:paraId="48B4D3B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Porosity </w:t>
            </w:r>
            <w:r w:rsidRPr="00D14E18">
              <w:rPr>
                <w:rFonts w:ascii="Arial" w:hAnsi="Arial" w:cs="Arial"/>
                <w:b/>
                <w:bCs/>
                <w:sz w:val="20"/>
                <w:szCs w:val="20"/>
              </w:rPr>
              <w:br/>
              <w:t>(%)</w:t>
            </w:r>
          </w:p>
        </w:tc>
      </w:tr>
      <w:tr w:rsidR="00D14E18" w:rsidRPr="00D14E18" w14:paraId="4CCB18F8" w14:textId="77777777" w:rsidTr="009D5DE4">
        <w:tc>
          <w:tcPr>
            <w:tcW w:w="5000" w:type="pct"/>
            <w:gridSpan w:val="4"/>
            <w:hideMark/>
          </w:tcPr>
          <w:p w14:paraId="1466F4D4" w14:textId="77777777" w:rsidR="00D14E18" w:rsidRPr="00D14E18" w:rsidRDefault="00D14E18" w:rsidP="00D14E18">
            <w:pPr>
              <w:rPr>
                <w:rFonts w:ascii="Arial" w:hAnsi="Arial" w:cs="Arial"/>
                <w:sz w:val="20"/>
                <w:szCs w:val="20"/>
              </w:rPr>
            </w:pPr>
            <w:r w:rsidRPr="00D14E18">
              <w:rPr>
                <w:rFonts w:ascii="Arial" w:hAnsi="Arial" w:cs="Arial"/>
                <w:b/>
                <w:bCs/>
                <w:sz w:val="20"/>
                <w:szCs w:val="20"/>
              </w:rPr>
              <w:t>(A) Sulphur levels</w:t>
            </w:r>
          </w:p>
        </w:tc>
      </w:tr>
      <w:tr w:rsidR="00D14E18" w:rsidRPr="00D14E18" w14:paraId="2F2F950D" w14:textId="77777777" w:rsidTr="009D5DE4">
        <w:tc>
          <w:tcPr>
            <w:tcW w:w="1766" w:type="pct"/>
            <w:hideMark/>
          </w:tcPr>
          <w:p w14:paraId="2689C587"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E6B80F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2.63</w:t>
            </w:r>
          </w:p>
        </w:tc>
        <w:tc>
          <w:tcPr>
            <w:tcW w:w="1043" w:type="pct"/>
            <w:vAlign w:val="center"/>
            <w:hideMark/>
          </w:tcPr>
          <w:p w14:paraId="4D3E808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1.47</w:t>
            </w:r>
          </w:p>
        </w:tc>
        <w:tc>
          <w:tcPr>
            <w:tcW w:w="738" w:type="pct"/>
            <w:vAlign w:val="center"/>
            <w:hideMark/>
          </w:tcPr>
          <w:p w14:paraId="71D5B93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44.20</w:t>
            </w:r>
          </w:p>
        </w:tc>
      </w:tr>
      <w:tr w:rsidR="00D14E18" w:rsidRPr="00D14E18" w14:paraId="7903F477" w14:textId="77777777" w:rsidTr="009D5DE4">
        <w:tc>
          <w:tcPr>
            <w:tcW w:w="1766" w:type="pct"/>
            <w:hideMark/>
          </w:tcPr>
          <w:p w14:paraId="4F75E95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7986863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2.49</w:t>
            </w:r>
          </w:p>
        </w:tc>
        <w:tc>
          <w:tcPr>
            <w:tcW w:w="1043" w:type="pct"/>
            <w:vAlign w:val="center"/>
            <w:hideMark/>
          </w:tcPr>
          <w:p w14:paraId="38D8390F"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1.44</w:t>
            </w:r>
          </w:p>
        </w:tc>
        <w:tc>
          <w:tcPr>
            <w:tcW w:w="738" w:type="pct"/>
            <w:vAlign w:val="center"/>
            <w:hideMark/>
          </w:tcPr>
          <w:p w14:paraId="5A11D42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41.76</w:t>
            </w:r>
          </w:p>
        </w:tc>
      </w:tr>
      <w:tr w:rsidR="00D14E18" w:rsidRPr="00D14E18" w14:paraId="173D40BA" w14:textId="77777777" w:rsidTr="009D5DE4">
        <w:tc>
          <w:tcPr>
            <w:tcW w:w="1766" w:type="pct"/>
            <w:hideMark/>
          </w:tcPr>
          <w:p w14:paraId="27C66A73"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1EE82F1"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2.56</w:t>
            </w:r>
          </w:p>
        </w:tc>
        <w:tc>
          <w:tcPr>
            <w:tcW w:w="1043" w:type="pct"/>
            <w:vAlign w:val="center"/>
            <w:hideMark/>
          </w:tcPr>
          <w:p w14:paraId="3621FDC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1.48</w:t>
            </w:r>
          </w:p>
        </w:tc>
        <w:tc>
          <w:tcPr>
            <w:tcW w:w="738" w:type="pct"/>
            <w:vAlign w:val="center"/>
            <w:hideMark/>
          </w:tcPr>
          <w:p w14:paraId="5111141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41.88</w:t>
            </w:r>
          </w:p>
        </w:tc>
      </w:tr>
      <w:tr w:rsidR="00D14E18" w:rsidRPr="00D14E18" w14:paraId="5B6DEADE" w14:textId="77777777" w:rsidTr="009D5DE4">
        <w:tc>
          <w:tcPr>
            <w:tcW w:w="1766" w:type="pct"/>
            <w:vAlign w:val="center"/>
            <w:hideMark/>
          </w:tcPr>
          <w:p w14:paraId="23E8EF25"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3A2B348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43" w:type="pct"/>
            <w:vAlign w:val="center"/>
            <w:hideMark/>
          </w:tcPr>
          <w:p w14:paraId="268B3A4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738" w:type="pct"/>
            <w:vAlign w:val="center"/>
            <w:hideMark/>
          </w:tcPr>
          <w:p w14:paraId="464836D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1.52</w:t>
            </w:r>
          </w:p>
        </w:tc>
      </w:tr>
      <w:tr w:rsidR="00D14E18" w:rsidRPr="00D14E18" w14:paraId="019907D1" w14:textId="77777777" w:rsidTr="009D5DE4">
        <w:tc>
          <w:tcPr>
            <w:tcW w:w="1766" w:type="pct"/>
            <w:vAlign w:val="center"/>
            <w:hideMark/>
          </w:tcPr>
          <w:p w14:paraId="22D82908"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453" w:type="pct"/>
            <w:vAlign w:val="center"/>
            <w:hideMark/>
          </w:tcPr>
          <w:p w14:paraId="59AADE5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43" w:type="pct"/>
            <w:vAlign w:val="center"/>
            <w:hideMark/>
          </w:tcPr>
          <w:p w14:paraId="0B207F8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738" w:type="pct"/>
            <w:vAlign w:val="center"/>
            <w:hideMark/>
          </w:tcPr>
          <w:p w14:paraId="78CA3D2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r>
      <w:tr w:rsidR="00D14E18" w:rsidRPr="00D14E18" w14:paraId="798535EE" w14:textId="77777777" w:rsidTr="009D5DE4">
        <w:tc>
          <w:tcPr>
            <w:tcW w:w="5000" w:type="pct"/>
            <w:gridSpan w:val="4"/>
            <w:hideMark/>
          </w:tcPr>
          <w:p w14:paraId="66CDA022" w14:textId="77777777"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41E33892" w14:textId="77777777" w:rsidTr="009D5DE4">
        <w:tc>
          <w:tcPr>
            <w:tcW w:w="1766" w:type="pct"/>
            <w:hideMark/>
          </w:tcPr>
          <w:p w14:paraId="0672E141"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0381C6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2.54</w:t>
            </w:r>
          </w:p>
        </w:tc>
        <w:tc>
          <w:tcPr>
            <w:tcW w:w="1043" w:type="pct"/>
            <w:vAlign w:val="center"/>
            <w:hideMark/>
          </w:tcPr>
          <w:p w14:paraId="03A6988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1.49</w:t>
            </w:r>
          </w:p>
        </w:tc>
        <w:tc>
          <w:tcPr>
            <w:tcW w:w="738" w:type="pct"/>
            <w:vAlign w:val="center"/>
            <w:hideMark/>
          </w:tcPr>
          <w:p w14:paraId="293719B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41.26</w:t>
            </w:r>
          </w:p>
        </w:tc>
      </w:tr>
      <w:tr w:rsidR="00D14E18" w:rsidRPr="00D14E18" w14:paraId="2EAD1C88" w14:textId="77777777" w:rsidTr="009D5DE4">
        <w:tc>
          <w:tcPr>
            <w:tcW w:w="1766" w:type="pct"/>
            <w:hideMark/>
          </w:tcPr>
          <w:p w14:paraId="44FE0295"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5FB5DF8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2.59</w:t>
            </w:r>
          </w:p>
        </w:tc>
        <w:tc>
          <w:tcPr>
            <w:tcW w:w="1043" w:type="pct"/>
            <w:vAlign w:val="center"/>
            <w:hideMark/>
          </w:tcPr>
          <w:p w14:paraId="5F4C1561"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1.45</w:t>
            </w:r>
          </w:p>
        </w:tc>
        <w:tc>
          <w:tcPr>
            <w:tcW w:w="738" w:type="pct"/>
            <w:vAlign w:val="center"/>
            <w:hideMark/>
          </w:tcPr>
          <w:p w14:paraId="04DD08F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43.93</w:t>
            </w:r>
          </w:p>
        </w:tc>
      </w:tr>
      <w:tr w:rsidR="00D14E18" w:rsidRPr="00D14E18" w14:paraId="0761783E" w14:textId="77777777" w:rsidTr="009D5DE4">
        <w:tc>
          <w:tcPr>
            <w:tcW w:w="1766" w:type="pct"/>
            <w:hideMark/>
          </w:tcPr>
          <w:p w14:paraId="422C6778"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3C8A4D2C"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2.56</w:t>
            </w:r>
          </w:p>
        </w:tc>
        <w:tc>
          <w:tcPr>
            <w:tcW w:w="1043" w:type="pct"/>
            <w:vAlign w:val="center"/>
            <w:hideMark/>
          </w:tcPr>
          <w:p w14:paraId="20BF5E0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1.46</w:t>
            </w:r>
          </w:p>
        </w:tc>
        <w:tc>
          <w:tcPr>
            <w:tcW w:w="738" w:type="pct"/>
            <w:vAlign w:val="center"/>
            <w:hideMark/>
          </w:tcPr>
          <w:p w14:paraId="688668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42.65</w:t>
            </w:r>
          </w:p>
        </w:tc>
      </w:tr>
      <w:tr w:rsidR="00D14E18" w:rsidRPr="00D14E18" w14:paraId="2CA56BBC" w14:textId="77777777" w:rsidTr="009D5DE4">
        <w:tc>
          <w:tcPr>
            <w:tcW w:w="1766" w:type="pct"/>
            <w:vAlign w:val="center"/>
            <w:hideMark/>
          </w:tcPr>
          <w:p w14:paraId="414E970C"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7F058DD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43" w:type="pct"/>
            <w:vAlign w:val="center"/>
            <w:hideMark/>
          </w:tcPr>
          <w:p w14:paraId="13201D5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738" w:type="pct"/>
            <w:vAlign w:val="center"/>
            <w:hideMark/>
          </w:tcPr>
          <w:p w14:paraId="52128C8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1.52</w:t>
            </w:r>
          </w:p>
        </w:tc>
      </w:tr>
      <w:tr w:rsidR="00D14E18" w:rsidRPr="00D14E18" w14:paraId="1DA7817D" w14:textId="77777777" w:rsidTr="009D5DE4">
        <w:tc>
          <w:tcPr>
            <w:tcW w:w="1766" w:type="pct"/>
            <w:vAlign w:val="center"/>
            <w:hideMark/>
          </w:tcPr>
          <w:p w14:paraId="6122E595"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453" w:type="pct"/>
            <w:vAlign w:val="center"/>
            <w:hideMark/>
          </w:tcPr>
          <w:p w14:paraId="12CE809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43" w:type="pct"/>
            <w:vAlign w:val="center"/>
            <w:hideMark/>
          </w:tcPr>
          <w:p w14:paraId="1728C7B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738" w:type="pct"/>
            <w:vAlign w:val="center"/>
            <w:hideMark/>
          </w:tcPr>
          <w:p w14:paraId="1281EE8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r>
      <w:tr w:rsidR="00D14E18" w:rsidRPr="00D14E18" w14:paraId="291CC99F" w14:textId="77777777" w:rsidTr="009D5DE4">
        <w:tc>
          <w:tcPr>
            <w:tcW w:w="1766" w:type="pct"/>
            <w:hideMark/>
          </w:tcPr>
          <w:p w14:paraId="3E1F5BD9"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1453" w:type="pct"/>
            <w:vAlign w:val="center"/>
            <w:hideMark/>
          </w:tcPr>
          <w:p w14:paraId="5413599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43" w:type="pct"/>
            <w:vAlign w:val="center"/>
            <w:hideMark/>
          </w:tcPr>
          <w:p w14:paraId="0560D3D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738" w:type="pct"/>
            <w:vAlign w:val="center"/>
            <w:hideMark/>
          </w:tcPr>
          <w:p w14:paraId="6EAACA3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26574BC8" w14:textId="77777777" w:rsidTr="009D5DE4">
        <w:tc>
          <w:tcPr>
            <w:tcW w:w="1766" w:type="pct"/>
            <w:vAlign w:val="center"/>
            <w:hideMark/>
          </w:tcPr>
          <w:p w14:paraId="506F953A"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63BCC25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0.08</w:t>
            </w:r>
          </w:p>
        </w:tc>
        <w:tc>
          <w:tcPr>
            <w:tcW w:w="1043" w:type="pct"/>
            <w:vAlign w:val="center"/>
            <w:hideMark/>
          </w:tcPr>
          <w:p w14:paraId="5B7754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738" w:type="pct"/>
            <w:vAlign w:val="center"/>
            <w:hideMark/>
          </w:tcPr>
          <w:p w14:paraId="0BF7392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2.63</w:t>
            </w:r>
          </w:p>
        </w:tc>
      </w:tr>
      <w:tr w:rsidR="00D14E18" w:rsidRPr="00D14E18" w14:paraId="36874967" w14:textId="77777777" w:rsidTr="009D5DE4">
        <w:tc>
          <w:tcPr>
            <w:tcW w:w="1766" w:type="pct"/>
            <w:vAlign w:val="center"/>
            <w:hideMark/>
          </w:tcPr>
          <w:p w14:paraId="7E02F23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1453" w:type="pct"/>
            <w:vAlign w:val="center"/>
            <w:hideMark/>
          </w:tcPr>
          <w:p w14:paraId="52145CB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5.91</w:t>
            </w:r>
          </w:p>
        </w:tc>
        <w:tc>
          <w:tcPr>
            <w:tcW w:w="1043" w:type="pct"/>
            <w:vAlign w:val="center"/>
            <w:hideMark/>
          </w:tcPr>
          <w:p w14:paraId="7236904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5.90</w:t>
            </w:r>
          </w:p>
        </w:tc>
        <w:tc>
          <w:tcPr>
            <w:tcW w:w="738" w:type="pct"/>
            <w:vAlign w:val="center"/>
            <w:hideMark/>
          </w:tcPr>
          <w:p w14:paraId="3249066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12.34</w:t>
            </w:r>
          </w:p>
        </w:tc>
      </w:tr>
      <w:tr w:rsidR="00D14E18" w:rsidRPr="00D14E18" w14:paraId="7F044C40" w14:textId="77777777" w:rsidTr="009D5DE4">
        <w:trPr>
          <w:trHeight w:val="415"/>
        </w:trPr>
        <w:tc>
          <w:tcPr>
            <w:tcW w:w="1766" w:type="pct"/>
            <w:vAlign w:val="center"/>
          </w:tcPr>
          <w:p w14:paraId="7F17BFCB"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1453" w:type="pct"/>
            <w:vAlign w:val="center"/>
          </w:tcPr>
          <w:p w14:paraId="4D25C49C"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2.62</w:t>
            </w:r>
          </w:p>
        </w:tc>
        <w:tc>
          <w:tcPr>
            <w:tcW w:w="1043" w:type="pct"/>
            <w:vAlign w:val="center"/>
          </w:tcPr>
          <w:p w14:paraId="3CF463D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1.46</w:t>
            </w:r>
          </w:p>
        </w:tc>
        <w:tc>
          <w:tcPr>
            <w:tcW w:w="738" w:type="pct"/>
            <w:vAlign w:val="center"/>
          </w:tcPr>
          <w:p w14:paraId="06A83BA1"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42.70</w:t>
            </w:r>
          </w:p>
        </w:tc>
      </w:tr>
    </w:tbl>
    <w:p w14:paraId="757B50FE" w14:textId="56900C22" w:rsidR="00B46191" w:rsidRPr="00D14E18" w:rsidRDefault="00B46191" w:rsidP="00D14E18">
      <w:pPr>
        <w:spacing w:before="240"/>
        <w:jc w:val="both"/>
        <w:rPr>
          <w:rFonts w:ascii="Arial" w:hAnsi="Arial" w:cs="Arial"/>
          <w:b/>
          <w:bCs/>
          <w:sz w:val="20"/>
          <w:szCs w:val="20"/>
          <w:lang w:val="en-GB"/>
        </w:rPr>
      </w:pPr>
      <w:r w:rsidRPr="00D14E18">
        <w:rPr>
          <w:rFonts w:ascii="Arial" w:hAnsi="Arial" w:cs="Arial"/>
          <w:b/>
          <w:bCs/>
          <w:sz w:val="20"/>
          <w:szCs w:val="20"/>
          <w:lang w:val="en-GB"/>
        </w:rPr>
        <w:t>3.</w:t>
      </w:r>
      <w:r w:rsidR="00C02DE0">
        <w:rPr>
          <w:rFonts w:ascii="Arial" w:hAnsi="Arial" w:cs="Arial"/>
          <w:b/>
          <w:bCs/>
          <w:sz w:val="20"/>
          <w:szCs w:val="20"/>
          <w:lang w:val="en-GB"/>
        </w:rPr>
        <w:t>3</w:t>
      </w:r>
      <w:r w:rsidRPr="00D14E18">
        <w:rPr>
          <w:rFonts w:ascii="Arial" w:hAnsi="Arial" w:cs="Arial"/>
          <w:b/>
          <w:bCs/>
          <w:sz w:val="20"/>
          <w:szCs w:val="20"/>
          <w:lang w:val="en-GB"/>
        </w:rPr>
        <w:t>.4 Soil Microbial Population</w:t>
      </w:r>
    </w:p>
    <w:p w14:paraId="04F707CC" w14:textId="69090F63"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Both nutrients significantly enhanced the post-harvest soil microbial population (</w:t>
      </w:r>
      <w:r w:rsidRPr="004C3FFB">
        <w:rPr>
          <w:rFonts w:ascii="Arial" w:hAnsi="Arial" w:cs="Arial"/>
          <w:b/>
          <w:bCs/>
          <w:sz w:val="20"/>
          <w:szCs w:val="20"/>
          <w:lang w:val="en-GB"/>
        </w:rPr>
        <w:t xml:space="preserve">Table </w:t>
      </w:r>
      <w:r w:rsidR="00C82A0C">
        <w:rPr>
          <w:rFonts w:ascii="Arial" w:hAnsi="Arial" w:cs="Arial"/>
          <w:b/>
          <w:bCs/>
          <w:sz w:val="20"/>
          <w:szCs w:val="20"/>
          <w:lang w:val="en-GB"/>
        </w:rPr>
        <w:t>9</w:t>
      </w:r>
      <w:r w:rsidRPr="004C3FFB">
        <w:rPr>
          <w:rFonts w:ascii="Arial" w:hAnsi="Arial" w:cs="Arial"/>
          <w:sz w:val="20"/>
          <w:szCs w:val="20"/>
          <w:lang w:val="en-GB"/>
        </w:rPr>
        <w:t xml:space="preserve">). Bacterial counts rose from 6.17 × 10⁶ to 10.37 × 10⁶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from 7.47 × 10⁶ to 8.90 × 10⁶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actinomycetes rose from 5.27 × 10⁴ to 8.90 × 10⁴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6.47 × 10⁴ to 7.60 × 10⁴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fungal counts rose from 5.47 × 10³ to 8.60 × 10³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6.50 × 10³ to 7.43 × 10³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The organic-carbon build-up under higher sulphur evidently provided additional substrate for heterotrophic microflora, while sulphur-oxidising bacteria are themselves favoured by greater substrate sulphur; zinc, being an essential microbial-enzyme cofactor, further supported this proliferation (Ram </w:t>
      </w:r>
      <w:r w:rsidRPr="004C3FFB">
        <w:rPr>
          <w:rFonts w:ascii="Arial" w:hAnsi="Arial" w:cs="Arial"/>
          <w:i/>
          <w:iCs/>
          <w:sz w:val="20"/>
          <w:szCs w:val="20"/>
          <w:lang w:val="en-GB"/>
        </w:rPr>
        <w:t>et al</w:t>
      </w:r>
      <w:r w:rsidRPr="004C3FFB">
        <w:rPr>
          <w:rFonts w:ascii="Arial" w:hAnsi="Arial" w:cs="Arial"/>
          <w:sz w:val="20"/>
          <w:szCs w:val="20"/>
          <w:lang w:val="en-GB"/>
        </w:rPr>
        <w:t xml:space="preserve">., 2017; Kumar </w:t>
      </w:r>
      <w:r w:rsidRPr="004C3FFB">
        <w:rPr>
          <w:rFonts w:ascii="Arial" w:hAnsi="Arial" w:cs="Arial"/>
          <w:i/>
          <w:iCs/>
          <w:sz w:val="20"/>
          <w:szCs w:val="20"/>
          <w:lang w:val="en-GB"/>
        </w:rPr>
        <w:t>et al</w:t>
      </w:r>
      <w:r w:rsidRPr="004C3FFB">
        <w:rPr>
          <w:rFonts w:ascii="Arial" w:hAnsi="Arial" w:cs="Arial"/>
          <w:sz w:val="20"/>
          <w:szCs w:val="20"/>
          <w:lang w:val="en-GB"/>
        </w:rPr>
        <w:t>., 2023). The S × Zn interaction was non-significant for all three groups.</w:t>
      </w:r>
    </w:p>
    <w:p w14:paraId="13F2DB01" w14:textId="1AFDC119"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9</w:t>
      </w:r>
      <w:r w:rsidRPr="004C3FFB">
        <w:rPr>
          <w:rFonts w:ascii="Arial" w:hAnsi="Arial" w:cs="Arial"/>
          <w:b/>
          <w:bCs/>
          <w:sz w:val="20"/>
          <w:szCs w:val="20"/>
          <w:lang w:val="en-GB"/>
        </w:rPr>
        <w:t>. Soil Microbial Population after Harvest as Influenced by Sulphur and Zinc Levels</w:t>
      </w:r>
    </w:p>
    <w:tbl>
      <w:tblPr>
        <w:tblStyle w:val="TableGrid"/>
        <w:tblW w:w="5000" w:type="pct"/>
        <w:tblLook w:val="04A0" w:firstRow="1" w:lastRow="0" w:firstColumn="1" w:lastColumn="0" w:noHBand="0" w:noVBand="1"/>
      </w:tblPr>
      <w:tblGrid>
        <w:gridCol w:w="2916"/>
        <w:gridCol w:w="1951"/>
        <w:gridCol w:w="2198"/>
        <w:gridCol w:w="1951"/>
      </w:tblGrid>
      <w:tr w:rsidR="00D14E18" w:rsidRPr="00D14E18" w14:paraId="58D474EE" w14:textId="77777777" w:rsidTr="009D5DE4">
        <w:tc>
          <w:tcPr>
            <w:tcW w:w="1617" w:type="pct"/>
            <w:hideMark/>
          </w:tcPr>
          <w:p w14:paraId="6A5C36BE"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1082" w:type="pct"/>
            <w:vAlign w:val="center"/>
            <w:hideMark/>
          </w:tcPr>
          <w:p w14:paraId="6EACFB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Bacteria </w:t>
            </w:r>
            <w:r w:rsidRPr="00D14E18">
              <w:rPr>
                <w:rFonts w:ascii="Arial" w:hAnsi="Arial" w:cs="Arial"/>
                <w:b/>
                <w:bCs/>
                <w:sz w:val="20"/>
                <w:szCs w:val="20"/>
              </w:rPr>
              <w:br/>
              <w:t xml:space="preserve">(×10⁶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219" w:type="pct"/>
            <w:vAlign w:val="center"/>
            <w:hideMark/>
          </w:tcPr>
          <w:p w14:paraId="7D3F0D5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Actinomycetes</w:t>
            </w:r>
            <w:r w:rsidRPr="00D14E18">
              <w:rPr>
                <w:rFonts w:ascii="Arial" w:hAnsi="Arial" w:cs="Arial"/>
                <w:b/>
                <w:bCs/>
                <w:sz w:val="20"/>
                <w:szCs w:val="20"/>
              </w:rPr>
              <w:br/>
              <w:t xml:space="preserve">(×10⁴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82" w:type="pct"/>
            <w:vAlign w:val="center"/>
            <w:hideMark/>
          </w:tcPr>
          <w:p w14:paraId="76EF63C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Fungi </w:t>
            </w:r>
            <w:r w:rsidRPr="00D14E18">
              <w:rPr>
                <w:rFonts w:ascii="Arial" w:hAnsi="Arial" w:cs="Arial"/>
                <w:b/>
                <w:bCs/>
                <w:sz w:val="20"/>
                <w:szCs w:val="20"/>
              </w:rPr>
              <w:br/>
              <w:t xml:space="preserve">(×10³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r>
      <w:tr w:rsidR="00D14E18" w:rsidRPr="00D14E18" w14:paraId="55F6CA4C" w14:textId="77777777" w:rsidTr="009D5DE4">
        <w:tc>
          <w:tcPr>
            <w:tcW w:w="5000" w:type="pct"/>
            <w:gridSpan w:val="4"/>
            <w:hideMark/>
          </w:tcPr>
          <w:p w14:paraId="6996B6FC" w14:textId="77777777" w:rsidR="00D14E18" w:rsidRPr="00D14E18" w:rsidRDefault="00D14E18" w:rsidP="00D14E18">
            <w:pPr>
              <w:rPr>
                <w:rFonts w:ascii="Arial" w:hAnsi="Arial" w:cs="Arial"/>
                <w:sz w:val="20"/>
                <w:szCs w:val="20"/>
              </w:rPr>
            </w:pPr>
            <w:r w:rsidRPr="00D14E18">
              <w:rPr>
                <w:rFonts w:ascii="Arial" w:hAnsi="Arial" w:cs="Arial"/>
                <w:b/>
                <w:bCs/>
                <w:sz w:val="20"/>
                <w:szCs w:val="20"/>
              </w:rPr>
              <w:t>(A) Sulphur levels</w:t>
            </w:r>
          </w:p>
        </w:tc>
      </w:tr>
      <w:tr w:rsidR="00D14E18" w:rsidRPr="00D14E18" w14:paraId="6C2F05FB" w14:textId="77777777" w:rsidTr="009D5DE4">
        <w:tc>
          <w:tcPr>
            <w:tcW w:w="1617" w:type="pct"/>
            <w:hideMark/>
          </w:tcPr>
          <w:p w14:paraId="77BB9CE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737F14D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6.17</w:t>
            </w:r>
          </w:p>
        </w:tc>
        <w:tc>
          <w:tcPr>
            <w:tcW w:w="1219" w:type="pct"/>
            <w:vAlign w:val="center"/>
            <w:hideMark/>
          </w:tcPr>
          <w:p w14:paraId="6D4F94E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5.27</w:t>
            </w:r>
          </w:p>
        </w:tc>
        <w:tc>
          <w:tcPr>
            <w:tcW w:w="1082" w:type="pct"/>
            <w:vAlign w:val="center"/>
            <w:hideMark/>
          </w:tcPr>
          <w:p w14:paraId="210F8A0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5.47</w:t>
            </w:r>
          </w:p>
        </w:tc>
      </w:tr>
      <w:tr w:rsidR="00D14E18" w:rsidRPr="00D14E18" w14:paraId="1D7AF322" w14:textId="77777777" w:rsidTr="009D5DE4">
        <w:tc>
          <w:tcPr>
            <w:tcW w:w="1617" w:type="pct"/>
            <w:hideMark/>
          </w:tcPr>
          <w:p w14:paraId="63056D69"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62433F7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8.07</w:t>
            </w:r>
          </w:p>
        </w:tc>
        <w:tc>
          <w:tcPr>
            <w:tcW w:w="1219" w:type="pct"/>
            <w:vAlign w:val="center"/>
            <w:hideMark/>
          </w:tcPr>
          <w:p w14:paraId="48E6AEC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6.97</w:t>
            </w:r>
          </w:p>
        </w:tc>
        <w:tc>
          <w:tcPr>
            <w:tcW w:w="1082" w:type="pct"/>
            <w:vAlign w:val="center"/>
            <w:hideMark/>
          </w:tcPr>
          <w:p w14:paraId="54CB7CA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6.87</w:t>
            </w:r>
          </w:p>
        </w:tc>
      </w:tr>
      <w:tr w:rsidR="00D14E18" w:rsidRPr="00D14E18" w14:paraId="33616C6F" w14:textId="77777777" w:rsidTr="009D5DE4">
        <w:tc>
          <w:tcPr>
            <w:tcW w:w="1617" w:type="pct"/>
            <w:hideMark/>
          </w:tcPr>
          <w:p w14:paraId="10CE239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4F3903B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10.37</w:t>
            </w:r>
          </w:p>
        </w:tc>
        <w:tc>
          <w:tcPr>
            <w:tcW w:w="1219" w:type="pct"/>
            <w:vAlign w:val="center"/>
            <w:hideMark/>
          </w:tcPr>
          <w:p w14:paraId="595080D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8.90</w:t>
            </w:r>
          </w:p>
        </w:tc>
        <w:tc>
          <w:tcPr>
            <w:tcW w:w="1082" w:type="pct"/>
            <w:vAlign w:val="center"/>
            <w:hideMark/>
          </w:tcPr>
          <w:p w14:paraId="006B672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8.60</w:t>
            </w:r>
          </w:p>
        </w:tc>
      </w:tr>
      <w:tr w:rsidR="00D14E18" w:rsidRPr="00D14E18" w14:paraId="31BF9CC1" w14:textId="77777777" w:rsidTr="009D5DE4">
        <w:tc>
          <w:tcPr>
            <w:tcW w:w="1617" w:type="pct"/>
            <w:vAlign w:val="center"/>
            <w:hideMark/>
          </w:tcPr>
          <w:p w14:paraId="3B899E51"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298B4D0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0.12</w:t>
            </w:r>
          </w:p>
        </w:tc>
        <w:tc>
          <w:tcPr>
            <w:tcW w:w="1219" w:type="pct"/>
            <w:vAlign w:val="center"/>
            <w:hideMark/>
          </w:tcPr>
          <w:p w14:paraId="6017AFC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1082" w:type="pct"/>
            <w:vAlign w:val="center"/>
            <w:hideMark/>
          </w:tcPr>
          <w:p w14:paraId="07BE7C9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r>
      <w:tr w:rsidR="00D14E18" w:rsidRPr="00D14E18" w14:paraId="17094199" w14:textId="77777777" w:rsidTr="009D5DE4">
        <w:tc>
          <w:tcPr>
            <w:tcW w:w="1617" w:type="pct"/>
            <w:vAlign w:val="center"/>
            <w:hideMark/>
          </w:tcPr>
          <w:p w14:paraId="1EED6C6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082" w:type="pct"/>
            <w:vAlign w:val="center"/>
            <w:hideMark/>
          </w:tcPr>
          <w:p w14:paraId="1564B8E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0.35</w:t>
            </w:r>
          </w:p>
        </w:tc>
        <w:tc>
          <w:tcPr>
            <w:tcW w:w="1219" w:type="pct"/>
            <w:vAlign w:val="center"/>
            <w:hideMark/>
          </w:tcPr>
          <w:p w14:paraId="54158D8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c>
          <w:tcPr>
            <w:tcW w:w="1082" w:type="pct"/>
            <w:vAlign w:val="center"/>
            <w:hideMark/>
          </w:tcPr>
          <w:p w14:paraId="59E3E65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r>
      <w:tr w:rsidR="00D14E18" w:rsidRPr="00D14E18" w14:paraId="2D5DDDA5" w14:textId="77777777" w:rsidTr="009D5DE4">
        <w:tc>
          <w:tcPr>
            <w:tcW w:w="5000" w:type="pct"/>
            <w:gridSpan w:val="4"/>
            <w:hideMark/>
          </w:tcPr>
          <w:p w14:paraId="59264CD1" w14:textId="77777777"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5BBE2623" w14:textId="77777777" w:rsidTr="009D5DE4">
        <w:tc>
          <w:tcPr>
            <w:tcW w:w="1617" w:type="pct"/>
            <w:hideMark/>
          </w:tcPr>
          <w:p w14:paraId="050CD61E"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587EE1D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7.47</w:t>
            </w:r>
          </w:p>
        </w:tc>
        <w:tc>
          <w:tcPr>
            <w:tcW w:w="1219" w:type="pct"/>
            <w:vAlign w:val="center"/>
            <w:hideMark/>
          </w:tcPr>
          <w:p w14:paraId="16AABDA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6.47</w:t>
            </w:r>
          </w:p>
        </w:tc>
        <w:tc>
          <w:tcPr>
            <w:tcW w:w="1082" w:type="pct"/>
            <w:vAlign w:val="center"/>
            <w:hideMark/>
          </w:tcPr>
          <w:p w14:paraId="2F39E97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6.50</w:t>
            </w:r>
          </w:p>
        </w:tc>
      </w:tr>
      <w:tr w:rsidR="00D14E18" w:rsidRPr="00D14E18" w14:paraId="6BAACC05" w14:textId="77777777" w:rsidTr="009D5DE4">
        <w:tc>
          <w:tcPr>
            <w:tcW w:w="1617" w:type="pct"/>
            <w:hideMark/>
          </w:tcPr>
          <w:p w14:paraId="28C9F77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67284A0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8.23</w:t>
            </w:r>
          </w:p>
        </w:tc>
        <w:tc>
          <w:tcPr>
            <w:tcW w:w="1219" w:type="pct"/>
            <w:vAlign w:val="center"/>
            <w:hideMark/>
          </w:tcPr>
          <w:p w14:paraId="0FACE3A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7.07</w:t>
            </w:r>
          </w:p>
        </w:tc>
        <w:tc>
          <w:tcPr>
            <w:tcW w:w="1082" w:type="pct"/>
            <w:vAlign w:val="center"/>
            <w:hideMark/>
          </w:tcPr>
          <w:p w14:paraId="76A67A3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7.00</w:t>
            </w:r>
          </w:p>
        </w:tc>
      </w:tr>
      <w:tr w:rsidR="00D14E18" w:rsidRPr="00D14E18" w14:paraId="1C29E307" w14:textId="77777777" w:rsidTr="009D5DE4">
        <w:tc>
          <w:tcPr>
            <w:tcW w:w="1617" w:type="pct"/>
            <w:hideMark/>
          </w:tcPr>
          <w:p w14:paraId="1261BF6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4AF86EF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8.90</w:t>
            </w:r>
          </w:p>
        </w:tc>
        <w:tc>
          <w:tcPr>
            <w:tcW w:w="1219" w:type="pct"/>
            <w:vAlign w:val="center"/>
            <w:hideMark/>
          </w:tcPr>
          <w:p w14:paraId="37C5DB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7.60</w:t>
            </w:r>
          </w:p>
        </w:tc>
        <w:tc>
          <w:tcPr>
            <w:tcW w:w="1082" w:type="pct"/>
            <w:vAlign w:val="center"/>
            <w:hideMark/>
          </w:tcPr>
          <w:p w14:paraId="3C802C2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7.43</w:t>
            </w:r>
          </w:p>
        </w:tc>
      </w:tr>
      <w:tr w:rsidR="00D14E18" w:rsidRPr="00D14E18" w14:paraId="6DE2834E" w14:textId="77777777" w:rsidTr="009D5DE4">
        <w:tc>
          <w:tcPr>
            <w:tcW w:w="1617" w:type="pct"/>
            <w:vAlign w:val="center"/>
            <w:hideMark/>
          </w:tcPr>
          <w:p w14:paraId="0DF752BF"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642E1CA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0.12</w:t>
            </w:r>
          </w:p>
        </w:tc>
        <w:tc>
          <w:tcPr>
            <w:tcW w:w="1219" w:type="pct"/>
            <w:vAlign w:val="center"/>
            <w:hideMark/>
          </w:tcPr>
          <w:p w14:paraId="580D7C5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1082" w:type="pct"/>
            <w:vAlign w:val="center"/>
            <w:hideMark/>
          </w:tcPr>
          <w:p w14:paraId="186821B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r>
      <w:tr w:rsidR="00D14E18" w:rsidRPr="00D14E18" w14:paraId="5A23B205" w14:textId="77777777" w:rsidTr="009D5DE4">
        <w:tc>
          <w:tcPr>
            <w:tcW w:w="1617" w:type="pct"/>
            <w:vAlign w:val="center"/>
            <w:hideMark/>
          </w:tcPr>
          <w:p w14:paraId="25D44405"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082" w:type="pct"/>
            <w:vAlign w:val="center"/>
            <w:hideMark/>
          </w:tcPr>
          <w:p w14:paraId="5B4230E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0.35</w:t>
            </w:r>
          </w:p>
        </w:tc>
        <w:tc>
          <w:tcPr>
            <w:tcW w:w="1219" w:type="pct"/>
            <w:vAlign w:val="center"/>
            <w:hideMark/>
          </w:tcPr>
          <w:p w14:paraId="155A295E"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c>
          <w:tcPr>
            <w:tcW w:w="1082" w:type="pct"/>
            <w:vAlign w:val="center"/>
            <w:hideMark/>
          </w:tcPr>
          <w:p w14:paraId="3EF1B7C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r>
      <w:tr w:rsidR="00D14E18" w:rsidRPr="00D14E18" w14:paraId="1052A8B8" w14:textId="77777777" w:rsidTr="009D5DE4">
        <w:tc>
          <w:tcPr>
            <w:tcW w:w="1617" w:type="pct"/>
            <w:vAlign w:val="center"/>
            <w:hideMark/>
          </w:tcPr>
          <w:p w14:paraId="26713F29" w14:textId="77777777" w:rsidR="00D14E18" w:rsidRPr="00D14E18" w:rsidRDefault="00D14E18" w:rsidP="00D14E18">
            <w:pPr>
              <w:rPr>
                <w:rFonts w:ascii="Arial" w:hAnsi="Arial" w:cs="Arial"/>
                <w:sz w:val="20"/>
                <w:szCs w:val="20"/>
              </w:rPr>
            </w:pPr>
            <w:r w:rsidRPr="00D14E18">
              <w:rPr>
                <w:rFonts w:ascii="Arial" w:hAnsi="Arial" w:cs="Arial"/>
                <w:b/>
                <w:bCs/>
                <w:sz w:val="20"/>
                <w:szCs w:val="20"/>
              </w:rPr>
              <w:t>Interaction (S × Zn)</w:t>
            </w:r>
          </w:p>
        </w:tc>
        <w:tc>
          <w:tcPr>
            <w:tcW w:w="1082" w:type="pct"/>
            <w:vAlign w:val="center"/>
            <w:hideMark/>
          </w:tcPr>
          <w:p w14:paraId="6190DD7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219" w:type="pct"/>
            <w:vAlign w:val="center"/>
            <w:hideMark/>
          </w:tcPr>
          <w:p w14:paraId="0D8CE25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82" w:type="pct"/>
            <w:vAlign w:val="center"/>
            <w:hideMark/>
          </w:tcPr>
          <w:p w14:paraId="70D401B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60ED088D" w14:textId="77777777" w:rsidTr="009D5DE4">
        <w:tc>
          <w:tcPr>
            <w:tcW w:w="1617" w:type="pct"/>
            <w:vAlign w:val="center"/>
            <w:hideMark/>
          </w:tcPr>
          <w:p w14:paraId="4E1F4939"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2148FA4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0.21</w:t>
            </w:r>
          </w:p>
        </w:tc>
        <w:tc>
          <w:tcPr>
            <w:tcW w:w="1219" w:type="pct"/>
            <w:vAlign w:val="center"/>
            <w:hideMark/>
          </w:tcPr>
          <w:p w14:paraId="07B574B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0.17</w:t>
            </w:r>
          </w:p>
        </w:tc>
        <w:tc>
          <w:tcPr>
            <w:tcW w:w="1082" w:type="pct"/>
            <w:vAlign w:val="center"/>
            <w:hideMark/>
          </w:tcPr>
          <w:p w14:paraId="574A856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0.17</w:t>
            </w:r>
          </w:p>
        </w:tc>
      </w:tr>
      <w:tr w:rsidR="00D14E18" w:rsidRPr="00D14E18" w14:paraId="42452E93" w14:textId="77777777" w:rsidTr="009D5DE4">
        <w:tc>
          <w:tcPr>
            <w:tcW w:w="1617" w:type="pct"/>
            <w:vAlign w:val="center"/>
            <w:hideMark/>
          </w:tcPr>
          <w:p w14:paraId="006DE94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1082" w:type="pct"/>
            <w:vAlign w:val="center"/>
            <w:hideMark/>
          </w:tcPr>
          <w:p w14:paraId="139B43C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5.09</w:t>
            </w:r>
          </w:p>
        </w:tc>
        <w:tc>
          <w:tcPr>
            <w:tcW w:w="1219" w:type="pct"/>
            <w:vAlign w:val="center"/>
            <w:hideMark/>
          </w:tcPr>
          <w:p w14:paraId="4682F95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4.72</w:t>
            </w:r>
          </w:p>
        </w:tc>
        <w:tc>
          <w:tcPr>
            <w:tcW w:w="1082" w:type="pct"/>
            <w:vAlign w:val="center"/>
            <w:hideMark/>
          </w:tcPr>
          <w:p w14:paraId="29A5373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4.79</w:t>
            </w:r>
          </w:p>
        </w:tc>
      </w:tr>
    </w:tbl>
    <w:p w14:paraId="27BFA285" w14:textId="7DCA9E41" w:rsidR="00D14E18" w:rsidRDefault="00D14E18" w:rsidP="00D14E18">
      <w:pPr>
        <w:spacing w:before="240"/>
        <w:jc w:val="both"/>
        <w:rPr>
          <w:rFonts w:ascii="Arial" w:hAnsi="Arial" w:cs="Arial"/>
          <w:b/>
          <w:bCs/>
          <w:sz w:val="20"/>
          <w:szCs w:val="20"/>
          <w:lang w:val="en-GB"/>
        </w:rPr>
      </w:pPr>
      <w:r>
        <w:rPr>
          <w:noProof/>
          <w:lang w:eastAsia="en-IN" w:bidi="gu-IN"/>
        </w:rPr>
        <w:lastRenderedPageBreak/>
        <w:drawing>
          <wp:inline distT="0" distB="0" distL="0" distR="0" wp14:anchorId="612630ED" wp14:editId="2F8D9B1B">
            <wp:extent cx="5731510" cy="3190126"/>
            <wp:effectExtent l="0" t="0" r="2540" b="14605"/>
            <wp:docPr id="467165813" name="Chart 1">
              <a:extLst xmlns:a="http://schemas.openxmlformats.org/drawingml/2006/main">
                <a:ext uri="{FF2B5EF4-FFF2-40B4-BE49-F238E27FC236}">
                  <a16:creationId xmlns:a16="http://schemas.microsoft.com/office/drawing/2014/main" id="{A93F89E3-1B26-7C79-D5DA-3C94DD21A1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02124E" w14:textId="53E82DE0" w:rsidR="00D14E18" w:rsidRPr="00D14E18" w:rsidRDefault="00D14E18" w:rsidP="00D14E18">
      <w:pPr>
        <w:spacing w:before="240"/>
        <w:jc w:val="both"/>
        <w:rPr>
          <w:rFonts w:ascii="Arial" w:hAnsi="Arial" w:cs="Arial"/>
          <w:b/>
          <w:bCs/>
          <w:sz w:val="20"/>
          <w:szCs w:val="20"/>
          <w:lang w:val="en-GB"/>
        </w:rPr>
      </w:pPr>
      <w:r w:rsidRPr="00D14E18">
        <w:rPr>
          <w:rFonts w:ascii="Arial" w:hAnsi="Arial" w:cs="Arial"/>
          <w:b/>
          <w:bCs/>
          <w:sz w:val="20"/>
          <w:szCs w:val="20"/>
        </w:rPr>
        <w:t xml:space="preserve">Figure </w:t>
      </w:r>
      <w:r>
        <w:rPr>
          <w:rFonts w:ascii="Arial" w:hAnsi="Arial" w:cs="Arial"/>
          <w:b/>
          <w:bCs/>
          <w:sz w:val="20"/>
          <w:szCs w:val="20"/>
        </w:rPr>
        <w:t>2</w:t>
      </w:r>
      <w:r w:rsidRPr="00D14E18">
        <w:rPr>
          <w:rFonts w:ascii="Arial" w:hAnsi="Arial" w:cs="Arial"/>
          <w:b/>
          <w:bCs/>
          <w:sz w:val="20"/>
          <w:szCs w:val="20"/>
        </w:rPr>
        <w:t>: Soil Microbial Population after Harvest as Influenced by Sulphur and Zinc Levels</w:t>
      </w:r>
    </w:p>
    <w:p w14:paraId="4199F56D" w14:textId="7A72F8CC"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4. CONCLUSION</w:t>
      </w:r>
    </w:p>
    <w:p w14:paraId="3EA81F0D" w14:textId="16D38D66" w:rsidR="00B46191"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Under the rainfed, medium-black-soil conditions of South Gujarat, graded application of sulphur and zinc consistently and independently improved nutrient uptake and post-harvest fertility of sesame soils, the S × Zn interaction being non-significant for every parameter studied. </w:t>
      </w:r>
      <w:commentRangeStart w:id="14"/>
      <w:r w:rsidRPr="004C3FFB">
        <w:rPr>
          <w:rFonts w:ascii="Arial" w:hAnsi="Arial" w:cs="Arial"/>
          <w:sz w:val="20"/>
          <w:szCs w:val="20"/>
          <w:lang w:val="en-GB"/>
        </w:rPr>
        <w:t>Application of 40 kg S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5.0 kg Zn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gave the highest seed/stover sulphur and zinc concentration and uptake, and the greatest post-harvest build-up of available N,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O, S, Zn, Fe, organic carbon and beneficial soil microflora, without adversely affecting soil pH or physical properties. Sulphur and zinc may therefore be recommended as a basal dose for rainfed crop rotations to maintain sustainable soil fertility under similar agro-climatic conditions.</w:t>
      </w:r>
      <w:commentRangeEnd w:id="14"/>
      <w:r w:rsidR="006B765A">
        <w:rPr>
          <w:rStyle w:val="CommentReference"/>
        </w:rPr>
        <w:commentReference w:id="14"/>
      </w:r>
    </w:p>
    <w:p w14:paraId="1E67004B" w14:textId="77777777" w:rsidR="006B765A" w:rsidRDefault="006B765A" w:rsidP="002901D5">
      <w:pPr>
        <w:spacing w:after="0" w:line="240" w:lineRule="auto"/>
        <w:rPr>
          <w:rFonts w:ascii="Times New Roman" w:hAnsi="Times New Roman" w:cs="Times New Roman"/>
          <w:b/>
        </w:rPr>
      </w:pPr>
    </w:p>
    <w:p w14:paraId="02DA4F9E" w14:textId="2BE8D603" w:rsidR="002901D5" w:rsidRPr="000839CE" w:rsidRDefault="002901D5" w:rsidP="002901D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C2D0B7D" w14:textId="77777777" w:rsidR="002901D5" w:rsidRPr="000839CE" w:rsidRDefault="002901D5" w:rsidP="002901D5">
      <w:pPr>
        <w:spacing w:after="0" w:line="240" w:lineRule="auto"/>
        <w:rPr>
          <w:rFonts w:ascii="Times New Roman" w:hAnsi="Times New Roman" w:cs="Times New Roman"/>
        </w:rPr>
      </w:pPr>
    </w:p>
    <w:p w14:paraId="371E6F88" w14:textId="77777777" w:rsidR="002901D5" w:rsidRPr="000839CE" w:rsidRDefault="002901D5" w:rsidP="002901D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815F88" w14:textId="77777777" w:rsidR="00492D63" w:rsidRDefault="00492D63" w:rsidP="00EC55E3">
      <w:pPr>
        <w:jc w:val="both"/>
        <w:rPr>
          <w:rFonts w:ascii="Arial" w:hAnsi="Arial" w:cs="Arial"/>
          <w:b/>
          <w:bCs/>
          <w:sz w:val="20"/>
          <w:szCs w:val="20"/>
          <w:lang w:val="en-GB"/>
        </w:rPr>
      </w:pPr>
    </w:p>
    <w:p w14:paraId="280EFC74" w14:textId="794DB0B7" w:rsidR="00EC55E3" w:rsidRPr="004C3FFB" w:rsidRDefault="00EC55E3" w:rsidP="00EC55E3">
      <w:pPr>
        <w:jc w:val="both"/>
        <w:rPr>
          <w:rFonts w:ascii="Arial" w:hAnsi="Arial" w:cs="Arial"/>
          <w:b/>
          <w:bCs/>
          <w:sz w:val="20"/>
          <w:szCs w:val="20"/>
          <w:lang w:val="en-GB"/>
        </w:rPr>
      </w:pPr>
      <w:commentRangeStart w:id="15"/>
      <w:r w:rsidRPr="004C3FFB">
        <w:rPr>
          <w:rFonts w:ascii="Arial" w:hAnsi="Arial" w:cs="Arial"/>
          <w:b/>
          <w:bCs/>
          <w:sz w:val="20"/>
          <w:szCs w:val="20"/>
          <w:lang w:val="en-GB"/>
        </w:rPr>
        <w:t>REFERENCES</w:t>
      </w:r>
      <w:commentRangeEnd w:id="15"/>
      <w:r w:rsidR="006B765A">
        <w:rPr>
          <w:rStyle w:val="CommentReference"/>
        </w:rPr>
        <w:commentReference w:id="15"/>
      </w:r>
    </w:p>
    <w:p w14:paraId="739B9FAF"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Alam, M., Mishra, A. K., &amp; Singh, S. K. (2014). Response of sulphur and FYM on soil physico-chemical properties and growth, yield and quality of mustard (</w:t>
      </w:r>
      <w:r w:rsidRPr="004C3FFB">
        <w:rPr>
          <w:rFonts w:ascii="Arial" w:hAnsi="Arial" w:cs="Arial"/>
          <w:i/>
          <w:iCs/>
          <w:sz w:val="20"/>
          <w:szCs w:val="20"/>
          <w:lang w:val="en-GB"/>
        </w:rPr>
        <w:t>Brassica nigra</w:t>
      </w:r>
      <w:r w:rsidRPr="004C3FFB">
        <w:rPr>
          <w:rFonts w:ascii="Arial" w:hAnsi="Arial" w:cs="Arial"/>
          <w:sz w:val="20"/>
          <w:szCs w:val="20"/>
          <w:lang w:val="en-GB"/>
        </w:rPr>
        <w:t xml:space="preserve"> L.). </w:t>
      </w:r>
      <w:r w:rsidRPr="004C3FFB">
        <w:rPr>
          <w:rFonts w:ascii="Arial" w:hAnsi="Arial" w:cs="Arial"/>
          <w:i/>
          <w:iCs/>
          <w:sz w:val="20"/>
          <w:szCs w:val="20"/>
          <w:lang w:val="en-GB"/>
        </w:rPr>
        <w:t>Journal of Agricultural Physics</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(2), 156–160.</w:t>
      </w:r>
    </w:p>
    <w:p w14:paraId="3449EC5E"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Blake, G. R., &amp; Hartge, K. H. (1986). Bulk density/Particle density. In </w:t>
      </w:r>
      <w:r w:rsidRPr="004C3FFB">
        <w:rPr>
          <w:rFonts w:ascii="Arial" w:hAnsi="Arial" w:cs="Arial"/>
          <w:i/>
          <w:iCs/>
          <w:sz w:val="20"/>
          <w:szCs w:val="20"/>
          <w:lang w:val="en-GB"/>
        </w:rPr>
        <w:t>Methods of Soil Analysis: Part 1—Physical and Mineralogical Methods</w:t>
      </w:r>
      <w:r w:rsidRPr="004C3FFB">
        <w:rPr>
          <w:rFonts w:ascii="Arial" w:hAnsi="Arial" w:cs="Arial"/>
          <w:sz w:val="20"/>
          <w:szCs w:val="20"/>
          <w:lang w:val="en-GB"/>
        </w:rPr>
        <w:t xml:space="preserve"> (2nd ed., pp. 363–382). Soil Science Society of America.</w:t>
      </w:r>
    </w:p>
    <w:p w14:paraId="12FDAC4A" w14:textId="77777777" w:rsidR="004731CE" w:rsidRPr="004C3FFB" w:rsidRDefault="004731CE" w:rsidP="00EC55E3">
      <w:pPr>
        <w:jc w:val="both"/>
        <w:rPr>
          <w:rFonts w:ascii="Arial" w:hAnsi="Arial" w:cs="Arial"/>
          <w:sz w:val="20"/>
          <w:szCs w:val="20"/>
          <w:lang w:val="en-GB"/>
        </w:rPr>
      </w:pPr>
      <w:proofErr w:type="spellStart"/>
      <w:r w:rsidRPr="004C3FFB">
        <w:rPr>
          <w:rFonts w:ascii="Arial" w:hAnsi="Arial" w:cs="Arial"/>
          <w:sz w:val="20"/>
          <w:szCs w:val="20"/>
          <w:lang w:val="en-GB"/>
        </w:rPr>
        <w:lastRenderedPageBreak/>
        <w:t>Chesnin</w:t>
      </w:r>
      <w:proofErr w:type="spellEnd"/>
      <w:r w:rsidRPr="004C3FFB">
        <w:rPr>
          <w:rFonts w:ascii="Arial" w:hAnsi="Arial" w:cs="Arial"/>
          <w:sz w:val="20"/>
          <w:szCs w:val="20"/>
          <w:lang w:val="en-GB"/>
        </w:rPr>
        <w:t xml:space="preserve">, L., &amp; Yien, C. H. (1950). Turbidimetric determination of available </w:t>
      </w:r>
      <w:proofErr w:type="spellStart"/>
      <w:r w:rsidRPr="004C3FFB">
        <w:rPr>
          <w:rFonts w:ascii="Arial" w:hAnsi="Arial" w:cs="Arial"/>
          <w:sz w:val="20"/>
          <w:szCs w:val="20"/>
          <w:lang w:val="en-GB"/>
        </w:rPr>
        <w:t>sulfur</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Soil Science Society of America Proceedings</w:t>
      </w:r>
      <w:r w:rsidRPr="004C3FFB">
        <w:rPr>
          <w:rFonts w:ascii="Arial" w:hAnsi="Arial" w:cs="Arial"/>
          <w:sz w:val="20"/>
          <w:szCs w:val="20"/>
          <w:lang w:val="en-GB"/>
        </w:rPr>
        <w:t xml:space="preserve">, </w:t>
      </w:r>
      <w:r w:rsidRPr="004C3FFB">
        <w:rPr>
          <w:rFonts w:ascii="Arial" w:hAnsi="Arial" w:cs="Arial"/>
          <w:b/>
          <w:bCs/>
          <w:sz w:val="20"/>
          <w:szCs w:val="20"/>
          <w:lang w:val="en-GB"/>
        </w:rPr>
        <w:t>15</w:t>
      </w:r>
      <w:r w:rsidRPr="004C3FFB">
        <w:rPr>
          <w:rFonts w:ascii="Arial" w:hAnsi="Arial" w:cs="Arial"/>
          <w:sz w:val="20"/>
          <w:szCs w:val="20"/>
          <w:lang w:val="en-GB"/>
        </w:rPr>
        <w:t>, 149–151.</w:t>
      </w:r>
    </w:p>
    <w:p w14:paraId="28C75A11"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Chopra, S. L., &amp; Kanwar, J. S. (1976). </w:t>
      </w:r>
      <w:r w:rsidRPr="004C3FFB">
        <w:rPr>
          <w:rFonts w:ascii="Arial" w:hAnsi="Arial" w:cs="Arial"/>
          <w:i/>
          <w:iCs/>
          <w:sz w:val="20"/>
          <w:szCs w:val="20"/>
          <w:lang w:val="en-GB"/>
        </w:rPr>
        <w:t>Analytical Agricultural Chemistry</w:t>
      </w:r>
      <w:r w:rsidRPr="004C3FFB">
        <w:rPr>
          <w:rFonts w:ascii="Arial" w:hAnsi="Arial" w:cs="Arial"/>
          <w:sz w:val="20"/>
          <w:szCs w:val="20"/>
          <w:lang w:val="en-GB"/>
        </w:rPr>
        <w:t>. Kalyani Publishers.</w:t>
      </w:r>
    </w:p>
    <w:p w14:paraId="02D70716"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Choudhary, A. A., Nikam, R. R., &amp; Patil, S. S. (2016). Effect of phosphorus and sulphur on oil, nutrient uptake and yield of linseed. </w:t>
      </w:r>
      <w:r w:rsidRPr="004C3FFB">
        <w:rPr>
          <w:rFonts w:ascii="Arial" w:hAnsi="Arial" w:cs="Arial"/>
          <w:i/>
          <w:iCs/>
          <w:sz w:val="20"/>
          <w:szCs w:val="20"/>
          <w:lang w:val="en-GB"/>
        </w:rPr>
        <w:t>International Journal of Life Science</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 33–36.</w:t>
      </w:r>
    </w:p>
    <w:p w14:paraId="0E37805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Deekshitha, D. K. D., Babu, P. R., &amp; </w:t>
      </w:r>
      <w:proofErr w:type="spellStart"/>
      <w:r w:rsidRPr="004C3FFB">
        <w:rPr>
          <w:rFonts w:ascii="Arial" w:hAnsi="Arial" w:cs="Arial"/>
          <w:sz w:val="20"/>
          <w:szCs w:val="20"/>
          <w:lang w:val="en-GB"/>
        </w:rPr>
        <w:t>Madhuvani</w:t>
      </w:r>
      <w:proofErr w:type="spellEnd"/>
      <w:r w:rsidRPr="004C3FFB">
        <w:rPr>
          <w:rFonts w:ascii="Arial" w:hAnsi="Arial" w:cs="Arial"/>
          <w:sz w:val="20"/>
          <w:szCs w:val="20"/>
          <w:lang w:val="en-GB"/>
        </w:rPr>
        <w:t xml:space="preserve">, P. (2017). Effect of fertilizer levels and sulphur on soil properties in clay loam soil. </w:t>
      </w:r>
      <w:r w:rsidRPr="004C3FFB">
        <w:rPr>
          <w:rFonts w:ascii="Arial" w:hAnsi="Arial" w:cs="Arial"/>
          <w:i/>
          <w:iCs/>
          <w:sz w:val="20"/>
          <w:szCs w:val="20"/>
          <w:lang w:val="en-GB"/>
        </w:rPr>
        <w:t>Plant Archives</w:t>
      </w:r>
      <w:r w:rsidRPr="004C3FFB">
        <w:rPr>
          <w:rFonts w:ascii="Arial" w:hAnsi="Arial" w:cs="Arial"/>
          <w:sz w:val="20"/>
          <w:szCs w:val="20"/>
          <w:lang w:val="en-GB"/>
        </w:rPr>
        <w:t xml:space="preserve">, </w:t>
      </w:r>
      <w:r w:rsidRPr="004C3FFB">
        <w:rPr>
          <w:rFonts w:ascii="Arial" w:hAnsi="Arial" w:cs="Arial"/>
          <w:b/>
          <w:bCs/>
          <w:sz w:val="20"/>
          <w:szCs w:val="20"/>
          <w:lang w:val="en-GB"/>
        </w:rPr>
        <w:t>17</w:t>
      </w:r>
      <w:r w:rsidRPr="004C3FFB">
        <w:rPr>
          <w:rFonts w:ascii="Arial" w:hAnsi="Arial" w:cs="Arial"/>
          <w:sz w:val="20"/>
          <w:szCs w:val="20"/>
          <w:lang w:val="en-GB"/>
        </w:rPr>
        <w:t>(2), 846–850.</w:t>
      </w:r>
    </w:p>
    <w:p w14:paraId="0243E0BB"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Jackson, M. L. (1979). </w:t>
      </w:r>
      <w:r w:rsidRPr="004C3FFB">
        <w:rPr>
          <w:rFonts w:ascii="Arial" w:hAnsi="Arial" w:cs="Arial"/>
          <w:i/>
          <w:iCs/>
          <w:sz w:val="20"/>
          <w:szCs w:val="20"/>
          <w:lang w:val="en-GB"/>
        </w:rPr>
        <w:t>Soil Chemical Analysis</w:t>
      </w:r>
      <w:r w:rsidRPr="004C3FFB">
        <w:rPr>
          <w:rFonts w:ascii="Arial" w:hAnsi="Arial" w:cs="Arial"/>
          <w:sz w:val="20"/>
          <w:szCs w:val="20"/>
          <w:lang w:val="en-GB"/>
        </w:rPr>
        <w:t>. Prentice-Hall of India.</w:t>
      </w:r>
    </w:p>
    <w:p w14:paraId="5DB70844" w14:textId="42991053"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Jahan, N., Alam, A. S., Mitu, A. S., Habib, M. A., Khan, M., &amp; Ali, J. (2019). Effect of zinc on the growth and yield of sesame. </w:t>
      </w:r>
      <w:r w:rsidRPr="00C02DE0">
        <w:rPr>
          <w:rFonts w:ascii="Arial" w:hAnsi="Arial" w:cs="Arial"/>
          <w:i/>
          <w:iCs/>
          <w:sz w:val="20"/>
          <w:szCs w:val="20"/>
        </w:rPr>
        <w:t>International Journal of Natural and Social Sciences</w:t>
      </w:r>
      <w:r w:rsidRPr="00C02DE0">
        <w:rPr>
          <w:rFonts w:ascii="Arial" w:hAnsi="Arial" w:cs="Arial"/>
          <w:sz w:val="20"/>
          <w:szCs w:val="20"/>
        </w:rPr>
        <w:t xml:space="preserve">, </w:t>
      </w:r>
      <w:r w:rsidRPr="00C02DE0">
        <w:rPr>
          <w:rFonts w:ascii="Arial" w:hAnsi="Arial" w:cs="Arial"/>
          <w:b/>
          <w:bCs/>
          <w:sz w:val="20"/>
          <w:szCs w:val="20"/>
        </w:rPr>
        <w:t>6</w:t>
      </w:r>
      <w:r w:rsidRPr="00C02DE0">
        <w:rPr>
          <w:rFonts w:ascii="Arial" w:hAnsi="Arial" w:cs="Arial"/>
          <w:sz w:val="20"/>
          <w:szCs w:val="20"/>
        </w:rPr>
        <w:t>(3), 11–16.</w:t>
      </w:r>
    </w:p>
    <w:p w14:paraId="01111CDC"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Jat, J. R., &amp; Mehra, R. K. (2007). Effect of sulphur and zinc on yield, macronutrient content in and uptake by mustard on Haplustepts. </w:t>
      </w:r>
      <w:r w:rsidRPr="004C3FFB">
        <w:rPr>
          <w:rFonts w:ascii="Arial" w:hAnsi="Arial" w:cs="Arial"/>
          <w:i/>
          <w:iCs/>
          <w:sz w:val="20"/>
          <w:szCs w:val="20"/>
          <w:lang w:val="en-GB"/>
        </w:rPr>
        <w:t>Journal of the Indian Society of Soil Science</w:t>
      </w:r>
      <w:r w:rsidRPr="004C3FFB">
        <w:rPr>
          <w:rFonts w:ascii="Arial" w:hAnsi="Arial" w:cs="Arial"/>
          <w:sz w:val="20"/>
          <w:szCs w:val="20"/>
          <w:lang w:val="en-GB"/>
        </w:rPr>
        <w:t xml:space="preserve">, </w:t>
      </w:r>
      <w:r w:rsidRPr="004C3FFB">
        <w:rPr>
          <w:rFonts w:ascii="Arial" w:hAnsi="Arial" w:cs="Arial"/>
          <w:b/>
          <w:bCs/>
          <w:sz w:val="20"/>
          <w:szCs w:val="20"/>
          <w:lang w:val="en-GB"/>
        </w:rPr>
        <w:t>55</w:t>
      </w:r>
      <w:r w:rsidRPr="004C3FFB">
        <w:rPr>
          <w:rFonts w:ascii="Arial" w:hAnsi="Arial" w:cs="Arial"/>
          <w:sz w:val="20"/>
          <w:szCs w:val="20"/>
          <w:lang w:val="en-GB"/>
        </w:rPr>
        <w:t>(2), 190–195.</w:t>
      </w:r>
    </w:p>
    <w:p w14:paraId="4F4CF120" w14:textId="490F4E7D"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Khan, S. A., Umesha, C., &amp; </w:t>
      </w:r>
      <w:proofErr w:type="spellStart"/>
      <w:r w:rsidRPr="00C02DE0">
        <w:rPr>
          <w:rFonts w:ascii="Arial" w:hAnsi="Arial" w:cs="Arial"/>
          <w:sz w:val="20"/>
          <w:szCs w:val="20"/>
        </w:rPr>
        <w:t>Karimunnisa</w:t>
      </w:r>
      <w:proofErr w:type="spellEnd"/>
      <w:r w:rsidRPr="00C02DE0">
        <w:rPr>
          <w:rFonts w:ascii="Arial" w:hAnsi="Arial" w:cs="Arial"/>
          <w:sz w:val="20"/>
          <w:szCs w:val="20"/>
        </w:rPr>
        <w:t xml:space="preserve">, S. K. (2021). 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levels on growth and yield of different varieties of sesame (</w:t>
      </w:r>
      <w:r w:rsidRPr="00C02DE0">
        <w:rPr>
          <w:rFonts w:ascii="Arial" w:hAnsi="Arial" w:cs="Arial"/>
          <w:i/>
          <w:iCs/>
          <w:sz w:val="20"/>
          <w:szCs w:val="20"/>
        </w:rPr>
        <w:t>Sesamum indicum</w:t>
      </w:r>
      <w:r w:rsidRPr="00C02DE0">
        <w:rPr>
          <w:rFonts w:ascii="Arial" w:hAnsi="Arial" w:cs="Arial"/>
          <w:sz w:val="20"/>
          <w:szCs w:val="20"/>
        </w:rPr>
        <w:t xml:space="preserve"> L.). </w:t>
      </w:r>
      <w:r w:rsidRPr="00C02DE0">
        <w:rPr>
          <w:rFonts w:ascii="Arial" w:hAnsi="Arial" w:cs="Arial"/>
          <w:i/>
          <w:iCs/>
          <w:sz w:val="20"/>
          <w:szCs w:val="20"/>
        </w:rPr>
        <w:t>Biological Forum – An International Journal</w:t>
      </w:r>
      <w:r w:rsidRPr="00C02DE0">
        <w:rPr>
          <w:rFonts w:ascii="Arial" w:hAnsi="Arial" w:cs="Arial"/>
          <w:sz w:val="20"/>
          <w:szCs w:val="20"/>
        </w:rPr>
        <w:t xml:space="preserve">, </w:t>
      </w:r>
      <w:r w:rsidRPr="00C02DE0">
        <w:rPr>
          <w:rFonts w:ascii="Arial" w:hAnsi="Arial" w:cs="Arial"/>
          <w:b/>
          <w:bCs/>
          <w:sz w:val="20"/>
          <w:szCs w:val="20"/>
        </w:rPr>
        <w:t>13</w:t>
      </w:r>
      <w:r w:rsidRPr="00C02DE0">
        <w:rPr>
          <w:rFonts w:ascii="Arial" w:hAnsi="Arial" w:cs="Arial"/>
          <w:sz w:val="20"/>
          <w:szCs w:val="20"/>
        </w:rPr>
        <w:t>(3), 155–158.</w:t>
      </w:r>
    </w:p>
    <w:p w14:paraId="088CDCE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Kumar, U., Kumar, S., Kumar, N., Yadav, R., Pandey, P., Kumar, S., &amp; Maurya, A. (2023). Response of graded fertility levels and zinc application method with and without farm yard manure on physicochemical and biological properties of soil under rice crop. </w:t>
      </w:r>
      <w:r w:rsidRPr="004C3FFB">
        <w:rPr>
          <w:rFonts w:ascii="Arial" w:hAnsi="Arial" w:cs="Arial"/>
          <w:i/>
          <w:iCs/>
          <w:sz w:val="20"/>
          <w:szCs w:val="20"/>
          <w:lang w:val="en-GB"/>
        </w:rPr>
        <w:t>International Journal of Plant &amp; Soil Science</w:t>
      </w:r>
      <w:r w:rsidRPr="004C3FFB">
        <w:rPr>
          <w:rFonts w:ascii="Arial" w:hAnsi="Arial" w:cs="Arial"/>
          <w:sz w:val="20"/>
          <w:szCs w:val="20"/>
          <w:lang w:val="en-GB"/>
        </w:rPr>
        <w:t xml:space="preserve">, </w:t>
      </w:r>
      <w:r w:rsidRPr="004C3FFB">
        <w:rPr>
          <w:rFonts w:ascii="Arial" w:hAnsi="Arial" w:cs="Arial"/>
          <w:b/>
          <w:bCs/>
          <w:sz w:val="20"/>
          <w:szCs w:val="20"/>
          <w:lang w:val="en-GB"/>
        </w:rPr>
        <w:t>35</w:t>
      </w:r>
      <w:r w:rsidRPr="004C3FFB">
        <w:rPr>
          <w:rFonts w:ascii="Arial" w:hAnsi="Arial" w:cs="Arial"/>
          <w:sz w:val="20"/>
          <w:szCs w:val="20"/>
          <w:lang w:val="en-GB"/>
        </w:rPr>
        <w:t>(20), 1113–1123.</w:t>
      </w:r>
    </w:p>
    <w:p w14:paraId="1F022349" w14:textId="77777777" w:rsidR="004731CE" w:rsidRPr="004C3FFB" w:rsidRDefault="004731CE" w:rsidP="00EC55E3">
      <w:pPr>
        <w:jc w:val="both"/>
        <w:rPr>
          <w:rFonts w:ascii="Arial" w:hAnsi="Arial" w:cs="Arial"/>
          <w:sz w:val="20"/>
          <w:szCs w:val="20"/>
          <w:lang w:val="en-GB"/>
        </w:rPr>
      </w:pP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M. A. (2019). </w:t>
      </w:r>
      <w:r w:rsidRPr="004C3FFB">
        <w:rPr>
          <w:rFonts w:ascii="Arial" w:hAnsi="Arial" w:cs="Arial"/>
          <w:i/>
          <w:iCs/>
          <w:sz w:val="20"/>
          <w:szCs w:val="20"/>
          <w:lang w:val="en-GB"/>
        </w:rPr>
        <w:t>Influence of graded fertilizer levels and zinc on growth, nutrient uptake, yield and quality of sesame (Sesamum indicum L.) in Inceptisol</w:t>
      </w:r>
      <w:r w:rsidRPr="004C3FFB">
        <w:rPr>
          <w:rFonts w:ascii="Arial" w:hAnsi="Arial" w:cs="Arial"/>
          <w:sz w:val="20"/>
          <w:szCs w:val="20"/>
          <w:lang w:val="en-GB"/>
        </w:rPr>
        <w:t xml:space="preserve"> (M.Sc. Thesis). </w:t>
      </w:r>
      <w:proofErr w:type="spellStart"/>
      <w:r w:rsidRPr="004C3FFB">
        <w:rPr>
          <w:rFonts w:ascii="Arial" w:hAnsi="Arial" w:cs="Arial"/>
          <w:sz w:val="20"/>
          <w:szCs w:val="20"/>
          <w:lang w:val="en-GB"/>
        </w:rPr>
        <w:t>Vasantrao</w:t>
      </w:r>
      <w:proofErr w:type="spellEnd"/>
      <w:r w:rsidRPr="004C3FFB">
        <w:rPr>
          <w:rFonts w:ascii="Arial" w:hAnsi="Arial" w:cs="Arial"/>
          <w:sz w:val="20"/>
          <w:szCs w:val="20"/>
          <w:lang w:val="en-GB"/>
        </w:rPr>
        <w:t xml:space="preserve"> Naik Marathwada Krishi Vidyapeeth.</w:t>
      </w:r>
    </w:p>
    <w:p w14:paraId="30106ACA"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Lindsay, W. L., &amp; Norvell, W. A. (1978). Development of a DTPA soil test for zinc, iron, manganese, and copper. </w:t>
      </w:r>
      <w:r w:rsidRPr="004C3FFB">
        <w:rPr>
          <w:rFonts w:ascii="Arial" w:hAnsi="Arial" w:cs="Arial"/>
          <w:i/>
          <w:iCs/>
          <w:sz w:val="20"/>
          <w:szCs w:val="20"/>
          <w:lang w:val="en-GB"/>
        </w:rPr>
        <w:t>Soil Science Society of America Journal</w:t>
      </w:r>
      <w:r w:rsidRPr="004C3FFB">
        <w:rPr>
          <w:rFonts w:ascii="Arial" w:hAnsi="Arial" w:cs="Arial"/>
          <w:sz w:val="20"/>
          <w:szCs w:val="20"/>
          <w:lang w:val="en-GB"/>
        </w:rPr>
        <w:t xml:space="preserve">, </w:t>
      </w:r>
      <w:r w:rsidRPr="004C3FFB">
        <w:rPr>
          <w:rFonts w:ascii="Arial" w:hAnsi="Arial" w:cs="Arial"/>
          <w:b/>
          <w:bCs/>
          <w:sz w:val="20"/>
          <w:szCs w:val="20"/>
          <w:lang w:val="en-GB"/>
        </w:rPr>
        <w:t>42</w:t>
      </w:r>
      <w:r w:rsidRPr="004C3FFB">
        <w:rPr>
          <w:rFonts w:ascii="Arial" w:hAnsi="Arial" w:cs="Arial"/>
          <w:sz w:val="20"/>
          <w:szCs w:val="20"/>
          <w:lang w:val="en-GB"/>
        </w:rPr>
        <w:t>(3), 421–428.</w:t>
      </w:r>
    </w:p>
    <w:p w14:paraId="7B036843" w14:textId="77777777" w:rsidR="00C02DE0" w:rsidRPr="00C02DE0" w:rsidRDefault="00C02DE0" w:rsidP="00C02DE0">
      <w:pPr>
        <w:jc w:val="both"/>
        <w:rPr>
          <w:rFonts w:ascii="Arial" w:hAnsi="Arial" w:cs="Arial"/>
          <w:sz w:val="20"/>
          <w:szCs w:val="20"/>
          <w:lang w:val="en-GB"/>
        </w:rPr>
      </w:pPr>
      <w:r w:rsidRPr="00C02DE0">
        <w:rPr>
          <w:rFonts w:ascii="Arial" w:hAnsi="Arial" w:cs="Arial"/>
          <w:sz w:val="20"/>
          <w:szCs w:val="20"/>
          <w:lang w:val="en-GB"/>
        </w:rPr>
        <w:t>Mamatha, K., Sagar, G. C. V., Narayana, P. L., &amp; Padmaja, G. (2017). Effect of sulphur fertilization in combination with farmyard manure on sesame (</w:t>
      </w:r>
      <w:r w:rsidRPr="00C02DE0">
        <w:rPr>
          <w:rFonts w:ascii="Arial" w:hAnsi="Arial" w:cs="Arial"/>
          <w:i/>
          <w:iCs/>
          <w:sz w:val="20"/>
          <w:szCs w:val="20"/>
          <w:lang w:val="en-GB"/>
        </w:rPr>
        <w:t>Sesamum indicum</w:t>
      </w:r>
      <w:r w:rsidRPr="00C02DE0">
        <w:rPr>
          <w:rFonts w:ascii="Arial" w:hAnsi="Arial" w:cs="Arial"/>
          <w:sz w:val="20"/>
          <w:szCs w:val="20"/>
          <w:lang w:val="en-GB"/>
        </w:rPr>
        <w:t xml:space="preserve"> L.). </w:t>
      </w:r>
      <w:r w:rsidRPr="00C02DE0">
        <w:rPr>
          <w:rFonts w:ascii="Arial" w:hAnsi="Arial" w:cs="Arial"/>
          <w:i/>
          <w:iCs/>
          <w:sz w:val="20"/>
          <w:szCs w:val="20"/>
          <w:lang w:val="en-GB"/>
        </w:rPr>
        <w:t>International Journal of Current Microbiology and Applied Sciences</w:t>
      </w:r>
      <w:r w:rsidRPr="00C02DE0">
        <w:rPr>
          <w:rFonts w:ascii="Arial" w:hAnsi="Arial" w:cs="Arial"/>
          <w:sz w:val="20"/>
          <w:szCs w:val="20"/>
          <w:lang w:val="en-GB"/>
        </w:rPr>
        <w:t xml:space="preserve">, </w:t>
      </w:r>
      <w:r w:rsidRPr="00C02DE0">
        <w:rPr>
          <w:rFonts w:ascii="Arial" w:hAnsi="Arial" w:cs="Arial"/>
          <w:b/>
          <w:bCs/>
          <w:sz w:val="20"/>
          <w:szCs w:val="20"/>
          <w:lang w:val="en-GB"/>
        </w:rPr>
        <w:t>6</w:t>
      </w:r>
      <w:r w:rsidRPr="00C02DE0">
        <w:rPr>
          <w:rFonts w:ascii="Arial" w:hAnsi="Arial" w:cs="Arial"/>
          <w:sz w:val="20"/>
          <w:szCs w:val="20"/>
          <w:lang w:val="en-GB"/>
        </w:rPr>
        <w:t>(9), 3679–3684.</w:t>
      </w:r>
    </w:p>
    <w:p w14:paraId="1599BE3D" w14:textId="505C7007" w:rsidR="00C02DE0" w:rsidRPr="004C3FFB" w:rsidRDefault="00C02DE0" w:rsidP="00EC55E3">
      <w:pPr>
        <w:jc w:val="both"/>
        <w:rPr>
          <w:rFonts w:ascii="Arial" w:hAnsi="Arial" w:cs="Arial"/>
          <w:sz w:val="20"/>
          <w:szCs w:val="20"/>
          <w:lang w:val="en-GB"/>
        </w:rPr>
      </w:pPr>
      <w:r w:rsidRPr="00C02DE0">
        <w:rPr>
          <w:rFonts w:ascii="Arial" w:hAnsi="Arial" w:cs="Arial"/>
          <w:sz w:val="20"/>
          <w:szCs w:val="20"/>
          <w:lang w:val="en-GB"/>
        </w:rPr>
        <w:t>Murmu, S., Murmu, K., &amp; Satapathy, M. (2015). Effect of sulphur fertilization on growth, yield and quality of sesame (</w:t>
      </w:r>
      <w:r w:rsidRPr="00C02DE0">
        <w:rPr>
          <w:rFonts w:ascii="Arial" w:hAnsi="Arial" w:cs="Arial"/>
          <w:i/>
          <w:iCs/>
          <w:sz w:val="20"/>
          <w:szCs w:val="20"/>
          <w:lang w:val="en-GB"/>
        </w:rPr>
        <w:t>Sesamum indicum</w:t>
      </w:r>
      <w:r w:rsidRPr="00C02DE0">
        <w:rPr>
          <w:rFonts w:ascii="Arial" w:hAnsi="Arial" w:cs="Arial"/>
          <w:sz w:val="20"/>
          <w:szCs w:val="20"/>
          <w:lang w:val="en-GB"/>
        </w:rPr>
        <w:t xml:space="preserve"> L.) in mid central zone of Odisha. </w:t>
      </w:r>
      <w:r w:rsidRPr="00C02DE0">
        <w:rPr>
          <w:rFonts w:ascii="Arial" w:hAnsi="Arial" w:cs="Arial"/>
          <w:i/>
          <w:iCs/>
          <w:sz w:val="20"/>
          <w:szCs w:val="20"/>
          <w:lang w:val="en-GB"/>
        </w:rPr>
        <w:t>International Journal of Bio-resource and Environment Agricultural Sciences</w:t>
      </w:r>
      <w:r w:rsidRPr="00C02DE0">
        <w:rPr>
          <w:rFonts w:ascii="Arial" w:hAnsi="Arial" w:cs="Arial"/>
          <w:sz w:val="20"/>
          <w:szCs w:val="20"/>
          <w:lang w:val="en-GB"/>
        </w:rPr>
        <w:t xml:space="preserve">, </w:t>
      </w:r>
      <w:r w:rsidRPr="00C02DE0">
        <w:rPr>
          <w:rFonts w:ascii="Arial" w:hAnsi="Arial" w:cs="Arial"/>
          <w:b/>
          <w:bCs/>
          <w:sz w:val="20"/>
          <w:szCs w:val="20"/>
          <w:lang w:val="en-GB"/>
        </w:rPr>
        <w:t>1</w:t>
      </w:r>
      <w:r w:rsidRPr="00C02DE0">
        <w:rPr>
          <w:rFonts w:ascii="Arial" w:hAnsi="Arial" w:cs="Arial"/>
          <w:sz w:val="20"/>
          <w:szCs w:val="20"/>
          <w:lang w:val="en-GB"/>
        </w:rPr>
        <w:t>(1), 5–12.</w:t>
      </w:r>
    </w:p>
    <w:p w14:paraId="00DD8713"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Olsen, S. R., Cole, C. V., Watanabe, F. S., &amp; Dean, L. A. (1954). Estimation of available phosphorous in soil by extraction with sodium bicarbonate. </w:t>
      </w:r>
      <w:r w:rsidRPr="004C3FFB">
        <w:rPr>
          <w:rFonts w:ascii="Arial" w:hAnsi="Arial" w:cs="Arial"/>
          <w:i/>
          <w:iCs/>
          <w:sz w:val="20"/>
          <w:szCs w:val="20"/>
          <w:lang w:val="en-GB"/>
        </w:rPr>
        <w:t>USDA Circular</w:t>
      </w:r>
      <w:r w:rsidRPr="004C3FFB">
        <w:rPr>
          <w:rFonts w:ascii="Arial" w:hAnsi="Arial" w:cs="Arial"/>
          <w:sz w:val="20"/>
          <w:szCs w:val="20"/>
          <w:lang w:val="en-GB"/>
        </w:rPr>
        <w:t xml:space="preserve">, </w:t>
      </w:r>
      <w:r w:rsidRPr="004C3FFB">
        <w:rPr>
          <w:rFonts w:ascii="Arial" w:hAnsi="Arial" w:cs="Arial"/>
          <w:b/>
          <w:bCs/>
          <w:sz w:val="20"/>
          <w:szCs w:val="20"/>
          <w:lang w:val="en-GB"/>
        </w:rPr>
        <w:t>939</w:t>
      </w:r>
      <w:r w:rsidRPr="004C3FFB">
        <w:rPr>
          <w:rFonts w:ascii="Arial" w:hAnsi="Arial" w:cs="Arial"/>
          <w:sz w:val="20"/>
          <w:szCs w:val="20"/>
          <w:lang w:val="en-GB"/>
        </w:rPr>
        <w:t>, 1–18.</w:t>
      </w:r>
    </w:p>
    <w:p w14:paraId="67679592" w14:textId="4FBC106E" w:rsidR="00C02DE0" w:rsidRPr="004C3FFB" w:rsidRDefault="00C02DE0" w:rsidP="00EC55E3">
      <w:pPr>
        <w:jc w:val="both"/>
        <w:rPr>
          <w:rFonts w:ascii="Arial" w:hAnsi="Arial" w:cs="Arial"/>
          <w:sz w:val="20"/>
          <w:szCs w:val="20"/>
          <w:lang w:val="en-GB"/>
        </w:rPr>
      </w:pPr>
      <w:r w:rsidRPr="00C02DE0">
        <w:rPr>
          <w:rFonts w:ascii="Arial" w:hAnsi="Arial" w:cs="Arial"/>
          <w:sz w:val="20"/>
          <w:szCs w:val="20"/>
          <w:lang w:val="it-IT"/>
        </w:rPr>
        <w:t xml:space="preserve">Paul, S. K., Khatun, M. M., &amp; Sarkar, M. A. R. (2019). </w:t>
      </w:r>
      <w:r w:rsidRPr="00C02DE0">
        <w:rPr>
          <w:rFonts w:ascii="Arial" w:hAnsi="Arial" w:cs="Arial"/>
          <w:sz w:val="20"/>
          <w:szCs w:val="20"/>
        </w:rPr>
        <w:t xml:space="preserve">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on the seed yield and oil content of sesame (</w:t>
      </w:r>
      <w:r w:rsidRPr="00C02DE0">
        <w:rPr>
          <w:rFonts w:ascii="Arial" w:hAnsi="Arial" w:cs="Arial"/>
          <w:i/>
          <w:iCs/>
          <w:sz w:val="20"/>
          <w:szCs w:val="20"/>
        </w:rPr>
        <w:t>Sesamum indicum</w:t>
      </w:r>
      <w:r w:rsidRPr="00C02DE0">
        <w:rPr>
          <w:rFonts w:ascii="Arial" w:hAnsi="Arial" w:cs="Arial"/>
          <w:sz w:val="20"/>
          <w:szCs w:val="20"/>
        </w:rPr>
        <w:t xml:space="preserve"> L.). </w:t>
      </w:r>
      <w:r w:rsidRPr="00C02DE0">
        <w:rPr>
          <w:rFonts w:ascii="Arial" w:hAnsi="Arial" w:cs="Arial"/>
          <w:i/>
          <w:iCs/>
          <w:sz w:val="20"/>
          <w:szCs w:val="20"/>
        </w:rPr>
        <w:t>Journal of the Bangladesh Agricultural University</w:t>
      </w:r>
      <w:r w:rsidRPr="00C02DE0">
        <w:rPr>
          <w:rFonts w:ascii="Arial" w:hAnsi="Arial" w:cs="Arial"/>
          <w:sz w:val="20"/>
          <w:szCs w:val="20"/>
        </w:rPr>
        <w:t xml:space="preserve">, </w:t>
      </w:r>
      <w:r w:rsidRPr="00C02DE0">
        <w:rPr>
          <w:rFonts w:ascii="Arial" w:hAnsi="Arial" w:cs="Arial"/>
          <w:b/>
          <w:bCs/>
          <w:sz w:val="20"/>
          <w:szCs w:val="20"/>
        </w:rPr>
        <w:t>17</w:t>
      </w:r>
      <w:r w:rsidRPr="00C02DE0">
        <w:rPr>
          <w:rFonts w:ascii="Arial" w:hAnsi="Arial" w:cs="Arial"/>
          <w:sz w:val="20"/>
          <w:szCs w:val="20"/>
        </w:rPr>
        <w:t>(1), 33–38.</w:t>
      </w:r>
    </w:p>
    <w:p w14:paraId="4D93A683"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Piper, C. S. (1966). </w:t>
      </w:r>
      <w:r w:rsidRPr="004C3FFB">
        <w:rPr>
          <w:rFonts w:ascii="Arial" w:hAnsi="Arial" w:cs="Arial"/>
          <w:i/>
          <w:iCs/>
          <w:sz w:val="20"/>
          <w:szCs w:val="20"/>
          <w:lang w:val="en-GB"/>
        </w:rPr>
        <w:t>Soil and Plant Analysis</w:t>
      </w:r>
      <w:r w:rsidRPr="004C3FFB">
        <w:rPr>
          <w:rFonts w:ascii="Arial" w:hAnsi="Arial" w:cs="Arial"/>
          <w:sz w:val="20"/>
          <w:szCs w:val="20"/>
          <w:lang w:val="en-GB"/>
        </w:rPr>
        <w:t>. Hans Publishers.</w:t>
      </w:r>
    </w:p>
    <w:p w14:paraId="1BB54650" w14:textId="0025CF40"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Pravalika, K., &amp; Dawson, J. (2023). Effect of basal application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and foliar application of micronutrients on growth and yield of summer sesame. </w:t>
      </w:r>
      <w:r w:rsidRPr="00C02DE0">
        <w:rPr>
          <w:rFonts w:ascii="Arial" w:hAnsi="Arial" w:cs="Arial"/>
          <w:i/>
          <w:iCs/>
          <w:sz w:val="20"/>
          <w:szCs w:val="20"/>
        </w:rPr>
        <w:t>International Journal of Environment and Climate Change</w:t>
      </w:r>
      <w:r w:rsidRPr="00C02DE0">
        <w:rPr>
          <w:rFonts w:ascii="Arial" w:hAnsi="Arial" w:cs="Arial"/>
          <w:sz w:val="20"/>
          <w:szCs w:val="20"/>
        </w:rPr>
        <w:t xml:space="preserve">, </w:t>
      </w:r>
      <w:r w:rsidRPr="00C02DE0">
        <w:rPr>
          <w:rFonts w:ascii="Arial" w:hAnsi="Arial" w:cs="Arial"/>
          <w:b/>
          <w:bCs/>
          <w:sz w:val="20"/>
          <w:szCs w:val="20"/>
        </w:rPr>
        <w:t>13</w:t>
      </w:r>
      <w:r w:rsidRPr="00C02DE0">
        <w:rPr>
          <w:rFonts w:ascii="Arial" w:hAnsi="Arial" w:cs="Arial"/>
          <w:sz w:val="20"/>
          <w:szCs w:val="20"/>
        </w:rPr>
        <w:t>(5), 11–16.</w:t>
      </w:r>
    </w:p>
    <w:p w14:paraId="3467DBCA"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Ram, A., Kumar, D., Babu, S., Prasad, D., &amp; Dev, I. (2017). Effect of sulphur on soil biological properties, residual fertility and yield of aerobic rice grown under aerobic rice–wheat cropping system in Inceptisols. </w:t>
      </w:r>
      <w:r w:rsidRPr="004C3FFB">
        <w:rPr>
          <w:rFonts w:ascii="Arial" w:hAnsi="Arial" w:cs="Arial"/>
          <w:i/>
          <w:iCs/>
          <w:sz w:val="20"/>
          <w:szCs w:val="20"/>
          <w:lang w:val="en-GB"/>
        </w:rPr>
        <w:t>Journal of Environmental Biology</w:t>
      </w:r>
      <w:r w:rsidRPr="004C3FFB">
        <w:rPr>
          <w:rFonts w:ascii="Arial" w:hAnsi="Arial" w:cs="Arial"/>
          <w:sz w:val="20"/>
          <w:szCs w:val="20"/>
          <w:lang w:val="en-GB"/>
        </w:rPr>
        <w:t xml:space="preserve">, </w:t>
      </w:r>
      <w:r w:rsidRPr="004C3FFB">
        <w:rPr>
          <w:rFonts w:ascii="Arial" w:hAnsi="Arial" w:cs="Arial"/>
          <w:b/>
          <w:bCs/>
          <w:sz w:val="20"/>
          <w:szCs w:val="20"/>
          <w:lang w:val="en-GB"/>
        </w:rPr>
        <w:t>38</w:t>
      </w:r>
      <w:r w:rsidRPr="004C3FFB">
        <w:rPr>
          <w:rFonts w:ascii="Arial" w:hAnsi="Arial" w:cs="Arial"/>
          <w:sz w:val="20"/>
          <w:szCs w:val="20"/>
          <w:lang w:val="en-GB"/>
        </w:rPr>
        <w:t>(4), 587–592.</w:t>
      </w:r>
    </w:p>
    <w:p w14:paraId="0F679E6A"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lastRenderedPageBreak/>
        <w:t xml:space="preserve">Rana, P., </w:t>
      </w:r>
      <w:proofErr w:type="spellStart"/>
      <w:r w:rsidRPr="004C3FFB">
        <w:rPr>
          <w:rFonts w:ascii="Arial" w:hAnsi="Arial" w:cs="Arial"/>
          <w:sz w:val="20"/>
          <w:szCs w:val="20"/>
          <w:lang w:val="en-GB"/>
        </w:rPr>
        <w:t>Sirothia</w:t>
      </w:r>
      <w:proofErr w:type="spellEnd"/>
      <w:r w:rsidRPr="004C3FFB">
        <w:rPr>
          <w:rFonts w:ascii="Arial" w:hAnsi="Arial" w:cs="Arial"/>
          <w:sz w:val="20"/>
          <w:szCs w:val="20"/>
          <w:lang w:val="en-GB"/>
        </w:rPr>
        <w:t>, P., &amp; Yadav, B. S. (2018). Effect of sulphur and zinc on yield and uptake of nutrients by mustard (</w:t>
      </w:r>
      <w:r w:rsidRPr="004C3FFB">
        <w:rPr>
          <w:rFonts w:ascii="Arial" w:hAnsi="Arial" w:cs="Arial"/>
          <w:i/>
          <w:iCs/>
          <w:sz w:val="20"/>
          <w:szCs w:val="20"/>
          <w:lang w:val="en-GB"/>
        </w:rPr>
        <w:t>Brassica</w:t>
      </w:r>
      <w:r w:rsidRPr="004C3FFB">
        <w:rPr>
          <w:rFonts w:ascii="Arial" w:hAnsi="Arial" w:cs="Arial"/>
          <w:sz w:val="20"/>
          <w:szCs w:val="20"/>
          <w:lang w:val="en-GB"/>
        </w:rPr>
        <w:t xml:space="preserve"> spp. L.) under rainfed condition. </w:t>
      </w:r>
      <w:r w:rsidRPr="004C3FFB">
        <w:rPr>
          <w:rFonts w:ascii="Arial" w:hAnsi="Arial" w:cs="Arial"/>
          <w:i/>
          <w:iCs/>
          <w:sz w:val="20"/>
          <w:szCs w:val="20"/>
          <w:lang w:val="en-GB"/>
        </w:rPr>
        <w:t>International Journal of Chemical Studies</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(6), 871–874.</w:t>
      </w:r>
    </w:p>
    <w:p w14:paraId="15350DA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Sahu, G., Chatterjee, N., &amp; Ghosh, G. K. (2017). Effect of integrated nutrient management on yield, growth attributes and microbial population of 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w:t>
      </w:r>
      <w:r w:rsidRPr="004C3FFB">
        <w:rPr>
          <w:rFonts w:ascii="Arial" w:hAnsi="Arial" w:cs="Arial"/>
          <w:i/>
          <w:iCs/>
          <w:sz w:val="20"/>
          <w:szCs w:val="20"/>
          <w:lang w:val="en-GB"/>
        </w:rPr>
        <w:t>International Journal of Current Microbiology and Applied Sciences</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(7), 462–468.</w:t>
      </w:r>
    </w:p>
    <w:p w14:paraId="2F5A25B3"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A. K., Meena, M. K., &amp; Upadhyaya, A. (2012). Effect of sulphur and zinc on rice performance and nutrient dynamics in plants and soil of Indo Gangetic plains. </w:t>
      </w:r>
      <w:r w:rsidRPr="004C3FFB">
        <w:rPr>
          <w:rFonts w:ascii="Arial" w:hAnsi="Arial" w:cs="Arial"/>
          <w:i/>
          <w:iCs/>
          <w:sz w:val="20"/>
          <w:szCs w:val="20"/>
          <w:lang w:val="en-GB"/>
        </w:rPr>
        <w:t>Journal of Agricultural Science</w:t>
      </w:r>
      <w:r w:rsidRPr="004C3FFB">
        <w:rPr>
          <w:rFonts w:ascii="Arial" w:hAnsi="Arial" w:cs="Arial"/>
          <w:sz w:val="20"/>
          <w:szCs w:val="20"/>
          <w:lang w:val="en-GB"/>
        </w:rPr>
        <w:t xml:space="preserve">, </w:t>
      </w:r>
      <w:r w:rsidRPr="004C3FFB">
        <w:rPr>
          <w:rFonts w:ascii="Arial" w:hAnsi="Arial" w:cs="Arial"/>
          <w:b/>
          <w:bCs/>
          <w:sz w:val="20"/>
          <w:szCs w:val="20"/>
          <w:lang w:val="en-GB"/>
        </w:rPr>
        <w:t>4</w:t>
      </w:r>
      <w:r w:rsidRPr="004C3FFB">
        <w:rPr>
          <w:rFonts w:ascii="Arial" w:hAnsi="Arial" w:cs="Arial"/>
          <w:sz w:val="20"/>
          <w:szCs w:val="20"/>
          <w:lang w:val="en-GB"/>
        </w:rPr>
        <w:t>(11), 162–170.</w:t>
      </w:r>
    </w:p>
    <w:p w14:paraId="30650FEE"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Singh, A. K., Meena, M. K., Bharati, R. C., &amp; Gade, R. M. (2013a). Effect of sulphur and zinc management on yield, nutrient uptake, changes in soil fertility and economics in rice (</w:t>
      </w:r>
      <w:r w:rsidRPr="004C3FFB">
        <w:rPr>
          <w:rFonts w:ascii="Arial" w:hAnsi="Arial" w:cs="Arial"/>
          <w:i/>
          <w:iCs/>
          <w:sz w:val="20"/>
          <w:szCs w:val="20"/>
          <w:lang w:val="en-GB"/>
        </w:rPr>
        <w:t>Oryza sativa</w:t>
      </w:r>
      <w:r w:rsidRPr="004C3FFB">
        <w:rPr>
          <w:rFonts w:ascii="Arial" w:hAnsi="Arial" w:cs="Arial"/>
          <w:sz w:val="20"/>
          <w:szCs w:val="20"/>
          <w:lang w:val="en-GB"/>
        </w:rPr>
        <w:t>)–lentil (</w:t>
      </w:r>
      <w:r w:rsidRPr="004C3FFB">
        <w:rPr>
          <w:rFonts w:ascii="Arial" w:hAnsi="Arial" w:cs="Arial"/>
          <w:i/>
          <w:iCs/>
          <w:sz w:val="20"/>
          <w:szCs w:val="20"/>
          <w:lang w:val="en-GB"/>
        </w:rPr>
        <w:t>Lens culinaris</w:t>
      </w:r>
      <w:r w:rsidRPr="004C3FFB">
        <w:rPr>
          <w:rFonts w:ascii="Arial" w:hAnsi="Arial" w:cs="Arial"/>
          <w:sz w:val="20"/>
          <w:szCs w:val="20"/>
          <w:lang w:val="en-GB"/>
        </w:rPr>
        <w:t xml:space="preserve">) cropping system. </w:t>
      </w:r>
      <w:r w:rsidRPr="004C3FFB">
        <w:rPr>
          <w:rFonts w:ascii="Arial" w:hAnsi="Arial" w:cs="Arial"/>
          <w:i/>
          <w:iCs/>
          <w:sz w:val="20"/>
          <w:szCs w:val="20"/>
          <w:lang w:val="en-GB"/>
        </w:rPr>
        <w:t>Indian Journal of Agricultural Sciences</w:t>
      </w:r>
      <w:r w:rsidRPr="004C3FFB">
        <w:rPr>
          <w:rFonts w:ascii="Arial" w:hAnsi="Arial" w:cs="Arial"/>
          <w:sz w:val="20"/>
          <w:szCs w:val="20"/>
          <w:lang w:val="en-GB"/>
        </w:rPr>
        <w:t xml:space="preserve">, </w:t>
      </w:r>
      <w:r w:rsidRPr="004C3FFB">
        <w:rPr>
          <w:rFonts w:ascii="Arial" w:hAnsi="Arial" w:cs="Arial"/>
          <w:b/>
          <w:bCs/>
          <w:sz w:val="20"/>
          <w:szCs w:val="20"/>
          <w:lang w:val="en-GB"/>
        </w:rPr>
        <w:t>83</w:t>
      </w:r>
      <w:r w:rsidRPr="004C3FFB">
        <w:rPr>
          <w:rFonts w:ascii="Arial" w:hAnsi="Arial" w:cs="Arial"/>
          <w:sz w:val="20"/>
          <w:szCs w:val="20"/>
          <w:lang w:val="en-GB"/>
        </w:rPr>
        <w:t>(3), 344–348.</w:t>
      </w:r>
    </w:p>
    <w:p w14:paraId="3020F76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B., Sharma, Y., Babel, A. L., &amp; </w:t>
      </w:r>
      <w:proofErr w:type="spellStart"/>
      <w:r w:rsidRPr="004C3FFB">
        <w:rPr>
          <w:rFonts w:ascii="Arial" w:hAnsi="Arial" w:cs="Arial"/>
          <w:sz w:val="20"/>
          <w:szCs w:val="20"/>
          <w:lang w:val="en-GB"/>
        </w:rPr>
        <w:t>Kameriya</w:t>
      </w:r>
      <w:proofErr w:type="spellEnd"/>
      <w:r w:rsidRPr="004C3FFB">
        <w:rPr>
          <w:rFonts w:ascii="Arial" w:hAnsi="Arial" w:cs="Arial"/>
          <w:sz w:val="20"/>
          <w:szCs w:val="20"/>
          <w:lang w:val="en-GB"/>
        </w:rPr>
        <w:t xml:space="preserve">, P. R. (2013b). Effect of sulphur and zinc on yield and uptake by mustard. </w:t>
      </w:r>
      <w:r w:rsidRPr="004C3FFB">
        <w:rPr>
          <w:rFonts w:ascii="Arial" w:hAnsi="Arial" w:cs="Arial"/>
          <w:i/>
          <w:iCs/>
          <w:sz w:val="20"/>
          <w:szCs w:val="20"/>
          <w:lang w:val="en-GB"/>
        </w:rPr>
        <w:t>Journal of the Indian Society of Soil Science</w:t>
      </w:r>
      <w:r w:rsidRPr="004C3FFB">
        <w:rPr>
          <w:rFonts w:ascii="Arial" w:hAnsi="Arial" w:cs="Arial"/>
          <w:sz w:val="20"/>
          <w:szCs w:val="20"/>
          <w:lang w:val="en-GB"/>
        </w:rPr>
        <w:t xml:space="preserve">, </w:t>
      </w:r>
      <w:r w:rsidRPr="004C3FFB">
        <w:rPr>
          <w:rFonts w:ascii="Arial" w:hAnsi="Arial" w:cs="Arial"/>
          <w:b/>
          <w:bCs/>
          <w:sz w:val="20"/>
          <w:szCs w:val="20"/>
          <w:lang w:val="en-GB"/>
        </w:rPr>
        <w:t>61</w:t>
      </w:r>
      <w:r w:rsidRPr="004C3FFB">
        <w:rPr>
          <w:rFonts w:ascii="Arial" w:hAnsi="Arial" w:cs="Arial"/>
          <w:sz w:val="20"/>
          <w:szCs w:val="20"/>
          <w:lang w:val="en-GB"/>
        </w:rPr>
        <w:t>(1), 59–62.</w:t>
      </w:r>
    </w:p>
    <w:p w14:paraId="7BBEF683"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K., Dwivedi, A., Kumar, P., &amp; </w:t>
      </w:r>
      <w:proofErr w:type="spellStart"/>
      <w:r w:rsidRPr="004C3FFB">
        <w:rPr>
          <w:rFonts w:ascii="Arial" w:hAnsi="Arial" w:cs="Arial"/>
          <w:sz w:val="20"/>
          <w:szCs w:val="20"/>
          <w:lang w:val="en-GB"/>
        </w:rPr>
        <w:t>Sarsaiya</w:t>
      </w:r>
      <w:proofErr w:type="spellEnd"/>
      <w:r w:rsidRPr="004C3FFB">
        <w:rPr>
          <w:rFonts w:ascii="Arial" w:hAnsi="Arial" w:cs="Arial"/>
          <w:sz w:val="20"/>
          <w:szCs w:val="20"/>
          <w:lang w:val="en-GB"/>
        </w:rPr>
        <w:t>, V. (2022). Effect of sulphur and zinc levels on performance and factor productivity of Indian mustard (</w:t>
      </w:r>
      <w:r w:rsidRPr="004C3FFB">
        <w:rPr>
          <w:rFonts w:ascii="Arial" w:hAnsi="Arial" w:cs="Arial"/>
          <w:i/>
          <w:iCs/>
          <w:sz w:val="20"/>
          <w:szCs w:val="20"/>
          <w:lang w:val="en-GB"/>
        </w:rPr>
        <w:t>Brassica juncea</w:t>
      </w:r>
      <w:r w:rsidRPr="004C3FFB">
        <w:rPr>
          <w:rFonts w:ascii="Arial" w:hAnsi="Arial" w:cs="Arial"/>
          <w:sz w:val="20"/>
          <w:szCs w:val="20"/>
          <w:lang w:val="en-GB"/>
        </w:rPr>
        <w:t xml:space="preserve"> L.) </w:t>
      </w:r>
      <w:proofErr w:type="spellStart"/>
      <w:r w:rsidRPr="004C3FFB">
        <w:rPr>
          <w:rFonts w:ascii="Arial" w:hAnsi="Arial" w:cs="Arial"/>
          <w:sz w:val="20"/>
          <w:szCs w:val="20"/>
          <w:lang w:val="en-GB"/>
        </w:rPr>
        <w:t>Czern</w:t>
      </w:r>
      <w:proofErr w:type="spellEnd"/>
      <w:r w:rsidRPr="004C3FFB">
        <w:rPr>
          <w:rFonts w:ascii="Arial" w:hAnsi="Arial" w:cs="Arial"/>
          <w:sz w:val="20"/>
          <w:szCs w:val="20"/>
          <w:lang w:val="en-GB"/>
        </w:rPr>
        <w:t xml:space="preserve"> and Cosson in Malwa region. </w:t>
      </w:r>
      <w:r w:rsidRPr="004C3FFB">
        <w:rPr>
          <w:rFonts w:ascii="Arial" w:hAnsi="Arial" w:cs="Arial"/>
          <w:i/>
          <w:iCs/>
          <w:sz w:val="20"/>
          <w:szCs w:val="20"/>
          <w:lang w:val="en-GB"/>
        </w:rPr>
        <w:t>Biological Forum – An International Journal</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(4), 916–925.</w:t>
      </w:r>
    </w:p>
    <w:p w14:paraId="6803FB38"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Singh, R., &amp; Singh, A. P. (2017). Effect of phosphorus, sulphur and biofertilizers on soil properties and yield of cowpea (</w:t>
      </w:r>
      <w:r w:rsidRPr="004C3FFB">
        <w:rPr>
          <w:rFonts w:ascii="Arial" w:hAnsi="Arial" w:cs="Arial"/>
          <w:i/>
          <w:iCs/>
          <w:sz w:val="20"/>
          <w:szCs w:val="20"/>
          <w:lang w:val="en-GB"/>
        </w:rPr>
        <w:t>Vigna unguiculata</w:t>
      </w:r>
      <w:r w:rsidRPr="004C3FFB">
        <w:rPr>
          <w:rFonts w:ascii="Arial" w:hAnsi="Arial" w:cs="Arial"/>
          <w:sz w:val="20"/>
          <w:szCs w:val="20"/>
          <w:lang w:val="en-GB"/>
        </w:rPr>
        <w:t xml:space="preserve">). </w:t>
      </w:r>
      <w:r w:rsidRPr="004C3FFB">
        <w:rPr>
          <w:rFonts w:ascii="Arial" w:hAnsi="Arial" w:cs="Arial"/>
          <w:i/>
          <w:iCs/>
          <w:sz w:val="20"/>
          <w:szCs w:val="20"/>
          <w:lang w:val="en-GB"/>
        </w:rPr>
        <w:t>Annals of Plant and Soil Research</w:t>
      </w:r>
      <w:r w:rsidRPr="004C3FFB">
        <w:rPr>
          <w:rFonts w:ascii="Arial" w:hAnsi="Arial" w:cs="Arial"/>
          <w:sz w:val="20"/>
          <w:szCs w:val="20"/>
          <w:lang w:val="en-GB"/>
        </w:rPr>
        <w:t xml:space="preserve">, </w:t>
      </w:r>
      <w:r w:rsidRPr="004C3FFB">
        <w:rPr>
          <w:rFonts w:ascii="Arial" w:hAnsi="Arial" w:cs="Arial"/>
          <w:b/>
          <w:bCs/>
          <w:sz w:val="20"/>
          <w:szCs w:val="20"/>
          <w:lang w:val="en-GB"/>
        </w:rPr>
        <w:t>19</w:t>
      </w:r>
      <w:r w:rsidRPr="004C3FFB">
        <w:rPr>
          <w:rFonts w:ascii="Arial" w:hAnsi="Arial" w:cs="Arial"/>
          <w:sz w:val="20"/>
          <w:szCs w:val="20"/>
          <w:lang w:val="en-GB"/>
        </w:rPr>
        <w:t>(3), 324–328.</w:t>
      </w:r>
    </w:p>
    <w:p w14:paraId="7BC98874"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Subbiah, B. V., &amp; Asija, G. L. (1956). A rapid procedure for the estimation of available nitrogen in soil. </w:t>
      </w:r>
      <w:r w:rsidRPr="004C3FFB">
        <w:rPr>
          <w:rFonts w:ascii="Arial" w:hAnsi="Arial" w:cs="Arial"/>
          <w:i/>
          <w:iCs/>
          <w:sz w:val="20"/>
          <w:szCs w:val="20"/>
          <w:lang w:val="en-GB"/>
        </w:rPr>
        <w:t>Current Science</w:t>
      </w:r>
      <w:r w:rsidRPr="004C3FFB">
        <w:rPr>
          <w:rFonts w:ascii="Arial" w:hAnsi="Arial" w:cs="Arial"/>
          <w:sz w:val="20"/>
          <w:szCs w:val="20"/>
          <w:lang w:val="en-GB"/>
        </w:rPr>
        <w:t xml:space="preserve">, </w:t>
      </w:r>
      <w:r w:rsidRPr="004C3FFB">
        <w:rPr>
          <w:rFonts w:ascii="Arial" w:hAnsi="Arial" w:cs="Arial"/>
          <w:b/>
          <w:bCs/>
          <w:sz w:val="20"/>
          <w:szCs w:val="20"/>
          <w:lang w:val="en-GB"/>
        </w:rPr>
        <w:t>25</w:t>
      </w:r>
      <w:r w:rsidRPr="004C3FFB">
        <w:rPr>
          <w:rFonts w:ascii="Arial" w:hAnsi="Arial" w:cs="Arial"/>
          <w:sz w:val="20"/>
          <w:szCs w:val="20"/>
          <w:lang w:val="en-GB"/>
        </w:rPr>
        <w:t>, 259–260.</w:t>
      </w:r>
    </w:p>
    <w:p w14:paraId="0B6AC991" w14:textId="6E9EFD5E" w:rsidR="00C02DE0" w:rsidRPr="004C3FFB" w:rsidRDefault="00C02DE0" w:rsidP="00EC55E3">
      <w:pPr>
        <w:jc w:val="both"/>
        <w:rPr>
          <w:rFonts w:ascii="Arial" w:hAnsi="Arial" w:cs="Arial"/>
          <w:sz w:val="20"/>
          <w:szCs w:val="20"/>
          <w:lang w:val="en-GB"/>
        </w:rPr>
      </w:pPr>
      <w:proofErr w:type="spellStart"/>
      <w:r w:rsidRPr="00C02DE0">
        <w:rPr>
          <w:rFonts w:ascii="Arial" w:hAnsi="Arial" w:cs="Arial"/>
          <w:sz w:val="20"/>
          <w:szCs w:val="20"/>
        </w:rPr>
        <w:t>Thentu</w:t>
      </w:r>
      <w:proofErr w:type="spellEnd"/>
      <w:r w:rsidRPr="00C02DE0">
        <w:rPr>
          <w:rFonts w:ascii="Arial" w:hAnsi="Arial" w:cs="Arial"/>
          <w:sz w:val="20"/>
          <w:szCs w:val="20"/>
        </w:rPr>
        <w:t xml:space="preserve">, T. L., </w:t>
      </w:r>
      <w:proofErr w:type="spellStart"/>
      <w:r w:rsidRPr="00C02DE0">
        <w:rPr>
          <w:rFonts w:ascii="Arial" w:hAnsi="Arial" w:cs="Arial"/>
          <w:sz w:val="20"/>
          <w:szCs w:val="20"/>
        </w:rPr>
        <w:t>Nawlakhe</w:t>
      </w:r>
      <w:proofErr w:type="spellEnd"/>
      <w:r w:rsidRPr="00C02DE0">
        <w:rPr>
          <w:rFonts w:ascii="Arial" w:hAnsi="Arial" w:cs="Arial"/>
          <w:sz w:val="20"/>
          <w:szCs w:val="20"/>
        </w:rPr>
        <w:t xml:space="preserve">, S. M., Mankar, D. D., </w:t>
      </w:r>
      <w:proofErr w:type="spellStart"/>
      <w:r w:rsidRPr="00C02DE0">
        <w:rPr>
          <w:rFonts w:ascii="Arial" w:hAnsi="Arial" w:cs="Arial"/>
          <w:sz w:val="20"/>
          <w:szCs w:val="20"/>
        </w:rPr>
        <w:t>Shrinivasrao</w:t>
      </w:r>
      <w:proofErr w:type="spellEnd"/>
      <w:r w:rsidRPr="00C02DE0">
        <w:rPr>
          <w:rFonts w:ascii="Arial" w:hAnsi="Arial" w:cs="Arial"/>
          <w:sz w:val="20"/>
          <w:szCs w:val="20"/>
        </w:rPr>
        <w:t xml:space="preserve">, M., &amp; </w:t>
      </w:r>
      <w:proofErr w:type="spellStart"/>
      <w:r w:rsidRPr="00C02DE0">
        <w:rPr>
          <w:rFonts w:ascii="Arial" w:hAnsi="Arial" w:cs="Arial"/>
          <w:sz w:val="20"/>
          <w:szCs w:val="20"/>
        </w:rPr>
        <w:t>Bhonde</w:t>
      </w:r>
      <w:proofErr w:type="spellEnd"/>
      <w:r w:rsidRPr="00C02DE0">
        <w:rPr>
          <w:rFonts w:ascii="Arial" w:hAnsi="Arial" w:cs="Arial"/>
          <w:sz w:val="20"/>
          <w:szCs w:val="20"/>
        </w:rPr>
        <w:t xml:space="preserve">, G. V. (2014). Growth, yield and quality of summer sesame as influenced by the fertilizer and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levels. </w:t>
      </w:r>
      <w:r w:rsidRPr="00C02DE0">
        <w:rPr>
          <w:rFonts w:ascii="Arial" w:hAnsi="Arial" w:cs="Arial"/>
          <w:i/>
          <w:iCs/>
          <w:sz w:val="20"/>
          <w:szCs w:val="20"/>
        </w:rPr>
        <w:t>Journal of Soils and Crops</w:t>
      </w:r>
      <w:r w:rsidRPr="00C02DE0">
        <w:rPr>
          <w:rFonts w:ascii="Arial" w:hAnsi="Arial" w:cs="Arial"/>
          <w:sz w:val="20"/>
          <w:szCs w:val="20"/>
        </w:rPr>
        <w:t xml:space="preserve">, </w:t>
      </w:r>
      <w:r w:rsidRPr="00C02DE0">
        <w:rPr>
          <w:rFonts w:ascii="Arial" w:hAnsi="Arial" w:cs="Arial"/>
          <w:b/>
          <w:bCs/>
          <w:sz w:val="20"/>
          <w:szCs w:val="20"/>
        </w:rPr>
        <w:t>24</w:t>
      </w:r>
      <w:r w:rsidRPr="00C02DE0">
        <w:rPr>
          <w:rFonts w:ascii="Arial" w:hAnsi="Arial" w:cs="Arial"/>
          <w:sz w:val="20"/>
          <w:szCs w:val="20"/>
        </w:rPr>
        <w:t>(1), 143–147.</w:t>
      </w:r>
    </w:p>
    <w:p w14:paraId="7D84C6A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Upadhyay, A. K. (2012). Effect of sulphur and zinc on yield, uptake of nutrients and quality of mustard. </w:t>
      </w:r>
      <w:r w:rsidRPr="004C3FFB">
        <w:rPr>
          <w:rFonts w:ascii="Arial" w:hAnsi="Arial" w:cs="Arial"/>
          <w:i/>
          <w:iCs/>
          <w:sz w:val="20"/>
          <w:szCs w:val="20"/>
          <w:lang w:val="en-GB"/>
        </w:rPr>
        <w:t>Annals of Plant and Soil Research</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(1), 42–45.</w:t>
      </w:r>
    </w:p>
    <w:p w14:paraId="69C68A2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Vaishnav, M. D., Surve, V. H., Patel, J. N., </w:t>
      </w:r>
      <w:proofErr w:type="spellStart"/>
      <w:r w:rsidRPr="004C3FFB">
        <w:rPr>
          <w:rFonts w:ascii="Arial" w:hAnsi="Arial" w:cs="Arial"/>
          <w:sz w:val="20"/>
          <w:szCs w:val="20"/>
          <w:lang w:val="en-GB"/>
        </w:rPr>
        <w:t>Bambhaneeya</w:t>
      </w:r>
      <w:proofErr w:type="spellEnd"/>
      <w:r w:rsidRPr="004C3FFB">
        <w:rPr>
          <w:rFonts w:ascii="Arial" w:hAnsi="Arial" w:cs="Arial"/>
          <w:sz w:val="20"/>
          <w:szCs w:val="20"/>
          <w:lang w:val="en-GB"/>
        </w:rPr>
        <w:t xml:space="preserve">, S. M., &amp; </w:t>
      </w:r>
      <w:proofErr w:type="spellStart"/>
      <w:r w:rsidRPr="004C3FFB">
        <w:rPr>
          <w:rFonts w:ascii="Arial" w:hAnsi="Arial" w:cs="Arial"/>
          <w:sz w:val="20"/>
          <w:szCs w:val="20"/>
          <w:lang w:val="en-GB"/>
        </w:rPr>
        <w:t>Sindha</w:t>
      </w:r>
      <w:proofErr w:type="spellEnd"/>
      <w:r w:rsidRPr="004C3FFB">
        <w:rPr>
          <w:rFonts w:ascii="Arial" w:hAnsi="Arial" w:cs="Arial"/>
          <w:sz w:val="20"/>
          <w:szCs w:val="20"/>
          <w:lang w:val="en-GB"/>
        </w:rPr>
        <w:t>, P. M. (2024). Effect of mineral fertilizer on yield, quality and nutrient uptake of black sesame (</w:t>
      </w:r>
      <w:r w:rsidRPr="004C3FFB">
        <w:rPr>
          <w:rFonts w:ascii="Arial" w:hAnsi="Arial" w:cs="Arial"/>
          <w:i/>
          <w:iCs/>
          <w:sz w:val="20"/>
          <w:szCs w:val="20"/>
          <w:lang w:val="en-GB"/>
        </w:rPr>
        <w:t xml:space="preserve">Sesamum </w:t>
      </w:r>
      <w:proofErr w:type="spellStart"/>
      <w:r w:rsidRPr="004C3FFB">
        <w:rPr>
          <w:rFonts w:ascii="Arial" w:hAnsi="Arial" w:cs="Arial"/>
          <w:i/>
          <w:iCs/>
          <w:sz w:val="20"/>
          <w:szCs w:val="20"/>
          <w:lang w:val="en-GB"/>
        </w:rPr>
        <w:t>radiatum</w:t>
      </w:r>
      <w:proofErr w:type="spellEnd"/>
      <w:r w:rsidRPr="004C3FFB">
        <w:rPr>
          <w:rFonts w:ascii="Arial" w:hAnsi="Arial" w:cs="Arial"/>
          <w:sz w:val="20"/>
          <w:szCs w:val="20"/>
          <w:lang w:val="en-GB"/>
        </w:rPr>
        <w:t xml:space="preserve"> L.). </w:t>
      </w:r>
      <w:r w:rsidRPr="004C3FFB">
        <w:rPr>
          <w:rFonts w:ascii="Arial" w:hAnsi="Arial" w:cs="Arial"/>
          <w:i/>
          <w:iCs/>
          <w:sz w:val="20"/>
          <w:szCs w:val="20"/>
          <w:lang w:val="en-GB"/>
        </w:rPr>
        <w:t>International Journal of Plant &amp; Soil Science</w:t>
      </w:r>
      <w:r w:rsidRPr="004C3FFB">
        <w:rPr>
          <w:rFonts w:ascii="Arial" w:hAnsi="Arial" w:cs="Arial"/>
          <w:sz w:val="20"/>
          <w:szCs w:val="20"/>
          <w:lang w:val="en-GB"/>
        </w:rPr>
        <w:t xml:space="preserve">, </w:t>
      </w:r>
      <w:r w:rsidRPr="004C3FFB">
        <w:rPr>
          <w:rFonts w:ascii="Arial" w:hAnsi="Arial" w:cs="Arial"/>
          <w:b/>
          <w:bCs/>
          <w:sz w:val="20"/>
          <w:szCs w:val="20"/>
          <w:lang w:val="en-GB"/>
        </w:rPr>
        <w:t>36</w:t>
      </w:r>
      <w:r w:rsidRPr="004C3FFB">
        <w:rPr>
          <w:rFonts w:ascii="Arial" w:hAnsi="Arial" w:cs="Arial"/>
          <w:sz w:val="20"/>
          <w:szCs w:val="20"/>
          <w:lang w:val="en-GB"/>
        </w:rPr>
        <w:t>(6), 282–287.</w:t>
      </w:r>
    </w:p>
    <w:p w14:paraId="00ADDF25" w14:textId="77777777" w:rsidR="004731CE" w:rsidRPr="004C3FFB" w:rsidRDefault="004731CE" w:rsidP="00EC55E3">
      <w:pPr>
        <w:jc w:val="both"/>
        <w:rPr>
          <w:rFonts w:ascii="Arial" w:hAnsi="Arial" w:cs="Arial"/>
          <w:sz w:val="20"/>
          <w:szCs w:val="20"/>
          <w:lang w:val="en-GB"/>
        </w:rPr>
      </w:pPr>
      <w:r w:rsidRPr="00582920">
        <w:rPr>
          <w:rFonts w:ascii="Arial" w:hAnsi="Arial" w:cs="Arial"/>
          <w:sz w:val="20"/>
          <w:szCs w:val="20"/>
          <w:lang w:val="en-GB"/>
        </w:rPr>
        <w:t xml:space="preserve">Wang, Y., Li, J., Gao, X., Li, X., Ren, T., Cong, R., and Lu, J. (2014). Winter oilseed rape productivity and nutritional quality responses to zinc fertilization. </w:t>
      </w:r>
      <w:r w:rsidRPr="00582920">
        <w:rPr>
          <w:rFonts w:ascii="Arial" w:hAnsi="Arial" w:cs="Arial"/>
          <w:i/>
          <w:iCs/>
          <w:sz w:val="20"/>
          <w:szCs w:val="20"/>
          <w:lang w:val="en-GB"/>
        </w:rPr>
        <w:t>Agronomy Journal</w:t>
      </w:r>
      <w:r w:rsidRPr="00582920">
        <w:rPr>
          <w:rFonts w:ascii="Arial" w:hAnsi="Arial" w:cs="Arial"/>
          <w:sz w:val="20"/>
          <w:szCs w:val="20"/>
          <w:lang w:val="en-GB"/>
        </w:rPr>
        <w:t xml:space="preserve">, </w:t>
      </w:r>
      <w:r w:rsidRPr="00582920">
        <w:rPr>
          <w:rFonts w:ascii="Arial" w:hAnsi="Arial" w:cs="Arial"/>
          <w:b/>
          <w:bCs/>
          <w:sz w:val="20"/>
          <w:szCs w:val="20"/>
          <w:lang w:val="en-GB"/>
        </w:rPr>
        <w:t>106</w:t>
      </w:r>
      <w:r w:rsidRPr="00582920">
        <w:rPr>
          <w:rFonts w:ascii="Arial" w:hAnsi="Arial" w:cs="Arial"/>
          <w:sz w:val="20"/>
          <w:szCs w:val="20"/>
          <w:lang w:val="en-GB"/>
        </w:rPr>
        <w:t>(4), 1349–1357.</w:t>
      </w:r>
    </w:p>
    <w:p w14:paraId="29564909"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Yadav, H. K., Thomas, T., &amp; Khajuria, V. (2010). Effect of different levels of sulphur and biofertilizer on the yield of Indian mustard (</w:t>
      </w:r>
      <w:r w:rsidRPr="004C3FFB">
        <w:rPr>
          <w:rFonts w:ascii="Arial" w:hAnsi="Arial" w:cs="Arial"/>
          <w:i/>
          <w:iCs/>
          <w:sz w:val="20"/>
          <w:szCs w:val="20"/>
          <w:lang w:val="en-GB"/>
        </w:rPr>
        <w:t>Brassica juncea</w:t>
      </w:r>
      <w:r w:rsidRPr="004C3FFB">
        <w:rPr>
          <w:rFonts w:ascii="Arial" w:hAnsi="Arial" w:cs="Arial"/>
          <w:sz w:val="20"/>
          <w:szCs w:val="20"/>
          <w:lang w:val="en-GB"/>
        </w:rPr>
        <w:t xml:space="preserve"> L.) and soil properties. </w:t>
      </w:r>
      <w:r w:rsidRPr="004C3FFB">
        <w:rPr>
          <w:rFonts w:ascii="Arial" w:hAnsi="Arial" w:cs="Arial"/>
          <w:i/>
          <w:iCs/>
          <w:sz w:val="20"/>
          <w:szCs w:val="20"/>
          <w:lang w:val="en-GB"/>
        </w:rPr>
        <w:t>Journal of Agricultural Physics</w:t>
      </w:r>
      <w:r w:rsidRPr="004C3FFB">
        <w:rPr>
          <w:rFonts w:ascii="Arial" w:hAnsi="Arial" w:cs="Arial"/>
          <w:sz w:val="20"/>
          <w:szCs w:val="20"/>
          <w:lang w:val="en-GB"/>
        </w:rPr>
        <w:t xml:space="preserve">, </w:t>
      </w:r>
      <w:r w:rsidRPr="004C3FFB">
        <w:rPr>
          <w:rFonts w:ascii="Arial" w:hAnsi="Arial" w:cs="Arial"/>
          <w:b/>
          <w:bCs/>
          <w:sz w:val="20"/>
          <w:szCs w:val="20"/>
          <w:lang w:val="en-GB"/>
        </w:rPr>
        <w:t>10</w:t>
      </w:r>
      <w:r w:rsidRPr="004C3FFB">
        <w:rPr>
          <w:rFonts w:ascii="Arial" w:hAnsi="Arial" w:cs="Arial"/>
          <w:sz w:val="20"/>
          <w:szCs w:val="20"/>
          <w:lang w:val="en-GB"/>
        </w:rPr>
        <w:t>(1), 61–65.</w:t>
      </w:r>
    </w:p>
    <w:p w14:paraId="07AF1981" w14:textId="50BB6E8D" w:rsidR="00C02DE0" w:rsidRDefault="00C02DE0" w:rsidP="00EC55E3">
      <w:pPr>
        <w:jc w:val="both"/>
        <w:rPr>
          <w:rFonts w:ascii="Arial" w:hAnsi="Arial" w:cs="Arial"/>
          <w:sz w:val="20"/>
          <w:szCs w:val="20"/>
          <w:lang w:val="en-GB"/>
        </w:rPr>
      </w:pPr>
      <w:r w:rsidRPr="00C02DE0">
        <w:rPr>
          <w:rFonts w:ascii="Arial" w:hAnsi="Arial" w:cs="Arial"/>
          <w:sz w:val="20"/>
          <w:szCs w:val="20"/>
        </w:rPr>
        <w:t xml:space="preserve">Yadav, P., Yadav, S. S., Garg, K., &amp; Yadav, S. (2020). 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and zinc fertilization on growth, yield attributes and grain yield of sesame (</w:t>
      </w:r>
      <w:r w:rsidRPr="00C02DE0">
        <w:rPr>
          <w:rFonts w:ascii="Arial" w:hAnsi="Arial" w:cs="Arial"/>
          <w:i/>
          <w:iCs/>
          <w:sz w:val="20"/>
          <w:szCs w:val="20"/>
        </w:rPr>
        <w:t>Sesamum indicum</w:t>
      </w:r>
      <w:r w:rsidRPr="00C02DE0">
        <w:rPr>
          <w:rFonts w:ascii="Arial" w:hAnsi="Arial" w:cs="Arial"/>
          <w:sz w:val="20"/>
          <w:szCs w:val="20"/>
        </w:rPr>
        <w:t xml:space="preserve">). </w:t>
      </w:r>
      <w:r w:rsidRPr="00C02DE0">
        <w:rPr>
          <w:rFonts w:ascii="Arial" w:hAnsi="Arial" w:cs="Arial"/>
          <w:i/>
          <w:iCs/>
          <w:sz w:val="20"/>
          <w:szCs w:val="20"/>
        </w:rPr>
        <w:t>Indian Journal of Agronomy</w:t>
      </w:r>
      <w:r w:rsidRPr="00C02DE0">
        <w:rPr>
          <w:rFonts w:ascii="Arial" w:hAnsi="Arial" w:cs="Arial"/>
          <w:sz w:val="20"/>
          <w:szCs w:val="20"/>
        </w:rPr>
        <w:t xml:space="preserve">, </w:t>
      </w:r>
      <w:r w:rsidRPr="00C02DE0">
        <w:rPr>
          <w:rFonts w:ascii="Arial" w:hAnsi="Arial" w:cs="Arial"/>
          <w:b/>
          <w:bCs/>
          <w:sz w:val="20"/>
          <w:szCs w:val="20"/>
        </w:rPr>
        <w:t>65</w:t>
      </w:r>
      <w:r w:rsidRPr="00C02DE0">
        <w:rPr>
          <w:rFonts w:ascii="Arial" w:hAnsi="Arial" w:cs="Arial"/>
          <w:sz w:val="20"/>
          <w:szCs w:val="20"/>
        </w:rPr>
        <w:t>(1), 120–124.</w:t>
      </w:r>
    </w:p>
    <w:p w14:paraId="6E3CB9C1" w14:textId="77777777" w:rsidR="004731CE" w:rsidRPr="004C3FFB" w:rsidRDefault="004731CE" w:rsidP="004C04AE">
      <w:pPr>
        <w:jc w:val="both"/>
        <w:rPr>
          <w:rFonts w:ascii="Arial" w:hAnsi="Arial" w:cs="Arial"/>
          <w:sz w:val="20"/>
          <w:szCs w:val="20"/>
          <w:lang w:val="en-GB"/>
        </w:rPr>
      </w:pP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V. J., Jadav, N. B., &amp; </w:t>
      </w:r>
      <w:proofErr w:type="spellStart"/>
      <w:r w:rsidRPr="004C3FFB">
        <w:rPr>
          <w:rFonts w:ascii="Arial" w:hAnsi="Arial" w:cs="Arial"/>
          <w:sz w:val="20"/>
          <w:szCs w:val="20"/>
          <w:lang w:val="en-GB"/>
        </w:rPr>
        <w:t>Gorfad</w:t>
      </w:r>
      <w:proofErr w:type="spellEnd"/>
      <w:r w:rsidRPr="004C3FFB">
        <w:rPr>
          <w:rFonts w:ascii="Arial" w:hAnsi="Arial" w:cs="Arial"/>
          <w:sz w:val="20"/>
          <w:szCs w:val="20"/>
          <w:lang w:val="en-GB"/>
        </w:rPr>
        <w:t xml:space="preserve">, P. S. (2008). Effect of sulphur and zinc on yield, quality, and its concentration in mustard. </w:t>
      </w:r>
      <w:r w:rsidRPr="004C3FFB">
        <w:rPr>
          <w:rFonts w:ascii="Arial" w:hAnsi="Arial" w:cs="Arial"/>
          <w:i/>
          <w:iCs/>
          <w:sz w:val="20"/>
          <w:szCs w:val="20"/>
          <w:lang w:val="en-GB"/>
        </w:rPr>
        <w:t>Asian Journal of Soil Science</w:t>
      </w:r>
      <w:r w:rsidRPr="004C3FFB">
        <w:rPr>
          <w:rFonts w:ascii="Arial" w:hAnsi="Arial" w:cs="Arial"/>
          <w:sz w:val="20"/>
          <w:szCs w:val="20"/>
          <w:lang w:val="en-GB"/>
        </w:rPr>
        <w:t xml:space="preserve">, </w:t>
      </w:r>
      <w:r w:rsidRPr="004C3FFB">
        <w:rPr>
          <w:rFonts w:ascii="Arial" w:hAnsi="Arial" w:cs="Arial"/>
          <w:b/>
          <w:bCs/>
          <w:sz w:val="20"/>
          <w:szCs w:val="20"/>
          <w:lang w:val="en-GB"/>
        </w:rPr>
        <w:t>3</w:t>
      </w:r>
      <w:r w:rsidRPr="004C3FFB">
        <w:rPr>
          <w:rFonts w:ascii="Arial" w:hAnsi="Arial" w:cs="Arial"/>
          <w:sz w:val="20"/>
          <w:szCs w:val="20"/>
          <w:lang w:val="en-GB"/>
        </w:rPr>
        <w:t>(1), 173–177.</w:t>
      </w:r>
    </w:p>
    <w:sectPr w:rsidR="004731CE" w:rsidRPr="004C3FF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raj mishra" w:date="2026-07-25T14:53:00Z" w:initials="sm">
    <w:p w14:paraId="3CA9258D" w14:textId="77777777" w:rsidR="0046382A" w:rsidRDefault="0046382A">
      <w:pPr>
        <w:pStyle w:val="CommentText"/>
      </w:pPr>
      <w:r>
        <w:rPr>
          <w:rStyle w:val="CommentReference"/>
        </w:rPr>
        <w:annotationRef/>
      </w:r>
      <w:r>
        <w:t>Merge abstract into single paragraph.</w:t>
      </w:r>
    </w:p>
    <w:p w14:paraId="498A5701" w14:textId="5FE78133" w:rsidR="0046382A" w:rsidRDefault="0046382A">
      <w:pPr>
        <w:pStyle w:val="CommentText"/>
      </w:pPr>
    </w:p>
  </w:comment>
  <w:comment w:id="1" w:author="suraj mishra" w:date="2026-07-25T14:58:00Z" w:initials="sm">
    <w:p w14:paraId="5CDB346E" w14:textId="6F34A2B8" w:rsidR="0046382A" w:rsidRDefault="0046382A">
      <w:pPr>
        <w:pStyle w:val="CommentText"/>
      </w:pPr>
      <w:r>
        <w:rPr>
          <w:rStyle w:val="CommentReference"/>
        </w:rPr>
        <w:annotationRef/>
      </w:r>
      <w:r>
        <w:rPr>
          <w:szCs w:val="18"/>
        </w:rPr>
        <w:t>Keywords write in alphabetical form</w:t>
      </w:r>
    </w:p>
  </w:comment>
  <w:comment w:id="2" w:author="suraj mishra" w:date="2026-07-25T15:05:00Z" w:initials="sm">
    <w:p w14:paraId="5550A3FD" w14:textId="5418422E" w:rsidR="005D1685" w:rsidRDefault="005D1685">
      <w:pPr>
        <w:pStyle w:val="CommentText"/>
      </w:pPr>
      <w:r>
        <w:rPr>
          <w:rStyle w:val="CommentReference"/>
        </w:rPr>
        <w:annotationRef/>
      </w:r>
      <w:r>
        <w:t>Need to be current status of the crop i.e. Area, Production and Productivity</w:t>
      </w:r>
    </w:p>
  </w:comment>
  <w:comment w:id="3" w:author="suraj mishra" w:date="2026-07-25T15:01:00Z" w:initials="sm">
    <w:p w14:paraId="425ABEA9" w14:textId="218D006A" w:rsidR="0046382A" w:rsidRDefault="0046382A">
      <w:pPr>
        <w:pStyle w:val="CommentText"/>
      </w:pPr>
      <w:r>
        <w:rPr>
          <w:rStyle w:val="CommentReference"/>
        </w:rPr>
        <w:annotationRef/>
      </w:r>
      <w:r>
        <w:t>Add references</w:t>
      </w:r>
    </w:p>
  </w:comment>
  <w:comment w:id="4" w:author="suraj mishra" w:date="2026-07-25T15:09:00Z" w:initials="sm">
    <w:p w14:paraId="3BF7C95E" w14:textId="5B72D325" w:rsidR="005D1685" w:rsidRDefault="005D1685">
      <w:pPr>
        <w:pStyle w:val="CommentText"/>
      </w:pPr>
      <w:r>
        <w:rPr>
          <w:rStyle w:val="CommentReference"/>
        </w:rPr>
        <w:annotationRef/>
      </w:r>
      <w:r>
        <w:t>Write the objective of this research</w:t>
      </w:r>
    </w:p>
  </w:comment>
  <w:comment w:id="5" w:author="suraj mishra" w:date="2026-07-25T15:10:00Z" w:initials="sm">
    <w:p w14:paraId="1A218464" w14:textId="5E935A59" w:rsidR="005D1685" w:rsidRDefault="005D1685">
      <w:pPr>
        <w:pStyle w:val="CommentText"/>
      </w:pPr>
      <w:r>
        <w:rPr>
          <w:rStyle w:val="CommentReference"/>
        </w:rPr>
        <w:annotationRef/>
      </w:r>
      <w:r w:rsidR="00000000">
        <w:rPr>
          <w:noProof/>
        </w:rPr>
        <w:t>Why need this research explain.</w:t>
      </w:r>
    </w:p>
  </w:comment>
  <w:comment w:id="6" w:author="suraj mishra" w:date="2026-07-25T15:10:00Z" w:initials="sm">
    <w:p w14:paraId="3CE5915C" w14:textId="4E064326" w:rsidR="005D1685" w:rsidRDefault="005D1685">
      <w:pPr>
        <w:pStyle w:val="CommentText"/>
      </w:pPr>
      <w:r>
        <w:rPr>
          <w:rStyle w:val="CommentReference"/>
        </w:rPr>
        <w:annotationRef/>
      </w:r>
    </w:p>
  </w:comment>
  <w:comment w:id="7" w:author="suraj mishra" w:date="2026-07-25T15:30:00Z" w:initials="sm">
    <w:p w14:paraId="4ED60000" w14:textId="4598F96C" w:rsidR="006568AC" w:rsidRDefault="006568AC">
      <w:pPr>
        <w:pStyle w:val="CommentText"/>
      </w:pPr>
      <w:r>
        <w:rPr>
          <w:rStyle w:val="CommentReference"/>
        </w:rPr>
        <w:annotationRef/>
      </w:r>
      <w:r>
        <w:t xml:space="preserve">Kindly mention the exact location with complete </w:t>
      </w:r>
      <w:proofErr w:type="spellStart"/>
      <w:r>
        <w:t>cooridinates</w:t>
      </w:r>
      <w:proofErr w:type="spellEnd"/>
    </w:p>
  </w:comment>
  <w:comment w:id="8" w:author="suraj mishra" w:date="2026-07-25T15:34:00Z" w:initials="sm">
    <w:p w14:paraId="5F304B27" w14:textId="7A8E0607" w:rsidR="006568AC" w:rsidRDefault="006568AC">
      <w:pPr>
        <w:pStyle w:val="CommentText"/>
      </w:pPr>
      <w:r>
        <w:rPr>
          <w:rStyle w:val="CommentReference"/>
        </w:rPr>
        <w:annotationRef/>
      </w:r>
      <w:r>
        <w:t>Check and correct year</w:t>
      </w:r>
    </w:p>
  </w:comment>
  <w:comment w:id="9" w:author="suraj mishra" w:date="2026-07-25T15:35:00Z" w:initials="sm">
    <w:p w14:paraId="204CB03C" w14:textId="720F2C73" w:rsidR="006568AC" w:rsidRDefault="006568AC">
      <w:pPr>
        <w:pStyle w:val="CommentText"/>
      </w:pPr>
      <w:r>
        <w:rPr>
          <w:rStyle w:val="CommentReference"/>
        </w:rPr>
        <w:annotationRef/>
      </w:r>
      <w:r w:rsidR="00000000">
        <w:rPr>
          <w:noProof/>
        </w:rPr>
        <w:t>Method is Rapid titration method given by Walkley and Black, 1934</w:t>
      </w:r>
    </w:p>
  </w:comment>
  <w:comment w:id="10" w:author="suraj mishra" w:date="2026-07-25T15:38:00Z" w:initials="sm">
    <w:p w14:paraId="503D13B0" w14:textId="68195F19" w:rsidR="006568AC" w:rsidRDefault="006568AC">
      <w:pPr>
        <w:pStyle w:val="CommentText"/>
      </w:pPr>
      <w:r>
        <w:rPr>
          <w:rStyle w:val="CommentReference"/>
        </w:rPr>
        <w:annotationRef/>
      </w:r>
      <w:r w:rsidR="00000000">
        <w:rPr>
          <w:noProof/>
        </w:rPr>
        <w:t>Check the reference</w:t>
      </w:r>
    </w:p>
  </w:comment>
  <w:comment w:id="11" w:author="suraj mishra" w:date="2026-07-25T15:38:00Z" w:initials="sm">
    <w:p w14:paraId="4E0E3493" w14:textId="02C7B60D" w:rsidR="006568AC" w:rsidRDefault="006568AC">
      <w:pPr>
        <w:pStyle w:val="CommentText"/>
      </w:pPr>
      <w:r>
        <w:rPr>
          <w:rStyle w:val="CommentReference"/>
        </w:rPr>
        <w:annotationRef/>
      </w:r>
      <w:r w:rsidR="00000000">
        <w:rPr>
          <w:noProof/>
        </w:rPr>
        <w:t>Check the referen</w:t>
      </w:r>
      <w:r w:rsidR="00000000">
        <w:rPr>
          <w:noProof/>
        </w:rPr>
        <w:t xml:space="preserve">ce </w:t>
      </w:r>
    </w:p>
  </w:comment>
  <w:comment w:id="12" w:author="suraj mishra" w:date="2026-07-25T15:40:00Z" w:initials="sm">
    <w:p w14:paraId="077C1C9A" w14:textId="2AA15189" w:rsidR="005E01D2" w:rsidRDefault="005E01D2">
      <w:pPr>
        <w:pStyle w:val="CommentText"/>
      </w:pPr>
      <w:r>
        <w:rPr>
          <w:rStyle w:val="CommentReference"/>
        </w:rPr>
        <w:annotationRef/>
      </w:r>
      <w:r w:rsidR="00000000">
        <w:rPr>
          <w:noProof/>
        </w:rPr>
        <w:t xml:space="preserve">Check </w:t>
      </w:r>
      <w:r w:rsidR="00000000">
        <w:rPr>
          <w:noProof/>
        </w:rPr>
        <w:t>the method and reference</w:t>
      </w:r>
    </w:p>
  </w:comment>
  <w:comment w:id="13" w:author="suraj mishra" w:date="2026-07-25T16:34:00Z" w:initials="sm">
    <w:p w14:paraId="3B9ED311" w14:textId="05EA923C" w:rsidR="006B765A" w:rsidRDefault="006B765A">
      <w:pPr>
        <w:pStyle w:val="CommentText"/>
      </w:pPr>
      <w:r>
        <w:rPr>
          <w:rStyle w:val="CommentReference"/>
        </w:rPr>
        <w:annotationRef/>
      </w:r>
      <w:r w:rsidR="00000000">
        <w:rPr>
          <w:noProof/>
        </w:rPr>
        <w:t>Add references</w:t>
      </w:r>
    </w:p>
  </w:comment>
  <w:comment w:id="14" w:author="suraj mishra" w:date="2026-07-25T16:32:00Z" w:initials="sm">
    <w:p w14:paraId="448FE588" w14:textId="6C4A0158" w:rsidR="006B765A" w:rsidRDefault="006B765A">
      <w:pPr>
        <w:pStyle w:val="CommentText"/>
      </w:pPr>
      <w:r>
        <w:rPr>
          <w:rStyle w:val="CommentReference"/>
        </w:rPr>
        <w:annotationRef/>
      </w:r>
      <w:r>
        <w:t>What you would like to Recommend for Farmer Practices?</w:t>
      </w:r>
    </w:p>
  </w:comment>
  <w:comment w:id="15" w:author="suraj mishra" w:date="2026-07-25T16:27:00Z" w:initials="sm">
    <w:p w14:paraId="4B9A0E2F" w14:textId="6D7DF7FA" w:rsidR="006B765A" w:rsidRDefault="006B765A">
      <w:pPr>
        <w:pStyle w:val="CommentText"/>
      </w:pPr>
      <w:r>
        <w:rPr>
          <w:rStyle w:val="CommentReference"/>
        </w:rPr>
        <w:annotationRef/>
      </w:r>
      <w:r w:rsidR="00000000">
        <w:rPr>
          <w:noProof/>
        </w:rPr>
        <w:t>Some references missing and add current references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8A5701" w15:done="0"/>
  <w15:commentEx w15:paraId="5CDB346E" w15:done="0"/>
  <w15:commentEx w15:paraId="5550A3FD" w15:done="0"/>
  <w15:commentEx w15:paraId="425ABEA9" w15:done="0"/>
  <w15:commentEx w15:paraId="3BF7C95E" w15:done="0"/>
  <w15:commentEx w15:paraId="1A218464" w15:done="0"/>
  <w15:commentEx w15:paraId="3CE5915C" w15:paraIdParent="1A218464" w15:done="0"/>
  <w15:commentEx w15:paraId="4ED60000" w15:done="0"/>
  <w15:commentEx w15:paraId="5F304B27" w15:done="0"/>
  <w15:commentEx w15:paraId="204CB03C" w15:done="0"/>
  <w15:commentEx w15:paraId="503D13B0" w15:done="0"/>
  <w15:commentEx w15:paraId="4E0E3493" w15:done="0"/>
  <w15:commentEx w15:paraId="077C1C9A" w15:done="0"/>
  <w15:commentEx w15:paraId="3B9ED311" w15:done="0"/>
  <w15:commentEx w15:paraId="448FE588" w15:done="0"/>
  <w15:commentEx w15:paraId="4B9A0E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E3851D" w16cex:dateUtc="2026-07-25T09:23:00Z"/>
  <w16cex:commentExtensible w16cex:durableId="655161B0" w16cex:dateUtc="2026-07-25T09:28:00Z"/>
  <w16cex:commentExtensible w16cex:durableId="55C48E65" w16cex:dateUtc="2026-07-25T09:35:00Z"/>
  <w16cex:commentExtensible w16cex:durableId="49518D77" w16cex:dateUtc="2026-07-25T09:31:00Z"/>
  <w16cex:commentExtensible w16cex:durableId="51C45CE2" w16cex:dateUtc="2026-07-25T09:39:00Z"/>
  <w16cex:commentExtensible w16cex:durableId="549CC83C" w16cex:dateUtc="2026-07-25T09:40:00Z"/>
  <w16cex:commentExtensible w16cex:durableId="6EBE254D" w16cex:dateUtc="2026-07-25T09:40:00Z"/>
  <w16cex:commentExtensible w16cex:durableId="3D003012" w16cex:dateUtc="2026-07-25T10:00:00Z"/>
  <w16cex:commentExtensible w16cex:durableId="4D63D31F" w16cex:dateUtc="2026-07-25T10:04:00Z"/>
  <w16cex:commentExtensible w16cex:durableId="67343FB8" w16cex:dateUtc="2026-07-25T10:05:00Z"/>
  <w16cex:commentExtensible w16cex:durableId="4AB0F11C" w16cex:dateUtc="2026-07-25T10:08:00Z"/>
  <w16cex:commentExtensible w16cex:durableId="18B5F0BC" w16cex:dateUtc="2026-07-25T10:08:00Z"/>
  <w16cex:commentExtensible w16cex:durableId="1743C1D2" w16cex:dateUtc="2026-07-25T10:10:00Z"/>
  <w16cex:commentExtensible w16cex:durableId="0FEA548A" w16cex:dateUtc="2026-07-25T11:04:00Z"/>
  <w16cex:commentExtensible w16cex:durableId="402B35AE" w16cex:dateUtc="2026-07-25T11:02:00Z"/>
  <w16cex:commentExtensible w16cex:durableId="0B4719E3" w16cex:dateUtc="2026-07-25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8A5701" w16cid:durableId="6FE3851D"/>
  <w16cid:commentId w16cid:paraId="5CDB346E" w16cid:durableId="655161B0"/>
  <w16cid:commentId w16cid:paraId="5550A3FD" w16cid:durableId="55C48E65"/>
  <w16cid:commentId w16cid:paraId="425ABEA9" w16cid:durableId="49518D77"/>
  <w16cid:commentId w16cid:paraId="3BF7C95E" w16cid:durableId="51C45CE2"/>
  <w16cid:commentId w16cid:paraId="1A218464" w16cid:durableId="549CC83C"/>
  <w16cid:commentId w16cid:paraId="3CE5915C" w16cid:durableId="6EBE254D"/>
  <w16cid:commentId w16cid:paraId="4ED60000" w16cid:durableId="3D003012"/>
  <w16cid:commentId w16cid:paraId="5F304B27" w16cid:durableId="4D63D31F"/>
  <w16cid:commentId w16cid:paraId="204CB03C" w16cid:durableId="67343FB8"/>
  <w16cid:commentId w16cid:paraId="503D13B0" w16cid:durableId="4AB0F11C"/>
  <w16cid:commentId w16cid:paraId="4E0E3493" w16cid:durableId="18B5F0BC"/>
  <w16cid:commentId w16cid:paraId="077C1C9A" w16cid:durableId="1743C1D2"/>
  <w16cid:commentId w16cid:paraId="3B9ED311" w16cid:durableId="0FEA548A"/>
  <w16cid:commentId w16cid:paraId="448FE588" w16cid:durableId="402B35AE"/>
  <w16cid:commentId w16cid:paraId="4B9A0E2F" w16cid:durableId="0B4719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17446" w14:textId="77777777" w:rsidR="00751010" w:rsidRDefault="00751010" w:rsidP="002164AE">
      <w:pPr>
        <w:spacing w:after="0" w:line="240" w:lineRule="auto"/>
      </w:pPr>
      <w:r>
        <w:separator/>
      </w:r>
    </w:p>
  </w:endnote>
  <w:endnote w:type="continuationSeparator" w:id="0">
    <w:p w14:paraId="557133EE" w14:textId="77777777" w:rsidR="00751010" w:rsidRDefault="00751010" w:rsidP="00216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94F8" w14:textId="77777777" w:rsidR="002164AE" w:rsidRDefault="00216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7A51" w14:textId="77777777" w:rsidR="002164AE" w:rsidRDefault="00216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52D7" w14:textId="77777777" w:rsidR="002164AE" w:rsidRDefault="00216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BEF4" w14:textId="77777777" w:rsidR="00751010" w:rsidRDefault="00751010" w:rsidP="002164AE">
      <w:pPr>
        <w:spacing w:after="0" w:line="240" w:lineRule="auto"/>
      </w:pPr>
      <w:r>
        <w:separator/>
      </w:r>
    </w:p>
  </w:footnote>
  <w:footnote w:type="continuationSeparator" w:id="0">
    <w:p w14:paraId="005D7E71" w14:textId="77777777" w:rsidR="00751010" w:rsidRDefault="00751010" w:rsidP="00216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7F4F" w14:textId="53BFEE00" w:rsidR="002164AE" w:rsidRDefault="00000000">
    <w:pPr>
      <w:pStyle w:val="Header"/>
    </w:pPr>
    <w:r>
      <w:rPr>
        <w:noProof/>
      </w:rPr>
      <w:pict w14:anchorId="66F4AD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DF30" w14:textId="08A45767" w:rsidR="002164AE" w:rsidRDefault="00000000">
    <w:pPr>
      <w:pStyle w:val="Header"/>
    </w:pPr>
    <w:r>
      <w:rPr>
        <w:noProof/>
      </w:rPr>
      <w:pict w14:anchorId="59D2D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C2D3" w14:textId="30FF131F" w:rsidR="002164AE" w:rsidRDefault="00000000">
    <w:pPr>
      <w:pStyle w:val="Header"/>
    </w:pPr>
    <w:r>
      <w:rPr>
        <w:noProof/>
      </w:rPr>
      <w:pict w14:anchorId="105892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27B"/>
    <w:multiLevelType w:val="multilevel"/>
    <w:tmpl w:val="71D6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22119"/>
    <w:multiLevelType w:val="multilevel"/>
    <w:tmpl w:val="0814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31"/>
    <w:multiLevelType w:val="multilevel"/>
    <w:tmpl w:val="F98A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54D35"/>
    <w:multiLevelType w:val="multilevel"/>
    <w:tmpl w:val="53A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8236A"/>
    <w:multiLevelType w:val="multilevel"/>
    <w:tmpl w:val="BA40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072071">
    <w:abstractNumId w:val="2"/>
  </w:num>
  <w:num w:numId="2" w16cid:durableId="1269044319">
    <w:abstractNumId w:val="1"/>
  </w:num>
  <w:num w:numId="3" w16cid:durableId="552735589">
    <w:abstractNumId w:val="4"/>
  </w:num>
  <w:num w:numId="4" w16cid:durableId="410935122">
    <w:abstractNumId w:val="3"/>
  </w:num>
  <w:num w:numId="5" w16cid:durableId="105920455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aj mishra">
    <w15:presenceInfo w15:providerId="Windows Live" w15:userId="3911feacce7b3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AE"/>
    <w:rsid w:val="000151A0"/>
    <w:rsid w:val="0005334E"/>
    <w:rsid w:val="000906EB"/>
    <w:rsid w:val="00095AAF"/>
    <w:rsid w:val="000961E8"/>
    <w:rsid w:val="000D1935"/>
    <w:rsid w:val="000E099E"/>
    <w:rsid w:val="001065F2"/>
    <w:rsid w:val="001177F8"/>
    <w:rsid w:val="002164AE"/>
    <w:rsid w:val="0022387F"/>
    <w:rsid w:val="0025155E"/>
    <w:rsid w:val="00283C1E"/>
    <w:rsid w:val="002901D5"/>
    <w:rsid w:val="002B0CD5"/>
    <w:rsid w:val="00377ABE"/>
    <w:rsid w:val="00406D01"/>
    <w:rsid w:val="00415BC3"/>
    <w:rsid w:val="0046382A"/>
    <w:rsid w:val="004731CE"/>
    <w:rsid w:val="00492D63"/>
    <w:rsid w:val="004C04AE"/>
    <w:rsid w:val="004C3FFB"/>
    <w:rsid w:val="004E344D"/>
    <w:rsid w:val="00543408"/>
    <w:rsid w:val="00582920"/>
    <w:rsid w:val="005D1685"/>
    <w:rsid w:val="005E01D2"/>
    <w:rsid w:val="00624EBE"/>
    <w:rsid w:val="00641BAC"/>
    <w:rsid w:val="006568AC"/>
    <w:rsid w:val="006B765A"/>
    <w:rsid w:val="006C5A72"/>
    <w:rsid w:val="006E2FB9"/>
    <w:rsid w:val="007112AA"/>
    <w:rsid w:val="00751010"/>
    <w:rsid w:val="00755106"/>
    <w:rsid w:val="007A74C2"/>
    <w:rsid w:val="007B40DC"/>
    <w:rsid w:val="007F0731"/>
    <w:rsid w:val="007F2330"/>
    <w:rsid w:val="008026D0"/>
    <w:rsid w:val="0083277B"/>
    <w:rsid w:val="00893007"/>
    <w:rsid w:val="008A51AE"/>
    <w:rsid w:val="008C63AA"/>
    <w:rsid w:val="009152C6"/>
    <w:rsid w:val="0092150E"/>
    <w:rsid w:val="00933571"/>
    <w:rsid w:val="00962159"/>
    <w:rsid w:val="009B3C31"/>
    <w:rsid w:val="00B2419D"/>
    <w:rsid w:val="00B31B6C"/>
    <w:rsid w:val="00B46191"/>
    <w:rsid w:val="00B84B5B"/>
    <w:rsid w:val="00BB4D94"/>
    <w:rsid w:val="00BF2425"/>
    <w:rsid w:val="00C02DE0"/>
    <w:rsid w:val="00C82A0C"/>
    <w:rsid w:val="00D14E18"/>
    <w:rsid w:val="00D22B7D"/>
    <w:rsid w:val="00D70DCF"/>
    <w:rsid w:val="00DF15D5"/>
    <w:rsid w:val="00E138AF"/>
    <w:rsid w:val="00E35D66"/>
    <w:rsid w:val="00E50738"/>
    <w:rsid w:val="00E53C42"/>
    <w:rsid w:val="00E66D17"/>
    <w:rsid w:val="00EC55E3"/>
    <w:rsid w:val="00F00F1E"/>
    <w:rsid w:val="00F01F0E"/>
    <w:rsid w:val="00F41C79"/>
    <w:rsid w:val="00FB1CF3"/>
    <w:rsid w:val="00FF023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B59D"/>
  <w15:chartTrackingRefBased/>
  <w15:docId w15:val="{65DA1E18-C89B-416E-A0D8-D06512A4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D5"/>
  </w:style>
  <w:style w:type="paragraph" w:styleId="Heading1">
    <w:name w:val="heading 1"/>
    <w:basedOn w:val="Normal"/>
    <w:next w:val="Normal"/>
    <w:link w:val="Heading1Char"/>
    <w:uiPriority w:val="9"/>
    <w:qFormat/>
    <w:rsid w:val="004C04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4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4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4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4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4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4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4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4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AE"/>
    <w:rPr>
      <w:rFonts w:eastAsiaTheme="majorEastAsia" w:cstheme="majorBidi"/>
      <w:color w:val="272727" w:themeColor="text1" w:themeTint="D8"/>
    </w:rPr>
  </w:style>
  <w:style w:type="paragraph" w:styleId="Title">
    <w:name w:val="Title"/>
    <w:basedOn w:val="Normal"/>
    <w:next w:val="Normal"/>
    <w:link w:val="TitleChar"/>
    <w:uiPriority w:val="10"/>
    <w:qFormat/>
    <w:rsid w:val="004C0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AE"/>
    <w:pPr>
      <w:spacing w:before="160"/>
      <w:jc w:val="center"/>
    </w:pPr>
    <w:rPr>
      <w:i/>
      <w:iCs/>
      <w:color w:val="404040" w:themeColor="text1" w:themeTint="BF"/>
    </w:rPr>
  </w:style>
  <w:style w:type="character" w:customStyle="1" w:styleId="QuoteChar">
    <w:name w:val="Quote Char"/>
    <w:basedOn w:val="DefaultParagraphFont"/>
    <w:link w:val="Quote"/>
    <w:uiPriority w:val="29"/>
    <w:rsid w:val="004C04AE"/>
    <w:rPr>
      <w:i/>
      <w:iCs/>
      <w:color w:val="404040" w:themeColor="text1" w:themeTint="BF"/>
    </w:rPr>
  </w:style>
  <w:style w:type="paragraph" w:styleId="ListParagraph">
    <w:name w:val="List Paragraph"/>
    <w:basedOn w:val="Normal"/>
    <w:uiPriority w:val="34"/>
    <w:qFormat/>
    <w:rsid w:val="004C04AE"/>
    <w:pPr>
      <w:ind w:left="720"/>
      <w:contextualSpacing/>
    </w:pPr>
  </w:style>
  <w:style w:type="character" w:styleId="IntenseEmphasis">
    <w:name w:val="Intense Emphasis"/>
    <w:basedOn w:val="DefaultParagraphFont"/>
    <w:uiPriority w:val="21"/>
    <w:qFormat/>
    <w:rsid w:val="004C04AE"/>
    <w:rPr>
      <w:i/>
      <w:iCs/>
      <w:color w:val="2F5496" w:themeColor="accent1" w:themeShade="BF"/>
    </w:rPr>
  </w:style>
  <w:style w:type="paragraph" w:styleId="IntenseQuote">
    <w:name w:val="Intense Quote"/>
    <w:basedOn w:val="Normal"/>
    <w:next w:val="Normal"/>
    <w:link w:val="IntenseQuoteChar"/>
    <w:uiPriority w:val="30"/>
    <w:qFormat/>
    <w:rsid w:val="004C04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4AE"/>
    <w:rPr>
      <w:i/>
      <w:iCs/>
      <w:color w:val="2F5496" w:themeColor="accent1" w:themeShade="BF"/>
    </w:rPr>
  </w:style>
  <w:style w:type="character" w:styleId="IntenseReference">
    <w:name w:val="Intense Reference"/>
    <w:basedOn w:val="DefaultParagraphFont"/>
    <w:uiPriority w:val="32"/>
    <w:qFormat/>
    <w:rsid w:val="004C04AE"/>
    <w:rPr>
      <w:b/>
      <w:bCs/>
      <w:smallCaps/>
      <w:color w:val="2F5496" w:themeColor="accent1" w:themeShade="BF"/>
      <w:spacing w:val="5"/>
    </w:rPr>
  </w:style>
  <w:style w:type="table" w:styleId="TableGrid">
    <w:name w:val="Table Grid"/>
    <w:basedOn w:val="TableNormal"/>
    <w:uiPriority w:val="39"/>
    <w:rsid w:val="00B4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507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2419D"/>
    <w:rPr>
      <w:color w:val="0563C1" w:themeColor="hyperlink"/>
      <w:u w:val="single"/>
    </w:rPr>
  </w:style>
  <w:style w:type="character" w:styleId="UnresolvedMention">
    <w:name w:val="Unresolved Mention"/>
    <w:basedOn w:val="DefaultParagraphFont"/>
    <w:uiPriority w:val="99"/>
    <w:semiHidden/>
    <w:unhideWhenUsed/>
    <w:rsid w:val="00B2419D"/>
    <w:rPr>
      <w:color w:val="605E5C"/>
      <w:shd w:val="clear" w:color="auto" w:fill="E1DFDD"/>
    </w:rPr>
  </w:style>
  <w:style w:type="paragraph" w:styleId="Header">
    <w:name w:val="header"/>
    <w:basedOn w:val="Normal"/>
    <w:link w:val="HeaderChar"/>
    <w:uiPriority w:val="99"/>
    <w:unhideWhenUsed/>
    <w:rsid w:val="00216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AE"/>
  </w:style>
  <w:style w:type="paragraph" w:styleId="Footer">
    <w:name w:val="footer"/>
    <w:basedOn w:val="Normal"/>
    <w:link w:val="FooterChar"/>
    <w:uiPriority w:val="99"/>
    <w:unhideWhenUsed/>
    <w:rsid w:val="00216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AE"/>
  </w:style>
  <w:style w:type="character" w:styleId="CommentReference">
    <w:name w:val="annotation reference"/>
    <w:basedOn w:val="DefaultParagraphFont"/>
    <w:uiPriority w:val="99"/>
    <w:semiHidden/>
    <w:unhideWhenUsed/>
    <w:rsid w:val="0046382A"/>
    <w:rPr>
      <w:sz w:val="16"/>
      <w:szCs w:val="16"/>
    </w:rPr>
  </w:style>
  <w:style w:type="paragraph" w:styleId="CommentText">
    <w:name w:val="annotation text"/>
    <w:basedOn w:val="Normal"/>
    <w:link w:val="CommentTextChar"/>
    <w:uiPriority w:val="99"/>
    <w:semiHidden/>
    <w:unhideWhenUsed/>
    <w:rsid w:val="0046382A"/>
    <w:pPr>
      <w:spacing w:line="240" w:lineRule="auto"/>
    </w:pPr>
    <w:rPr>
      <w:sz w:val="20"/>
      <w:szCs w:val="20"/>
    </w:rPr>
  </w:style>
  <w:style w:type="character" w:customStyle="1" w:styleId="CommentTextChar">
    <w:name w:val="Comment Text Char"/>
    <w:basedOn w:val="DefaultParagraphFont"/>
    <w:link w:val="CommentText"/>
    <w:uiPriority w:val="99"/>
    <w:semiHidden/>
    <w:rsid w:val="0046382A"/>
    <w:rPr>
      <w:sz w:val="20"/>
      <w:szCs w:val="20"/>
    </w:rPr>
  </w:style>
  <w:style w:type="paragraph" w:styleId="CommentSubject">
    <w:name w:val="annotation subject"/>
    <w:basedOn w:val="CommentText"/>
    <w:next w:val="CommentText"/>
    <w:link w:val="CommentSubjectChar"/>
    <w:uiPriority w:val="99"/>
    <w:semiHidden/>
    <w:unhideWhenUsed/>
    <w:rsid w:val="0046382A"/>
    <w:rPr>
      <w:b/>
      <w:bCs/>
    </w:rPr>
  </w:style>
  <w:style w:type="character" w:customStyle="1" w:styleId="CommentSubjectChar">
    <w:name w:val="Comment Subject Char"/>
    <w:basedOn w:val="CommentTextChar"/>
    <w:link w:val="CommentSubject"/>
    <w:uiPriority w:val="99"/>
    <w:semiHidden/>
    <w:rsid w:val="0046382A"/>
    <w:rPr>
      <w:b/>
      <w:bCs/>
      <w:sz w:val="20"/>
      <w:szCs w:val="20"/>
    </w:rPr>
  </w:style>
  <w:style w:type="paragraph" w:styleId="Revision">
    <w:name w:val="Revision"/>
    <w:hidden/>
    <w:uiPriority w:val="99"/>
    <w:semiHidden/>
    <w:rsid w:val="004638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hart" Target="charts/chart3.xm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Sheet5!$G$1:$G$2</c:f>
              <c:strCache>
                <c:ptCount val="2"/>
                <c:pt idx="0">
                  <c:v>S Content (%)</c:v>
                </c:pt>
                <c:pt idx="1">
                  <c:v>Seed</c:v>
                </c:pt>
              </c:strCache>
            </c:strRef>
          </c:tx>
          <c:spPr>
            <a:solidFill>
              <a:schemeClr val="accent1"/>
            </a:solidFill>
            <a:ln>
              <a:noFill/>
            </a:ln>
            <a:effectLst/>
          </c:spPr>
          <c:invertIfNegative val="0"/>
          <c:cat>
            <c:multiLvlStrRef>
              <c:f>Sheet5!$E$3:$F$8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Sheet5!$G$3:$G$8</c:f>
              <c:numCache>
                <c:formatCode>General</c:formatCode>
                <c:ptCount val="6"/>
                <c:pt idx="0">
                  <c:v>0.25</c:v>
                </c:pt>
                <c:pt idx="1">
                  <c:v>0.33</c:v>
                </c:pt>
                <c:pt idx="2">
                  <c:v>0.41</c:v>
                </c:pt>
                <c:pt idx="3">
                  <c:v>0.3</c:v>
                </c:pt>
                <c:pt idx="4">
                  <c:v>0.33</c:v>
                </c:pt>
                <c:pt idx="5">
                  <c:v>0.36</c:v>
                </c:pt>
              </c:numCache>
            </c:numRef>
          </c:val>
          <c:extLst>
            <c:ext xmlns:c16="http://schemas.microsoft.com/office/drawing/2014/chart" uri="{C3380CC4-5D6E-409C-BE32-E72D297353CC}">
              <c16:uniqueId val="{00000000-2254-4CF3-8C0F-C7A61B3249A4}"/>
            </c:ext>
          </c:extLst>
        </c:ser>
        <c:ser>
          <c:idx val="1"/>
          <c:order val="1"/>
          <c:tx>
            <c:strRef>
              <c:f>Sheet5!$H$1:$H$2</c:f>
              <c:strCache>
                <c:ptCount val="2"/>
                <c:pt idx="0">
                  <c:v>S Content (%)</c:v>
                </c:pt>
                <c:pt idx="1">
                  <c:v>Stover</c:v>
                </c:pt>
              </c:strCache>
            </c:strRef>
          </c:tx>
          <c:spPr>
            <a:solidFill>
              <a:schemeClr val="accent2"/>
            </a:solidFill>
            <a:ln>
              <a:noFill/>
            </a:ln>
            <a:effectLst/>
          </c:spPr>
          <c:invertIfNegative val="0"/>
          <c:cat>
            <c:multiLvlStrRef>
              <c:f>Sheet5!$E$3:$F$8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Sheet5!$H$3:$H$8</c:f>
              <c:numCache>
                <c:formatCode>General</c:formatCode>
                <c:ptCount val="6"/>
                <c:pt idx="0">
                  <c:v>0.16</c:v>
                </c:pt>
                <c:pt idx="1">
                  <c:v>0.23</c:v>
                </c:pt>
                <c:pt idx="2">
                  <c:v>0.3</c:v>
                </c:pt>
                <c:pt idx="3">
                  <c:v>0.21</c:v>
                </c:pt>
                <c:pt idx="4">
                  <c:v>0.23</c:v>
                </c:pt>
                <c:pt idx="5">
                  <c:v>0.25</c:v>
                </c:pt>
              </c:numCache>
            </c:numRef>
          </c:val>
          <c:extLst>
            <c:ext xmlns:c16="http://schemas.microsoft.com/office/drawing/2014/chart" uri="{C3380CC4-5D6E-409C-BE32-E72D297353CC}">
              <c16:uniqueId val="{00000001-2254-4CF3-8C0F-C7A61B3249A4}"/>
            </c:ext>
          </c:extLst>
        </c:ser>
        <c:dLbls>
          <c:showLegendKey val="0"/>
          <c:showVal val="0"/>
          <c:showCatName val="0"/>
          <c:showSerName val="0"/>
          <c:showPercent val="0"/>
          <c:showBubbleSize val="0"/>
        </c:dLbls>
        <c:gapWidth val="219"/>
        <c:overlap val="-27"/>
        <c:axId val="40653935"/>
        <c:axId val="40671695"/>
      </c:barChart>
      <c:catAx>
        <c:axId val="40653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671695"/>
        <c:crosses val="autoZero"/>
        <c:auto val="1"/>
        <c:lblAlgn val="ctr"/>
        <c:lblOffset val="100"/>
        <c:noMultiLvlLbl val="0"/>
      </c:catAx>
      <c:valAx>
        <c:axId val="406716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N"/>
                  <a:t>Sulphur content in seed and stover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653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Sheet5!$K$1:$K$2</c:f>
              <c:strCache>
                <c:ptCount val="2"/>
                <c:pt idx="0">
                  <c:v>Zn Content (mg/kg)</c:v>
                </c:pt>
                <c:pt idx="1">
                  <c:v>Seed</c:v>
                </c:pt>
              </c:strCache>
            </c:strRef>
          </c:tx>
          <c:spPr>
            <a:solidFill>
              <a:schemeClr val="accent1"/>
            </a:solidFill>
            <a:ln>
              <a:noFill/>
            </a:ln>
            <a:effectLst/>
          </c:spPr>
          <c:invertIfNegative val="0"/>
          <c:cat>
            <c:multiLvlStrRef>
              <c:f>Sheet5!$I$3:$J$8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Sheet5!$K$3:$K$8</c:f>
              <c:numCache>
                <c:formatCode>General</c:formatCode>
                <c:ptCount val="6"/>
                <c:pt idx="0">
                  <c:v>38.33</c:v>
                </c:pt>
                <c:pt idx="1">
                  <c:v>44</c:v>
                </c:pt>
                <c:pt idx="2">
                  <c:v>50</c:v>
                </c:pt>
                <c:pt idx="3">
                  <c:v>40</c:v>
                </c:pt>
                <c:pt idx="4">
                  <c:v>44</c:v>
                </c:pt>
                <c:pt idx="5">
                  <c:v>48.33</c:v>
                </c:pt>
              </c:numCache>
            </c:numRef>
          </c:val>
          <c:extLst>
            <c:ext xmlns:c16="http://schemas.microsoft.com/office/drawing/2014/chart" uri="{C3380CC4-5D6E-409C-BE32-E72D297353CC}">
              <c16:uniqueId val="{00000000-494B-482C-B95E-83FB9342EA6C}"/>
            </c:ext>
          </c:extLst>
        </c:ser>
        <c:ser>
          <c:idx val="1"/>
          <c:order val="1"/>
          <c:tx>
            <c:strRef>
              <c:f>Sheet5!$L$1:$L$2</c:f>
              <c:strCache>
                <c:ptCount val="2"/>
                <c:pt idx="0">
                  <c:v>Zn Content (mg/kg)</c:v>
                </c:pt>
                <c:pt idx="1">
                  <c:v>Stover</c:v>
                </c:pt>
              </c:strCache>
            </c:strRef>
          </c:tx>
          <c:spPr>
            <a:solidFill>
              <a:schemeClr val="accent2"/>
            </a:solidFill>
            <a:ln>
              <a:noFill/>
            </a:ln>
            <a:effectLst/>
          </c:spPr>
          <c:invertIfNegative val="0"/>
          <c:cat>
            <c:multiLvlStrRef>
              <c:f>Sheet5!$I$3:$J$8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Sheet5!$L$3:$L$8</c:f>
              <c:numCache>
                <c:formatCode>General</c:formatCode>
                <c:ptCount val="6"/>
                <c:pt idx="0">
                  <c:v>21.65</c:v>
                </c:pt>
                <c:pt idx="1">
                  <c:v>26.32</c:v>
                </c:pt>
                <c:pt idx="2">
                  <c:v>31.07</c:v>
                </c:pt>
                <c:pt idx="3">
                  <c:v>22.66</c:v>
                </c:pt>
                <c:pt idx="4">
                  <c:v>26.73</c:v>
                </c:pt>
                <c:pt idx="5">
                  <c:v>29.64</c:v>
                </c:pt>
              </c:numCache>
            </c:numRef>
          </c:val>
          <c:extLst>
            <c:ext xmlns:c16="http://schemas.microsoft.com/office/drawing/2014/chart" uri="{C3380CC4-5D6E-409C-BE32-E72D297353CC}">
              <c16:uniqueId val="{00000001-494B-482C-B95E-83FB9342EA6C}"/>
            </c:ext>
          </c:extLst>
        </c:ser>
        <c:dLbls>
          <c:showLegendKey val="0"/>
          <c:showVal val="0"/>
          <c:showCatName val="0"/>
          <c:showSerName val="0"/>
          <c:showPercent val="0"/>
          <c:showBubbleSize val="0"/>
        </c:dLbls>
        <c:gapWidth val="219"/>
        <c:overlap val="-27"/>
        <c:axId val="78385903"/>
        <c:axId val="78385423"/>
      </c:barChart>
      <c:catAx>
        <c:axId val="78385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85423"/>
        <c:crosses val="autoZero"/>
        <c:auto val="1"/>
        <c:lblAlgn val="ctr"/>
        <c:lblOffset val="100"/>
        <c:noMultiLvlLbl val="0"/>
      </c:catAx>
      <c:valAx>
        <c:axId val="7838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solidFill>
                      <a:schemeClr val="tx1"/>
                    </a:solidFill>
                  </a:rPr>
                  <a:t>Zinc content in seed and stover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85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Sheet12!$E$9</c:f>
              <c:strCache>
                <c:ptCount val="1"/>
                <c:pt idx="0">
                  <c:v>Bacteria (×10⁶ cfu/g)</c:v>
                </c:pt>
              </c:strCache>
            </c:strRef>
          </c:tx>
          <c:spPr>
            <a:solidFill>
              <a:schemeClr val="accent1"/>
            </a:solidFill>
            <a:ln>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Sheet12!$E$10:$E$15</c:f>
              <c:numCache>
                <c:formatCode>General</c:formatCode>
                <c:ptCount val="6"/>
                <c:pt idx="0">
                  <c:v>6.17</c:v>
                </c:pt>
                <c:pt idx="1">
                  <c:v>8.07</c:v>
                </c:pt>
                <c:pt idx="2">
                  <c:v>10.37</c:v>
                </c:pt>
                <c:pt idx="3">
                  <c:v>7.47</c:v>
                </c:pt>
                <c:pt idx="4">
                  <c:v>8.23</c:v>
                </c:pt>
                <c:pt idx="5">
                  <c:v>8.9</c:v>
                </c:pt>
              </c:numCache>
            </c:numRef>
          </c:val>
          <c:extLst>
            <c:ext xmlns:c16="http://schemas.microsoft.com/office/drawing/2014/chart" uri="{C3380CC4-5D6E-409C-BE32-E72D297353CC}">
              <c16:uniqueId val="{00000000-2DAE-4B7E-8261-31D7F3FE62CA}"/>
            </c:ext>
          </c:extLst>
        </c:ser>
        <c:ser>
          <c:idx val="1"/>
          <c:order val="1"/>
          <c:tx>
            <c:strRef>
              <c:f>Sheet12!$F$9</c:f>
              <c:strCache>
                <c:ptCount val="1"/>
                <c:pt idx="0">
                  <c:v>Actinomycetes (×10⁴ cfu/g)</c:v>
                </c:pt>
              </c:strCache>
            </c:strRef>
          </c:tx>
          <c:spPr>
            <a:solidFill>
              <a:schemeClr val="accent2"/>
            </a:solidFill>
            <a:ln>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Sheet12!$F$10:$F$15</c:f>
              <c:numCache>
                <c:formatCode>General</c:formatCode>
                <c:ptCount val="6"/>
                <c:pt idx="0">
                  <c:v>5.27</c:v>
                </c:pt>
                <c:pt idx="1">
                  <c:v>6.97</c:v>
                </c:pt>
                <c:pt idx="2">
                  <c:v>8.9</c:v>
                </c:pt>
                <c:pt idx="3">
                  <c:v>6.47</c:v>
                </c:pt>
                <c:pt idx="4">
                  <c:v>7.07</c:v>
                </c:pt>
                <c:pt idx="5">
                  <c:v>7.6</c:v>
                </c:pt>
              </c:numCache>
            </c:numRef>
          </c:val>
          <c:extLst>
            <c:ext xmlns:c16="http://schemas.microsoft.com/office/drawing/2014/chart" uri="{C3380CC4-5D6E-409C-BE32-E72D297353CC}">
              <c16:uniqueId val="{00000001-2DAE-4B7E-8261-31D7F3FE62CA}"/>
            </c:ext>
          </c:extLst>
        </c:ser>
        <c:ser>
          <c:idx val="2"/>
          <c:order val="2"/>
          <c:tx>
            <c:strRef>
              <c:f>Sheet12!$G$9</c:f>
              <c:strCache>
                <c:ptCount val="1"/>
                <c:pt idx="0">
                  <c:v>Fungi (×10³ cfu/g)</c:v>
                </c:pt>
              </c:strCache>
            </c:strRef>
          </c:tx>
          <c:spPr>
            <a:solidFill>
              <a:schemeClr val="accent3"/>
            </a:solidFill>
            <a:ln w="6350">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Sheet12!$G$10:$G$15</c:f>
              <c:numCache>
                <c:formatCode>General</c:formatCode>
                <c:ptCount val="6"/>
                <c:pt idx="0">
                  <c:v>5.47</c:v>
                </c:pt>
                <c:pt idx="1">
                  <c:v>6.87</c:v>
                </c:pt>
                <c:pt idx="2">
                  <c:v>8.6</c:v>
                </c:pt>
                <c:pt idx="3">
                  <c:v>6.5</c:v>
                </c:pt>
                <c:pt idx="4">
                  <c:v>7</c:v>
                </c:pt>
                <c:pt idx="5">
                  <c:v>7.43</c:v>
                </c:pt>
              </c:numCache>
            </c:numRef>
          </c:val>
          <c:extLst>
            <c:ext xmlns:c16="http://schemas.microsoft.com/office/drawing/2014/chart" uri="{C3380CC4-5D6E-409C-BE32-E72D297353CC}">
              <c16:uniqueId val="{00000002-2DAE-4B7E-8261-31D7F3FE62CA}"/>
            </c:ext>
          </c:extLst>
        </c:ser>
        <c:dLbls>
          <c:showLegendKey val="0"/>
          <c:showVal val="0"/>
          <c:showCatName val="0"/>
          <c:showSerName val="0"/>
          <c:showPercent val="0"/>
          <c:showBubbleSize val="0"/>
        </c:dLbls>
        <c:gapWidth val="219"/>
        <c:overlap val="-27"/>
        <c:axId val="109570351"/>
        <c:axId val="109561711"/>
      </c:barChart>
      <c:catAx>
        <c:axId val="109570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561711"/>
        <c:crosses val="autoZero"/>
        <c:auto val="1"/>
        <c:lblAlgn val="ctr"/>
        <c:lblOffset val="100"/>
        <c:noMultiLvlLbl val="0"/>
      </c:catAx>
      <c:valAx>
        <c:axId val="1095617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N"/>
                  <a:t>population of Bacteria, actinomycetes and fungi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570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11</Pages>
  <Words>4405</Words>
  <Characters>25115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Aaditya Singhal</dc:creator>
  <cp:keywords/>
  <dc:description/>
  <cp:lastModifiedBy>suraj mishra</cp:lastModifiedBy>
  <cp:revision>14</cp:revision>
  <dcterms:created xsi:type="dcterms:W3CDTF">2026-07-23T06:57:00Z</dcterms:created>
  <dcterms:modified xsi:type="dcterms:W3CDTF">2026-07-25T11:04:00Z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57465dad-7326-4b82-912a-32c9f4e7ae43</vt:lpwstr>
  </property>
</Properties>
</file>